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jpeg" ContentType="image/jpeg"/>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6"/>
          <w:szCs w:val="16"/>
        </w:rPr>
      </w:pPr>
    </w:p>
    <w:p>
      <w:pPr>
        <w:spacing w:line="580" w:lineRule="exact" w:before="0"/>
        <w:ind w:left="44" w:right="1031" w:firstLine="0"/>
        <w:jc w:val="center"/>
        <w:rPr>
          <w:rFonts w:ascii="宋体" w:hAnsi="宋体" w:cs="宋体" w:eastAsia="宋体" w:hint="default"/>
          <w:sz w:val="48"/>
          <w:szCs w:val="48"/>
        </w:rPr>
      </w:pPr>
      <w:r>
        <w:rPr/>
        <w:pict>
          <v:group style="position:absolute;margin-left:55.200001pt;margin-top:-82.635002pt;width:484.9pt;height:.1pt;mso-position-horizontal-relative:page;mso-position-vertical-relative:paragraph;z-index:0" coordorigin="1104,-1653" coordsize="9698,2">
            <v:shape style="position:absolute;left:1104;top:-1653;width:9698;height:2" coordorigin="1104,-1653" coordsize="9698,0" path="m1104,-1653l10802,-1653e" filled="false" stroked="true" strokeweight=".72pt" strokecolor="#000000">
              <v:path arrowok="t"/>
            </v:shape>
            <w10:wrap type="none"/>
          </v:group>
        </w:pict>
      </w:r>
      <w:r>
        <w:rPr>
          <w:rFonts w:ascii="宋体" w:hAnsi="宋体" w:cs="宋体" w:eastAsia="宋体" w:hint="default"/>
          <w:b/>
          <w:bCs/>
          <w:sz w:val="48"/>
          <w:szCs w:val="48"/>
        </w:rPr>
        <w:t>北京四维图新科技股份有限公司</w:t>
      </w:r>
      <w:r>
        <w:rPr>
          <w:rFonts w:ascii="宋体" w:hAnsi="宋体" w:cs="宋体" w:eastAsia="宋体" w:hint="default"/>
          <w:sz w:val="48"/>
          <w:szCs w:val="48"/>
        </w:rPr>
      </w:r>
    </w:p>
    <w:p>
      <w:pPr>
        <w:spacing w:before="110"/>
        <w:ind w:left="46" w:right="1031" w:firstLine="0"/>
        <w:jc w:val="center"/>
        <w:rPr>
          <w:rFonts w:ascii="Times New Roman" w:hAnsi="Times New Roman" w:cs="Times New Roman" w:eastAsia="Times New Roman" w:hint="default"/>
          <w:sz w:val="48"/>
          <w:szCs w:val="48"/>
        </w:rPr>
      </w:pPr>
      <w:r>
        <w:rPr>
          <w:rFonts w:ascii="Times New Roman"/>
          <w:b/>
          <w:sz w:val="48"/>
        </w:rPr>
        <w:t>NavInfo Co.,</w:t>
      </w:r>
      <w:r>
        <w:rPr>
          <w:rFonts w:ascii="Times New Roman"/>
          <w:b/>
          <w:spacing w:val="-1"/>
          <w:sz w:val="48"/>
        </w:rPr>
        <w:t> </w:t>
      </w:r>
      <w:r>
        <w:rPr>
          <w:rFonts w:ascii="Times New Roman"/>
          <w:b/>
          <w:sz w:val="48"/>
        </w:rPr>
        <w:t>Ltd.</w:t>
      </w:r>
      <w:r>
        <w:rPr>
          <w:rFonts w:ascii="Times New Roman"/>
          <w:sz w:val="48"/>
        </w:rPr>
      </w:r>
    </w:p>
    <w:p>
      <w:pPr>
        <w:spacing w:line="240" w:lineRule="auto" w:before="6"/>
        <w:rPr>
          <w:rFonts w:ascii="Times New Roman" w:hAnsi="Times New Roman" w:cs="Times New Roman" w:eastAsia="Times New Roman" w:hint="default"/>
          <w:b/>
          <w:bCs/>
          <w:sz w:val="8"/>
          <w:szCs w:val="8"/>
        </w:rPr>
      </w:pPr>
    </w:p>
    <w:p>
      <w:pPr>
        <w:spacing w:line="878" w:lineRule="exact"/>
        <w:ind w:left="3417"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7"/>
          <w:sz w:val="20"/>
          <w:szCs w:val="20"/>
        </w:rPr>
        <w:drawing>
          <wp:inline distT="0" distB="0" distL="0" distR="0">
            <wp:extent cx="2090428" cy="557783"/>
            <wp:effectExtent l="0" t="0" r="0" b="0"/>
            <wp:docPr id="1" name="image2.png" descr=""/>
            <wp:cNvGraphicFramePr>
              <a:graphicFrameLocks noChangeAspect="1"/>
            </wp:cNvGraphicFramePr>
            <a:graphic>
              <a:graphicData uri="http://schemas.openxmlformats.org/drawingml/2006/picture">
                <pic:pic>
                  <pic:nvPicPr>
                    <pic:cNvPr id="2" name="image2.png"/>
                    <pic:cNvPicPr/>
                  </pic:nvPicPr>
                  <pic:blipFill>
                    <a:blip r:embed="rId7" cstate="print"/>
                    <a:stretch>
                      <a:fillRect/>
                    </a:stretch>
                  </pic:blipFill>
                  <pic:spPr>
                    <a:xfrm>
                      <a:off x="0" y="0"/>
                      <a:ext cx="2090428" cy="557783"/>
                    </a:xfrm>
                    <a:prstGeom prst="rect">
                      <a:avLst/>
                    </a:prstGeom>
                  </pic:spPr>
                </pic:pic>
              </a:graphicData>
            </a:graphic>
          </wp:inline>
        </w:drawing>
      </w:r>
      <w:r>
        <w:rPr>
          <w:rFonts w:ascii="Times New Roman" w:hAnsi="Times New Roman" w:cs="Times New Roman" w:eastAsia="Times New Roman" w:hint="default"/>
          <w:position w:val="-17"/>
          <w:sz w:val="20"/>
          <w:szCs w:val="20"/>
        </w:rPr>
      </w:r>
    </w:p>
    <w:p>
      <w:pPr>
        <w:spacing w:line="240" w:lineRule="auto" w:before="0"/>
        <w:rPr>
          <w:rFonts w:ascii="Times New Roman" w:hAnsi="Times New Roman" w:cs="Times New Roman" w:eastAsia="Times New Roman" w:hint="default"/>
          <w:b/>
          <w:bCs/>
          <w:sz w:val="48"/>
          <w:szCs w:val="48"/>
        </w:rPr>
      </w:pPr>
    </w:p>
    <w:p>
      <w:pPr>
        <w:spacing w:line="240" w:lineRule="auto" w:before="0"/>
        <w:rPr>
          <w:rFonts w:ascii="Times New Roman" w:hAnsi="Times New Roman" w:cs="Times New Roman" w:eastAsia="Times New Roman" w:hint="default"/>
          <w:b/>
          <w:bCs/>
          <w:sz w:val="48"/>
          <w:szCs w:val="48"/>
        </w:rPr>
      </w:pPr>
    </w:p>
    <w:p>
      <w:pPr>
        <w:spacing w:line="240" w:lineRule="auto" w:before="0"/>
        <w:rPr>
          <w:rFonts w:ascii="Times New Roman" w:hAnsi="Times New Roman" w:cs="Times New Roman" w:eastAsia="Times New Roman" w:hint="default"/>
          <w:b/>
          <w:bCs/>
          <w:sz w:val="48"/>
          <w:szCs w:val="48"/>
        </w:rPr>
      </w:pPr>
    </w:p>
    <w:p>
      <w:pPr>
        <w:spacing w:line="240" w:lineRule="auto" w:before="0"/>
        <w:rPr>
          <w:rFonts w:ascii="Times New Roman" w:hAnsi="Times New Roman" w:cs="Times New Roman" w:eastAsia="Times New Roman" w:hint="default"/>
          <w:b/>
          <w:bCs/>
          <w:sz w:val="48"/>
          <w:szCs w:val="48"/>
        </w:rPr>
      </w:pPr>
    </w:p>
    <w:p>
      <w:pPr>
        <w:spacing w:line="240" w:lineRule="auto" w:before="0"/>
        <w:rPr>
          <w:rFonts w:ascii="Times New Roman" w:hAnsi="Times New Roman" w:cs="Times New Roman" w:eastAsia="Times New Roman" w:hint="default"/>
          <w:b/>
          <w:bCs/>
          <w:sz w:val="48"/>
          <w:szCs w:val="48"/>
        </w:rPr>
      </w:pPr>
    </w:p>
    <w:p>
      <w:pPr>
        <w:spacing w:before="429"/>
        <w:ind w:left="46" w:right="1031" w:firstLine="0"/>
        <w:jc w:val="center"/>
        <w:rPr>
          <w:rFonts w:ascii="宋体" w:hAnsi="宋体" w:cs="宋体" w:eastAsia="宋体" w:hint="default"/>
          <w:sz w:val="48"/>
          <w:szCs w:val="48"/>
        </w:rPr>
      </w:pPr>
      <w:r>
        <w:rPr>
          <w:rFonts w:ascii="宋体" w:hAnsi="宋体" w:cs="宋体" w:eastAsia="宋体" w:hint="default"/>
          <w:b/>
          <w:bCs/>
          <w:sz w:val="48"/>
          <w:szCs w:val="48"/>
        </w:rPr>
        <w:t>二○一八年年度报告</w:t>
      </w:r>
      <w:r>
        <w:rPr>
          <w:rFonts w:ascii="宋体" w:hAnsi="宋体" w:cs="宋体" w:eastAsia="宋体" w:hint="default"/>
          <w:sz w:val="48"/>
          <w:szCs w:val="48"/>
        </w:rPr>
      </w:r>
    </w:p>
    <w:p>
      <w:pPr>
        <w:spacing w:line="240" w:lineRule="auto" w:before="0"/>
        <w:rPr>
          <w:rFonts w:ascii="宋体" w:hAnsi="宋体" w:cs="宋体" w:eastAsia="宋体" w:hint="default"/>
          <w:b/>
          <w:bCs/>
          <w:sz w:val="48"/>
          <w:szCs w:val="48"/>
        </w:rPr>
      </w:pPr>
    </w:p>
    <w:p>
      <w:pPr>
        <w:spacing w:line="240" w:lineRule="auto" w:before="0"/>
        <w:rPr>
          <w:rFonts w:ascii="宋体" w:hAnsi="宋体" w:cs="宋体" w:eastAsia="宋体" w:hint="default"/>
          <w:b/>
          <w:bCs/>
          <w:sz w:val="48"/>
          <w:szCs w:val="48"/>
        </w:rPr>
      </w:pPr>
    </w:p>
    <w:p>
      <w:pPr>
        <w:spacing w:line="240" w:lineRule="auto" w:before="0"/>
        <w:rPr>
          <w:rFonts w:ascii="宋体" w:hAnsi="宋体" w:cs="宋体" w:eastAsia="宋体" w:hint="default"/>
          <w:b/>
          <w:bCs/>
          <w:sz w:val="48"/>
          <w:szCs w:val="48"/>
        </w:rPr>
      </w:pPr>
    </w:p>
    <w:p>
      <w:pPr>
        <w:spacing w:line="240" w:lineRule="auto" w:before="0"/>
        <w:rPr>
          <w:rFonts w:ascii="宋体" w:hAnsi="宋体" w:cs="宋体" w:eastAsia="宋体" w:hint="default"/>
          <w:b/>
          <w:bCs/>
          <w:sz w:val="48"/>
          <w:szCs w:val="48"/>
        </w:rPr>
      </w:pPr>
    </w:p>
    <w:p>
      <w:pPr>
        <w:spacing w:line="240" w:lineRule="auto" w:before="0"/>
        <w:rPr>
          <w:rFonts w:ascii="宋体" w:hAnsi="宋体" w:cs="宋体" w:eastAsia="宋体" w:hint="default"/>
          <w:b/>
          <w:bCs/>
          <w:sz w:val="48"/>
          <w:szCs w:val="48"/>
        </w:rPr>
      </w:pPr>
    </w:p>
    <w:p>
      <w:pPr>
        <w:spacing w:line="240" w:lineRule="auto" w:before="12"/>
        <w:rPr>
          <w:rFonts w:ascii="宋体" w:hAnsi="宋体" w:cs="宋体" w:eastAsia="宋体" w:hint="default"/>
          <w:b/>
          <w:bCs/>
          <w:sz w:val="54"/>
          <w:szCs w:val="54"/>
        </w:rPr>
      </w:pPr>
    </w:p>
    <w:p>
      <w:pPr>
        <w:spacing w:before="0"/>
        <w:ind w:left="47" w:right="1031" w:firstLine="0"/>
        <w:jc w:val="center"/>
        <w:rPr>
          <w:rFonts w:ascii="宋体" w:hAnsi="宋体" w:cs="宋体" w:eastAsia="宋体" w:hint="default"/>
          <w:sz w:val="36"/>
          <w:szCs w:val="36"/>
        </w:rPr>
      </w:pPr>
      <w:r>
        <w:rPr>
          <w:rFonts w:ascii="宋体" w:hAnsi="宋体" w:cs="宋体" w:eastAsia="宋体" w:hint="default"/>
          <w:b/>
          <w:bCs/>
          <w:sz w:val="36"/>
          <w:szCs w:val="36"/>
        </w:rPr>
        <w:t>二○一九年四月</w:t>
      </w:r>
      <w:r>
        <w:rPr>
          <w:rFonts w:ascii="宋体" w:hAnsi="宋体" w:cs="宋体" w:eastAsia="宋体" w:hint="default"/>
          <w:sz w:val="36"/>
          <w:szCs w:val="36"/>
        </w:rPr>
      </w:r>
    </w:p>
    <w:p>
      <w:pPr>
        <w:spacing w:after="0"/>
        <w:jc w:val="center"/>
        <w:rPr>
          <w:rFonts w:ascii="宋体" w:hAnsi="宋体" w:cs="宋体" w:eastAsia="宋体" w:hint="default"/>
          <w:sz w:val="36"/>
          <w:szCs w:val="36"/>
        </w:rPr>
        <w:sectPr>
          <w:headerReference w:type="default" r:id="rId5"/>
          <w:footerReference w:type="default" r:id="rId6"/>
          <w:type w:val="continuous"/>
          <w:pgSz w:w="11910" w:h="16840"/>
          <w:pgMar w:header="745" w:footer="979" w:top="1060" w:bottom="1160" w:left="980" w:right="0"/>
        </w:sectPr>
      </w:pPr>
    </w:p>
    <w:p>
      <w:pPr>
        <w:spacing w:line="240" w:lineRule="auto" w:before="11"/>
        <w:rPr>
          <w:rFonts w:ascii="宋体" w:hAnsi="宋体" w:cs="宋体" w:eastAsia="宋体" w:hint="default"/>
          <w:b/>
          <w:bCs/>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65pt;height:.75pt;mso-position-horizontal-relative:char;mso-position-vertical-relative:line" coordorigin="0,0" coordsize="9713,15">
            <v:group style="position:absolute;left:7;top:7;width:9698;height:2" coordorigin="7,7" coordsize="9698,2">
              <v:shape style="position:absolute;left:7;top:7;width:9698;height:2" coordorigin="7,7" coordsize="9698,0" path="m7,7l9705,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8"/>
          <w:szCs w:val="18"/>
        </w:rPr>
      </w:pPr>
    </w:p>
    <w:p>
      <w:pPr>
        <w:pStyle w:val="Heading1"/>
        <w:spacing w:line="240" w:lineRule="auto"/>
        <w:ind w:left="2802" w:right="982"/>
        <w:jc w:val="left"/>
        <w:rPr>
          <w:b w:val="0"/>
          <w:bCs w:val="0"/>
        </w:rPr>
      </w:pPr>
      <w:bookmarkStart w:name="_bookmark0" w:id="1"/>
      <w:bookmarkEnd w:id="1"/>
      <w:r>
        <w:rPr>
          <w:b w:val="0"/>
          <w:bCs w:val="0"/>
        </w:rPr>
      </w:r>
      <w:r>
        <w:rPr/>
        <w:t>第一节</w:t>
      </w:r>
      <w:r>
        <w:rPr>
          <w:spacing w:val="-5"/>
        </w:rPr>
        <w:t> </w:t>
      </w:r>
      <w:r>
        <w:rPr/>
        <w:t>重要提示、目录和释义</w:t>
      </w:r>
      <w:r>
        <w:rPr>
          <w:b w:val="0"/>
          <w:bCs w:val="0"/>
        </w:rPr>
      </w:r>
    </w:p>
    <w:p>
      <w:pPr>
        <w:spacing w:line="240" w:lineRule="auto" w:before="0"/>
        <w:rPr>
          <w:rFonts w:ascii="宋体" w:hAnsi="宋体" w:cs="宋体" w:eastAsia="宋体" w:hint="default"/>
          <w:b/>
          <w:bCs/>
          <w:sz w:val="32"/>
          <w:szCs w:val="32"/>
        </w:rPr>
      </w:pPr>
    </w:p>
    <w:p>
      <w:pPr>
        <w:spacing w:line="408" w:lineRule="auto" w:before="215"/>
        <w:ind w:left="152" w:right="1136" w:firstLine="562"/>
        <w:jc w:val="both"/>
        <w:rPr>
          <w:rFonts w:ascii="宋体" w:hAnsi="宋体" w:cs="宋体" w:eastAsia="宋体" w:hint="default"/>
          <w:sz w:val="28"/>
          <w:szCs w:val="28"/>
        </w:rPr>
      </w:pPr>
      <w:r>
        <w:rPr>
          <w:rFonts w:ascii="宋体" w:hAnsi="宋体" w:cs="宋体" w:eastAsia="宋体" w:hint="default"/>
          <w:b/>
          <w:bCs/>
          <w:spacing w:val="2"/>
          <w:sz w:val="28"/>
          <w:szCs w:val="28"/>
        </w:rPr>
        <w:t>公司董事会、监事会及董事、监事、高级管理人员保证年度报告内容的真</w:t>
      </w:r>
      <w:r>
        <w:rPr>
          <w:rFonts w:ascii="宋体" w:hAnsi="宋体" w:cs="宋体" w:eastAsia="宋体" w:hint="default"/>
          <w:b/>
          <w:bCs/>
          <w:w w:val="99"/>
          <w:sz w:val="28"/>
          <w:szCs w:val="28"/>
        </w:rPr>
        <w:t> </w:t>
      </w:r>
      <w:r>
        <w:rPr>
          <w:rFonts w:ascii="宋体" w:hAnsi="宋体" w:cs="宋体" w:eastAsia="宋体" w:hint="default"/>
          <w:b/>
          <w:bCs/>
          <w:spacing w:val="2"/>
          <w:sz w:val="28"/>
          <w:szCs w:val="28"/>
        </w:rPr>
        <w:t>实、准确、完整，不存在虚假记载、误导性陈述或重大遗漏，并承担个别和连</w:t>
      </w:r>
      <w:r>
        <w:rPr>
          <w:rFonts w:ascii="宋体" w:hAnsi="宋体" w:cs="宋体" w:eastAsia="宋体" w:hint="default"/>
          <w:b/>
          <w:bCs/>
          <w:w w:val="99"/>
          <w:sz w:val="28"/>
          <w:szCs w:val="28"/>
        </w:rPr>
        <w:t> </w:t>
      </w:r>
      <w:r>
        <w:rPr>
          <w:rFonts w:ascii="宋体" w:hAnsi="宋体" w:cs="宋体" w:eastAsia="宋体" w:hint="default"/>
          <w:b/>
          <w:bCs/>
          <w:sz w:val="28"/>
          <w:szCs w:val="28"/>
        </w:rPr>
        <w:t>带的法律责任。</w:t>
      </w:r>
      <w:r>
        <w:rPr>
          <w:rFonts w:ascii="宋体" w:hAnsi="宋体" w:cs="宋体" w:eastAsia="宋体" w:hint="default"/>
          <w:sz w:val="28"/>
          <w:szCs w:val="28"/>
        </w:rPr>
      </w:r>
    </w:p>
    <w:p>
      <w:pPr>
        <w:spacing w:line="386" w:lineRule="auto" w:before="163"/>
        <w:ind w:left="152" w:right="1131" w:firstLine="562"/>
        <w:jc w:val="both"/>
        <w:rPr>
          <w:rFonts w:ascii="宋体" w:hAnsi="宋体" w:cs="宋体" w:eastAsia="宋体" w:hint="default"/>
          <w:sz w:val="28"/>
          <w:szCs w:val="28"/>
        </w:rPr>
      </w:pPr>
      <w:r>
        <w:rPr>
          <w:rFonts w:ascii="宋体" w:hAnsi="宋体" w:cs="宋体" w:eastAsia="宋体" w:hint="default"/>
          <w:b/>
          <w:bCs/>
          <w:w w:val="95"/>
          <w:sz w:val="28"/>
          <w:szCs w:val="28"/>
        </w:rPr>
        <w:t>公司负责人吴劲风、主管会计工作负责人姜晓明及会计机构负责人</w:t>
      </w:r>
      <w:r>
        <w:rPr>
          <w:rFonts w:ascii="Times New Roman" w:hAnsi="Times New Roman" w:cs="Times New Roman" w:eastAsia="Times New Roman" w:hint="default"/>
          <w:b/>
          <w:bCs/>
          <w:w w:val="95"/>
          <w:sz w:val="28"/>
          <w:szCs w:val="28"/>
        </w:rPr>
        <w:t>(</w:t>
      </w:r>
      <w:r>
        <w:rPr>
          <w:rFonts w:ascii="宋体" w:hAnsi="宋体" w:cs="宋体" w:eastAsia="宋体" w:hint="default"/>
          <w:b/>
          <w:bCs/>
          <w:w w:val="95"/>
          <w:sz w:val="28"/>
          <w:szCs w:val="28"/>
        </w:rPr>
        <w:t>会计主</w:t>
      </w:r>
      <w:r>
        <w:rPr>
          <w:rFonts w:ascii="宋体" w:hAnsi="宋体" w:cs="宋体" w:eastAsia="宋体" w:hint="default"/>
          <w:b/>
          <w:bCs/>
          <w:w w:val="99"/>
          <w:sz w:val="28"/>
          <w:szCs w:val="28"/>
        </w:rPr>
        <w:t> </w:t>
      </w:r>
      <w:r>
        <w:rPr>
          <w:rFonts w:ascii="宋体" w:hAnsi="宋体" w:cs="宋体" w:eastAsia="宋体" w:hint="default"/>
          <w:b/>
          <w:bCs/>
          <w:sz w:val="28"/>
          <w:szCs w:val="28"/>
        </w:rPr>
        <w:t>管人员</w:t>
      </w:r>
      <w:r>
        <w:rPr>
          <w:rFonts w:ascii="Times New Roman" w:hAnsi="Times New Roman" w:cs="Times New Roman" w:eastAsia="Times New Roman" w:hint="default"/>
          <w:b/>
          <w:bCs/>
          <w:sz w:val="28"/>
          <w:szCs w:val="28"/>
        </w:rPr>
        <w:t>)</w:t>
      </w:r>
      <w:r>
        <w:rPr>
          <w:rFonts w:ascii="宋体" w:hAnsi="宋体" w:cs="宋体" w:eastAsia="宋体" w:hint="default"/>
          <w:b/>
          <w:bCs/>
          <w:sz w:val="28"/>
          <w:szCs w:val="28"/>
        </w:rPr>
        <w:t>姜晓明声明：保证年度报告中财务报告的真实、准确、完整。</w:t>
      </w:r>
      <w:r>
        <w:rPr>
          <w:rFonts w:ascii="宋体" w:hAnsi="宋体" w:cs="宋体" w:eastAsia="宋体" w:hint="default"/>
          <w:sz w:val="28"/>
          <w:szCs w:val="28"/>
        </w:rPr>
      </w:r>
    </w:p>
    <w:p>
      <w:pPr>
        <w:spacing w:line="472" w:lineRule="auto" w:before="148"/>
        <w:ind w:left="714" w:right="982" w:firstLine="0"/>
        <w:jc w:val="left"/>
        <w:rPr>
          <w:rFonts w:ascii="宋体" w:hAnsi="宋体" w:cs="宋体" w:eastAsia="宋体" w:hint="default"/>
          <w:sz w:val="28"/>
          <w:szCs w:val="28"/>
        </w:rPr>
      </w:pPr>
      <w:r>
        <w:rPr>
          <w:rFonts w:ascii="宋体" w:hAnsi="宋体" w:cs="宋体" w:eastAsia="宋体" w:hint="default"/>
          <w:b/>
          <w:bCs/>
          <w:sz w:val="28"/>
          <w:szCs w:val="28"/>
        </w:rPr>
        <w:t>所有董事均已出席了审议本报告的董事会会议。</w:t>
      </w:r>
      <w:r>
        <w:rPr>
          <w:rFonts w:ascii="宋体" w:hAnsi="宋体" w:cs="宋体" w:eastAsia="宋体" w:hint="default"/>
          <w:b/>
          <w:bCs/>
          <w:w w:val="99"/>
          <w:sz w:val="28"/>
          <w:szCs w:val="28"/>
        </w:rPr>
        <w:t> </w:t>
      </w:r>
      <w:r>
        <w:rPr>
          <w:rFonts w:ascii="宋体" w:hAnsi="宋体" w:cs="宋体" w:eastAsia="宋体" w:hint="default"/>
          <w:b/>
          <w:bCs/>
          <w:spacing w:val="-2"/>
          <w:sz w:val="28"/>
          <w:szCs w:val="28"/>
        </w:rPr>
        <w:t>本年度报告涉及未来计划等前瞻性陈述，不构成公司对投资者的实质承诺，</w:t>
      </w:r>
      <w:r>
        <w:rPr>
          <w:rFonts w:ascii="宋体" w:hAnsi="宋体" w:cs="宋体" w:eastAsia="宋体" w:hint="default"/>
          <w:spacing w:val="-2"/>
          <w:sz w:val="28"/>
          <w:szCs w:val="28"/>
        </w:rPr>
      </w:r>
    </w:p>
    <w:p>
      <w:pPr>
        <w:spacing w:line="475" w:lineRule="auto" w:before="0"/>
        <w:ind w:left="714" w:right="1133" w:hanging="563"/>
        <w:jc w:val="left"/>
        <w:rPr>
          <w:rFonts w:ascii="宋体" w:hAnsi="宋体" w:cs="宋体" w:eastAsia="宋体" w:hint="default"/>
          <w:sz w:val="28"/>
          <w:szCs w:val="28"/>
        </w:rPr>
      </w:pPr>
      <w:r>
        <w:rPr>
          <w:rFonts w:ascii="宋体" w:hAnsi="宋体" w:cs="宋体" w:eastAsia="宋体" w:hint="default"/>
          <w:b/>
          <w:bCs/>
          <w:sz w:val="28"/>
          <w:szCs w:val="28"/>
        </w:rPr>
        <w:t>请投资者注意投资风险。</w:t>
      </w:r>
      <w:r>
        <w:rPr>
          <w:rFonts w:ascii="宋体" w:hAnsi="宋体" w:cs="宋体" w:eastAsia="宋体" w:hint="default"/>
          <w:b/>
          <w:bCs/>
          <w:w w:val="99"/>
          <w:sz w:val="28"/>
          <w:szCs w:val="28"/>
        </w:rPr>
        <w:t> </w:t>
      </w:r>
      <w:r>
        <w:rPr>
          <w:rFonts w:ascii="宋体" w:hAnsi="宋体" w:cs="宋体" w:eastAsia="宋体" w:hint="default"/>
          <w:b/>
          <w:bCs/>
          <w:spacing w:val="2"/>
          <w:sz w:val="28"/>
          <w:szCs w:val="28"/>
        </w:rPr>
        <w:t>公司经本次董事会审议通过的利润分配预案为：以权益分派实施股权登记</w:t>
      </w:r>
      <w:r>
        <w:rPr>
          <w:rFonts w:ascii="宋体" w:hAnsi="宋体" w:cs="宋体" w:eastAsia="宋体" w:hint="default"/>
          <w:spacing w:val="2"/>
          <w:sz w:val="28"/>
          <w:szCs w:val="28"/>
        </w:rPr>
      </w:r>
    </w:p>
    <w:p>
      <w:pPr>
        <w:spacing w:line="350" w:lineRule="exact" w:before="0"/>
        <w:ind w:left="152" w:right="982" w:firstLine="0"/>
        <w:jc w:val="left"/>
        <w:rPr>
          <w:rFonts w:ascii="宋体" w:hAnsi="宋体" w:cs="宋体" w:eastAsia="宋体" w:hint="default"/>
          <w:sz w:val="28"/>
          <w:szCs w:val="28"/>
        </w:rPr>
      </w:pPr>
      <w:r>
        <w:rPr>
          <w:rFonts w:ascii="宋体" w:hAnsi="宋体" w:cs="宋体" w:eastAsia="宋体" w:hint="default"/>
          <w:b/>
          <w:bCs/>
          <w:spacing w:val="2"/>
          <w:sz w:val="28"/>
          <w:szCs w:val="28"/>
        </w:rPr>
        <w:t>日公司股份总数为基数（公司已回购股份不参与利润分配，预计权益分派实施</w:t>
      </w:r>
      <w:r>
        <w:rPr>
          <w:rFonts w:ascii="宋体" w:hAnsi="宋体" w:cs="宋体" w:eastAsia="宋体" w:hint="default"/>
          <w:spacing w:val="2"/>
          <w:sz w:val="28"/>
          <w:szCs w:val="28"/>
        </w:rPr>
      </w:r>
    </w:p>
    <w:p>
      <w:pPr>
        <w:spacing w:line="240" w:lineRule="auto" w:before="9"/>
        <w:rPr>
          <w:rFonts w:ascii="宋体" w:hAnsi="宋体" w:cs="宋体" w:eastAsia="宋体" w:hint="default"/>
          <w:b/>
          <w:bCs/>
          <w:sz w:val="19"/>
          <w:szCs w:val="19"/>
        </w:rPr>
      </w:pPr>
    </w:p>
    <w:p>
      <w:pPr>
        <w:spacing w:before="0"/>
        <w:ind w:left="152" w:right="982" w:firstLine="0"/>
        <w:jc w:val="left"/>
        <w:rPr>
          <w:rFonts w:ascii="宋体" w:hAnsi="宋体" w:cs="宋体" w:eastAsia="宋体" w:hint="default"/>
          <w:sz w:val="28"/>
          <w:szCs w:val="28"/>
        </w:rPr>
      </w:pPr>
      <w:r>
        <w:rPr>
          <w:rFonts w:ascii="宋体" w:hAnsi="宋体" w:cs="宋体" w:eastAsia="宋体" w:hint="default"/>
          <w:b/>
          <w:bCs/>
          <w:w w:val="99"/>
          <w:sz w:val="28"/>
          <w:szCs w:val="28"/>
        </w:rPr>
        <w:t>股权</w:t>
      </w:r>
      <w:r>
        <w:rPr>
          <w:rFonts w:ascii="宋体" w:hAnsi="宋体" w:cs="宋体" w:eastAsia="宋体" w:hint="default"/>
          <w:b/>
          <w:bCs/>
          <w:spacing w:val="2"/>
          <w:w w:val="99"/>
          <w:sz w:val="28"/>
          <w:szCs w:val="28"/>
        </w:rPr>
        <w:t>登</w:t>
      </w:r>
      <w:r>
        <w:rPr>
          <w:rFonts w:ascii="宋体" w:hAnsi="宋体" w:cs="宋体" w:eastAsia="宋体" w:hint="default"/>
          <w:b/>
          <w:bCs/>
          <w:w w:val="99"/>
          <w:sz w:val="28"/>
          <w:szCs w:val="28"/>
        </w:rPr>
        <w:t>记日公司股份总</w:t>
      </w:r>
      <w:r>
        <w:rPr>
          <w:rFonts w:ascii="宋体" w:hAnsi="宋体" w:cs="宋体" w:eastAsia="宋体" w:hint="default"/>
          <w:b/>
          <w:bCs/>
          <w:spacing w:val="2"/>
          <w:w w:val="99"/>
          <w:sz w:val="28"/>
          <w:szCs w:val="28"/>
        </w:rPr>
        <w:t>数</w:t>
      </w:r>
      <w:r>
        <w:rPr>
          <w:rFonts w:ascii="宋体" w:hAnsi="宋体" w:cs="宋体" w:eastAsia="宋体" w:hint="default"/>
          <w:b/>
          <w:bCs/>
          <w:w w:val="99"/>
          <w:sz w:val="28"/>
          <w:szCs w:val="28"/>
        </w:rPr>
        <w:t>为</w:t>
      </w:r>
      <w:r>
        <w:rPr>
          <w:rFonts w:ascii="宋体" w:hAnsi="宋体" w:cs="宋体" w:eastAsia="宋体" w:hint="default"/>
          <w:b/>
          <w:bCs/>
          <w:spacing w:val="-63"/>
          <w:sz w:val="28"/>
          <w:szCs w:val="28"/>
        </w:rPr>
        <w:t> </w:t>
      </w:r>
      <w:r>
        <w:rPr>
          <w:rFonts w:ascii="Times New Roman" w:hAnsi="Times New Roman" w:cs="Times New Roman" w:eastAsia="Times New Roman" w:hint="default"/>
          <w:b/>
          <w:bCs/>
          <w:w w:val="100"/>
          <w:sz w:val="28"/>
          <w:szCs w:val="28"/>
        </w:rPr>
        <w:t>1</w:t>
      </w:r>
      <w:r>
        <w:rPr>
          <w:rFonts w:ascii="Times New Roman" w:hAnsi="Times New Roman" w:cs="Times New Roman" w:eastAsia="Times New Roman" w:hint="default"/>
          <w:b/>
          <w:bCs/>
          <w:spacing w:val="-4"/>
          <w:w w:val="100"/>
          <w:sz w:val="28"/>
          <w:szCs w:val="28"/>
        </w:rPr>
        <w:t>,</w:t>
      </w:r>
      <w:r>
        <w:rPr>
          <w:rFonts w:ascii="Times New Roman" w:hAnsi="Times New Roman" w:cs="Times New Roman" w:eastAsia="Times New Roman" w:hint="default"/>
          <w:b/>
          <w:bCs/>
          <w:w w:val="100"/>
          <w:sz w:val="28"/>
          <w:szCs w:val="28"/>
        </w:rPr>
        <w:t>3</w:t>
      </w:r>
      <w:r>
        <w:rPr>
          <w:rFonts w:ascii="Times New Roman" w:hAnsi="Times New Roman" w:cs="Times New Roman" w:eastAsia="Times New Roman" w:hint="default"/>
          <w:b/>
          <w:bCs/>
          <w:spacing w:val="-2"/>
          <w:w w:val="100"/>
          <w:sz w:val="28"/>
          <w:szCs w:val="28"/>
        </w:rPr>
        <w:t>0</w:t>
      </w:r>
      <w:r>
        <w:rPr>
          <w:rFonts w:ascii="Times New Roman" w:hAnsi="Times New Roman" w:cs="Times New Roman" w:eastAsia="Times New Roman" w:hint="default"/>
          <w:b/>
          <w:bCs/>
          <w:w w:val="100"/>
          <w:sz w:val="28"/>
          <w:szCs w:val="28"/>
        </w:rPr>
        <w:t>8,</w:t>
      </w:r>
      <w:r>
        <w:rPr>
          <w:rFonts w:ascii="Times New Roman" w:hAnsi="Times New Roman" w:cs="Times New Roman" w:eastAsia="Times New Roman" w:hint="default"/>
          <w:b/>
          <w:bCs/>
          <w:spacing w:val="-2"/>
          <w:w w:val="100"/>
          <w:sz w:val="28"/>
          <w:szCs w:val="28"/>
        </w:rPr>
        <w:t>38</w:t>
      </w:r>
      <w:r>
        <w:rPr>
          <w:rFonts w:ascii="Times New Roman" w:hAnsi="Times New Roman" w:cs="Times New Roman" w:eastAsia="Times New Roman" w:hint="default"/>
          <w:b/>
          <w:bCs/>
          <w:w w:val="100"/>
          <w:sz w:val="28"/>
          <w:szCs w:val="28"/>
        </w:rPr>
        <w:t>5</w:t>
      </w:r>
      <w:r>
        <w:rPr>
          <w:rFonts w:ascii="Times New Roman" w:hAnsi="Times New Roman" w:cs="Times New Roman" w:eastAsia="Times New Roman" w:hint="default"/>
          <w:b/>
          <w:bCs/>
          <w:spacing w:val="-4"/>
          <w:w w:val="100"/>
          <w:sz w:val="28"/>
          <w:szCs w:val="28"/>
        </w:rPr>
        <w:t>,</w:t>
      </w:r>
      <w:r>
        <w:rPr>
          <w:rFonts w:ascii="Times New Roman" w:hAnsi="Times New Roman" w:cs="Times New Roman" w:eastAsia="Times New Roman" w:hint="default"/>
          <w:b/>
          <w:bCs/>
          <w:w w:val="100"/>
          <w:sz w:val="28"/>
          <w:szCs w:val="28"/>
        </w:rPr>
        <w:t>1</w:t>
      </w:r>
      <w:r>
        <w:rPr>
          <w:rFonts w:ascii="Times New Roman" w:hAnsi="Times New Roman" w:cs="Times New Roman" w:eastAsia="Times New Roman" w:hint="default"/>
          <w:b/>
          <w:bCs/>
          <w:spacing w:val="-2"/>
          <w:w w:val="100"/>
          <w:sz w:val="28"/>
          <w:szCs w:val="28"/>
        </w:rPr>
        <w:t>6</w:t>
      </w:r>
      <w:r>
        <w:rPr>
          <w:rFonts w:ascii="Times New Roman" w:hAnsi="Times New Roman" w:cs="Times New Roman" w:eastAsia="Times New Roman" w:hint="default"/>
          <w:b/>
          <w:bCs/>
          <w:w w:val="100"/>
          <w:sz w:val="28"/>
          <w:szCs w:val="28"/>
        </w:rPr>
        <w:t>0</w:t>
      </w:r>
      <w:r>
        <w:rPr>
          <w:rFonts w:ascii="Times New Roman" w:hAnsi="Times New Roman" w:cs="Times New Roman" w:eastAsia="Times New Roman" w:hint="default"/>
          <w:b/>
          <w:bCs/>
          <w:spacing w:val="7"/>
          <w:sz w:val="28"/>
          <w:szCs w:val="28"/>
        </w:rPr>
        <w:t> </w:t>
      </w:r>
      <w:r>
        <w:rPr>
          <w:rFonts w:ascii="宋体" w:hAnsi="宋体" w:cs="宋体" w:eastAsia="宋体" w:hint="default"/>
          <w:b/>
          <w:bCs/>
          <w:spacing w:val="2"/>
          <w:w w:val="99"/>
          <w:sz w:val="28"/>
          <w:szCs w:val="28"/>
        </w:rPr>
        <w:t>股</w:t>
      </w:r>
      <w:r>
        <w:rPr>
          <w:rFonts w:ascii="宋体" w:hAnsi="宋体" w:cs="宋体" w:eastAsia="宋体" w:hint="default"/>
          <w:b/>
          <w:bCs/>
          <w:spacing w:val="-142"/>
          <w:w w:val="99"/>
          <w:sz w:val="28"/>
          <w:szCs w:val="28"/>
        </w:rPr>
        <w:t>）</w:t>
      </w:r>
      <w:r>
        <w:rPr>
          <w:rFonts w:ascii="宋体" w:hAnsi="宋体" w:cs="宋体" w:eastAsia="宋体" w:hint="default"/>
          <w:b/>
          <w:bCs/>
          <w:w w:val="99"/>
          <w:sz w:val="28"/>
          <w:szCs w:val="28"/>
        </w:rPr>
        <w:t>，每</w:t>
      </w:r>
      <w:r>
        <w:rPr>
          <w:rFonts w:ascii="宋体" w:hAnsi="宋体" w:cs="宋体" w:eastAsia="宋体" w:hint="default"/>
          <w:b/>
          <w:bCs/>
          <w:spacing w:val="1"/>
          <w:sz w:val="28"/>
          <w:szCs w:val="28"/>
        </w:rPr>
        <w:t> </w:t>
      </w:r>
      <w:r>
        <w:rPr>
          <w:rFonts w:ascii="Times New Roman" w:hAnsi="Times New Roman" w:cs="Times New Roman" w:eastAsia="Times New Roman" w:hint="default"/>
          <w:b/>
          <w:bCs/>
          <w:spacing w:val="-2"/>
          <w:w w:val="100"/>
          <w:sz w:val="28"/>
          <w:szCs w:val="28"/>
        </w:rPr>
        <w:t>1</w:t>
      </w:r>
      <w:r>
        <w:rPr>
          <w:rFonts w:ascii="Times New Roman" w:hAnsi="Times New Roman" w:cs="Times New Roman" w:eastAsia="Times New Roman" w:hint="default"/>
          <w:b/>
          <w:bCs/>
          <w:w w:val="100"/>
          <w:sz w:val="28"/>
          <w:szCs w:val="28"/>
        </w:rPr>
        <w:t>0</w:t>
      </w:r>
      <w:r>
        <w:rPr>
          <w:rFonts w:ascii="Times New Roman" w:hAnsi="Times New Roman" w:cs="Times New Roman" w:eastAsia="Times New Roman" w:hint="default"/>
          <w:b/>
          <w:bCs/>
          <w:sz w:val="28"/>
          <w:szCs w:val="28"/>
        </w:rPr>
        <w:t>  </w:t>
      </w:r>
      <w:r>
        <w:rPr>
          <w:rFonts w:ascii="宋体" w:hAnsi="宋体" w:cs="宋体" w:eastAsia="宋体" w:hint="default"/>
          <w:b/>
          <w:bCs/>
          <w:w w:val="99"/>
          <w:sz w:val="28"/>
          <w:szCs w:val="28"/>
        </w:rPr>
        <w:t>股派发</w:t>
      </w:r>
      <w:r>
        <w:rPr>
          <w:rFonts w:ascii="宋体" w:hAnsi="宋体" w:cs="宋体" w:eastAsia="宋体" w:hint="default"/>
          <w:b/>
          <w:bCs/>
          <w:spacing w:val="2"/>
          <w:w w:val="99"/>
          <w:sz w:val="28"/>
          <w:szCs w:val="28"/>
        </w:rPr>
        <w:t>现</w:t>
      </w:r>
      <w:r>
        <w:rPr>
          <w:rFonts w:ascii="宋体" w:hAnsi="宋体" w:cs="宋体" w:eastAsia="宋体" w:hint="default"/>
          <w:b/>
          <w:bCs/>
          <w:w w:val="99"/>
          <w:sz w:val="28"/>
          <w:szCs w:val="28"/>
        </w:rPr>
        <w:t>金</w:t>
      </w:r>
      <w:r>
        <w:rPr>
          <w:rFonts w:ascii="宋体" w:hAnsi="宋体" w:cs="宋体" w:eastAsia="宋体" w:hint="default"/>
          <w:b/>
          <w:bCs/>
          <w:spacing w:val="-2"/>
          <w:sz w:val="28"/>
          <w:szCs w:val="28"/>
        </w:rPr>
        <w:t> </w:t>
      </w:r>
      <w:r>
        <w:rPr>
          <w:rFonts w:ascii="Times New Roman" w:hAnsi="Times New Roman" w:cs="Times New Roman" w:eastAsia="Times New Roman" w:hint="default"/>
          <w:b/>
          <w:bCs/>
          <w:w w:val="100"/>
          <w:sz w:val="28"/>
          <w:szCs w:val="28"/>
        </w:rPr>
        <w:t>0.</w:t>
      </w:r>
      <w:r>
        <w:rPr>
          <w:rFonts w:ascii="Times New Roman" w:hAnsi="Times New Roman" w:cs="Times New Roman" w:eastAsia="Times New Roman" w:hint="default"/>
          <w:b/>
          <w:bCs/>
          <w:spacing w:val="-2"/>
          <w:w w:val="100"/>
          <w:sz w:val="28"/>
          <w:szCs w:val="28"/>
        </w:rPr>
        <w:t>1</w:t>
      </w:r>
      <w:r>
        <w:rPr>
          <w:rFonts w:ascii="Times New Roman" w:hAnsi="Times New Roman" w:cs="Times New Roman" w:eastAsia="Times New Roman" w:hint="default"/>
          <w:b/>
          <w:bCs/>
          <w:w w:val="100"/>
          <w:sz w:val="28"/>
          <w:szCs w:val="28"/>
        </w:rPr>
        <w:t>4</w:t>
      </w:r>
      <w:r>
        <w:rPr>
          <w:rFonts w:ascii="Times New Roman" w:hAnsi="Times New Roman" w:cs="Times New Roman" w:eastAsia="Times New Roman" w:hint="default"/>
          <w:b/>
          <w:bCs/>
          <w:spacing w:val="5"/>
          <w:sz w:val="28"/>
          <w:szCs w:val="28"/>
        </w:rPr>
        <w:t> </w:t>
      </w:r>
      <w:r>
        <w:rPr>
          <w:rFonts w:ascii="宋体" w:hAnsi="宋体" w:cs="宋体" w:eastAsia="宋体" w:hint="default"/>
          <w:b/>
          <w:bCs/>
          <w:spacing w:val="2"/>
          <w:w w:val="99"/>
          <w:sz w:val="28"/>
          <w:szCs w:val="28"/>
        </w:rPr>
        <w:t>元</w:t>
      </w:r>
      <w:r>
        <w:rPr>
          <w:rFonts w:ascii="宋体" w:hAnsi="宋体" w:cs="宋体" w:eastAsia="宋体" w:hint="default"/>
          <w:b/>
          <w:bCs/>
          <w:w w:val="99"/>
          <w:sz w:val="28"/>
          <w:szCs w:val="28"/>
        </w:rPr>
        <w:t>（含</w:t>
      </w:r>
      <w:r>
        <w:rPr>
          <w:rFonts w:ascii="宋体" w:hAnsi="宋体" w:cs="宋体" w:eastAsia="宋体" w:hint="default"/>
          <w:sz w:val="28"/>
          <w:szCs w:val="28"/>
        </w:rPr>
      </w:r>
    </w:p>
    <w:p>
      <w:pPr>
        <w:spacing w:before="236"/>
        <w:ind w:left="152" w:right="982" w:firstLine="0"/>
        <w:jc w:val="left"/>
        <w:rPr>
          <w:rFonts w:ascii="宋体" w:hAnsi="宋体" w:cs="宋体" w:eastAsia="宋体" w:hint="default"/>
          <w:sz w:val="28"/>
          <w:szCs w:val="28"/>
        </w:rPr>
      </w:pPr>
      <w:r>
        <w:rPr>
          <w:rFonts w:ascii="宋体" w:hAnsi="宋体" w:cs="宋体" w:eastAsia="宋体" w:hint="default"/>
          <w:b/>
          <w:bCs/>
          <w:spacing w:val="2"/>
          <w:w w:val="99"/>
          <w:sz w:val="28"/>
          <w:szCs w:val="28"/>
        </w:rPr>
        <w:t>税</w:t>
      </w:r>
      <w:r>
        <w:rPr>
          <w:rFonts w:ascii="宋体" w:hAnsi="宋体" w:cs="宋体" w:eastAsia="宋体" w:hint="default"/>
          <w:b/>
          <w:bCs/>
          <w:spacing w:val="-142"/>
          <w:w w:val="99"/>
          <w:sz w:val="28"/>
          <w:szCs w:val="28"/>
        </w:rPr>
        <w:t>）</w:t>
      </w:r>
      <w:r>
        <w:rPr>
          <w:rFonts w:ascii="宋体" w:hAnsi="宋体" w:cs="宋体" w:eastAsia="宋体" w:hint="default"/>
          <w:b/>
          <w:bCs/>
          <w:w w:val="99"/>
          <w:sz w:val="28"/>
          <w:szCs w:val="28"/>
        </w:rPr>
        <w:t>，以资本公</w:t>
      </w:r>
      <w:r>
        <w:rPr>
          <w:rFonts w:ascii="宋体" w:hAnsi="宋体" w:cs="宋体" w:eastAsia="宋体" w:hint="default"/>
          <w:b/>
          <w:bCs/>
          <w:spacing w:val="2"/>
          <w:w w:val="99"/>
          <w:sz w:val="28"/>
          <w:szCs w:val="28"/>
        </w:rPr>
        <w:t>积</w:t>
      </w:r>
      <w:r>
        <w:rPr>
          <w:rFonts w:ascii="宋体" w:hAnsi="宋体" w:cs="宋体" w:eastAsia="宋体" w:hint="default"/>
          <w:b/>
          <w:bCs/>
          <w:w w:val="99"/>
          <w:sz w:val="28"/>
          <w:szCs w:val="28"/>
        </w:rPr>
        <w:t>金向全</w:t>
      </w:r>
      <w:r>
        <w:rPr>
          <w:rFonts w:ascii="宋体" w:hAnsi="宋体" w:cs="宋体" w:eastAsia="宋体" w:hint="default"/>
          <w:b/>
          <w:bCs/>
          <w:spacing w:val="2"/>
          <w:w w:val="99"/>
          <w:sz w:val="28"/>
          <w:szCs w:val="28"/>
        </w:rPr>
        <w:t>体</w:t>
      </w:r>
      <w:r>
        <w:rPr>
          <w:rFonts w:ascii="宋体" w:hAnsi="宋体" w:cs="宋体" w:eastAsia="宋体" w:hint="default"/>
          <w:b/>
          <w:bCs/>
          <w:w w:val="99"/>
          <w:sz w:val="28"/>
          <w:szCs w:val="28"/>
        </w:rPr>
        <w:t>股东每</w:t>
      </w:r>
      <w:r>
        <w:rPr>
          <w:rFonts w:ascii="宋体" w:hAnsi="宋体" w:cs="宋体" w:eastAsia="宋体" w:hint="default"/>
          <w:b/>
          <w:bCs/>
          <w:spacing w:val="1"/>
          <w:sz w:val="28"/>
          <w:szCs w:val="28"/>
        </w:rPr>
        <w:t> </w:t>
      </w:r>
      <w:r>
        <w:rPr>
          <w:rFonts w:ascii="Times New Roman" w:hAnsi="Times New Roman" w:cs="Times New Roman" w:eastAsia="Times New Roman" w:hint="default"/>
          <w:b/>
          <w:bCs/>
          <w:spacing w:val="-2"/>
          <w:w w:val="100"/>
          <w:sz w:val="28"/>
          <w:szCs w:val="28"/>
        </w:rPr>
        <w:t>1</w:t>
      </w:r>
      <w:r>
        <w:rPr>
          <w:rFonts w:ascii="Times New Roman" w:hAnsi="Times New Roman" w:cs="Times New Roman" w:eastAsia="Times New Roman" w:hint="default"/>
          <w:b/>
          <w:bCs/>
          <w:w w:val="100"/>
          <w:sz w:val="28"/>
          <w:szCs w:val="28"/>
        </w:rPr>
        <w:t>0</w:t>
      </w:r>
      <w:r>
        <w:rPr>
          <w:rFonts w:ascii="Times New Roman" w:hAnsi="Times New Roman" w:cs="Times New Roman" w:eastAsia="Times New Roman" w:hint="default"/>
          <w:b/>
          <w:bCs/>
          <w:sz w:val="28"/>
          <w:szCs w:val="28"/>
        </w:rPr>
        <w:t>  </w:t>
      </w:r>
      <w:r>
        <w:rPr>
          <w:rFonts w:ascii="宋体" w:hAnsi="宋体" w:cs="宋体" w:eastAsia="宋体" w:hint="default"/>
          <w:b/>
          <w:bCs/>
          <w:w w:val="99"/>
          <w:sz w:val="28"/>
          <w:szCs w:val="28"/>
        </w:rPr>
        <w:t>股</w:t>
      </w:r>
      <w:r>
        <w:rPr>
          <w:rFonts w:ascii="宋体" w:hAnsi="宋体" w:cs="宋体" w:eastAsia="宋体" w:hint="default"/>
          <w:b/>
          <w:bCs/>
          <w:spacing w:val="2"/>
          <w:w w:val="99"/>
          <w:sz w:val="28"/>
          <w:szCs w:val="28"/>
        </w:rPr>
        <w:t>转</w:t>
      </w:r>
      <w:r>
        <w:rPr>
          <w:rFonts w:ascii="宋体" w:hAnsi="宋体" w:cs="宋体" w:eastAsia="宋体" w:hint="default"/>
          <w:b/>
          <w:bCs/>
          <w:w w:val="99"/>
          <w:sz w:val="28"/>
          <w:szCs w:val="28"/>
        </w:rPr>
        <w:t>增</w:t>
      </w:r>
      <w:r>
        <w:rPr>
          <w:rFonts w:ascii="宋体" w:hAnsi="宋体" w:cs="宋体" w:eastAsia="宋体" w:hint="default"/>
          <w:b/>
          <w:bCs/>
          <w:spacing w:val="-71"/>
          <w:sz w:val="28"/>
          <w:szCs w:val="28"/>
        </w:rPr>
        <w:t> </w:t>
      </w:r>
      <w:r>
        <w:rPr>
          <w:rFonts w:ascii="Times New Roman" w:hAnsi="Times New Roman" w:cs="Times New Roman" w:eastAsia="Times New Roman" w:hint="default"/>
          <w:b/>
          <w:bCs/>
          <w:w w:val="100"/>
          <w:sz w:val="28"/>
          <w:szCs w:val="28"/>
        </w:rPr>
        <w:t>5</w:t>
      </w:r>
      <w:r>
        <w:rPr>
          <w:rFonts w:ascii="Times New Roman" w:hAnsi="Times New Roman" w:cs="Times New Roman" w:eastAsia="Times New Roman" w:hint="default"/>
          <w:b/>
          <w:bCs/>
          <w:spacing w:val="-2"/>
          <w:sz w:val="28"/>
          <w:szCs w:val="28"/>
        </w:rPr>
        <w:t> </w:t>
      </w:r>
      <w:r>
        <w:rPr>
          <w:rFonts w:ascii="宋体" w:hAnsi="宋体" w:cs="宋体" w:eastAsia="宋体" w:hint="default"/>
          <w:b/>
          <w:bCs/>
          <w:spacing w:val="2"/>
          <w:w w:val="99"/>
          <w:sz w:val="28"/>
          <w:szCs w:val="28"/>
        </w:rPr>
        <w:t>股。</w:t>
      </w:r>
      <w:r>
        <w:rPr>
          <w:rFonts w:ascii="宋体" w:hAnsi="宋体" w:cs="宋体" w:eastAsia="宋体" w:hint="default"/>
          <w:sz w:val="28"/>
          <w:szCs w:val="28"/>
        </w:rPr>
      </w:r>
    </w:p>
    <w:p>
      <w:pPr>
        <w:spacing w:after="0"/>
        <w:jc w:val="left"/>
        <w:rPr>
          <w:rFonts w:ascii="宋体" w:hAnsi="宋体" w:cs="宋体" w:eastAsia="宋体" w:hint="default"/>
          <w:sz w:val="28"/>
          <w:szCs w:val="28"/>
        </w:rPr>
        <w:sectPr>
          <w:footerReference w:type="default" r:id="rId8"/>
          <w:pgSz w:w="11910" w:h="16840"/>
          <w:pgMar w:footer="979" w:header="745" w:top="1060" w:bottom="1160" w:left="980" w:right="0"/>
          <w:pgNumType w:start="2"/>
        </w:sectPr>
      </w:pPr>
    </w:p>
    <w:p>
      <w:pPr>
        <w:spacing w:line="240" w:lineRule="auto" w:before="11"/>
        <w:rPr>
          <w:rFonts w:ascii="宋体" w:hAnsi="宋体" w:cs="宋体" w:eastAsia="宋体" w:hint="default"/>
          <w:b/>
          <w:bCs/>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65pt;height:.75pt;mso-position-horizontal-relative:char;mso-position-vertical-relative:line" coordorigin="0,0" coordsize="9713,15">
            <v:group style="position:absolute;left:7;top:7;width:9698;height:2" coordorigin="7,7" coordsize="9698,2">
              <v:shape style="position:absolute;left:7;top:7;width:9698;height:2" coordorigin="7,7" coordsize="9698,0" path="m7,7l9705,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before="169"/>
        <w:ind w:left="53" w:right="1031" w:firstLine="0"/>
        <w:jc w:val="center"/>
        <w:rPr>
          <w:rFonts w:ascii="宋体" w:hAnsi="宋体" w:cs="宋体" w:eastAsia="宋体" w:hint="default"/>
          <w:sz w:val="36"/>
          <w:szCs w:val="36"/>
        </w:rPr>
      </w:pPr>
      <w:r>
        <w:rPr>
          <w:rFonts w:ascii="宋体" w:hAnsi="宋体" w:cs="宋体" w:eastAsia="宋体" w:hint="default"/>
          <w:b/>
          <w:bCs/>
          <w:sz w:val="36"/>
          <w:szCs w:val="36"/>
        </w:rPr>
        <w:t>目录</w:t>
      </w:r>
      <w:r>
        <w:rPr>
          <w:rFonts w:ascii="宋体" w:hAnsi="宋体" w:cs="宋体" w:eastAsia="宋体" w:hint="default"/>
          <w:sz w:val="36"/>
          <w:szCs w:val="36"/>
        </w:rPr>
      </w:r>
    </w:p>
    <w:p>
      <w:pPr>
        <w:spacing w:line="240" w:lineRule="auto" w:before="0"/>
        <w:rPr>
          <w:rFonts w:ascii="宋体" w:hAnsi="宋体" w:cs="宋体" w:eastAsia="宋体" w:hint="default"/>
          <w:b/>
          <w:bCs/>
          <w:sz w:val="36"/>
          <w:szCs w:val="36"/>
        </w:rPr>
      </w:pPr>
    </w:p>
    <w:p>
      <w:pPr>
        <w:spacing w:line="240" w:lineRule="auto" w:before="0"/>
        <w:rPr>
          <w:rFonts w:ascii="宋体" w:hAnsi="宋体" w:cs="宋体" w:eastAsia="宋体" w:hint="default"/>
          <w:b/>
          <w:bCs/>
          <w:sz w:val="36"/>
          <w:szCs w:val="36"/>
        </w:rPr>
      </w:pPr>
    </w:p>
    <w:p>
      <w:pPr>
        <w:spacing w:line="240" w:lineRule="auto" w:before="8"/>
        <w:rPr>
          <w:rFonts w:ascii="宋体" w:hAnsi="宋体" w:cs="宋体" w:eastAsia="宋体" w:hint="default"/>
          <w:b/>
          <w:bCs/>
          <w:sz w:val="51"/>
          <w:szCs w:val="51"/>
        </w:rPr>
      </w:pPr>
    </w:p>
    <w:sdt>
      <w:sdtPr>
        <w:docPartObj>
          <w:docPartGallery w:val="Table of Contents"/>
          <w:docPartUnique/>
        </w:docPartObj>
      </w:sdtPr>
      <w:sdtEndPr/>
      <w:sdtContent>
        <w:p>
          <w:pPr>
            <w:pStyle w:val="TOC1"/>
            <w:tabs>
              <w:tab w:pos="9784" w:val="right" w:leader="dot"/>
            </w:tabs>
            <w:spacing w:line="240" w:lineRule="auto" w:before="0"/>
            <w:ind w:right="0"/>
            <w:jc w:val="left"/>
            <w:rPr>
              <w:rFonts w:ascii="Times New Roman" w:hAnsi="Times New Roman" w:cs="Times New Roman" w:eastAsia="Times New Roman" w:hint="default"/>
            </w:rPr>
          </w:pPr>
          <w:r>
            <w:fldChar w:fldCharType="begin"/>
          </w:r>
          <w:r>
            <w:instrText>TOC \o "1-1" \h \z \u </w:instrText>
          </w:r>
          <w:r>
            <w:fldChar w:fldCharType="separate"/>
          </w:r>
          <w:hyperlink w:history="true" w:anchor="_bookmark0">
            <w:r>
              <w:rPr/>
              <w:t>第一节</w:t>
            </w:r>
            <w:r>
              <w:rPr>
                <w:spacing w:val="-1"/>
              </w:rPr>
              <w:t> </w:t>
            </w:r>
            <w:r>
              <w:rPr/>
              <w:t>重要提示、目录和释义</w:t>
            </w:r>
            <w:r>
              <w:rPr>
                <w:rFonts w:ascii="Times New Roman" w:hAnsi="Times New Roman" w:cs="Times New Roman" w:eastAsia="Times New Roman" w:hint="default"/>
              </w:rPr>
              <w:tab/>
              <w:t>2</w:t>
            </w:r>
          </w:hyperlink>
        </w:p>
        <w:p>
          <w:pPr>
            <w:pStyle w:val="TOC1"/>
            <w:tabs>
              <w:tab w:pos="9784" w:val="right" w:leader="dot"/>
            </w:tabs>
            <w:spacing w:line="240" w:lineRule="auto" w:before="275"/>
            <w:ind w:right="0"/>
            <w:jc w:val="left"/>
            <w:rPr>
              <w:rFonts w:ascii="Times New Roman" w:hAnsi="Times New Roman" w:cs="Times New Roman" w:eastAsia="Times New Roman" w:hint="default"/>
            </w:rPr>
          </w:pPr>
          <w:hyperlink w:history="true" w:anchor="_bookmark1">
            <w:r>
              <w:rPr/>
              <w:t>第二节</w:t>
            </w:r>
            <w:r>
              <w:rPr>
                <w:spacing w:val="-1"/>
              </w:rPr>
              <w:t> </w:t>
            </w:r>
            <w:r>
              <w:rPr/>
              <w:t>公司简介和主要财务指标</w:t>
            </w:r>
            <w:r>
              <w:rPr>
                <w:rFonts w:ascii="Times New Roman" w:hAnsi="Times New Roman" w:cs="Times New Roman" w:eastAsia="Times New Roman" w:hint="default"/>
              </w:rPr>
              <w:tab/>
              <w:t>8</w:t>
            </w:r>
          </w:hyperlink>
        </w:p>
        <w:p>
          <w:pPr>
            <w:pStyle w:val="TOC1"/>
            <w:tabs>
              <w:tab w:pos="9785" w:val="right" w:leader="dot"/>
            </w:tabs>
            <w:spacing w:line="240" w:lineRule="auto"/>
            <w:ind w:right="0"/>
            <w:jc w:val="left"/>
            <w:rPr>
              <w:rFonts w:ascii="Times New Roman" w:hAnsi="Times New Roman" w:cs="Times New Roman" w:eastAsia="Times New Roman" w:hint="default"/>
            </w:rPr>
          </w:pPr>
          <w:hyperlink w:history="true" w:anchor="_bookmark2">
            <w:r>
              <w:rPr/>
              <w:t>第三节</w:t>
            </w:r>
            <w:r>
              <w:rPr>
                <w:spacing w:val="-1"/>
              </w:rPr>
              <w:t> </w:t>
            </w:r>
            <w:r>
              <w:rPr/>
              <w:t>公司业务概要</w:t>
            </w:r>
            <w:r>
              <w:rPr>
                <w:rFonts w:ascii="Times New Roman" w:hAnsi="Times New Roman" w:cs="Times New Roman" w:eastAsia="Times New Roman" w:hint="default"/>
              </w:rPr>
              <w:tab/>
              <w:t>13</w:t>
            </w:r>
          </w:hyperlink>
        </w:p>
        <w:p>
          <w:pPr>
            <w:pStyle w:val="TOC1"/>
            <w:tabs>
              <w:tab w:pos="9785" w:val="right" w:leader="dot"/>
            </w:tabs>
            <w:spacing w:line="240" w:lineRule="auto"/>
            <w:ind w:right="0"/>
            <w:jc w:val="left"/>
            <w:rPr>
              <w:rFonts w:ascii="Times New Roman" w:hAnsi="Times New Roman" w:cs="Times New Roman" w:eastAsia="Times New Roman" w:hint="default"/>
            </w:rPr>
          </w:pPr>
          <w:hyperlink w:history="true" w:anchor="_bookmark3">
            <w:r>
              <w:rPr/>
              <w:t>第四节</w:t>
            </w:r>
            <w:r>
              <w:rPr>
                <w:spacing w:val="-1"/>
              </w:rPr>
              <w:t> </w:t>
            </w:r>
            <w:r>
              <w:rPr/>
              <w:t>经营情况讨论与分析</w:t>
            </w:r>
            <w:r>
              <w:rPr>
                <w:rFonts w:ascii="Times New Roman" w:hAnsi="Times New Roman" w:cs="Times New Roman" w:eastAsia="Times New Roman" w:hint="default"/>
              </w:rPr>
              <w:tab/>
              <w:t>34</w:t>
            </w:r>
          </w:hyperlink>
        </w:p>
        <w:p>
          <w:pPr>
            <w:pStyle w:val="TOC1"/>
            <w:tabs>
              <w:tab w:pos="9785" w:val="right" w:leader="dot"/>
            </w:tabs>
            <w:spacing w:line="240" w:lineRule="auto" w:before="275"/>
            <w:ind w:right="0"/>
            <w:jc w:val="left"/>
            <w:rPr>
              <w:rFonts w:ascii="Times New Roman" w:hAnsi="Times New Roman" w:cs="Times New Roman" w:eastAsia="Times New Roman" w:hint="default"/>
            </w:rPr>
          </w:pPr>
          <w:hyperlink w:history="true" w:anchor="_bookmark4">
            <w:r>
              <w:rPr/>
              <w:t>第五节</w:t>
            </w:r>
            <w:r>
              <w:rPr>
                <w:spacing w:val="-1"/>
              </w:rPr>
              <w:t> </w:t>
            </w:r>
            <w:r>
              <w:rPr/>
              <w:t>重要事项</w:t>
            </w:r>
            <w:r>
              <w:rPr>
                <w:rFonts w:ascii="Times New Roman" w:hAnsi="Times New Roman" w:cs="Times New Roman" w:eastAsia="Times New Roman" w:hint="default"/>
              </w:rPr>
              <w:tab/>
              <w:t>74</w:t>
            </w:r>
          </w:hyperlink>
        </w:p>
        <w:p>
          <w:pPr>
            <w:pStyle w:val="TOC1"/>
            <w:tabs>
              <w:tab w:pos="9785" w:val="right" w:leader="dot"/>
            </w:tabs>
            <w:spacing w:line="240" w:lineRule="auto"/>
            <w:ind w:right="0"/>
            <w:jc w:val="left"/>
            <w:rPr>
              <w:rFonts w:ascii="Times New Roman" w:hAnsi="Times New Roman" w:cs="Times New Roman" w:eastAsia="Times New Roman" w:hint="default"/>
            </w:rPr>
          </w:pPr>
          <w:hyperlink w:history="true" w:anchor="_bookmark5">
            <w:r>
              <w:rPr/>
              <w:t>第六节</w:t>
            </w:r>
            <w:r>
              <w:rPr>
                <w:spacing w:val="-1"/>
              </w:rPr>
              <w:t> </w:t>
            </w:r>
            <w:r>
              <w:rPr/>
              <w:t>股份变动及股东情况</w:t>
            </w:r>
            <w:r>
              <w:rPr>
                <w:rFonts w:ascii="Times New Roman" w:hAnsi="Times New Roman" w:cs="Times New Roman" w:eastAsia="Times New Roman" w:hint="default"/>
              </w:rPr>
              <w:tab/>
              <w:t>86</w:t>
            </w:r>
          </w:hyperlink>
        </w:p>
        <w:p>
          <w:pPr>
            <w:pStyle w:val="TOC1"/>
            <w:tabs>
              <w:tab w:pos="9785" w:val="right" w:leader="dot"/>
            </w:tabs>
            <w:spacing w:line="240" w:lineRule="auto"/>
            <w:ind w:right="0"/>
            <w:jc w:val="left"/>
            <w:rPr>
              <w:rFonts w:ascii="Times New Roman" w:hAnsi="Times New Roman" w:cs="Times New Roman" w:eastAsia="Times New Roman" w:hint="default"/>
            </w:rPr>
          </w:pPr>
          <w:hyperlink w:history="true" w:anchor="_bookmark6">
            <w:r>
              <w:rPr/>
              <w:t>第七节</w:t>
            </w:r>
            <w:r>
              <w:rPr>
                <w:spacing w:val="-1"/>
              </w:rPr>
              <w:t> </w:t>
            </w:r>
            <w:r>
              <w:rPr/>
              <w:t>优先股相关情况</w:t>
            </w:r>
            <w:r>
              <w:rPr>
                <w:rFonts w:ascii="Times New Roman" w:hAnsi="Times New Roman" w:cs="Times New Roman" w:eastAsia="Times New Roman" w:hint="default"/>
              </w:rPr>
              <w:tab/>
              <w:t>93</w:t>
            </w:r>
          </w:hyperlink>
        </w:p>
        <w:p>
          <w:pPr>
            <w:pStyle w:val="TOC1"/>
            <w:tabs>
              <w:tab w:pos="9785" w:val="right" w:leader="dot"/>
            </w:tabs>
            <w:spacing w:line="240" w:lineRule="auto" w:before="275"/>
            <w:ind w:right="0"/>
            <w:jc w:val="left"/>
            <w:rPr>
              <w:rFonts w:ascii="Times New Roman" w:hAnsi="Times New Roman" w:cs="Times New Roman" w:eastAsia="Times New Roman" w:hint="default"/>
            </w:rPr>
          </w:pPr>
          <w:hyperlink w:history="true" w:anchor="_bookmark7">
            <w:r>
              <w:rPr/>
              <w:t>第八节</w:t>
            </w:r>
            <w:r>
              <w:rPr>
                <w:spacing w:val="-1"/>
              </w:rPr>
              <w:t> </w:t>
            </w:r>
            <w:r>
              <w:rPr/>
              <w:t>董事、监事、高级管理人员和员工情况</w:t>
            </w:r>
            <w:r>
              <w:rPr>
                <w:rFonts w:ascii="Times New Roman" w:hAnsi="Times New Roman" w:cs="Times New Roman" w:eastAsia="Times New Roman" w:hint="default"/>
              </w:rPr>
              <w:tab/>
              <w:t>94</w:t>
            </w:r>
          </w:hyperlink>
        </w:p>
        <w:p>
          <w:pPr>
            <w:pStyle w:val="TOC1"/>
            <w:tabs>
              <w:tab w:pos="9784" w:val="right" w:leader="dot"/>
            </w:tabs>
            <w:spacing w:line="240" w:lineRule="auto"/>
            <w:ind w:right="0"/>
            <w:jc w:val="left"/>
            <w:rPr>
              <w:rFonts w:ascii="Times New Roman" w:hAnsi="Times New Roman" w:cs="Times New Roman" w:eastAsia="Times New Roman" w:hint="default"/>
            </w:rPr>
          </w:pPr>
          <w:hyperlink w:history="true" w:anchor="_bookmark8">
            <w:r>
              <w:rPr/>
              <w:t>第九节</w:t>
            </w:r>
            <w:r>
              <w:rPr>
                <w:spacing w:val="-1"/>
              </w:rPr>
              <w:t> </w:t>
            </w:r>
            <w:r>
              <w:rPr/>
              <w:t>公司治理</w:t>
            </w:r>
            <w:r>
              <w:rPr>
                <w:rFonts w:ascii="Times New Roman" w:hAnsi="Times New Roman" w:cs="Times New Roman" w:eastAsia="Times New Roman" w:hint="default"/>
              </w:rPr>
              <w:tab/>
              <w:t>106</w:t>
            </w:r>
          </w:hyperlink>
        </w:p>
        <w:p>
          <w:pPr>
            <w:pStyle w:val="TOC1"/>
            <w:tabs>
              <w:tab w:pos="9784" w:val="right" w:leader="dot"/>
            </w:tabs>
            <w:spacing w:line="240" w:lineRule="auto"/>
            <w:ind w:right="0"/>
            <w:jc w:val="left"/>
            <w:rPr>
              <w:rFonts w:ascii="Times New Roman" w:hAnsi="Times New Roman" w:cs="Times New Roman" w:eastAsia="Times New Roman" w:hint="default"/>
            </w:rPr>
          </w:pPr>
          <w:hyperlink w:history="true" w:anchor="_bookmark9">
            <w:r>
              <w:rPr/>
              <w:t>第十节</w:t>
            </w:r>
            <w:r>
              <w:rPr>
                <w:spacing w:val="-1"/>
              </w:rPr>
              <w:t> </w:t>
            </w:r>
            <w:r>
              <w:rPr/>
              <w:t>公司债券相关情况</w:t>
            </w:r>
            <w:r>
              <w:rPr>
                <w:rFonts w:ascii="Times New Roman" w:hAnsi="Times New Roman" w:cs="Times New Roman" w:eastAsia="Times New Roman" w:hint="default"/>
              </w:rPr>
              <w:tab/>
            </w:r>
            <w:r>
              <w:rPr>
                <w:rFonts w:ascii="Times New Roman" w:hAnsi="Times New Roman" w:cs="Times New Roman" w:eastAsia="Times New Roman" w:hint="default"/>
                <w:spacing w:val="-4"/>
              </w:rPr>
              <w:t>112</w:t>
            </w:r>
          </w:hyperlink>
        </w:p>
        <w:p>
          <w:pPr>
            <w:pStyle w:val="TOC1"/>
            <w:tabs>
              <w:tab w:pos="9784" w:val="right" w:leader="dot"/>
            </w:tabs>
            <w:spacing w:line="240" w:lineRule="auto" w:before="275"/>
            <w:ind w:right="0"/>
            <w:jc w:val="left"/>
            <w:rPr>
              <w:rFonts w:ascii="Times New Roman" w:hAnsi="Times New Roman" w:cs="Times New Roman" w:eastAsia="Times New Roman" w:hint="default"/>
            </w:rPr>
          </w:pPr>
          <w:hyperlink w:history="true" w:anchor="_bookmark10">
            <w:r>
              <w:rPr/>
              <w:t>第十一节</w:t>
            </w:r>
            <w:r>
              <w:rPr>
                <w:spacing w:val="-1"/>
              </w:rPr>
              <w:t> </w:t>
            </w:r>
            <w:r>
              <w:rPr/>
              <w:t>财务报告</w:t>
            </w:r>
            <w:r>
              <w:rPr>
                <w:rFonts w:ascii="Times New Roman" w:hAnsi="Times New Roman" w:cs="Times New Roman" w:eastAsia="Times New Roman" w:hint="default"/>
              </w:rPr>
              <w:tab/>
            </w:r>
            <w:r>
              <w:rPr>
                <w:rFonts w:ascii="Times New Roman" w:hAnsi="Times New Roman" w:cs="Times New Roman" w:eastAsia="Times New Roman" w:hint="default"/>
                <w:spacing w:val="-4"/>
              </w:rPr>
              <w:t>116</w:t>
            </w:r>
          </w:hyperlink>
        </w:p>
        <w:p>
          <w:pPr>
            <w:pStyle w:val="TOC1"/>
            <w:tabs>
              <w:tab w:pos="9784" w:val="right" w:leader="dot"/>
            </w:tabs>
            <w:spacing w:line="240" w:lineRule="auto" w:before="278"/>
            <w:ind w:right="0"/>
            <w:jc w:val="left"/>
            <w:rPr>
              <w:rFonts w:ascii="Times New Roman" w:hAnsi="Times New Roman" w:cs="Times New Roman" w:eastAsia="Times New Roman" w:hint="default"/>
            </w:rPr>
          </w:pPr>
          <w:hyperlink w:history="true" w:anchor="_bookmark11">
            <w:r>
              <w:rPr/>
              <w:t>第十二节</w:t>
            </w:r>
            <w:r>
              <w:rPr>
                <w:spacing w:val="-1"/>
              </w:rPr>
              <w:t> </w:t>
            </w:r>
            <w:r>
              <w:rPr/>
              <w:t>备查文件目录</w:t>
            </w:r>
            <w:r>
              <w:rPr>
                <w:rFonts w:ascii="Times New Roman" w:hAnsi="Times New Roman" w:cs="Times New Roman" w:eastAsia="Times New Roman" w:hint="default"/>
              </w:rPr>
              <w:tab/>
              <w:t>245</w:t>
            </w:r>
          </w:hyperlink>
        </w:p>
        <w:p>
          <w:pPr/>
          <w:r>
            <w:fldChar w:fldCharType="end"/>
          </w:r>
        </w:p>
      </w:sdtContent>
    </w:sdt>
    <w:p>
      <w:pPr>
        <w:spacing w:after="0"/>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32"/>
          <w:szCs w:val="32"/>
        </w:rPr>
      </w:pPr>
    </w:p>
    <w:p>
      <w:pPr>
        <w:spacing w:line="240" w:lineRule="auto" w:before="0"/>
        <w:rPr>
          <w:rFonts w:ascii="Times New Roman" w:hAnsi="Times New Roman" w:cs="Times New Roman" w:eastAsia="Times New Roman" w:hint="default"/>
          <w:sz w:val="32"/>
          <w:szCs w:val="32"/>
        </w:rPr>
      </w:pPr>
    </w:p>
    <w:p>
      <w:pPr>
        <w:spacing w:line="240" w:lineRule="auto" w:before="3"/>
        <w:rPr>
          <w:rFonts w:ascii="Times New Roman" w:hAnsi="Times New Roman" w:cs="Times New Roman" w:eastAsia="Times New Roman" w:hint="default"/>
          <w:sz w:val="30"/>
          <w:szCs w:val="30"/>
        </w:rPr>
      </w:pPr>
    </w:p>
    <w:p>
      <w:pPr>
        <w:spacing w:before="0"/>
        <w:ind w:left="53" w:right="1031" w:firstLine="0"/>
        <w:jc w:val="center"/>
        <w:rPr>
          <w:rFonts w:ascii="宋体" w:hAnsi="宋体" w:cs="宋体" w:eastAsia="宋体" w:hint="default"/>
          <w:sz w:val="32"/>
          <w:szCs w:val="32"/>
        </w:rPr>
      </w:pPr>
      <w:r>
        <w:rPr>
          <w:rFonts w:ascii="宋体" w:hAnsi="宋体" w:cs="宋体" w:eastAsia="宋体" w:hint="default"/>
          <w:b/>
          <w:bCs/>
          <w:sz w:val="32"/>
          <w:szCs w:val="32"/>
        </w:rPr>
        <w:t>释义</w:t>
      </w:r>
      <w:r>
        <w:rPr>
          <w:rFonts w:ascii="宋体" w:hAnsi="宋体" w:cs="宋体" w:eastAsia="宋体" w:hint="default"/>
          <w:sz w:val="32"/>
          <w:szCs w:val="3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27"/>
          <w:szCs w:val="27"/>
        </w:rPr>
      </w:pPr>
    </w:p>
    <w:p>
      <w:pPr>
        <w:pStyle w:val="BodyText"/>
        <w:spacing w:line="240" w:lineRule="auto" w:before="44"/>
        <w:ind w:left="0" w:right="1137"/>
        <w:jc w:val="right"/>
      </w:pPr>
      <w:r>
        <w:rPr/>
        <w:pict>
          <v:shape style="position:absolute;margin-left:56.400002pt;margin-top:-315.418274pt;width:479.3pt;height:580.8pt;mso-position-horizontal-relative:page;mso-position-vertical-relative:paragraph;z-index:109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416"/>
                    <w:gridCol w:w="544"/>
                    <w:gridCol w:w="5611"/>
                  </w:tblGrid>
                  <w:tr>
                    <w:trPr>
                      <w:trHeight w:val="401" w:hRule="exact"/>
                    </w:trPr>
                    <w:tc>
                      <w:tcPr>
                        <w:tcW w:w="34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2"/>
                          <w:jc w:val="center"/>
                          <w:rPr>
                            <w:rFonts w:ascii="宋体" w:hAnsi="宋体" w:cs="宋体" w:eastAsia="宋体" w:hint="default"/>
                            <w:sz w:val="18"/>
                            <w:szCs w:val="18"/>
                          </w:rPr>
                        </w:pPr>
                        <w:r>
                          <w:rPr>
                            <w:rFonts w:ascii="宋体" w:hAnsi="宋体" w:cs="宋体" w:eastAsia="宋体" w:hint="default"/>
                            <w:sz w:val="18"/>
                            <w:szCs w:val="18"/>
                          </w:rPr>
                          <w:t>释义项</w:t>
                        </w:r>
                      </w:p>
                    </w:tc>
                    <w:tc>
                      <w:tcPr>
                        <w:tcW w:w="5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77" w:right="0"/>
                          <w:jc w:val="left"/>
                          <w:rPr>
                            <w:rFonts w:ascii="宋体" w:hAnsi="宋体" w:cs="宋体" w:eastAsia="宋体" w:hint="default"/>
                            <w:sz w:val="18"/>
                            <w:szCs w:val="18"/>
                          </w:rPr>
                        </w:pPr>
                        <w:r>
                          <w:rPr>
                            <w:rFonts w:ascii="宋体" w:hAnsi="宋体" w:cs="宋体" w:eastAsia="宋体" w:hint="default"/>
                            <w:sz w:val="18"/>
                            <w:szCs w:val="18"/>
                          </w:rPr>
                          <w:t>指</w:t>
                        </w:r>
                      </w:p>
                    </w:tc>
                    <w:tc>
                      <w:tcPr>
                        <w:tcW w:w="56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3" w:right="0"/>
                          <w:jc w:val="center"/>
                          <w:rPr>
                            <w:rFonts w:ascii="宋体" w:hAnsi="宋体" w:cs="宋体" w:eastAsia="宋体" w:hint="default"/>
                            <w:sz w:val="18"/>
                            <w:szCs w:val="18"/>
                          </w:rPr>
                        </w:pPr>
                        <w:r>
                          <w:rPr>
                            <w:rFonts w:ascii="宋体" w:hAnsi="宋体" w:cs="宋体" w:eastAsia="宋体" w:hint="default"/>
                            <w:sz w:val="18"/>
                            <w:szCs w:val="18"/>
                          </w:rPr>
                          <w:t>释义内容</w:t>
                        </w:r>
                      </w:p>
                    </w:tc>
                  </w:tr>
                  <w:tr>
                    <w:trPr>
                      <w:trHeight w:val="403" w:hRule="exact"/>
                    </w:trPr>
                    <w:tc>
                      <w:tcPr>
                        <w:tcW w:w="3416"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四维图新、公司、本公司</w:t>
                        </w:r>
                      </w:p>
                    </w:tc>
                    <w:tc>
                      <w:tcPr>
                        <w:tcW w:w="5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77" w:right="0"/>
                          <w:jc w:val="left"/>
                          <w:rPr>
                            <w:rFonts w:ascii="宋体" w:hAnsi="宋体" w:cs="宋体" w:eastAsia="宋体" w:hint="default"/>
                            <w:sz w:val="18"/>
                            <w:szCs w:val="18"/>
                          </w:rPr>
                        </w:pPr>
                        <w:r>
                          <w:rPr>
                            <w:rFonts w:ascii="宋体" w:hAnsi="宋体" w:cs="宋体" w:eastAsia="宋体" w:hint="default"/>
                            <w:sz w:val="18"/>
                            <w:szCs w:val="18"/>
                          </w:rPr>
                          <w:t>指</w:t>
                        </w:r>
                      </w:p>
                    </w:tc>
                    <w:tc>
                      <w:tcPr>
                        <w:tcW w:w="561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北京四维图新科技股份有限公司</w:t>
                        </w:r>
                      </w:p>
                    </w:tc>
                  </w:tr>
                  <w:tr>
                    <w:trPr>
                      <w:trHeight w:val="401" w:hRule="exact"/>
                    </w:trPr>
                    <w:tc>
                      <w:tcPr>
                        <w:tcW w:w="3416"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中国证监会、证监会</w:t>
                        </w:r>
                      </w:p>
                    </w:tc>
                    <w:tc>
                      <w:tcPr>
                        <w:tcW w:w="5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77" w:right="0"/>
                          <w:jc w:val="left"/>
                          <w:rPr>
                            <w:rFonts w:ascii="宋体" w:hAnsi="宋体" w:cs="宋体" w:eastAsia="宋体" w:hint="default"/>
                            <w:sz w:val="18"/>
                            <w:szCs w:val="18"/>
                          </w:rPr>
                        </w:pPr>
                        <w:r>
                          <w:rPr>
                            <w:rFonts w:ascii="宋体" w:hAnsi="宋体" w:cs="宋体" w:eastAsia="宋体" w:hint="default"/>
                            <w:sz w:val="18"/>
                            <w:szCs w:val="18"/>
                          </w:rPr>
                          <w:t>指</w:t>
                        </w:r>
                      </w:p>
                    </w:tc>
                    <w:tc>
                      <w:tcPr>
                        <w:tcW w:w="561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中国证券监督管理委员会</w:t>
                        </w:r>
                      </w:p>
                    </w:tc>
                  </w:tr>
                  <w:tr>
                    <w:trPr>
                      <w:trHeight w:val="403" w:hRule="exact"/>
                    </w:trPr>
                    <w:tc>
                      <w:tcPr>
                        <w:tcW w:w="3416"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报告期</w:t>
                        </w:r>
                      </w:p>
                    </w:tc>
                    <w:tc>
                      <w:tcPr>
                        <w:tcW w:w="5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77" w:right="0"/>
                          <w:jc w:val="left"/>
                          <w:rPr>
                            <w:rFonts w:ascii="宋体" w:hAnsi="宋体" w:cs="宋体" w:eastAsia="宋体" w:hint="default"/>
                            <w:sz w:val="18"/>
                            <w:szCs w:val="18"/>
                          </w:rPr>
                        </w:pPr>
                        <w:r>
                          <w:rPr>
                            <w:rFonts w:ascii="宋体" w:hAnsi="宋体" w:cs="宋体" w:eastAsia="宋体" w:hint="default"/>
                            <w:sz w:val="18"/>
                            <w:szCs w:val="18"/>
                          </w:rPr>
                          <w:t>指</w:t>
                        </w:r>
                      </w:p>
                    </w:tc>
                    <w:tc>
                      <w:tcPr>
                        <w:tcW w:w="561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 </w:t>
                        </w:r>
                        <w:r>
                          <w:rPr>
                            <w:rFonts w:ascii="Times New Roman" w:hAnsi="Times New Roman" w:cs="Times New Roman" w:eastAsia="Times New Roman" w:hint="default"/>
                            <w:sz w:val="18"/>
                            <w:szCs w:val="18"/>
                          </w:rPr>
                          <w:t>1-12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r>
                  <w:tr>
                    <w:trPr>
                      <w:trHeight w:val="401" w:hRule="exact"/>
                    </w:trPr>
                    <w:tc>
                      <w:tcPr>
                        <w:tcW w:w="3416"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杰发科技</w:t>
                        </w:r>
                      </w:p>
                    </w:tc>
                    <w:tc>
                      <w:tcPr>
                        <w:tcW w:w="5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77" w:right="0"/>
                          <w:jc w:val="left"/>
                          <w:rPr>
                            <w:rFonts w:ascii="宋体" w:hAnsi="宋体" w:cs="宋体" w:eastAsia="宋体" w:hint="default"/>
                            <w:sz w:val="18"/>
                            <w:szCs w:val="18"/>
                          </w:rPr>
                        </w:pPr>
                        <w:r>
                          <w:rPr>
                            <w:rFonts w:ascii="宋体" w:hAnsi="宋体" w:cs="宋体" w:eastAsia="宋体" w:hint="default"/>
                            <w:sz w:val="18"/>
                            <w:szCs w:val="18"/>
                          </w:rPr>
                          <w:t>指</w:t>
                        </w:r>
                      </w:p>
                    </w:tc>
                    <w:tc>
                      <w:tcPr>
                        <w:tcW w:w="561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合肥杰发科技有限公司</w:t>
                        </w:r>
                      </w:p>
                    </w:tc>
                  </w:tr>
                  <w:tr>
                    <w:trPr>
                      <w:trHeight w:val="403" w:hRule="exact"/>
                    </w:trPr>
                    <w:tc>
                      <w:tcPr>
                        <w:tcW w:w="3416"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联发科</w:t>
                        </w:r>
                      </w:p>
                    </w:tc>
                    <w:tc>
                      <w:tcPr>
                        <w:tcW w:w="5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77" w:right="0"/>
                          <w:jc w:val="left"/>
                          <w:rPr>
                            <w:rFonts w:ascii="宋体" w:hAnsi="宋体" w:cs="宋体" w:eastAsia="宋体" w:hint="default"/>
                            <w:sz w:val="18"/>
                            <w:szCs w:val="18"/>
                          </w:rPr>
                        </w:pPr>
                        <w:r>
                          <w:rPr>
                            <w:rFonts w:ascii="宋体" w:hAnsi="宋体" w:cs="宋体" w:eastAsia="宋体" w:hint="default"/>
                            <w:sz w:val="18"/>
                            <w:szCs w:val="18"/>
                          </w:rPr>
                          <w:t>指</w:t>
                        </w:r>
                      </w:p>
                    </w:tc>
                    <w:tc>
                      <w:tcPr>
                        <w:tcW w:w="561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联发科技股份有限公司</w:t>
                        </w:r>
                      </w:p>
                    </w:tc>
                  </w:tr>
                  <w:tr>
                    <w:trPr>
                      <w:trHeight w:val="401" w:hRule="exact"/>
                    </w:trPr>
                    <w:tc>
                      <w:tcPr>
                        <w:tcW w:w="3416"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图吧</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BVI</w:t>
                        </w:r>
                      </w:p>
                    </w:tc>
                    <w:tc>
                      <w:tcPr>
                        <w:tcW w:w="5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77" w:right="0"/>
                          <w:jc w:val="left"/>
                          <w:rPr>
                            <w:rFonts w:ascii="宋体" w:hAnsi="宋体" w:cs="宋体" w:eastAsia="宋体" w:hint="default"/>
                            <w:sz w:val="18"/>
                            <w:szCs w:val="18"/>
                          </w:rPr>
                        </w:pPr>
                        <w:r>
                          <w:rPr>
                            <w:rFonts w:ascii="宋体" w:hAnsi="宋体" w:cs="宋体" w:eastAsia="宋体" w:hint="default"/>
                            <w:sz w:val="18"/>
                            <w:szCs w:val="18"/>
                          </w:rPr>
                          <w:t>指</w:t>
                        </w:r>
                      </w:p>
                    </w:tc>
                    <w:tc>
                      <w:tcPr>
                        <w:tcW w:w="561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88"/>
                          <w:ind w:left="23" w:right="0"/>
                          <w:jc w:val="left"/>
                          <w:rPr>
                            <w:rFonts w:ascii="Times New Roman" w:hAnsi="Times New Roman" w:cs="Times New Roman" w:eastAsia="Times New Roman" w:hint="default"/>
                            <w:sz w:val="18"/>
                            <w:szCs w:val="18"/>
                          </w:rPr>
                        </w:pPr>
                        <w:r>
                          <w:rPr>
                            <w:rFonts w:ascii="Times New Roman"/>
                            <w:sz w:val="18"/>
                          </w:rPr>
                          <w:t>Mapbar Technology</w:t>
                        </w:r>
                        <w:r>
                          <w:rPr>
                            <w:rFonts w:ascii="Times New Roman"/>
                            <w:spacing w:val="-28"/>
                            <w:sz w:val="18"/>
                          </w:rPr>
                          <w:t> </w:t>
                        </w:r>
                        <w:r>
                          <w:rPr>
                            <w:rFonts w:ascii="Times New Roman"/>
                            <w:sz w:val="18"/>
                          </w:rPr>
                          <w:t>Limited</w:t>
                        </w:r>
                      </w:p>
                    </w:tc>
                  </w:tr>
                  <w:tr>
                    <w:trPr>
                      <w:trHeight w:val="403" w:hRule="exact"/>
                    </w:trPr>
                    <w:tc>
                      <w:tcPr>
                        <w:tcW w:w="3416"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现势性</w:t>
                        </w:r>
                      </w:p>
                    </w:tc>
                    <w:tc>
                      <w:tcPr>
                        <w:tcW w:w="5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77" w:right="0"/>
                          <w:jc w:val="left"/>
                          <w:rPr>
                            <w:rFonts w:ascii="宋体" w:hAnsi="宋体" w:cs="宋体" w:eastAsia="宋体" w:hint="default"/>
                            <w:sz w:val="18"/>
                            <w:szCs w:val="18"/>
                          </w:rPr>
                        </w:pPr>
                        <w:r>
                          <w:rPr>
                            <w:rFonts w:ascii="宋体" w:hAnsi="宋体" w:cs="宋体" w:eastAsia="宋体" w:hint="default"/>
                            <w:sz w:val="18"/>
                            <w:szCs w:val="18"/>
                          </w:rPr>
                          <w:t>指</w:t>
                        </w:r>
                      </w:p>
                    </w:tc>
                    <w:tc>
                      <w:tcPr>
                        <w:tcW w:w="561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地理空间信息要尽可能地反映当前最新的情况。</w:t>
                        </w:r>
                      </w:p>
                    </w:tc>
                  </w:tr>
                  <w:tr>
                    <w:trPr>
                      <w:trHeight w:val="317" w:hRule="exact"/>
                    </w:trPr>
                    <w:tc>
                      <w:tcPr>
                        <w:tcW w:w="3416" w:type="dxa"/>
                        <w:vMerge w:val="restart"/>
                        <w:tcBorders>
                          <w:top w:val="single" w:sz="4" w:space="0" w:color="000000"/>
                          <w:left w:val="single" w:sz="4" w:space="0" w:color="000000"/>
                          <w:right w:val="single" w:sz="10"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互联网地图服务</w:t>
                        </w:r>
                      </w:p>
                    </w:tc>
                    <w:tc>
                      <w:tcPr>
                        <w:tcW w:w="544" w:type="dxa"/>
                        <w:tcBorders>
                          <w:top w:val="single" w:sz="4" w:space="0" w:color="000000"/>
                          <w:left w:val="single" w:sz="4" w:space="0" w:color="000000"/>
                          <w:bottom w:val="nil" w:sz="6" w:space="0" w:color="auto"/>
                          <w:right w:val="single" w:sz="4" w:space="0" w:color="000000"/>
                        </w:tcBorders>
                        <w:shd w:val="clear" w:color="auto" w:fill="D2D2D2"/>
                      </w:tcPr>
                      <w:p>
                        <w:pPr/>
                      </w:p>
                    </w:tc>
                    <w:tc>
                      <w:tcPr>
                        <w:tcW w:w="5611" w:type="dxa"/>
                        <w:vMerge w:val="restart"/>
                        <w:tcBorders>
                          <w:top w:val="single" w:sz="4" w:space="0" w:color="000000"/>
                          <w:left w:val="single" w:sz="9" w:space="0" w:color="D2D2D2"/>
                          <w:right w:val="single" w:sz="4" w:space="0" w:color="000000"/>
                        </w:tcBorders>
                      </w:tcPr>
                      <w:p>
                        <w:pPr>
                          <w:pStyle w:val="TableParagraph"/>
                          <w:spacing w:line="316" w:lineRule="auto" w:before="49"/>
                          <w:ind w:left="28" w:right="-14"/>
                          <w:jc w:val="both"/>
                          <w:rPr>
                            <w:rFonts w:ascii="宋体" w:hAnsi="宋体" w:cs="宋体" w:eastAsia="宋体" w:hint="default"/>
                            <w:sz w:val="18"/>
                            <w:szCs w:val="18"/>
                          </w:rPr>
                        </w:pPr>
                        <w:r>
                          <w:rPr>
                            <w:rFonts w:ascii="宋体" w:hAnsi="宋体" w:cs="宋体" w:eastAsia="宋体" w:hint="default"/>
                            <w:sz w:val="18"/>
                            <w:szCs w:val="18"/>
                          </w:rPr>
                          <w:t>地图服务方根据用户提出的地理信息需求，通过自动搜索、人工查询、 </w:t>
                        </w:r>
                        <w:r>
                          <w:rPr>
                            <w:rFonts w:ascii="宋体" w:hAnsi="宋体" w:cs="宋体" w:eastAsia="宋体" w:hint="default"/>
                            <w:spacing w:val="-2"/>
                            <w:sz w:val="18"/>
                            <w:szCs w:val="18"/>
                          </w:rPr>
                          <w:t>在线交流等方式为用户提供方便、快捷、准确的地图信息、周边景物场</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z w:val="18"/>
                            <w:szCs w:val="18"/>
                          </w:rPr>
                          <w:t>所信息及出行交通指引资讯的在线信息服务。</w:t>
                        </w:r>
                      </w:p>
                    </w:tc>
                  </w:tr>
                  <w:tr>
                    <w:trPr>
                      <w:trHeight w:val="391" w:hRule="exact"/>
                    </w:trPr>
                    <w:tc>
                      <w:tcPr>
                        <w:tcW w:w="3416" w:type="dxa"/>
                        <w:vMerge/>
                        <w:tcBorders>
                          <w:left w:val="single" w:sz="4" w:space="0" w:color="000000"/>
                          <w:right w:val="single" w:sz="10" w:space="0" w:color="D2D2D2"/>
                        </w:tcBorders>
                      </w:tcPr>
                      <w:p>
                        <w:pPr/>
                      </w:p>
                    </w:tc>
                    <w:tc>
                      <w:tcPr>
                        <w:tcW w:w="54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77" w:right="0"/>
                          <w:jc w:val="left"/>
                          <w:rPr>
                            <w:rFonts w:ascii="宋体" w:hAnsi="宋体" w:cs="宋体" w:eastAsia="宋体" w:hint="default"/>
                            <w:sz w:val="18"/>
                            <w:szCs w:val="18"/>
                          </w:rPr>
                        </w:pPr>
                        <w:r>
                          <w:rPr>
                            <w:rFonts w:ascii="宋体" w:hAnsi="宋体" w:cs="宋体" w:eastAsia="宋体" w:hint="default"/>
                            <w:sz w:val="18"/>
                            <w:szCs w:val="18"/>
                          </w:rPr>
                          <w:t>指</w:t>
                        </w:r>
                      </w:p>
                    </w:tc>
                    <w:tc>
                      <w:tcPr>
                        <w:tcW w:w="5611" w:type="dxa"/>
                        <w:vMerge/>
                        <w:tcBorders>
                          <w:left w:val="single" w:sz="9" w:space="0" w:color="D2D2D2"/>
                          <w:right w:val="single" w:sz="4" w:space="0" w:color="000000"/>
                        </w:tcBorders>
                      </w:tcPr>
                      <w:p>
                        <w:pPr/>
                      </w:p>
                    </w:tc>
                  </w:tr>
                  <w:tr>
                    <w:trPr>
                      <w:trHeight w:val="317" w:hRule="exact"/>
                    </w:trPr>
                    <w:tc>
                      <w:tcPr>
                        <w:tcW w:w="3416" w:type="dxa"/>
                        <w:vMerge/>
                        <w:tcBorders>
                          <w:left w:val="single" w:sz="4" w:space="0" w:color="000000"/>
                          <w:bottom w:val="single" w:sz="4" w:space="0" w:color="000000"/>
                          <w:right w:val="single" w:sz="10" w:space="0" w:color="D2D2D2"/>
                        </w:tcBorders>
                      </w:tcPr>
                      <w:p>
                        <w:pPr/>
                      </w:p>
                    </w:tc>
                    <w:tc>
                      <w:tcPr>
                        <w:tcW w:w="544" w:type="dxa"/>
                        <w:tcBorders>
                          <w:top w:val="nil" w:sz="6" w:space="0" w:color="auto"/>
                          <w:left w:val="single" w:sz="4" w:space="0" w:color="000000"/>
                          <w:bottom w:val="single" w:sz="4" w:space="0" w:color="000000"/>
                          <w:right w:val="single" w:sz="4" w:space="0" w:color="000000"/>
                        </w:tcBorders>
                        <w:shd w:val="clear" w:color="auto" w:fill="D2D2D2"/>
                      </w:tcPr>
                      <w:p>
                        <w:pPr/>
                      </w:p>
                    </w:tc>
                    <w:tc>
                      <w:tcPr>
                        <w:tcW w:w="5611" w:type="dxa"/>
                        <w:vMerge/>
                        <w:tcBorders>
                          <w:left w:val="single" w:sz="9" w:space="0" w:color="D2D2D2"/>
                          <w:bottom w:val="single" w:sz="4" w:space="0" w:color="000000"/>
                          <w:right w:val="single" w:sz="4" w:space="0" w:color="000000"/>
                        </w:tcBorders>
                      </w:tcPr>
                      <w:p>
                        <w:pPr/>
                      </w:p>
                    </w:tc>
                  </w:tr>
                  <w:tr>
                    <w:trPr>
                      <w:trHeight w:val="317" w:hRule="exact"/>
                    </w:trPr>
                    <w:tc>
                      <w:tcPr>
                        <w:tcW w:w="3416" w:type="dxa"/>
                        <w:vMerge w:val="restart"/>
                        <w:tcBorders>
                          <w:top w:val="single" w:sz="4" w:space="0" w:color="000000"/>
                          <w:left w:val="single" w:sz="4" w:space="0" w:color="000000"/>
                          <w:right w:val="single" w:sz="10"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动态交通信息服务</w:t>
                        </w:r>
                      </w:p>
                    </w:tc>
                    <w:tc>
                      <w:tcPr>
                        <w:tcW w:w="544" w:type="dxa"/>
                        <w:tcBorders>
                          <w:top w:val="single" w:sz="4" w:space="0" w:color="000000"/>
                          <w:left w:val="single" w:sz="4" w:space="0" w:color="000000"/>
                          <w:bottom w:val="nil" w:sz="6" w:space="0" w:color="auto"/>
                          <w:right w:val="single" w:sz="4" w:space="0" w:color="000000"/>
                        </w:tcBorders>
                        <w:shd w:val="clear" w:color="auto" w:fill="D2D2D2"/>
                      </w:tcPr>
                      <w:p>
                        <w:pPr/>
                      </w:p>
                    </w:tc>
                    <w:tc>
                      <w:tcPr>
                        <w:tcW w:w="5611" w:type="dxa"/>
                        <w:vMerge w:val="restart"/>
                        <w:tcBorders>
                          <w:top w:val="single" w:sz="4" w:space="0" w:color="000000"/>
                          <w:left w:val="single" w:sz="9" w:space="0" w:color="D2D2D2"/>
                          <w:right w:val="single" w:sz="4" w:space="0" w:color="000000"/>
                        </w:tcBorders>
                      </w:tcPr>
                      <w:p>
                        <w:pPr>
                          <w:pStyle w:val="TableParagraph"/>
                          <w:spacing w:line="309" w:lineRule="auto" w:before="49"/>
                          <w:ind w:left="28" w:right="20"/>
                          <w:jc w:val="both"/>
                          <w:rPr>
                            <w:rFonts w:ascii="宋体" w:hAnsi="宋体" w:cs="宋体" w:eastAsia="宋体" w:hint="default"/>
                            <w:sz w:val="18"/>
                            <w:szCs w:val="18"/>
                          </w:rPr>
                        </w:pPr>
                        <w:r>
                          <w:rPr>
                            <w:rFonts w:ascii="宋体" w:hAnsi="宋体" w:cs="宋体" w:eastAsia="宋体" w:hint="default"/>
                            <w:spacing w:val="-2"/>
                            <w:sz w:val="18"/>
                            <w:szCs w:val="18"/>
                          </w:rPr>
                          <w:t>在对交通信息的采集、融合、处理基础上，通过有线网络和无线网络向</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pacing w:val="-2"/>
                            <w:sz w:val="18"/>
                            <w:szCs w:val="18"/>
                          </w:rPr>
                          <w:t>互联网、呼叫中心、手机、</w:t>
                        </w:r>
                        <w:r>
                          <w:rPr>
                            <w:rFonts w:ascii="Times New Roman" w:hAnsi="Times New Roman" w:cs="Times New Roman" w:eastAsia="Times New Roman" w:hint="default"/>
                            <w:spacing w:val="-2"/>
                            <w:sz w:val="18"/>
                            <w:szCs w:val="18"/>
                          </w:rPr>
                          <w:t>PDA</w:t>
                        </w:r>
                        <w:r>
                          <w:rPr>
                            <w:rFonts w:ascii="宋体" w:hAnsi="宋体" w:cs="宋体" w:eastAsia="宋体" w:hint="default"/>
                            <w:spacing w:val="-2"/>
                            <w:sz w:val="18"/>
                            <w:szCs w:val="18"/>
                          </w:rPr>
                          <w:t>、车载终端等发布实时交通信息，为出</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行者提供较为完善的出行信息服务。</w:t>
                        </w:r>
                      </w:p>
                    </w:tc>
                  </w:tr>
                  <w:tr>
                    <w:trPr>
                      <w:trHeight w:val="394" w:hRule="exact"/>
                    </w:trPr>
                    <w:tc>
                      <w:tcPr>
                        <w:tcW w:w="3416" w:type="dxa"/>
                        <w:vMerge/>
                        <w:tcBorders>
                          <w:left w:val="single" w:sz="4" w:space="0" w:color="000000"/>
                          <w:right w:val="single" w:sz="10" w:space="0" w:color="D2D2D2"/>
                        </w:tcBorders>
                      </w:tcPr>
                      <w:p>
                        <w:pPr/>
                      </w:p>
                    </w:tc>
                    <w:tc>
                      <w:tcPr>
                        <w:tcW w:w="54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77" w:right="0"/>
                          <w:jc w:val="left"/>
                          <w:rPr>
                            <w:rFonts w:ascii="宋体" w:hAnsi="宋体" w:cs="宋体" w:eastAsia="宋体" w:hint="default"/>
                            <w:sz w:val="18"/>
                            <w:szCs w:val="18"/>
                          </w:rPr>
                        </w:pPr>
                        <w:r>
                          <w:rPr>
                            <w:rFonts w:ascii="宋体" w:hAnsi="宋体" w:cs="宋体" w:eastAsia="宋体" w:hint="default"/>
                            <w:sz w:val="18"/>
                            <w:szCs w:val="18"/>
                          </w:rPr>
                          <w:t>指</w:t>
                        </w:r>
                      </w:p>
                    </w:tc>
                    <w:tc>
                      <w:tcPr>
                        <w:tcW w:w="5611" w:type="dxa"/>
                        <w:vMerge/>
                        <w:tcBorders>
                          <w:left w:val="single" w:sz="9" w:space="0" w:color="D2D2D2"/>
                          <w:right w:val="single" w:sz="4" w:space="0" w:color="000000"/>
                        </w:tcBorders>
                      </w:tcPr>
                      <w:p>
                        <w:pPr/>
                      </w:p>
                    </w:tc>
                  </w:tr>
                  <w:tr>
                    <w:trPr>
                      <w:trHeight w:val="317" w:hRule="exact"/>
                    </w:trPr>
                    <w:tc>
                      <w:tcPr>
                        <w:tcW w:w="3416" w:type="dxa"/>
                        <w:vMerge/>
                        <w:tcBorders>
                          <w:left w:val="single" w:sz="4" w:space="0" w:color="000000"/>
                          <w:bottom w:val="single" w:sz="4" w:space="0" w:color="000000"/>
                          <w:right w:val="single" w:sz="10" w:space="0" w:color="D2D2D2"/>
                        </w:tcBorders>
                      </w:tcPr>
                      <w:p>
                        <w:pPr/>
                      </w:p>
                    </w:tc>
                    <w:tc>
                      <w:tcPr>
                        <w:tcW w:w="544" w:type="dxa"/>
                        <w:tcBorders>
                          <w:top w:val="nil" w:sz="6" w:space="0" w:color="auto"/>
                          <w:left w:val="single" w:sz="4" w:space="0" w:color="000000"/>
                          <w:bottom w:val="single" w:sz="4" w:space="0" w:color="000000"/>
                          <w:right w:val="single" w:sz="4" w:space="0" w:color="000000"/>
                        </w:tcBorders>
                        <w:shd w:val="clear" w:color="auto" w:fill="D2D2D2"/>
                      </w:tcPr>
                      <w:p>
                        <w:pPr/>
                      </w:p>
                    </w:tc>
                    <w:tc>
                      <w:tcPr>
                        <w:tcW w:w="5611" w:type="dxa"/>
                        <w:vMerge/>
                        <w:tcBorders>
                          <w:left w:val="single" w:sz="9" w:space="0" w:color="D2D2D2"/>
                          <w:bottom w:val="single" w:sz="4" w:space="0" w:color="000000"/>
                          <w:right w:val="single" w:sz="4" w:space="0" w:color="000000"/>
                        </w:tcBorders>
                      </w:tcPr>
                      <w:p>
                        <w:pPr/>
                      </w:p>
                    </w:tc>
                  </w:tr>
                  <w:tr>
                    <w:trPr>
                      <w:trHeight w:val="401" w:hRule="exact"/>
                    </w:trPr>
                    <w:tc>
                      <w:tcPr>
                        <w:tcW w:w="3416"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GIS</w:t>
                        </w:r>
                      </w:p>
                    </w:tc>
                    <w:tc>
                      <w:tcPr>
                        <w:tcW w:w="5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77" w:right="0"/>
                          <w:jc w:val="left"/>
                          <w:rPr>
                            <w:rFonts w:ascii="宋体" w:hAnsi="宋体" w:cs="宋体" w:eastAsia="宋体" w:hint="default"/>
                            <w:sz w:val="18"/>
                            <w:szCs w:val="18"/>
                          </w:rPr>
                        </w:pPr>
                        <w:r>
                          <w:rPr>
                            <w:rFonts w:ascii="宋体" w:hAnsi="宋体" w:cs="宋体" w:eastAsia="宋体" w:hint="default"/>
                            <w:sz w:val="18"/>
                            <w:szCs w:val="18"/>
                          </w:rPr>
                          <w:t>指</w:t>
                        </w:r>
                      </w:p>
                    </w:tc>
                    <w:tc>
                      <w:tcPr>
                        <w:tcW w:w="561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Geographical Information System</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的缩写，地理信息系统。</w:t>
                        </w:r>
                      </w:p>
                    </w:tc>
                  </w:tr>
                  <w:tr>
                    <w:trPr>
                      <w:trHeight w:val="317" w:hRule="exact"/>
                    </w:trPr>
                    <w:tc>
                      <w:tcPr>
                        <w:tcW w:w="3416" w:type="dxa"/>
                        <w:vMerge w:val="restart"/>
                        <w:tcBorders>
                          <w:top w:val="single" w:sz="4" w:space="0" w:color="000000"/>
                          <w:left w:val="single" w:sz="4" w:space="0" w:color="000000"/>
                          <w:right w:val="single" w:sz="10"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数字城市</w:t>
                        </w:r>
                      </w:p>
                    </w:tc>
                    <w:tc>
                      <w:tcPr>
                        <w:tcW w:w="544" w:type="dxa"/>
                        <w:tcBorders>
                          <w:top w:val="single" w:sz="4" w:space="0" w:color="000000"/>
                          <w:left w:val="single" w:sz="4" w:space="0" w:color="000000"/>
                          <w:bottom w:val="nil" w:sz="6" w:space="0" w:color="auto"/>
                          <w:right w:val="single" w:sz="4" w:space="0" w:color="000000"/>
                        </w:tcBorders>
                        <w:shd w:val="clear" w:color="auto" w:fill="D2D2D2"/>
                      </w:tcPr>
                      <w:p>
                        <w:pPr/>
                      </w:p>
                    </w:tc>
                    <w:tc>
                      <w:tcPr>
                        <w:tcW w:w="5611" w:type="dxa"/>
                        <w:vMerge w:val="restart"/>
                        <w:tcBorders>
                          <w:top w:val="single" w:sz="4" w:space="0" w:color="000000"/>
                          <w:left w:val="single" w:sz="9" w:space="0" w:color="D2D2D2"/>
                          <w:right w:val="single" w:sz="4" w:space="0" w:color="000000"/>
                        </w:tcBorders>
                      </w:tcPr>
                      <w:p>
                        <w:pPr>
                          <w:pStyle w:val="TableParagraph"/>
                          <w:spacing w:line="309" w:lineRule="auto" w:before="49"/>
                          <w:ind w:left="28" w:right="18"/>
                          <w:jc w:val="both"/>
                          <w:rPr>
                            <w:rFonts w:ascii="宋体" w:hAnsi="宋体" w:cs="宋体" w:eastAsia="宋体" w:hint="default"/>
                            <w:sz w:val="18"/>
                            <w:szCs w:val="18"/>
                          </w:rPr>
                        </w:pPr>
                        <w:r>
                          <w:rPr>
                            <w:rFonts w:ascii="宋体" w:hAnsi="宋体" w:cs="宋体" w:eastAsia="宋体" w:hint="default"/>
                            <w:spacing w:val="-11"/>
                            <w:w w:val="99"/>
                            <w:sz w:val="18"/>
                            <w:szCs w:val="18"/>
                          </w:rPr>
                          <w:t>是基于地理信息系统（</w:t>
                        </w:r>
                        <w:r>
                          <w:rPr>
                            <w:rFonts w:ascii="Times New Roman" w:hAnsi="Times New Roman" w:cs="Times New Roman" w:eastAsia="Times New Roman" w:hint="default"/>
                            <w:spacing w:val="-11"/>
                            <w:w w:val="99"/>
                            <w:sz w:val="18"/>
                            <w:szCs w:val="18"/>
                          </w:rPr>
                          <w:t>GIS</w:t>
                        </w:r>
                        <w:r>
                          <w:rPr>
                            <w:rFonts w:ascii="宋体" w:hAnsi="宋体" w:cs="宋体" w:eastAsia="宋体" w:hint="default"/>
                            <w:spacing w:val="-11"/>
                            <w:w w:val="99"/>
                            <w:sz w:val="18"/>
                            <w:szCs w:val="18"/>
                          </w:rPr>
                          <w:t>）、全球定位系统（</w:t>
                        </w:r>
                        <w:r>
                          <w:rPr>
                            <w:rFonts w:ascii="Times New Roman" w:hAnsi="Times New Roman" w:cs="Times New Roman" w:eastAsia="Times New Roman" w:hint="default"/>
                            <w:spacing w:val="-11"/>
                            <w:w w:val="99"/>
                            <w:sz w:val="18"/>
                            <w:szCs w:val="18"/>
                          </w:rPr>
                          <w:t>GPS</w:t>
                        </w:r>
                        <w:r>
                          <w:rPr>
                            <w:rFonts w:ascii="宋体" w:hAnsi="宋体" w:cs="宋体" w:eastAsia="宋体" w:hint="default"/>
                            <w:spacing w:val="-11"/>
                            <w:w w:val="99"/>
                            <w:sz w:val="18"/>
                            <w:szCs w:val="18"/>
                          </w:rPr>
                          <w:t>）、遥感系统（</w:t>
                        </w:r>
                        <w:r>
                          <w:rPr>
                            <w:rFonts w:ascii="Times New Roman" w:hAnsi="Times New Roman" w:cs="Times New Roman" w:eastAsia="Times New Roman" w:hint="default"/>
                            <w:spacing w:val="-11"/>
                            <w:w w:val="99"/>
                            <w:sz w:val="18"/>
                            <w:szCs w:val="18"/>
                          </w:rPr>
                          <w:t>RS</w:t>
                        </w:r>
                        <w:r>
                          <w:rPr>
                            <w:rFonts w:ascii="宋体" w:hAnsi="宋体" w:cs="宋体" w:eastAsia="宋体" w:hint="default"/>
                            <w:spacing w:val="-11"/>
                            <w:w w:val="99"/>
                            <w:sz w:val="18"/>
                            <w:szCs w:val="18"/>
                          </w:rPr>
                          <w:t>）、</w:t>
                        </w:r>
                        <w:r>
                          <w:rPr>
                            <w:rFonts w:ascii="宋体" w:hAnsi="宋体" w:cs="宋体" w:eastAsia="宋体" w:hint="default"/>
                            <w:spacing w:val="-65"/>
                            <w:w w:val="99"/>
                            <w:sz w:val="18"/>
                            <w:szCs w:val="18"/>
                          </w:rPr>
                          <w:t> </w:t>
                        </w:r>
                        <w:r>
                          <w:rPr>
                            <w:rFonts w:ascii="宋体" w:hAnsi="宋体" w:cs="宋体" w:eastAsia="宋体" w:hint="default"/>
                            <w:spacing w:val="-2"/>
                            <w:sz w:val="18"/>
                            <w:szCs w:val="18"/>
                          </w:rPr>
                          <w:t>虚拟仿真等技术构建的一个信息平台，将某一城市或地区的经济、服务</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pacing w:val="-5"/>
                            <w:sz w:val="18"/>
                            <w:szCs w:val="18"/>
                          </w:rPr>
                          <w:t>等信息资源加载上去，加以整合和利用，实现对城市的高效规划和利用</w:t>
                        </w:r>
                      </w:p>
                    </w:tc>
                  </w:tr>
                  <w:tr>
                    <w:trPr>
                      <w:trHeight w:val="394" w:hRule="exact"/>
                    </w:trPr>
                    <w:tc>
                      <w:tcPr>
                        <w:tcW w:w="3416" w:type="dxa"/>
                        <w:vMerge/>
                        <w:tcBorders>
                          <w:left w:val="single" w:sz="4" w:space="0" w:color="000000"/>
                          <w:right w:val="single" w:sz="10" w:space="0" w:color="D2D2D2"/>
                        </w:tcBorders>
                      </w:tcPr>
                      <w:p>
                        <w:pPr/>
                      </w:p>
                    </w:tc>
                    <w:tc>
                      <w:tcPr>
                        <w:tcW w:w="54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77" w:right="0"/>
                          <w:jc w:val="left"/>
                          <w:rPr>
                            <w:rFonts w:ascii="宋体" w:hAnsi="宋体" w:cs="宋体" w:eastAsia="宋体" w:hint="default"/>
                            <w:sz w:val="18"/>
                            <w:szCs w:val="18"/>
                          </w:rPr>
                        </w:pPr>
                        <w:r>
                          <w:rPr>
                            <w:rFonts w:ascii="宋体" w:hAnsi="宋体" w:cs="宋体" w:eastAsia="宋体" w:hint="default"/>
                            <w:sz w:val="18"/>
                            <w:szCs w:val="18"/>
                          </w:rPr>
                          <w:t>指</w:t>
                        </w:r>
                      </w:p>
                    </w:tc>
                    <w:tc>
                      <w:tcPr>
                        <w:tcW w:w="5611" w:type="dxa"/>
                        <w:vMerge/>
                        <w:tcBorders>
                          <w:left w:val="single" w:sz="9" w:space="0" w:color="D2D2D2"/>
                          <w:right w:val="single" w:sz="4" w:space="0" w:color="000000"/>
                        </w:tcBorders>
                      </w:tcPr>
                      <w:p>
                        <w:pPr/>
                      </w:p>
                    </w:tc>
                  </w:tr>
                  <w:tr>
                    <w:trPr>
                      <w:trHeight w:val="317" w:hRule="exact"/>
                    </w:trPr>
                    <w:tc>
                      <w:tcPr>
                        <w:tcW w:w="3416" w:type="dxa"/>
                        <w:vMerge/>
                        <w:tcBorders>
                          <w:left w:val="single" w:sz="4" w:space="0" w:color="000000"/>
                          <w:bottom w:val="single" w:sz="4" w:space="0" w:color="000000"/>
                          <w:right w:val="single" w:sz="10" w:space="0" w:color="D2D2D2"/>
                        </w:tcBorders>
                      </w:tcPr>
                      <w:p>
                        <w:pPr/>
                      </w:p>
                    </w:tc>
                    <w:tc>
                      <w:tcPr>
                        <w:tcW w:w="544" w:type="dxa"/>
                        <w:tcBorders>
                          <w:top w:val="nil" w:sz="6" w:space="0" w:color="auto"/>
                          <w:left w:val="single" w:sz="4" w:space="0" w:color="000000"/>
                          <w:bottom w:val="single" w:sz="4" w:space="0" w:color="000000"/>
                          <w:right w:val="single" w:sz="4" w:space="0" w:color="000000"/>
                        </w:tcBorders>
                        <w:shd w:val="clear" w:color="auto" w:fill="D2D2D2"/>
                      </w:tcPr>
                      <w:p>
                        <w:pPr/>
                      </w:p>
                    </w:tc>
                    <w:tc>
                      <w:tcPr>
                        <w:tcW w:w="5611" w:type="dxa"/>
                        <w:vMerge/>
                        <w:tcBorders>
                          <w:left w:val="single" w:sz="9" w:space="0" w:color="D2D2D2"/>
                          <w:bottom w:val="single" w:sz="4" w:space="0" w:color="000000"/>
                          <w:right w:val="single" w:sz="4" w:space="0" w:color="000000"/>
                        </w:tcBorders>
                      </w:tcPr>
                      <w:p>
                        <w:pPr/>
                      </w:p>
                    </w:tc>
                  </w:tr>
                  <w:tr>
                    <w:trPr>
                      <w:trHeight w:val="473" w:hRule="exact"/>
                    </w:trPr>
                    <w:tc>
                      <w:tcPr>
                        <w:tcW w:w="3416" w:type="dxa"/>
                        <w:vMerge w:val="restart"/>
                        <w:tcBorders>
                          <w:top w:val="single" w:sz="4" w:space="0" w:color="000000"/>
                          <w:left w:val="single" w:sz="4" w:space="0" w:color="000000"/>
                          <w:right w:val="single" w:sz="10"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车联网</w:t>
                        </w:r>
                      </w:p>
                    </w:tc>
                    <w:tc>
                      <w:tcPr>
                        <w:tcW w:w="544" w:type="dxa"/>
                        <w:tcBorders>
                          <w:top w:val="single" w:sz="4" w:space="0" w:color="000000"/>
                          <w:left w:val="single" w:sz="4" w:space="0" w:color="000000"/>
                          <w:bottom w:val="nil" w:sz="6" w:space="0" w:color="auto"/>
                          <w:right w:val="single" w:sz="4" w:space="0" w:color="000000"/>
                        </w:tcBorders>
                        <w:shd w:val="clear" w:color="auto" w:fill="D2D2D2"/>
                      </w:tcPr>
                      <w:p>
                        <w:pPr/>
                      </w:p>
                    </w:tc>
                    <w:tc>
                      <w:tcPr>
                        <w:tcW w:w="5611" w:type="dxa"/>
                        <w:vMerge w:val="restart"/>
                        <w:tcBorders>
                          <w:top w:val="single" w:sz="4" w:space="0" w:color="000000"/>
                          <w:left w:val="single" w:sz="9" w:space="0" w:color="D2D2D2"/>
                          <w:right w:val="single" w:sz="4" w:space="0" w:color="000000"/>
                        </w:tcBorders>
                      </w:tcPr>
                      <w:p>
                        <w:pPr>
                          <w:pStyle w:val="TableParagraph"/>
                          <w:spacing w:line="316" w:lineRule="auto" w:before="49"/>
                          <w:ind w:left="28" w:right="18"/>
                          <w:jc w:val="left"/>
                          <w:rPr>
                            <w:rFonts w:ascii="宋体" w:hAnsi="宋体" w:cs="宋体" w:eastAsia="宋体" w:hint="default"/>
                            <w:sz w:val="18"/>
                            <w:szCs w:val="18"/>
                          </w:rPr>
                        </w:pPr>
                        <w:r>
                          <w:rPr>
                            <w:rFonts w:ascii="宋体" w:hAnsi="宋体" w:cs="宋体" w:eastAsia="宋体" w:hint="default"/>
                            <w:spacing w:val="-2"/>
                            <w:sz w:val="18"/>
                            <w:szCs w:val="18"/>
                          </w:rPr>
                          <w:t>指装载在车辆上的电子标签通过无线射频等识别技术，实现在信息网络</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2"/>
                            <w:sz w:val="18"/>
                            <w:szCs w:val="18"/>
                          </w:rPr>
                          <w:t>平台上对所有车辆的属性信息和静、动信息进行提取和有效利用，并根</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据不同的功能需求对所有车辆的运行状态进行有效的监管和提供综合 信息服务。</w:t>
                        </w:r>
                      </w:p>
                    </w:tc>
                  </w:tr>
                  <w:tr>
                    <w:trPr>
                      <w:trHeight w:val="391" w:hRule="exact"/>
                    </w:trPr>
                    <w:tc>
                      <w:tcPr>
                        <w:tcW w:w="3416" w:type="dxa"/>
                        <w:vMerge/>
                        <w:tcBorders>
                          <w:left w:val="single" w:sz="4" w:space="0" w:color="000000"/>
                          <w:right w:val="single" w:sz="10" w:space="0" w:color="D2D2D2"/>
                        </w:tcBorders>
                      </w:tcPr>
                      <w:p>
                        <w:pPr/>
                      </w:p>
                    </w:tc>
                    <w:tc>
                      <w:tcPr>
                        <w:tcW w:w="54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77" w:right="0"/>
                          <w:jc w:val="left"/>
                          <w:rPr>
                            <w:rFonts w:ascii="宋体" w:hAnsi="宋体" w:cs="宋体" w:eastAsia="宋体" w:hint="default"/>
                            <w:sz w:val="18"/>
                            <w:szCs w:val="18"/>
                          </w:rPr>
                        </w:pPr>
                        <w:r>
                          <w:rPr>
                            <w:rFonts w:ascii="宋体" w:hAnsi="宋体" w:cs="宋体" w:eastAsia="宋体" w:hint="default"/>
                            <w:sz w:val="18"/>
                            <w:szCs w:val="18"/>
                          </w:rPr>
                          <w:t>指</w:t>
                        </w:r>
                      </w:p>
                    </w:tc>
                    <w:tc>
                      <w:tcPr>
                        <w:tcW w:w="5611" w:type="dxa"/>
                        <w:vMerge/>
                        <w:tcBorders>
                          <w:left w:val="single" w:sz="9" w:space="0" w:color="D2D2D2"/>
                          <w:right w:val="single" w:sz="4" w:space="0" w:color="000000"/>
                        </w:tcBorders>
                      </w:tcPr>
                      <w:p>
                        <w:pPr/>
                      </w:p>
                    </w:tc>
                  </w:tr>
                  <w:tr>
                    <w:trPr>
                      <w:trHeight w:val="473" w:hRule="exact"/>
                    </w:trPr>
                    <w:tc>
                      <w:tcPr>
                        <w:tcW w:w="3416" w:type="dxa"/>
                        <w:vMerge/>
                        <w:tcBorders>
                          <w:left w:val="single" w:sz="4" w:space="0" w:color="000000"/>
                          <w:bottom w:val="single" w:sz="4" w:space="0" w:color="000000"/>
                          <w:right w:val="single" w:sz="10" w:space="0" w:color="D2D2D2"/>
                        </w:tcBorders>
                      </w:tcPr>
                      <w:p>
                        <w:pPr/>
                      </w:p>
                    </w:tc>
                    <w:tc>
                      <w:tcPr>
                        <w:tcW w:w="544" w:type="dxa"/>
                        <w:tcBorders>
                          <w:top w:val="nil" w:sz="6" w:space="0" w:color="auto"/>
                          <w:left w:val="single" w:sz="4" w:space="0" w:color="000000"/>
                          <w:bottom w:val="single" w:sz="4" w:space="0" w:color="000000"/>
                          <w:right w:val="single" w:sz="4" w:space="0" w:color="000000"/>
                        </w:tcBorders>
                        <w:shd w:val="clear" w:color="auto" w:fill="D2D2D2"/>
                      </w:tcPr>
                      <w:p>
                        <w:pPr/>
                      </w:p>
                    </w:tc>
                    <w:tc>
                      <w:tcPr>
                        <w:tcW w:w="5611" w:type="dxa"/>
                        <w:vMerge/>
                        <w:tcBorders>
                          <w:left w:val="single" w:sz="9" w:space="0" w:color="D2D2D2"/>
                          <w:bottom w:val="single" w:sz="4" w:space="0" w:color="000000"/>
                          <w:right w:val="single" w:sz="4" w:space="0" w:color="000000"/>
                        </w:tcBorders>
                      </w:tcPr>
                      <w:p>
                        <w:pPr/>
                      </w:p>
                    </w:tc>
                  </w:tr>
                  <w:tr>
                    <w:trPr>
                      <w:trHeight w:val="403" w:hRule="exact"/>
                    </w:trPr>
                    <w:tc>
                      <w:tcPr>
                        <w:tcW w:w="3416"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地图编译</w:t>
                        </w:r>
                      </w:p>
                    </w:tc>
                    <w:tc>
                      <w:tcPr>
                        <w:tcW w:w="5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77" w:right="0"/>
                          <w:jc w:val="left"/>
                          <w:rPr>
                            <w:rFonts w:ascii="宋体" w:hAnsi="宋体" w:cs="宋体" w:eastAsia="宋体" w:hint="default"/>
                            <w:sz w:val="18"/>
                            <w:szCs w:val="18"/>
                          </w:rPr>
                        </w:pPr>
                        <w:r>
                          <w:rPr>
                            <w:rFonts w:ascii="宋体" w:hAnsi="宋体" w:cs="宋体" w:eastAsia="宋体" w:hint="default"/>
                            <w:sz w:val="18"/>
                            <w:szCs w:val="18"/>
                          </w:rPr>
                          <w:t>指</w:t>
                        </w:r>
                      </w:p>
                    </w:tc>
                    <w:tc>
                      <w:tcPr>
                        <w:tcW w:w="561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指将电子地图由一般数据库格式转换成物理格式的过程。</w:t>
                        </w:r>
                      </w:p>
                    </w:tc>
                  </w:tr>
                  <w:tr>
                    <w:trPr>
                      <w:trHeight w:val="401" w:hRule="exact"/>
                    </w:trPr>
                    <w:tc>
                      <w:tcPr>
                        <w:tcW w:w="3416"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NDS</w:t>
                        </w:r>
                      </w:p>
                    </w:tc>
                    <w:tc>
                      <w:tcPr>
                        <w:tcW w:w="5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77" w:right="0"/>
                          <w:jc w:val="left"/>
                          <w:rPr>
                            <w:rFonts w:ascii="宋体" w:hAnsi="宋体" w:cs="宋体" w:eastAsia="宋体" w:hint="default"/>
                            <w:sz w:val="18"/>
                            <w:szCs w:val="18"/>
                          </w:rPr>
                        </w:pPr>
                        <w:r>
                          <w:rPr>
                            <w:rFonts w:ascii="宋体" w:hAnsi="宋体" w:cs="宋体" w:eastAsia="宋体" w:hint="default"/>
                            <w:sz w:val="18"/>
                            <w:szCs w:val="18"/>
                          </w:rPr>
                          <w:t>指</w:t>
                        </w:r>
                      </w:p>
                    </w:tc>
                    <w:tc>
                      <w:tcPr>
                        <w:tcW w:w="561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Navigation Data Standard</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的简称，电子地图导航数据标准。</w:t>
                        </w:r>
                      </w:p>
                    </w:tc>
                  </w:tr>
                  <w:tr>
                    <w:trPr>
                      <w:trHeight w:val="161" w:hRule="exact"/>
                    </w:trPr>
                    <w:tc>
                      <w:tcPr>
                        <w:tcW w:w="3416" w:type="dxa"/>
                        <w:vMerge w:val="restart"/>
                        <w:tcBorders>
                          <w:top w:val="single" w:sz="4" w:space="0" w:color="000000"/>
                          <w:left w:val="single" w:sz="4" w:space="0" w:color="000000"/>
                          <w:right w:val="single" w:sz="10" w:space="0" w:color="D2D2D2"/>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在线服务</w:t>
                        </w:r>
                      </w:p>
                    </w:tc>
                    <w:tc>
                      <w:tcPr>
                        <w:tcW w:w="544" w:type="dxa"/>
                        <w:tcBorders>
                          <w:top w:val="single" w:sz="4" w:space="0" w:color="000000"/>
                          <w:left w:val="single" w:sz="4" w:space="0" w:color="000000"/>
                          <w:bottom w:val="nil" w:sz="6" w:space="0" w:color="auto"/>
                          <w:right w:val="single" w:sz="4" w:space="0" w:color="000000"/>
                        </w:tcBorders>
                        <w:shd w:val="clear" w:color="auto" w:fill="D2D2D2"/>
                      </w:tcPr>
                      <w:p>
                        <w:pPr/>
                      </w:p>
                    </w:tc>
                    <w:tc>
                      <w:tcPr>
                        <w:tcW w:w="5611" w:type="dxa"/>
                        <w:vMerge w:val="restart"/>
                        <w:tcBorders>
                          <w:top w:val="single" w:sz="4" w:space="0" w:color="000000"/>
                          <w:left w:val="single" w:sz="9" w:space="0" w:color="D2D2D2"/>
                          <w:right w:val="single" w:sz="4" w:space="0" w:color="000000"/>
                        </w:tcBorders>
                      </w:tcPr>
                      <w:p>
                        <w:pPr>
                          <w:pStyle w:val="TableParagraph"/>
                          <w:spacing w:line="316" w:lineRule="auto" w:before="49"/>
                          <w:ind w:left="28" w:right="20"/>
                          <w:jc w:val="left"/>
                          <w:rPr>
                            <w:rFonts w:ascii="宋体" w:hAnsi="宋体" w:cs="宋体" w:eastAsia="宋体" w:hint="default"/>
                            <w:sz w:val="18"/>
                            <w:szCs w:val="18"/>
                          </w:rPr>
                        </w:pPr>
                        <w:r>
                          <w:rPr>
                            <w:rFonts w:ascii="宋体" w:hAnsi="宋体" w:cs="宋体" w:eastAsia="宋体" w:hint="default"/>
                            <w:spacing w:val="-2"/>
                            <w:sz w:val="18"/>
                            <w:szCs w:val="18"/>
                          </w:rPr>
                          <w:t>是指利用互联网技术，向用户提供线上导航电子地图及动态交通信息等</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服务的方式。</w:t>
                        </w:r>
                      </w:p>
                    </w:tc>
                  </w:tr>
                  <w:tr>
                    <w:trPr>
                      <w:trHeight w:val="394" w:hRule="exact"/>
                    </w:trPr>
                    <w:tc>
                      <w:tcPr>
                        <w:tcW w:w="3416" w:type="dxa"/>
                        <w:vMerge/>
                        <w:tcBorders>
                          <w:left w:val="single" w:sz="4" w:space="0" w:color="000000"/>
                          <w:right w:val="single" w:sz="10" w:space="0" w:color="D2D2D2"/>
                        </w:tcBorders>
                      </w:tcPr>
                      <w:p>
                        <w:pPr/>
                      </w:p>
                    </w:tc>
                    <w:tc>
                      <w:tcPr>
                        <w:tcW w:w="54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77" w:right="0"/>
                          <w:jc w:val="left"/>
                          <w:rPr>
                            <w:rFonts w:ascii="宋体" w:hAnsi="宋体" w:cs="宋体" w:eastAsia="宋体" w:hint="default"/>
                            <w:sz w:val="18"/>
                            <w:szCs w:val="18"/>
                          </w:rPr>
                        </w:pPr>
                        <w:r>
                          <w:rPr>
                            <w:rFonts w:ascii="宋体" w:hAnsi="宋体" w:cs="宋体" w:eastAsia="宋体" w:hint="default"/>
                            <w:sz w:val="18"/>
                            <w:szCs w:val="18"/>
                          </w:rPr>
                          <w:t>指</w:t>
                        </w:r>
                      </w:p>
                    </w:tc>
                    <w:tc>
                      <w:tcPr>
                        <w:tcW w:w="5611" w:type="dxa"/>
                        <w:vMerge/>
                        <w:tcBorders>
                          <w:left w:val="single" w:sz="9" w:space="0" w:color="D2D2D2"/>
                          <w:right w:val="single" w:sz="4" w:space="0" w:color="000000"/>
                        </w:tcBorders>
                      </w:tcPr>
                      <w:p>
                        <w:pPr/>
                      </w:p>
                    </w:tc>
                  </w:tr>
                  <w:tr>
                    <w:trPr>
                      <w:trHeight w:val="161" w:hRule="exact"/>
                    </w:trPr>
                    <w:tc>
                      <w:tcPr>
                        <w:tcW w:w="3416" w:type="dxa"/>
                        <w:vMerge/>
                        <w:tcBorders>
                          <w:left w:val="single" w:sz="4" w:space="0" w:color="000000"/>
                          <w:bottom w:val="single" w:sz="4" w:space="0" w:color="000000"/>
                          <w:right w:val="single" w:sz="10" w:space="0" w:color="D2D2D2"/>
                        </w:tcBorders>
                      </w:tcPr>
                      <w:p>
                        <w:pPr/>
                      </w:p>
                    </w:tc>
                    <w:tc>
                      <w:tcPr>
                        <w:tcW w:w="544" w:type="dxa"/>
                        <w:tcBorders>
                          <w:top w:val="nil" w:sz="6" w:space="0" w:color="auto"/>
                          <w:left w:val="single" w:sz="4" w:space="0" w:color="000000"/>
                          <w:bottom w:val="single" w:sz="4" w:space="0" w:color="000000"/>
                          <w:right w:val="single" w:sz="4" w:space="0" w:color="000000"/>
                        </w:tcBorders>
                        <w:shd w:val="clear" w:color="auto" w:fill="D2D2D2"/>
                      </w:tcPr>
                      <w:p>
                        <w:pPr/>
                      </w:p>
                    </w:tc>
                    <w:tc>
                      <w:tcPr>
                        <w:tcW w:w="5611" w:type="dxa"/>
                        <w:vMerge/>
                        <w:tcBorders>
                          <w:left w:val="single" w:sz="9" w:space="0" w:color="D2D2D2"/>
                          <w:bottom w:val="single" w:sz="4" w:space="0" w:color="000000"/>
                          <w:right w:val="single" w:sz="4" w:space="0" w:color="000000"/>
                        </w:tcBorders>
                      </w:tcPr>
                      <w:p>
                        <w:pPr/>
                      </w:p>
                    </w:tc>
                  </w:tr>
                  <w:tr>
                    <w:trPr>
                      <w:trHeight w:val="401" w:hRule="exact"/>
                    </w:trPr>
                    <w:tc>
                      <w:tcPr>
                        <w:tcW w:w="3416"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行业应用</w:t>
                        </w:r>
                      </w:p>
                    </w:tc>
                    <w:tc>
                      <w:tcPr>
                        <w:tcW w:w="5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77" w:right="0"/>
                          <w:jc w:val="left"/>
                          <w:rPr>
                            <w:rFonts w:ascii="宋体" w:hAnsi="宋体" w:cs="宋体" w:eastAsia="宋体" w:hint="default"/>
                            <w:sz w:val="18"/>
                            <w:szCs w:val="18"/>
                          </w:rPr>
                        </w:pPr>
                        <w:r>
                          <w:rPr>
                            <w:rFonts w:ascii="宋体" w:hAnsi="宋体" w:cs="宋体" w:eastAsia="宋体" w:hint="default"/>
                            <w:sz w:val="18"/>
                            <w:szCs w:val="18"/>
                          </w:rPr>
                          <w:t>指</w:t>
                        </w:r>
                      </w:p>
                    </w:tc>
                    <w:tc>
                      <w:tcPr>
                        <w:tcW w:w="561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指技术、设备、制度等在某个行业内得到广泛使用。</w:t>
                        </w:r>
                      </w:p>
                    </w:tc>
                  </w:tr>
                  <w:tr>
                    <w:trPr>
                      <w:trHeight w:val="629" w:hRule="exact"/>
                    </w:trPr>
                    <w:tc>
                      <w:tcPr>
                        <w:tcW w:w="3416" w:type="dxa"/>
                        <w:vMerge w:val="restart"/>
                        <w:tcBorders>
                          <w:top w:val="single" w:sz="4" w:space="0" w:color="000000"/>
                          <w:left w:val="single" w:sz="4" w:space="0" w:color="000000"/>
                          <w:right w:val="single" w:sz="10"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sz w:val="18"/>
                          </w:rPr>
                          <w:t>ADAS</w:t>
                        </w:r>
                      </w:p>
                    </w:tc>
                    <w:tc>
                      <w:tcPr>
                        <w:tcW w:w="544" w:type="dxa"/>
                        <w:tcBorders>
                          <w:top w:val="single" w:sz="4" w:space="0" w:color="000000"/>
                          <w:left w:val="single" w:sz="4" w:space="0" w:color="000000"/>
                          <w:bottom w:val="nil" w:sz="6" w:space="0" w:color="auto"/>
                          <w:right w:val="single" w:sz="4" w:space="0" w:color="000000"/>
                        </w:tcBorders>
                        <w:shd w:val="clear" w:color="auto" w:fill="D2D2D2"/>
                      </w:tcPr>
                      <w:p>
                        <w:pPr/>
                      </w:p>
                    </w:tc>
                    <w:tc>
                      <w:tcPr>
                        <w:tcW w:w="5611" w:type="dxa"/>
                        <w:vMerge w:val="restart"/>
                        <w:tcBorders>
                          <w:top w:val="single" w:sz="4" w:space="0" w:color="000000"/>
                          <w:left w:val="single" w:sz="9" w:space="0" w:color="D2D2D2"/>
                          <w:right w:val="single" w:sz="4" w:space="0" w:color="000000"/>
                        </w:tcBorders>
                      </w:tcPr>
                      <w:p>
                        <w:pPr>
                          <w:pStyle w:val="TableParagraph"/>
                          <w:spacing w:line="316" w:lineRule="auto" w:before="49"/>
                          <w:ind w:left="28" w:right="18"/>
                          <w:jc w:val="left"/>
                          <w:rPr>
                            <w:rFonts w:ascii="宋体" w:hAnsi="宋体" w:cs="宋体" w:eastAsia="宋体" w:hint="default"/>
                            <w:sz w:val="18"/>
                            <w:szCs w:val="18"/>
                          </w:rPr>
                        </w:pPr>
                        <w:r>
                          <w:rPr>
                            <w:rFonts w:ascii="宋体" w:hAnsi="宋体" w:cs="宋体" w:eastAsia="宋体" w:hint="default"/>
                            <w:spacing w:val="-2"/>
                            <w:sz w:val="18"/>
                            <w:szCs w:val="18"/>
                          </w:rPr>
                          <w:t>即高级驾驶辅助系统，是利用安装在车上的各式各样传感器，在汽车行</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pacing w:val="-5"/>
                            <w:sz w:val="18"/>
                            <w:szCs w:val="18"/>
                          </w:rPr>
                          <w:t>驶过程中随时感应周围的环境，收集数据，进行静态、动态物体的辨识</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pacing w:val="-2"/>
                            <w:sz w:val="18"/>
                            <w:szCs w:val="18"/>
                          </w:rPr>
                          <w:t>侦测与追踪，并结合导航仪地图数据进行系统的运算与分析，从而预先</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让驾驶者察觉到可能发生的危险，有效增加汽车驾驶的舒适性与安全 性。</w:t>
                        </w:r>
                      </w:p>
                    </w:tc>
                  </w:tr>
                  <w:tr>
                    <w:trPr>
                      <w:trHeight w:val="394" w:hRule="exact"/>
                    </w:trPr>
                    <w:tc>
                      <w:tcPr>
                        <w:tcW w:w="3416" w:type="dxa"/>
                        <w:vMerge/>
                        <w:tcBorders>
                          <w:left w:val="single" w:sz="4" w:space="0" w:color="000000"/>
                          <w:right w:val="single" w:sz="10" w:space="0" w:color="D2D2D2"/>
                        </w:tcBorders>
                      </w:tcPr>
                      <w:p>
                        <w:pPr/>
                      </w:p>
                    </w:tc>
                    <w:tc>
                      <w:tcPr>
                        <w:tcW w:w="54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77" w:right="0"/>
                          <w:jc w:val="left"/>
                          <w:rPr>
                            <w:rFonts w:ascii="宋体" w:hAnsi="宋体" w:cs="宋体" w:eastAsia="宋体" w:hint="default"/>
                            <w:sz w:val="18"/>
                            <w:szCs w:val="18"/>
                          </w:rPr>
                        </w:pPr>
                        <w:r>
                          <w:rPr>
                            <w:rFonts w:ascii="宋体" w:hAnsi="宋体" w:cs="宋体" w:eastAsia="宋体" w:hint="default"/>
                            <w:sz w:val="18"/>
                            <w:szCs w:val="18"/>
                          </w:rPr>
                          <w:t>指</w:t>
                        </w:r>
                      </w:p>
                    </w:tc>
                    <w:tc>
                      <w:tcPr>
                        <w:tcW w:w="5611" w:type="dxa"/>
                        <w:vMerge/>
                        <w:tcBorders>
                          <w:left w:val="single" w:sz="9" w:space="0" w:color="D2D2D2"/>
                          <w:right w:val="single" w:sz="4" w:space="0" w:color="000000"/>
                        </w:tcBorders>
                      </w:tcPr>
                      <w:p>
                        <w:pPr/>
                      </w:p>
                    </w:tc>
                  </w:tr>
                  <w:tr>
                    <w:trPr>
                      <w:trHeight w:val="629" w:hRule="exact"/>
                    </w:trPr>
                    <w:tc>
                      <w:tcPr>
                        <w:tcW w:w="3416" w:type="dxa"/>
                        <w:vMerge/>
                        <w:tcBorders>
                          <w:left w:val="single" w:sz="4" w:space="0" w:color="000000"/>
                          <w:bottom w:val="single" w:sz="4" w:space="0" w:color="000000"/>
                          <w:right w:val="single" w:sz="10" w:space="0" w:color="D2D2D2"/>
                        </w:tcBorders>
                      </w:tcPr>
                      <w:p>
                        <w:pPr/>
                      </w:p>
                    </w:tc>
                    <w:tc>
                      <w:tcPr>
                        <w:tcW w:w="544" w:type="dxa"/>
                        <w:tcBorders>
                          <w:top w:val="nil" w:sz="6" w:space="0" w:color="auto"/>
                          <w:left w:val="single" w:sz="4" w:space="0" w:color="000000"/>
                          <w:bottom w:val="single" w:sz="4" w:space="0" w:color="000000"/>
                          <w:right w:val="single" w:sz="4" w:space="0" w:color="000000"/>
                        </w:tcBorders>
                        <w:shd w:val="clear" w:color="auto" w:fill="D2D2D2"/>
                      </w:tcPr>
                      <w:p>
                        <w:pPr/>
                      </w:p>
                    </w:tc>
                    <w:tc>
                      <w:tcPr>
                        <w:tcW w:w="5611" w:type="dxa"/>
                        <w:vMerge/>
                        <w:tcBorders>
                          <w:left w:val="single" w:sz="9" w:space="0" w:color="D2D2D2"/>
                          <w:bottom w:val="single" w:sz="4" w:space="0" w:color="000000"/>
                          <w:right w:val="single" w:sz="4" w:space="0" w:color="000000"/>
                        </w:tcBorders>
                      </w:tcPr>
                      <w:p>
                        <w:pPr/>
                      </w:p>
                    </w:tc>
                  </w:tr>
                </w:tbl>
                <w:p>
                  <w:pPr/>
                </w:p>
              </w:txbxContent>
            </v:textbox>
            <w10:wrap type="none"/>
          </v:shape>
        </w:pict>
      </w: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2"/>
          <w:szCs w:val="22"/>
        </w:rPr>
      </w:pPr>
    </w:p>
    <w:p>
      <w:pPr>
        <w:pStyle w:val="BodyText"/>
        <w:spacing w:line="240" w:lineRule="auto" w:before="44"/>
        <w:ind w:left="0" w:right="1137"/>
        <w:jc w:val="right"/>
      </w:pPr>
      <w:r>
        <w:rPr/>
        <w:t>、</w:t>
      </w:r>
    </w:p>
    <w:p>
      <w:pPr>
        <w:spacing w:after="0" w:line="240" w:lineRule="auto"/>
        <w:jc w:val="right"/>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3404"/>
        <w:gridCol w:w="566"/>
        <w:gridCol w:w="5600"/>
      </w:tblGrid>
      <w:tr>
        <w:trPr>
          <w:trHeight w:val="401" w:hRule="exact"/>
        </w:trPr>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HD</w:t>
            </w:r>
          </w:p>
        </w:tc>
        <w:tc>
          <w:tcPr>
            <w:tcW w:w="5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89" w:right="0"/>
              <w:jc w:val="left"/>
              <w:rPr>
                <w:rFonts w:ascii="宋体" w:hAnsi="宋体" w:cs="宋体" w:eastAsia="宋体" w:hint="default"/>
                <w:sz w:val="18"/>
                <w:szCs w:val="18"/>
              </w:rPr>
            </w:pPr>
            <w:r>
              <w:rPr>
                <w:rFonts w:ascii="宋体" w:hAnsi="宋体" w:cs="宋体" w:eastAsia="宋体" w:hint="default"/>
                <w:sz w:val="18"/>
                <w:szCs w:val="18"/>
              </w:rPr>
              <w:t>指</w:t>
            </w:r>
          </w:p>
        </w:tc>
        <w:tc>
          <w:tcPr>
            <w:tcW w:w="5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High Definition</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的缩写</w:t>
            </w:r>
          </w:p>
        </w:tc>
      </w:tr>
      <w:tr>
        <w:trPr>
          <w:trHeight w:val="403" w:hRule="exact"/>
        </w:trPr>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4" w:right="0"/>
              <w:jc w:val="left"/>
              <w:rPr>
                <w:rFonts w:ascii="Times New Roman" w:hAnsi="Times New Roman" w:cs="Times New Roman" w:eastAsia="Times New Roman" w:hint="default"/>
                <w:sz w:val="18"/>
                <w:szCs w:val="18"/>
              </w:rPr>
            </w:pPr>
            <w:r>
              <w:rPr>
                <w:rFonts w:ascii="Times New Roman"/>
                <w:sz w:val="18"/>
              </w:rPr>
              <w:t>POI</w:t>
            </w:r>
          </w:p>
        </w:tc>
        <w:tc>
          <w:tcPr>
            <w:tcW w:w="5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89" w:right="0"/>
              <w:jc w:val="left"/>
              <w:rPr>
                <w:rFonts w:ascii="宋体" w:hAnsi="宋体" w:cs="宋体" w:eastAsia="宋体" w:hint="default"/>
                <w:sz w:val="18"/>
                <w:szCs w:val="18"/>
              </w:rPr>
            </w:pPr>
            <w:r>
              <w:rPr>
                <w:rFonts w:ascii="宋体" w:hAnsi="宋体" w:cs="宋体" w:eastAsia="宋体" w:hint="default"/>
                <w:sz w:val="18"/>
                <w:szCs w:val="18"/>
              </w:rPr>
              <w:t>指</w:t>
            </w:r>
          </w:p>
        </w:tc>
        <w:tc>
          <w:tcPr>
            <w:tcW w:w="5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Point of Information</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的缩写，信息点</w:t>
            </w:r>
          </w:p>
        </w:tc>
      </w:tr>
      <w:tr>
        <w:trPr>
          <w:trHeight w:val="403" w:hRule="exact"/>
        </w:trPr>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IVI</w:t>
            </w:r>
          </w:p>
        </w:tc>
        <w:tc>
          <w:tcPr>
            <w:tcW w:w="5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89" w:right="0"/>
              <w:jc w:val="left"/>
              <w:rPr>
                <w:rFonts w:ascii="宋体" w:hAnsi="宋体" w:cs="宋体" w:eastAsia="宋体" w:hint="default"/>
                <w:sz w:val="18"/>
                <w:szCs w:val="18"/>
              </w:rPr>
            </w:pPr>
            <w:r>
              <w:rPr>
                <w:rFonts w:ascii="宋体" w:hAnsi="宋体" w:cs="宋体" w:eastAsia="宋体" w:hint="default"/>
                <w:sz w:val="18"/>
                <w:szCs w:val="18"/>
              </w:rPr>
              <w:t>指</w:t>
            </w:r>
          </w:p>
        </w:tc>
        <w:tc>
          <w:tcPr>
            <w:tcW w:w="5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21"/>
                <w:szCs w:val="21"/>
              </w:rPr>
            </w:pPr>
            <w:r>
              <w:rPr>
                <w:rFonts w:ascii="Times New Roman" w:hAnsi="Times New Roman" w:cs="Times New Roman" w:eastAsia="Times New Roman" w:hint="default"/>
                <w:sz w:val="18"/>
                <w:szCs w:val="18"/>
              </w:rPr>
              <w:t>In-Vehicle</w:t>
            </w:r>
            <w:r>
              <w:rPr>
                <w:rFonts w:ascii="Times New Roman" w:hAnsi="Times New Roman" w:cs="Times New Roman" w:eastAsia="Times New Roman" w:hint="default"/>
                <w:spacing w:val="-24"/>
                <w:sz w:val="18"/>
                <w:szCs w:val="18"/>
              </w:rPr>
              <w:t> </w:t>
            </w:r>
            <w:r>
              <w:rPr>
                <w:rFonts w:ascii="Times New Roman" w:hAnsi="Times New Roman" w:cs="Times New Roman" w:eastAsia="Times New Roman" w:hint="default"/>
                <w:sz w:val="18"/>
                <w:szCs w:val="18"/>
              </w:rPr>
              <w:t>Infotainment</w:t>
            </w:r>
            <w:r>
              <w:rPr>
                <w:rFonts w:ascii="宋体" w:hAnsi="宋体" w:cs="宋体" w:eastAsia="宋体" w:hint="default"/>
                <w:sz w:val="18"/>
                <w:szCs w:val="18"/>
              </w:rPr>
              <w:t>的缩写，车载信息娱乐系统</w:t>
            </w:r>
            <w:r>
              <w:rPr>
                <w:rFonts w:ascii="宋体" w:hAnsi="宋体" w:cs="宋体" w:eastAsia="宋体" w:hint="default"/>
                <w:w w:val="100"/>
                <w:sz w:val="21"/>
                <w:szCs w:val="21"/>
              </w:rPr>
              <w:t> </w:t>
            </w:r>
          </w:p>
        </w:tc>
      </w:tr>
    </w:tbl>
    <w:p>
      <w:pPr>
        <w:spacing w:after="0" w:line="240" w:lineRule="auto"/>
        <w:jc w:val="left"/>
        <w:rPr>
          <w:rFonts w:ascii="宋体" w:hAnsi="宋体" w:cs="宋体" w:eastAsia="宋体" w:hint="default"/>
          <w:sz w:val="21"/>
          <w:szCs w:val="21"/>
        </w:rPr>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28"/>
          <w:szCs w:val="28"/>
        </w:rPr>
      </w:pPr>
    </w:p>
    <w:p>
      <w:pPr>
        <w:spacing w:before="0"/>
        <w:ind w:left="53" w:right="1031" w:firstLine="0"/>
        <w:jc w:val="center"/>
        <w:rPr>
          <w:rFonts w:ascii="宋体" w:hAnsi="宋体" w:cs="宋体" w:eastAsia="宋体" w:hint="default"/>
          <w:sz w:val="32"/>
          <w:szCs w:val="32"/>
        </w:rPr>
      </w:pPr>
      <w:r>
        <w:rPr>
          <w:rFonts w:ascii="宋体" w:hAnsi="宋体" w:cs="宋体" w:eastAsia="宋体" w:hint="default"/>
          <w:b/>
          <w:bCs/>
          <w:sz w:val="32"/>
          <w:szCs w:val="32"/>
        </w:rPr>
        <w:t>风险提示</w:t>
      </w:r>
      <w:r>
        <w:rPr>
          <w:rFonts w:ascii="宋体" w:hAnsi="宋体" w:cs="宋体" w:eastAsia="宋体" w:hint="default"/>
          <w:sz w:val="32"/>
          <w:szCs w:val="32"/>
        </w:rPr>
      </w:r>
    </w:p>
    <w:p>
      <w:pPr>
        <w:spacing w:line="240" w:lineRule="auto" w:before="13"/>
        <w:rPr>
          <w:rFonts w:ascii="宋体" w:hAnsi="宋体" w:cs="宋体" w:eastAsia="宋体" w:hint="default"/>
          <w:b/>
          <w:bCs/>
          <w:sz w:val="46"/>
          <w:szCs w:val="46"/>
        </w:rPr>
      </w:pPr>
    </w:p>
    <w:p>
      <w:pPr>
        <w:spacing w:line="408" w:lineRule="auto" w:before="0"/>
        <w:ind w:left="573" w:right="982" w:hanging="421"/>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、市场发展及经营环境不确定性增加的风险</w:t>
      </w:r>
      <w:r>
        <w:rPr>
          <w:rFonts w:ascii="宋体" w:hAnsi="宋体" w:cs="宋体" w:eastAsia="宋体" w:hint="default"/>
          <w:b/>
          <w:bCs/>
          <w:w w:val="99"/>
          <w:sz w:val="21"/>
          <w:szCs w:val="21"/>
        </w:rPr>
        <w:t> </w:t>
      </w:r>
      <w:r>
        <w:rPr>
          <w:rFonts w:ascii="宋体" w:hAnsi="宋体" w:cs="宋体" w:eastAsia="宋体" w:hint="default"/>
          <w:spacing w:val="-7"/>
          <w:sz w:val="21"/>
          <w:szCs w:val="21"/>
        </w:rPr>
        <w:t>国家经济增速下行压力增加，中美贸易关系不稳定，汽车产业产销承受压力，新旧动能转化加速推进，</w:t>
      </w:r>
    </w:p>
    <w:p>
      <w:pPr>
        <w:pStyle w:val="Heading5"/>
        <w:spacing w:line="408" w:lineRule="auto"/>
        <w:ind w:right="982" w:firstLine="0"/>
        <w:jc w:val="left"/>
        <w:rPr>
          <w:rFonts w:ascii="宋体" w:hAnsi="宋体" w:cs="宋体" w:eastAsia="宋体" w:hint="default"/>
        </w:rPr>
      </w:pPr>
      <w:r>
        <w:rPr>
          <w:spacing w:val="-2"/>
        </w:rPr>
        <w:t>能否及时洞察国家宏观经济环境的变化并做出即时响应，将在很大程度上影响公司的未来发展态势。伴随</w:t>
      </w:r>
      <w:r>
        <w:rPr>
          <w:spacing w:val="-42"/>
        </w:rPr>
        <w:t> </w:t>
      </w:r>
      <w:r>
        <w:rPr>
          <w:spacing w:val="-42"/>
        </w:rPr>
      </w:r>
      <w:r>
        <w:rPr>
          <w:spacing w:val="-5"/>
        </w:rPr>
        <w:t>行业壁垒优势日渐减弱，国际巨头领先企业跨行业布局不断加强，国际化的市场冲击和市场竞争日益激烈， </w:t>
      </w:r>
      <w:r>
        <w:rPr>
          <w:spacing w:val="-5"/>
        </w:rPr>
      </w:r>
      <w:r>
        <w:rPr>
          <w:spacing w:val="-2"/>
        </w:rPr>
        <w:t>公司新产品研发及产品化路径是否能够经受市场验证并快速形成竞争优势，以及公司能否快速突破传统商</w:t>
      </w:r>
      <w:r>
        <w:rPr>
          <w:spacing w:val="-43"/>
        </w:rPr>
        <w:t> </w:t>
      </w:r>
      <w:r>
        <w:rPr>
          <w:spacing w:val="-43"/>
        </w:rPr>
      </w:r>
      <w:r>
        <w:rPr/>
        <w:t>业模式禁锢、有效培育极具增长潜力的新兴业务，面临巨大挑战。</w:t>
      </w:r>
      <w:r>
        <w:rPr>
          <w:rFonts w:ascii="宋体" w:hAnsi="宋体" w:cs="宋体" w:eastAsia="宋体" w:hint="default"/>
        </w:rPr>
        <w:t> </w:t>
      </w:r>
    </w:p>
    <w:p>
      <w:pPr>
        <w:pStyle w:val="Heading5"/>
        <w:spacing w:line="408" w:lineRule="auto"/>
        <w:ind w:right="1126"/>
        <w:jc w:val="both"/>
        <w:rPr>
          <w:rFonts w:ascii="宋体" w:hAnsi="宋体" w:cs="宋体" w:eastAsia="宋体" w:hint="default"/>
        </w:rPr>
      </w:pPr>
      <w:r>
        <w:rPr>
          <w:spacing w:val="-2"/>
        </w:rPr>
        <w:t>公司在经营策略上将密切关注市场及国际形势的变化及走向，并积极做出相应改变，以降低市场发展</w:t>
      </w:r>
      <w:r>
        <w:rPr>
          <w:w w:val="100"/>
        </w:rPr>
        <w:t> </w:t>
      </w:r>
      <w:r>
        <w:rPr>
          <w:spacing w:val="-2"/>
        </w:rPr>
        <w:t>和经济环境变化给公司带来的经营风险。同时，公司将继续加大自主研发的投入力度，不断提升自主科研</w:t>
      </w:r>
      <w:r>
        <w:rPr>
          <w:spacing w:val="-44"/>
        </w:rPr>
        <w:t> </w:t>
      </w:r>
      <w:r>
        <w:rPr>
          <w:spacing w:val="-44"/>
        </w:rPr>
      </w:r>
      <w:r>
        <w:rPr>
          <w:spacing w:val="-2"/>
        </w:rPr>
        <w:t>能力和商业化能力。进一步拓展全球化战略布局。加强与欧洲、以色列等不同行业领先区域的产业联系和</w:t>
      </w:r>
      <w:r>
        <w:rPr>
          <w:spacing w:val="-42"/>
        </w:rPr>
        <w:t> </w:t>
      </w:r>
      <w:r>
        <w:rPr>
          <w:spacing w:val="-42"/>
        </w:rPr>
      </w:r>
      <w:r>
        <w:rPr/>
        <w:t>沟通合作。</w:t>
      </w:r>
      <w:r>
        <w:rPr>
          <w:rFonts w:ascii="宋体" w:hAnsi="宋体" w:cs="宋体" w:eastAsia="宋体" w:hint="default"/>
        </w:rPr>
        <w:t> </w:t>
      </w:r>
    </w:p>
    <w:p>
      <w:pPr>
        <w:spacing w:line="408" w:lineRule="auto" w:before="46"/>
        <w:ind w:left="573" w:right="1123" w:hanging="421"/>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、新业务、新产品研发投入变现速度不及预期的风险</w:t>
      </w:r>
      <w:r>
        <w:rPr>
          <w:rFonts w:ascii="宋体" w:hAnsi="宋体" w:cs="宋体" w:eastAsia="宋体" w:hint="default"/>
          <w:b/>
          <w:bCs/>
          <w:w w:val="99"/>
          <w:sz w:val="21"/>
          <w:szCs w:val="21"/>
        </w:rPr>
        <w:t> </w:t>
      </w:r>
      <w:r>
        <w:rPr>
          <w:rFonts w:ascii="宋体" w:hAnsi="宋体" w:cs="宋体" w:eastAsia="宋体" w:hint="default"/>
          <w:spacing w:val="-3"/>
          <w:sz w:val="21"/>
          <w:szCs w:val="21"/>
        </w:rPr>
        <w:t>公司为推进未来发展战略，将继续保持对高精度地图、高精度定位、自动驾驶整体解决方案、</w:t>
      </w:r>
      <w:r>
        <w:rPr>
          <w:rFonts w:ascii="宋体" w:hAnsi="宋体" w:cs="宋体" w:eastAsia="宋体" w:hint="default"/>
          <w:spacing w:val="-3"/>
          <w:sz w:val="21"/>
          <w:szCs w:val="21"/>
        </w:rPr>
        <w:t>TPMS</w:t>
      </w:r>
      <w:r>
        <w:rPr>
          <w:rFonts w:ascii="宋体" w:hAnsi="宋体" w:cs="宋体" w:eastAsia="宋体" w:hint="default"/>
          <w:sz w:val="21"/>
          <w:szCs w:val="21"/>
        </w:rPr>
        <w:t> </w:t>
      </w:r>
      <w:r>
        <w:rPr>
          <w:rFonts w:ascii="宋体" w:hAnsi="宋体" w:cs="宋体" w:eastAsia="宋体" w:hint="default"/>
          <w:sz w:val="21"/>
          <w:szCs w:val="21"/>
        </w:rPr>
        <w:t>芯</w:t>
      </w:r>
    </w:p>
    <w:p>
      <w:pPr>
        <w:pStyle w:val="Heading5"/>
        <w:spacing w:line="408" w:lineRule="auto"/>
        <w:ind w:right="1021" w:firstLine="0"/>
        <w:jc w:val="both"/>
        <w:rPr>
          <w:rFonts w:ascii="宋体" w:hAnsi="宋体" w:cs="宋体" w:eastAsia="宋体" w:hint="default"/>
        </w:rPr>
      </w:pPr>
      <w:r>
        <w:rPr/>
        <w:t>片等车相关领域及业务的投入力度。新产品研发投入大，会相应增加公司经营成本，新产品研发周期长，</w:t>
      </w:r>
      <w:r>
        <w:rPr>
          <w:spacing w:val="-19"/>
        </w:rPr>
        <w:t> </w:t>
      </w:r>
      <w:r>
        <w:rPr>
          <w:spacing w:val="-19"/>
        </w:rPr>
      </w:r>
      <w:r>
        <w:rPr>
          <w:spacing w:val="-5"/>
        </w:rPr>
        <w:t>新业务的经济产出需要一定的市场培育期，甚至会长于预期时间。新业务及产品是否能被市场认可和接受， </w:t>
      </w:r>
      <w:r>
        <w:rPr>
          <w:spacing w:val="-5"/>
        </w:rPr>
      </w:r>
      <w:r>
        <w:rPr/>
        <w:t>面临一定的风险。产业协同及资本合作若不能及时到位，也将影响新业务、新产品的商业化进程。</w:t>
      </w:r>
      <w:r>
        <w:rPr>
          <w:rFonts w:ascii="宋体" w:hAnsi="宋体" w:cs="宋体" w:eastAsia="宋体" w:hint="default"/>
        </w:rPr>
        <w:t> </w:t>
      </w:r>
    </w:p>
    <w:p>
      <w:pPr>
        <w:pStyle w:val="Heading5"/>
        <w:spacing w:line="408" w:lineRule="auto"/>
        <w:ind w:right="982"/>
        <w:jc w:val="left"/>
        <w:rPr>
          <w:rFonts w:ascii="宋体" w:hAnsi="宋体" w:cs="宋体" w:eastAsia="宋体" w:hint="default"/>
        </w:rPr>
      </w:pPr>
      <w:r>
        <w:rPr>
          <w:spacing w:val="-2"/>
        </w:rPr>
        <w:t>公司将通过跟踪新业务市场发展趋势、定期进行新业务研讨、审慎研判新业务投入等措施提高新业务</w:t>
      </w:r>
      <w:r>
        <w:rPr>
          <w:w w:val="100"/>
        </w:rPr>
        <w:t> </w:t>
      </w:r>
      <w:r>
        <w:rPr>
          <w:spacing w:val="-2"/>
        </w:rPr>
        <w:t>开展的预见性。通过在内部建立类似风险投资的项目评估机制，以及加强对早期项目的风险把控，降低由</w:t>
      </w:r>
      <w:r>
        <w:rPr>
          <w:spacing w:val="-44"/>
        </w:rPr>
        <w:t> </w:t>
      </w:r>
      <w:r>
        <w:rPr>
          <w:spacing w:val="-44"/>
        </w:rPr>
      </w:r>
      <w:r>
        <w:rPr>
          <w:spacing w:val="-2"/>
        </w:rPr>
        <w:t>此带来的经营风险。主导建立产业基金，积极探索与外部战略合作者或投资机构风险与收益共担的产业投</w:t>
      </w:r>
      <w:r>
        <w:rPr>
          <w:spacing w:val="-42"/>
        </w:rPr>
        <w:t> </w:t>
      </w:r>
      <w:r>
        <w:rPr>
          <w:spacing w:val="-42"/>
        </w:rPr>
      </w:r>
      <w:r>
        <w:rPr>
          <w:spacing w:val="-2"/>
        </w:rPr>
        <w:t>资和发展模式。在美国硅谷、荷兰、新加坡、日本等地建立分支机构，从全球视角洞察行业发展动态，紧</w:t>
      </w:r>
      <w:r>
        <w:rPr>
          <w:spacing w:val="-45"/>
        </w:rPr>
        <w:t> </w:t>
      </w:r>
      <w:r>
        <w:rPr>
          <w:spacing w:val="-45"/>
        </w:rPr>
      </w:r>
      <w:r>
        <w:rPr>
          <w:spacing w:val="-2"/>
        </w:rPr>
        <w:t>密联系车厂、互联网及行业客户，并与优秀企业建立可持续的战略合作关系。积极参与国家平台建设及国</w:t>
      </w:r>
      <w:r>
        <w:rPr>
          <w:spacing w:val="-43"/>
        </w:rPr>
        <w:t> </w:t>
      </w:r>
      <w:r>
        <w:rPr>
          <w:spacing w:val="-43"/>
        </w:rPr>
      </w:r>
      <w:r>
        <w:rPr>
          <w:spacing w:val="-2"/>
        </w:rPr>
        <w:t>家标准制定，掌握行业发展话语权。通过分拆融资等方式，引进产业优势资源和资金支持，共同助力新产</w:t>
      </w:r>
      <w:r>
        <w:rPr>
          <w:spacing w:val="-50"/>
        </w:rPr>
        <w:t> </w:t>
      </w:r>
      <w:r>
        <w:rPr>
          <w:spacing w:val="-50"/>
        </w:rPr>
      </w:r>
      <w:r>
        <w:rPr/>
        <w:t>品和新业务孵化，同时缓解上市公司资金压力。</w:t>
      </w:r>
      <w:r>
        <w:rPr>
          <w:rFonts w:ascii="宋体" w:hAnsi="宋体" w:cs="宋体" w:eastAsia="宋体" w:hint="default"/>
          <w:w w:val="100"/>
        </w:rPr>
        <w:t> </w:t>
      </w:r>
      <w:r>
        <w:rPr>
          <w:rFonts w:ascii="宋体" w:hAnsi="宋体" w:cs="宋体" w:eastAsia="宋体" w:hint="default"/>
          <w:b/>
          <w:bCs/>
        </w:rPr>
        <w:t>3</w:t>
      </w:r>
      <w:r>
        <w:rPr>
          <w:rFonts w:ascii="宋体" w:hAnsi="宋体" w:cs="宋体" w:eastAsia="宋体" w:hint="default"/>
          <w:b/>
          <w:bCs/>
        </w:rPr>
        <w:t>、优秀人才的选育用留机制不能及时满足公司快速发展需求的风险</w:t>
      </w:r>
      <w:r>
        <w:rPr>
          <w:rFonts w:ascii="宋体" w:hAnsi="宋体" w:cs="宋体" w:eastAsia="宋体" w:hint="default"/>
          <w:b/>
          <w:bCs/>
          <w:w w:val="99"/>
        </w:rPr>
        <w:t> </w:t>
      </w:r>
      <w:r>
        <w:rPr>
          <w:rFonts w:ascii="宋体" w:hAnsi="宋体" w:cs="宋体" w:eastAsia="宋体" w:hint="default"/>
        </w:rPr>
      </w:r>
    </w:p>
    <w:p>
      <w:pPr>
        <w:pStyle w:val="Heading5"/>
        <w:spacing w:line="408" w:lineRule="auto"/>
        <w:ind w:right="982"/>
        <w:jc w:val="left"/>
      </w:pPr>
      <w:r>
        <w:rPr>
          <w:spacing w:val="-2"/>
        </w:rPr>
        <w:t>面对新一轮科技发展浪潮，以及国家对人工智能、高端芯片等新兴产业不断加大扶持力度带来的发展</w:t>
      </w:r>
      <w:r>
        <w:rPr>
          <w:w w:val="100"/>
        </w:rPr>
        <w:t> </w:t>
      </w:r>
      <w:r>
        <w:rPr/>
        <w:t>契机，传统车企、互联网公司及新造车势力等科技企业加速推进智能网联及自动驾驶的战略部署和落地，</w:t>
      </w:r>
      <w:r>
        <w:rPr>
          <w:spacing w:val="-24"/>
        </w:rPr>
        <w:t> </w:t>
      </w:r>
      <w:r>
        <w:rPr>
          <w:spacing w:val="-24"/>
        </w:rPr>
      </w:r>
      <w:r>
        <w:rPr>
          <w:spacing w:val="-2"/>
        </w:rPr>
        <w:t>“人才”正在超过“资本”成为新一轮产业资源争夺的热点。公司关注的面向未来的高精度地图、高精度</w:t>
      </w:r>
      <w:r>
        <w:rPr>
          <w:spacing w:val="-43"/>
        </w:rPr>
        <w:t> </w:t>
      </w:r>
      <w:r>
        <w:rPr>
          <w:spacing w:val="-43"/>
        </w:rPr>
      </w:r>
      <w:r>
        <w:rPr>
          <w:spacing w:val="-2"/>
        </w:rPr>
        <w:t>定位、自动驾驶、人工智能等领域，需要吸引大批掌握核心关键技术及前沿攻关能力的专业研发及技术人</w:t>
      </w:r>
    </w:p>
    <w:p>
      <w:pPr>
        <w:spacing w:after="0" w:line="408" w:lineRule="auto"/>
        <w:jc w:val="left"/>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pStyle w:val="Heading5"/>
        <w:spacing w:line="408" w:lineRule="auto" w:before="176"/>
        <w:ind w:right="982" w:firstLine="0"/>
        <w:jc w:val="left"/>
        <w:rPr>
          <w:rFonts w:ascii="宋体" w:hAnsi="宋体" w:cs="宋体" w:eastAsia="宋体" w:hint="default"/>
        </w:rPr>
      </w:pPr>
      <w:r>
        <w:rPr>
          <w:spacing w:val="-2"/>
        </w:rPr>
        <w:t>才。公司在国际化快速发展的过程中，也亟需大批在产品研发、技术攻关、市场拓展等方面具有国际视野</w:t>
      </w:r>
      <w:r>
        <w:rPr>
          <w:spacing w:val="-47"/>
        </w:rPr>
        <w:t> </w:t>
      </w:r>
      <w:r>
        <w:rPr>
          <w:spacing w:val="-47"/>
        </w:rPr>
      </w:r>
      <w:r>
        <w:rPr/>
        <w:t>的行业顶尖人才。因此，面对激烈的人才竞争，公司在打造吸引人才的发展平台方面面临很大挑战。</w:t>
      </w:r>
      <w:r>
        <w:rPr>
          <w:rFonts w:ascii="宋体" w:hAnsi="宋体" w:cs="宋体" w:eastAsia="宋体" w:hint="default"/>
        </w:rPr>
        <w:t> </w:t>
      </w:r>
    </w:p>
    <w:p>
      <w:pPr>
        <w:pStyle w:val="Heading5"/>
        <w:spacing w:line="408" w:lineRule="auto"/>
        <w:ind w:right="982"/>
        <w:jc w:val="left"/>
        <w:rPr>
          <w:rFonts w:ascii="宋体" w:hAnsi="宋体" w:cs="宋体" w:eastAsia="宋体" w:hint="default"/>
        </w:rPr>
      </w:pPr>
      <w:r>
        <w:rPr>
          <w:spacing w:val="-2"/>
        </w:rPr>
        <w:t>公司将积极拓展国内外人才引进渠道，与行业知名院校及重点学科单位建立人才培养和共建机制。持</w:t>
      </w:r>
      <w:r>
        <w:rPr>
          <w:w w:val="100"/>
        </w:rPr>
        <w:t> </w:t>
      </w:r>
      <w:r>
        <w:rPr>
          <w:spacing w:val="-2"/>
        </w:rPr>
        <w:t>续优化在组织能力和人才选育用留方面的机制建设，提升雇主品牌形象。创新人才激励机制，充分利用资</w:t>
      </w:r>
      <w:r>
        <w:rPr>
          <w:spacing w:val="-44"/>
        </w:rPr>
        <w:t> </w:t>
      </w:r>
      <w:r>
        <w:rPr>
          <w:spacing w:val="-44"/>
        </w:rPr>
      </w:r>
      <w:r>
        <w:rPr/>
        <w:t>本市场的资源加大对创新业务板块的人才激励力度，为高端优秀人才提供更为广阔的事业发展平台。</w:t>
      </w:r>
      <w:r>
        <w:rPr>
          <w:rFonts w:ascii="宋体" w:hAnsi="宋体" w:cs="宋体" w:eastAsia="宋体" w:hint="default"/>
          <w:w w:val="100"/>
        </w:rPr>
        <w:t> </w:t>
      </w:r>
      <w:r>
        <w:rPr>
          <w:rFonts w:ascii="宋体" w:hAnsi="宋体" w:cs="宋体" w:eastAsia="宋体" w:hint="default"/>
          <w:b/>
          <w:bCs/>
        </w:rPr>
        <w:t>4</w:t>
      </w:r>
      <w:r>
        <w:rPr>
          <w:rFonts w:ascii="宋体" w:hAnsi="宋体" w:cs="宋体" w:eastAsia="宋体" w:hint="default"/>
          <w:b/>
          <w:bCs/>
        </w:rPr>
        <w:t>、知识产权被侵犯的风险</w:t>
      </w:r>
      <w:r>
        <w:rPr>
          <w:rFonts w:ascii="宋体" w:hAnsi="宋体" w:cs="宋体" w:eastAsia="宋体" w:hint="default"/>
          <w:b/>
          <w:bCs/>
          <w:w w:val="99"/>
        </w:rPr>
        <w:t> </w:t>
      </w:r>
      <w:r>
        <w:rPr>
          <w:rFonts w:ascii="宋体" w:hAnsi="宋体" w:cs="宋体" w:eastAsia="宋体" w:hint="default"/>
        </w:rPr>
      </w:r>
    </w:p>
    <w:p>
      <w:pPr>
        <w:pStyle w:val="Heading5"/>
        <w:spacing w:line="408" w:lineRule="auto"/>
        <w:ind w:right="1126"/>
        <w:jc w:val="both"/>
        <w:rPr>
          <w:rFonts w:ascii="宋体" w:hAnsi="宋体" w:cs="宋体" w:eastAsia="宋体" w:hint="default"/>
        </w:rPr>
      </w:pPr>
      <w:r>
        <w:rPr>
          <w:spacing w:val="-2"/>
        </w:rPr>
        <w:t>伴随互联网技术的快速发展，低成本获取电子数据资源的渠道和方式更加多样化、便捷化，新型电子</w:t>
      </w:r>
      <w:r>
        <w:rPr>
          <w:w w:val="100"/>
        </w:rPr>
        <w:t> </w:t>
      </w:r>
      <w:r>
        <w:rPr>
          <w:spacing w:val="-2"/>
        </w:rPr>
        <w:t>地图版权侵权案件时有发生，对于公司电子地图业务及软件产品的经济收入造成巨大威胁。公司在自动驾</w:t>
      </w:r>
      <w:r>
        <w:rPr>
          <w:spacing w:val="-43"/>
        </w:rPr>
        <w:t> </w:t>
      </w:r>
      <w:r>
        <w:rPr>
          <w:spacing w:val="-43"/>
        </w:rPr>
      </w:r>
      <w:r>
        <w:rPr>
          <w:spacing w:val="-2"/>
        </w:rPr>
        <w:t>驶、智能网联、新能源汽车等领域不断加大新技术及产品研发力度和对外交流合作，在研发工具及基础协</w:t>
      </w:r>
      <w:r>
        <w:rPr>
          <w:spacing w:val="-43"/>
        </w:rPr>
        <w:t> </w:t>
      </w:r>
      <w:r>
        <w:rPr>
          <w:spacing w:val="-43"/>
        </w:rPr>
      </w:r>
      <w:r>
        <w:rPr>
          <w:spacing w:val="-2"/>
        </w:rPr>
        <w:t>议的调取和使用、研发成果的保护和二次开发利用、掌握核心技术的关键人员的流动和转岗等过程中，将</w:t>
      </w:r>
      <w:r>
        <w:rPr>
          <w:spacing w:val="-44"/>
        </w:rPr>
        <w:t> </w:t>
      </w:r>
      <w:r>
        <w:rPr>
          <w:spacing w:val="-44"/>
        </w:rPr>
      </w:r>
      <w:r>
        <w:rPr/>
        <w:t>面临软件著作权、专利权、商标权、商业秘密等权益未被合理保护及被侵犯的风险。</w:t>
      </w:r>
      <w:r>
        <w:rPr>
          <w:rFonts w:ascii="宋体" w:hAnsi="宋体" w:cs="宋体" w:eastAsia="宋体" w:hint="default"/>
        </w:rPr>
        <w:t> </w:t>
      </w:r>
    </w:p>
    <w:p>
      <w:pPr>
        <w:pStyle w:val="Heading5"/>
        <w:spacing w:line="408" w:lineRule="auto"/>
        <w:ind w:right="1025"/>
        <w:jc w:val="both"/>
        <w:rPr>
          <w:rFonts w:ascii="宋体" w:hAnsi="宋体" w:cs="宋体" w:eastAsia="宋体" w:hint="default"/>
        </w:rPr>
      </w:pPr>
      <w:r>
        <w:rPr>
          <w:spacing w:val="-2"/>
        </w:rPr>
        <w:t>公司将加大知识产权保护力度，针对侵权行为，及时采取法律行动，维护公司合法权益。同时，完善</w:t>
      </w:r>
      <w:r>
        <w:rPr>
          <w:w w:val="100"/>
        </w:rPr>
        <w:t> </w:t>
      </w:r>
      <w:r>
        <w:rPr>
          <w:spacing w:val="-2"/>
        </w:rPr>
        <w:t>公司知识产权战略布局、实施策略及管理流程，将知识权利风险防御及保护机制嵌入运用到技术创新、产</w:t>
      </w:r>
      <w:r>
        <w:rPr>
          <w:spacing w:val="-43"/>
        </w:rPr>
        <w:t> </w:t>
      </w:r>
      <w:r>
        <w:rPr>
          <w:spacing w:val="-43"/>
        </w:rPr>
      </w:r>
      <w:r>
        <w:rPr>
          <w:spacing w:val="-2"/>
          <w:w w:val="100"/>
        </w:rPr>
        <w:t>品创新、组织创新和商业模式创新当中，从源头即建立起有效措施，避免权利被侵害所带来的经济损失。</w:t>
      </w:r>
      <w:r>
        <w:rPr>
          <w:rFonts w:ascii="宋体" w:hAnsi="宋体" w:cs="宋体" w:eastAsia="宋体" w:hint="default"/>
          <w:w w:val="100"/>
        </w:rPr>
        <w:t> </w:t>
      </w:r>
    </w:p>
    <w:p>
      <w:pPr>
        <w:spacing w:after="0" w:line="408" w:lineRule="auto"/>
        <w:jc w:val="both"/>
        <w:rPr>
          <w:rFonts w:ascii="宋体" w:hAnsi="宋体" w:cs="宋体" w:eastAsia="宋体" w:hint="default"/>
        </w:rPr>
        <w:sectPr>
          <w:pgSz w:w="11910" w:h="16840"/>
          <w:pgMar w:header="745" w:footer="979" w:top="1060" w:bottom="1160" w:left="980" w:right="0"/>
        </w:sectPr>
      </w:pPr>
    </w:p>
    <w:p>
      <w:pPr>
        <w:spacing w:line="240" w:lineRule="auto" w:before="0"/>
        <w:rPr>
          <w:rFonts w:ascii="宋体" w:hAnsi="宋体" w:cs="宋体" w:eastAsia="宋体" w:hint="default"/>
          <w:sz w:val="20"/>
          <w:szCs w:val="20"/>
        </w:rPr>
      </w:pPr>
      <w:r>
        <w:rPr/>
        <w:pict>
          <v:group style="position:absolute;margin-left:172.339996pt;margin-top:272.809998pt;width:361.55pt;height:19.6pt;mso-position-horizontal-relative:page;mso-position-vertical-relative:page;z-index:-1325536" coordorigin="3447,5456" coordsize="7231,392">
            <v:shape style="position:absolute;left:3447;top:5456;width:7231;height:392" coordorigin="3447,5456" coordsize="7231,392" path="m3447,5847l10677,5847,10677,5456,3447,5456,3447,5847xe" filled="true" fillcolor="#ffffff" stroked="false">
              <v:path arrowok="t"/>
              <v:fill type="solid"/>
            </v:shape>
            <w10:wrap type="none"/>
          </v:group>
        </w:pic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left="2642" w:right="982"/>
        <w:jc w:val="left"/>
        <w:rPr>
          <w:b w:val="0"/>
          <w:bCs w:val="0"/>
        </w:rPr>
      </w:pPr>
      <w:bookmarkStart w:name="_bookmark1" w:id="2"/>
      <w:bookmarkEnd w:id="2"/>
      <w:r>
        <w:rPr>
          <w:b w:val="0"/>
          <w:bCs w:val="0"/>
        </w:rPr>
      </w:r>
      <w:r>
        <w:rPr/>
        <w:t>第二节</w:t>
      </w:r>
      <w:r>
        <w:rPr>
          <w:spacing w:val="-5"/>
        </w:rPr>
        <w:t> </w:t>
      </w:r>
      <w:r>
        <w:rPr/>
        <w:t>公司简介和主要财务指标</w:t>
      </w:r>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7"/>
          <w:szCs w:val="17"/>
        </w:rPr>
      </w:pPr>
    </w:p>
    <w:p>
      <w:pPr>
        <w:pStyle w:val="Heading2"/>
        <w:spacing w:line="240" w:lineRule="auto" w:before="26"/>
        <w:ind w:right="982"/>
        <w:jc w:val="left"/>
        <w:rPr>
          <w:b w:val="0"/>
          <w:bCs w:val="0"/>
        </w:rPr>
      </w:pPr>
      <w:r>
        <w:rPr/>
        <w:t>一、公司信息</w:t>
      </w:r>
      <w:r>
        <w:rPr>
          <w:b w:val="0"/>
          <w:bCs w:val="0"/>
        </w:rPr>
      </w:r>
    </w:p>
    <w:p>
      <w:pPr>
        <w:spacing w:line="240" w:lineRule="auto" w:before="9"/>
        <w:rPr>
          <w:rFonts w:ascii="宋体" w:hAnsi="宋体" w:cs="宋体" w:eastAsia="宋体" w:hint="default"/>
          <w:b/>
          <w:bCs/>
          <w:sz w:val="25"/>
          <w:szCs w:val="25"/>
        </w:rPr>
      </w:pPr>
    </w:p>
    <w:tbl>
      <w:tblPr>
        <w:tblW w:w="0" w:type="auto"/>
        <w:jc w:val="left"/>
        <w:tblInd w:w="160" w:type="dxa"/>
        <w:tblLayout w:type="fixed"/>
        <w:tblCellMar>
          <w:top w:w="0" w:type="dxa"/>
          <w:left w:w="0" w:type="dxa"/>
          <w:bottom w:w="0" w:type="dxa"/>
          <w:right w:w="0" w:type="dxa"/>
        </w:tblCellMar>
        <w:tblLook w:val="01E0"/>
      </w:tblPr>
      <w:tblGrid>
        <w:gridCol w:w="2261"/>
        <w:gridCol w:w="2977"/>
        <w:gridCol w:w="2133"/>
        <w:gridCol w:w="2188"/>
      </w:tblGrid>
      <w:tr>
        <w:trPr>
          <w:trHeight w:val="403" w:hRule="exact"/>
        </w:trPr>
        <w:tc>
          <w:tcPr>
            <w:tcW w:w="22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股票简称</w:t>
            </w:r>
          </w:p>
        </w:tc>
        <w:tc>
          <w:tcPr>
            <w:tcW w:w="2977" w:type="dxa"/>
            <w:tcBorders>
              <w:top w:val="single" w:sz="4" w:space="0" w:color="000000"/>
              <w:left w:val="single" w:sz="10" w:space="0" w:color="D2D2D2"/>
              <w:bottom w:val="single" w:sz="4" w:space="0" w:color="000000"/>
              <w:right w:val="single" w:sz="13" w:space="0" w:color="D2D2D2"/>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四维图新</w:t>
            </w:r>
          </w:p>
        </w:tc>
        <w:tc>
          <w:tcPr>
            <w:tcW w:w="21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1" w:right="0"/>
              <w:jc w:val="left"/>
              <w:rPr>
                <w:rFonts w:ascii="宋体" w:hAnsi="宋体" w:cs="宋体" w:eastAsia="宋体" w:hint="default"/>
                <w:sz w:val="18"/>
                <w:szCs w:val="18"/>
              </w:rPr>
            </w:pPr>
            <w:r>
              <w:rPr>
                <w:rFonts w:ascii="宋体" w:hAnsi="宋体" w:cs="宋体" w:eastAsia="宋体" w:hint="default"/>
                <w:sz w:val="18"/>
                <w:szCs w:val="18"/>
              </w:rPr>
              <w:t>股票代码</w:t>
            </w:r>
          </w:p>
        </w:tc>
        <w:tc>
          <w:tcPr>
            <w:tcW w:w="218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29" w:right="0"/>
              <w:jc w:val="left"/>
              <w:rPr>
                <w:rFonts w:ascii="Times New Roman" w:hAnsi="Times New Roman" w:cs="Times New Roman" w:eastAsia="Times New Roman" w:hint="default"/>
                <w:sz w:val="18"/>
                <w:szCs w:val="18"/>
              </w:rPr>
            </w:pPr>
            <w:r>
              <w:rPr>
                <w:rFonts w:ascii="Times New Roman"/>
                <w:sz w:val="18"/>
              </w:rPr>
              <w:t>002405</w:t>
            </w:r>
          </w:p>
        </w:tc>
      </w:tr>
      <w:tr>
        <w:trPr>
          <w:trHeight w:val="401" w:hRule="exact"/>
        </w:trPr>
        <w:tc>
          <w:tcPr>
            <w:tcW w:w="22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股票上市证券交易所</w:t>
            </w:r>
          </w:p>
        </w:tc>
        <w:tc>
          <w:tcPr>
            <w:tcW w:w="7298"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5" w:right="0"/>
              <w:jc w:val="left"/>
              <w:rPr>
                <w:rFonts w:ascii="宋体" w:hAnsi="宋体" w:cs="宋体" w:eastAsia="宋体" w:hint="default"/>
                <w:sz w:val="18"/>
                <w:szCs w:val="18"/>
              </w:rPr>
            </w:pPr>
            <w:r>
              <w:rPr>
                <w:rFonts w:ascii="宋体" w:hAnsi="宋体" w:cs="宋体" w:eastAsia="宋体" w:hint="default"/>
                <w:sz w:val="18"/>
                <w:szCs w:val="18"/>
              </w:rPr>
              <w:t>深圳证券交易所</w:t>
            </w:r>
          </w:p>
        </w:tc>
      </w:tr>
      <w:tr>
        <w:trPr>
          <w:trHeight w:val="403" w:hRule="exact"/>
        </w:trPr>
        <w:tc>
          <w:tcPr>
            <w:tcW w:w="22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公司的中文名称</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北京四维图新科技股份有限公司</w:t>
            </w:r>
          </w:p>
        </w:tc>
      </w:tr>
      <w:tr>
        <w:trPr>
          <w:trHeight w:val="401" w:hRule="exact"/>
        </w:trPr>
        <w:tc>
          <w:tcPr>
            <w:tcW w:w="22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公司的中文简称</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四维图新</w:t>
            </w:r>
          </w:p>
        </w:tc>
      </w:tr>
      <w:tr>
        <w:trPr>
          <w:trHeight w:val="404" w:hRule="exact"/>
        </w:trPr>
        <w:tc>
          <w:tcPr>
            <w:tcW w:w="22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公司的外文名称（如有）</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28" w:right="0"/>
              <w:jc w:val="left"/>
              <w:rPr>
                <w:rFonts w:ascii="Times New Roman" w:hAnsi="Times New Roman" w:cs="Times New Roman" w:eastAsia="Times New Roman" w:hint="default"/>
                <w:sz w:val="18"/>
                <w:szCs w:val="18"/>
              </w:rPr>
            </w:pPr>
            <w:r>
              <w:rPr>
                <w:rFonts w:ascii="Times New Roman"/>
                <w:sz w:val="18"/>
              </w:rPr>
              <w:t>NavInfo Co.,</w:t>
            </w:r>
            <w:r>
              <w:rPr>
                <w:rFonts w:ascii="Times New Roman"/>
                <w:spacing w:val="-6"/>
                <w:sz w:val="18"/>
              </w:rPr>
              <w:t> </w:t>
            </w:r>
            <w:r>
              <w:rPr>
                <w:rFonts w:ascii="Times New Roman"/>
                <w:sz w:val="18"/>
              </w:rPr>
              <w:t>Ltd.</w:t>
            </w:r>
          </w:p>
        </w:tc>
      </w:tr>
      <w:tr>
        <w:trPr>
          <w:trHeight w:val="401" w:hRule="exact"/>
        </w:trPr>
        <w:tc>
          <w:tcPr>
            <w:tcW w:w="2261" w:type="dxa"/>
            <w:tcBorders>
              <w:top w:val="single" w:sz="4" w:space="0" w:color="000000"/>
              <w:left w:val="single" w:sz="4" w:space="0" w:color="000000"/>
              <w:bottom w:val="single" w:sz="4" w:space="0" w:color="000000"/>
              <w:right w:val="single" w:sz="13" w:space="0" w:color="FFFFFF"/>
            </w:tcBorders>
            <w:shd w:val="clear" w:color="auto" w:fill="D2D2D2"/>
          </w:tcPr>
          <w:p>
            <w:pPr>
              <w:pStyle w:val="TableParagraph"/>
              <w:spacing w:line="240" w:lineRule="auto" w:before="49"/>
              <w:ind w:left="12" w:right="-58"/>
              <w:jc w:val="left"/>
              <w:rPr>
                <w:rFonts w:ascii="宋体" w:hAnsi="宋体" w:cs="宋体" w:eastAsia="宋体" w:hint="default"/>
                <w:sz w:val="18"/>
                <w:szCs w:val="18"/>
              </w:rPr>
            </w:pPr>
            <w:r>
              <w:rPr>
                <w:rFonts w:ascii="宋体" w:hAnsi="宋体" w:cs="宋体" w:eastAsia="宋体" w:hint="default"/>
                <w:spacing w:val="-5"/>
                <w:sz w:val="18"/>
                <w:szCs w:val="18"/>
              </w:rPr>
              <w:t>公司的外文名称缩写（如有）</w:t>
            </w:r>
            <w:r>
              <w:rPr>
                <w:rFonts w:ascii="宋体" w:hAnsi="宋体" w:cs="宋体" w:eastAsia="宋体" w:hint="default"/>
                <w:sz w:val="18"/>
                <w:szCs w:val="18"/>
              </w:rPr>
            </w:r>
          </w:p>
        </w:tc>
        <w:tc>
          <w:tcPr>
            <w:tcW w:w="2977" w:type="dxa"/>
            <w:tcBorders>
              <w:top w:val="single" w:sz="4" w:space="0" w:color="000000"/>
              <w:left w:val="single" w:sz="23" w:space="0" w:color="FFFFFF"/>
              <w:bottom w:val="single" w:sz="4" w:space="0" w:color="000000"/>
              <w:right w:val="nil" w:sz="6" w:space="0" w:color="auto"/>
            </w:tcBorders>
          </w:tcPr>
          <w:p>
            <w:pPr>
              <w:pStyle w:val="TableParagraph"/>
              <w:spacing w:line="240" w:lineRule="auto" w:before="91"/>
              <w:ind w:left="11" w:right="0"/>
              <w:jc w:val="left"/>
              <w:rPr>
                <w:rFonts w:ascii="Times New Roman" w:hAnsi="Times New Roman" w:cs="Times New Roman" w:eastAsia="Times New Roman" w:hint="default"/>
                <w:sz w:val="18"/>
                <w:szCs w:val="18"/>
              </w:rPr>
            </w:pPr>
            <w:r>
              <w:rPr>
                <w:rFonts w:ascii="Times New Roman"/>
                <w:sz w:val="18"/>
              </w:rPr>
              <w:t>NavInfo</w:t>
            </w:r>
          </w:p>
        </w:tc>
        <w:tc>
          <w:tcPr>
            <w:tcW w:w="2133" w:type="dxa"/>
            <w:tcBorders>
              <w:top w:val="single" w:sz="4" w:space="0" w:color="000000"/>
              <w:left w:val="nil" w:sz="6" w:space="0" w:color="auto"/>
              <w:bottom w:val="single" w:sz="4" w:space="0" w:color="000000"/>
              <w:right w:val="nil" w:sz="6" w:space="0" w:color="auto"/>
            </w:tcBorders>
          </w:tcPr>
          <w:p>
            <w:pPr/>
          </w:p>
        </w:tc>
        <w:tc>
          <w:tcPr>
            <w:tcW w:w="2188" w:type="dxa"/>
            <w:tcBorders>
              <w:top w:val="single" w:sz="4" w:space="0" w:color="000000"/>
              <w:left w:val="nil" w:sz="6" w:space="0" w:color="auto"/>
              <w:bottom w:val="single" w:sz="4" w:space="0" w:color="000000"/>
              <w:right w:val="single" w:sz="4" w:space="0" w:color="000000"/>
            </w:tcBorders>
          </w:tcPr>
          <w:p>
            <w:pPr/>
          </w:p>
        </w:tc>
      </w:tr>
      <w:tr>
        <w:trPr>
          <w:trHeight w:val="403" w:hRule="exact"/>
        </w:trPr>
        <w:tc>
          <w:tcPr>
            <w:tcW w:w="22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公司的法定代表人</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吴劲风</w:t>
            </w:r>
          </w:p>
        </w:tc>
      </w:tr>
      <w:tr>
        <w:trPr>
          <w:trHeight w:val="401" w:hRule="exact"/>
        </w:trPr>
        <w:tc>
          <w:tcPr>
            <w:tcW w:w="22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注册地址</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北京市海淀区学院路</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7 </w:t>
            </w:r>
            <w:r>
              <w:rPr>
                <w:rFonts w:ascii="宋体" w:hAnsi="宋体" w:cs="宋体" w:eastAsia="宋体" w:hint="default"/>
                <w:sz w:val="18"/>
                <w:szCs w:val="18"/>
              </w:rPr>
              <w:t>号弘彧大厦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层</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1002A</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室</w:t>
            </w:r>
          </w:p>
        </w:tc>
      </w:tr>
      <w:tr>
        <w:trPr>
          <w:trHeight w:val="403" w:hRule="exact"/>
        </w:trPr>
        <w:tc>
          <w:tcPr>
            <w:tcW w:w="22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注册地址的邮政编码</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28" w:right="0"/>
              <w:jc w:val="left"/>
              <w:rPr>
                <w:rFonts w:ascii="Times New Roman" w:hAnsi="Times New Roman" w:cs="Times New Roman" w:eastAsia="Times New Roman" w:hint="default"/>
                <w:sz w:val="18"/>
                <w:szCs w:val="18"/>
              </w:rPr>
            </w:pPr>
            <w:r>
              <w:rPr>
                <w:rFonts w:ascii="Times New Roman"/>
                <w:sz w:val="18"/>
              </w:rPr>
              <w:t>100083</w:t>
            </w:r>
          </w:p>
        </w:tc>
      </w:tr>
      <w:tr>
        <w:trPr>
          <w:trHeight w:val="161" w:hRule="exact"/>
        </w:trPr>
        <w:tc>
          <w:tcPr>
            <w:tcW w:w="2261" w:type="dxa"/>
            <w:tcBorders>
              <w:top w:val="single" w:sz="4" w:space="0" w:color="000000"/>
              <w:left w:val="single" w:sz="4" w:space="0" w:color="000000"/>
              <w:bottom w:val="nil" w:sz="6" w:space="0" w:color="auto"/>
              <w:right w:val="single" w:sz="4" w:space="0" w:color="000000"/>
            </w:tcBorders>
            <w:shd w:val="clear" w:color="auto" w:fill="D2D2D2"/>
          </w:tcPr>
          <w:p>
            <w:pPr/>
          </w:p>
        </w:tc>
        <w:tc>
          <w:tcPr>
            <w:tcW w:w="7298" w:type="dxa"/>
            <w:gridSpan w:val="3"/>
            <w:vMerge w:val="restart"/>
            <w:tcBorders>
              <w:top w:val="single" w:sz="4" w:space="0" w:color="000000"/>
              <w:left w:val="single" w:sz="10" w:space="0" w:color="D2D2D2"/>
              <w:right w:val="single" w:sz="4" w:space="0" w:color="000000"/>
            </w:tcBorders>
          </w:tcPr>
          <w:p>
            <w:pPr>
              <w:pStyle w:val="TableParagraph"/>
              <w:spacing w:line="297" w:lineRule="auto" w:before="49"/>
              <w:ind w:left="28" w:right="178"/>
              <w:jc w:val="left"/>
              <w:rPr>
                <w:rFonts w:ascii="宋体" w:hAnsi="宋体" w:cs="宋体" w:eastAsia="宋体" w:hint="default"/>
                <w:sz w:val="18"/>
                <w:szCs w:val="18"/>
              </w:rPr>
            </w:pPr>
            <w:r>
              <w:rPr>
                <w:rFonts w:ascii="宋体" w:hAnsi="宋体" w:cs="宋体" w:eastAsia="宋体" w:hint="default"/>
                <w:sz w:val="18"/>
                <w:szCs w:val="18"/>
              </w:rPr>
              <w:t>北京市海淀区永丰路与北清路交汇处东南角四维图新大厦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北京市海淀区丰豪东路四维图 新大厦</w:t>
            </w:r>
          </w:p>
        </w:tc>
      </w:tr>
      <w:tr>
        <w:trPr>
          <w:trHeight w:val="391" w:hRule="exact"/>
        </w:trPr>
        <w:tc>
          <w:tcPr>
            <w:tcW w:w="226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办公地址</w:t>
            </w:r>
          </w:p>
        </w:tc>
        <w:tc>
          <w:tcPr>
            <w:tcW w:w="7298" w:type="dxa"/>
            <w:gridSpan w:val="3"/>
            <w:vMerge/>
            <w:tcBorders>
              <w:left w:val="single" w:sz="10" w:space="0" w:color="D2D2D2"/>
              <w:right w:val="single" w:sz="4" w:space="0" w:color="000000"/>
            </w:tcBorders>
          </w:tcPr>
          <w:p>
            <w:pPr/>
          </w:p>
        </w:tc>
      </w:tr>
      <w:tr>
        <w:trPr>
          <w:trHeight w:val="161" w:hRule="exact"/>
        </w:trPr>
        <w:tc>
          <w:tcPr>
            <w:tcW w:w="2261" w:type="dxa"/>
            <w:tcBorders>
              <w:top w:val="nil" w:sz="6" w:space="0" w:color="auto"/>
              <w:left w:val="single" w:sz="4" w:space="0" w:color="000000"/>
              <w:bottom w:val="single" w:sz="4" w:space="0" w:color="000000"/>
              <w:right w:val="single" w:sz="4" w:space="0" w:color="000000"/>
            </w:tcBorders>
            <w:shd w:val="clear" w:color="auto" w:fill="D2D2D2"/>
          </w:tcPr>
          <w:p>
            <w:pPr/>
          </w:p>
        </w:tc>
        <w:tc>
          <w:tcPr>
            <w:tcW w:w="7298" w:type="dxa"/>
            <w:gridSpan w:val="3"/>
            <w:vMerge/>
            <w:tcBorders>
              <w:left w:val="single" w:sz="10" w:space="0" w:color="D2D2D2"/>
              <w:bottom w:val="single" w:sz="4" w:space="0" w:color="000000"/>
              <w:right w:val="single" w:sz="4" w:space="0" w:color="000000"/>
            </w:tcBorders>
          </w:tcPr>
          <w:p>
            <w:pPr/>
          </w:p>
        </w:tc>
      </w:tr>
      <w:tr>
        <w:trPr>
          <w:trHeight w:val="403" w:hRule="exact"/>
        </w:trPr>
        <w:tc>
          <w:tcPr>
            <w:tcW w:w="22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办公地址的邮政编码</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28" w:right="0"/>
              <w:jc w:val="left"/>
              <w:rPr>
                <w:rFonts w:ascii="Times New Roman" w:hAnsi="Times New Roman" w:cs="Times New Roman" w:eastAsia="Times New Roman" w:hint="default"/>
                <w:sz w:val="18"/>
                <w:szCs w:val="18"/>
              </w:rPr>
            </w:pPr>
            <w:r>
              <w:rPr>
                <w:rFonts w:ascii="Times New Roman"/>
                <w:sz w:val="18"/>
              </w:rPr>
              <w:t>100094</w:t>
            </w:r>
          </w:p>
        </w:tc>
      </w:tr>
      <w:tr>
        <w:trPr>
          <w:trHeight w:val="401" w:hRule="exact"/>
        </w:trPr>
        <w:tc>
          <w:tcPr>
            <w:tcW w:w="22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公司网址</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28" w:right="0"/>
              <w:jc w:val="left"/>
              <w:rPr>
                <w:rFonts w:ascii="Times New Roman" w:hAnsi="Times New Roman" w:cs="Times New Roman" w:eastAsia="Times New Roman" w:hint="default"/>
                <w:sz w:val="18"/>
                <w:szCs w:val="18"/>
              </w:rPr>
            </w:pPr>
            <w:hyperlink r:id="rId9">
              <w:r>
                <w:rPr>
                  <w:rFonts w:ascii="Times New Roman"/>
                  <w:sz w:val="18"/>
                </w:rPr>
                <w:t>www.navinfo.com</w:t>
              </w:r>
            </w:hyperlink>
          </w:p>
        </w:tc>
      </w:tr>
      <w:tr>
        <w:trPr>
          <w:trHeight w:val="404" w:hRule="exact"/>
        </w:trPr>
        <w:tc>
          <w:tcPr>
            <w:tcW w:w="22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28" w:right="0"/>
              <w:jc w:val="left"/>
              <w:rPr>
                <w:rFonts w:ascii="Times New Roman" w:hAnsi="Times New Roman" w:cs="Times New Roman" w:eastAsia="Times New Roman" w:hint="default"/>
                <w:sz w:val="18"/>
                <w:szCs w:val="18"/>
              </w:rPr>
            </w:pPr>
            <w:hyperlink r:id="rId10">
              <w:r>
                <w:rPr>
                  <w:rFonts w:ascii="Times New Roman"/>
                  <w:sz w:val="18"/>
                </w:rPr>
                <w:t>info2405@navinfo.com</w:t>
              </w:r>
            </w:hyperlink>
          </w:p>
        </w:tc>
      </w:tr>
    </w:tbl>
    <w:p>
      <w:pPr>
        <w:spacing w:line="240" w:lineRule="auto" w:before="1"/>
        <w:rPr>
          <w:rFonts w:ascii="宋体" w:hAnsi="宋体" w:cs="宋体" w:eastAsia="宋体" w:hint="default"/>
          <w:b/>
          <w:bCs/>
          <w:sz w:val="18"/>
          <w:szCs w:val="18"/>
        </w:rPr>
      </w:pPr>
    </w:p>
    <w:p>
      <w:pPr>
        <w:pStyle w:val="Heading2"/>
        <w:spacing w:line="240" w:lineRule="auto" w:before="26"/>
        <w:ind w:right="982"/>
        <w:jc w:val="left"/>
        <w:rPr>
          <w:b w:val="0"/>
          <w:bCs w:val="0"/>
        </w:rPr>
      </w:pPr>
      <w:r>
        <w:rPr/>
        <w:t>二、联系人和联系方式</w:t>
      </w:r>
      <w:r>
        <w:rPr>
          <w:b w:val="0"/>
          <w:bCs w:val="0"/>
        </w:rPr>
      </w:r>
    </w:p>
    <w:p>
      <w:pPr>
        <w:spacing w:line="240" w:lineRule="auto" w:before="9"/>
        <w:rPr>
          <w:rFonts w:ascii="宋体" w:hAnsi="宋体" w:cs="宋体" w:eastAsia="宋体" w:hint="default"/>
          <w:b/>
          <w:bCs/>
          <w:sz w:val="25"/>
          <w:szCs w:val="25"/>
        </w:rPr>
      </w:pPr>
    </w:p>
    <w:tbl>
      <w:tblPr>
        <w:tblW w:w="0" w:type="auto"/>
        <w:jc w:val="left"/>
        <w:tblInd w:w="160" w:type="dxa"/>
        <w:tblLayout w:type="fixed"/>
        <w:tblCellMar>
          <w:top w:w="0" w:type="dxa"/>
          <w:left w:w="0" w:type="dxa"/>
          <w:bottom w:w="0" w:type="dxa"/>
          <w:right w:w="0" w:type="dxa"/>
        </w:tblCellMar>
        <w:tblLook w:val="01E0"/>
      </w:tblPr>
      <w:tblGrid>
        <w:gridCol w:w="3179"/>
        <w:gridCol w:w="3190"/>
        <w:gridCol w:w="3190"/>
      </w:tblGrid>
      <w:tr>
        <w:trPr>
          <w:trHeight w:val="403" w:hRule="exact"/>
        </w:trPr>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董事会秘书</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51" w:right="0"/>
              <w:jc w:val="left"/>
              <w:rPr>
                <w:rFonts w:ascii="宋体" w:hAnsi="宋体" w:cs="宋体" w:eastAsia="宋体" w:hint="default"/>
                <w:sz w:val="18"/>
                <w:szCs w:val="18"/>
              </w:rPr>
            </w:pPr>
            <w:r>
              <w:rPr>
                <w:rFonts w:ascii="宋体" w:hAnsi="宋体" w:cs="宋体" w:eastAsia="宋体" w:hint="default"/>
                <w:sz w:val="18"/>
                <w:szCs w:val="18"/>
              </w:rPr>
              <w:t>证券事务代表</w:t>
            </w:r>
          </w:p>
        </w:tc>
      </w:tr>
      <w:tr>
        <w:trPr>
          <w:trHeight w:val="401" w:hRule="exact"/>
        </w:trPr>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31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13" w:right="0"/>
              <w:jc w:val="left"/>
              <w:rPr>
                <w:rFonts w:ascii="宋体" w:hAnsi="宋体" w:cs="宋体" w:eastAsia="宋体" w:hint="default"/>
                <w:sz w:val="18"/>
                <w:szCs w:val="18"/>
              </w:rPr>
            </w:pPr>
            <w:r>
              <w:rPr>
                <w:rFonts w:ascii="宋体" w:hAnsi="宋体" w:cs="宋体" w:eastAsia="宋体" w:hint="default"/>
                <w:sz w:val="18"/>
                <w:szCs w:val="18"/>
              </w:rPr>
              <w:t>孟庆昕</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秦芳</w:t>
            </w:r>
          </w:p>
        </w:tc>
      </w:tr>
      <w:tr>
        <w:trPr>
          <w:trHeight w:val="317" w:hRule="exact"/>
        </w:trPr>
        <w:tc>
          <w:tcPr>
            <w:tcW w:w="3179" w:type="dxa"/>
            <w:tcBorders>
              <w:top w:val="single" w:sz="4" w:space="0" w:color="000000"/>
              <w:left w:val="single" w:sz="4" w:space="0" w:color="000000"/>
              <w:bottom w:val="nil" w:sz="6" w:space="0" w:color="auto"/>
              <w:right w:val="single" w:sz="4" w:space="0" w:color="000000"/>
            </w:tcBorders>
            <w:shd w:val="clear" w:color="auto" w:fill="D2D2D2"/>
          </w:tcPr>
          <w:p>
            <w:pPr/>
          </w:p>
        </w:tc>
        <w:tc>
          <w:tcPr>
            <w:tcW w:w="3190" w:type="dxa"/>
            <w:vMerge w:val="restart"/>
            <w:tcBorders>
              <w:top w:val="single" w:sz="4" w:space="0" w:color="000000"/>
              <w:left w:val="single" w:sz="9" w:space="0" w:color="D2D2D2"/>
              <w:right w:val="single" w:sz="4" w:space="0" w:color="000000"/>
            </w:tcBorders>
          </w:tcPr>
          <w:p>
            <w:pPr>
              <w:pStyle w:val="TableParagraph"/>
              <w:spacing w:line="309" w:lineRule="auto" w:before="49"/>
              <w:ind w:left="17" w:right="43"/>
              <w:jc w:val="both"/>
              <w:rPr>
                <w:rFonts w:ascii="宋体" w:hAnsi="宋体" w:cs="宋体" w:eastAsia="宋体" w:hint="default"/>
                <w:sz w:val="18"/>
                <w:szCs w:val="18"/>
              </w:rPr>
            </w:pPr>
            <w:r>
              <w:rPr>
                <w:rFonts w:ascii="宋体" w:hAnsi="宋体" w:cs="宋体" w:eastAsia="宋体" w:hint="default"/>
                <w:sz w:val="18"/>
                <w:szCs w:val="18"/>
              </w:rPr>
              <w:t>北京市海淀区永丰路与北清路交汇处东 南角四维图新大厦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北京市海淀区丰豪 东路四维图新大厦</w:t>
            </w:r>
          </w:p>
        </w:tc>
        <w:tc>
          <w:tcPr>
            <w:tcW w:w="3190" w:type="dxa"/>
            <w:vMerge w:val="restart"/>
            <w:tcBorders>
              <w:top w:val="single" w:sz="4" w:space="0" w:color="000000"/>
              <w:left w:val="single" w:sz="4" w:space="0" w:color="000000"/>
              <w:right w:val="single" w:sz="4" w:space="0" w:color="000000"/>
            </w:tcBorders>
          </w:tcPr>
          <w:p>
            <w:pPr>
              <w:pStyle w:val="TableParagraph"/>
              <w:spacing w:line="309" w:lineRule="auto" w:before="49"/>
              <w:ind w:left="23" w:right="43"/>
              <w:jc w:val="both"/>
              <w:rPr>
                <w:rFonts w:ascii="宋体" w:hAnsi="宋体" w:cs="宋体" w:eastAsia="宋体" w:hint="default"/>
                <w:sz w:val="18"/>
                <w:szCs w:val="18"/>
              </w:rPr>
            </w:pPr>
            <w:r>
              <w:rPr>
                <w:rFonts w:ascii="宋体" w:hAnsi="宋体" w:cs="宋体" w:eastAsia="宋体" w:hint="default"/>
                <w:sz w:val="18"/>
                <w:szCs w:val="18"/>
              </w:rPr>
              <w:t>北京市海淀区永丰路与北清路交汇处东 南角四维图新大厦 </w:t>
            </w:r>
            <w:r>
              <w:rPr>
                <w:rFonts w:ascii="Times New Roman" w:hAnsi="Times New Roman" w:cs="Times New Roman" w:eastAsia="Times New Roman" w:hint="default"/>
                <w:sz w:val="18"/>
                <w:szCs w:val="18"/>
              </w:rPr>
              <w:t>/ </w:t>
            </w:r>
            <w:r>
              <w:rPr>
                <w:rFonts w:ascii="宋体" w:hAnsi="宋体" w:cs="宋体" w:eastAsia="宋体" w:hint="default"/>
                <w:sz w:val="18"/>
                <w:szCs w:val="18"/>
              </w:rPr>
              <w:t>北京市海淀区丰豪 东路四维图新大厦</w:t>
            </w:r>
          </w:p>
        </w:tc>
      </w:tr>
      <w:tr>
        <w:trPr>
          <w:trHeight w:val="394" w:hRule="exact"/>
        </w:trPr>
        <w:tc>
          <w:tcPr>
            <w:tcW w:w="317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联系地址</w:t>
            </w:r>
          </w:p>
        </w:tc>
        <w:tc>
          <w:tcPr>
            <w:tcW w:w="3190" w:type="dxa"/>
            <w:vMerge/>
            <w:tcBorders>
              <w:left w:val="single" w:sz="9" w:space="0" w:color="D2D2D2"/>
              <w:right w:val="single" w:sz="4" w:space="0" w:color="000000"/>
            </w:tcBorders>
          </w:tcPr>
          <w:p>
            <w:pPr/>
          </w:p>
        </w:tc>
        <w:tc>
          <w:tcPr>
            <w:tcW w:w="3190" w:type="dxa"/>
            <w:vMerge/>
            <w:tcBorders>
              <w:left w:val="single" w:sz="4" w:space="0" w:color="000000"/>
              <w:right w:val="single" w:sz="4" w:space="0" w:color="000000"/>
            </w:tcBorders>
          </w:tcPr>
          <w:p>
            <w:pPr/>
          </w:p>
        </w:tc>
      </w:tr>
      <w:tr>
        <w:trPr>
          <w:trHeight w:val="317" w:hRule="exact"/>
        </w:trPr>
        <w:tc>
          <w:tcPr>
            <w:tcW w:w="3179" w:type="dxa"/>
            <w:tcBorders>
              <w:top w:val="nil" w:sz="6" w:space="0" w:color="auto"/>
              <w:left w:val="single" w:sz="4" w:space="0" w:color="000000"/>
              <w:bottom w:val="single" w:sz="4" w:space="0" w:color="000000"/>
              <w:right w:val="single" w:sz="4" w:space="0" w:color="000000"/>
            </w:tcBorders>
            <w:shd w:val="clear" w:color="auto" w:fill="D2D2D2"/>
          </w:tcPr>
          <w:p>
            <w:pPr/>
          </w:p>
        </w:tc>
        <w:tc>
          <w:tcPr>
            <w:tcW w:w="3190" w:type="dxa"/>
            <w:vMerge/>
            <w:tcBorders>
              <w:left w:val="single" w:sz="9" w:space="0" w:color="D2D2D2"/>
              <w:bottom w:val="single" w:sz="4" w:space="0" w:color="000000"/>
              <w:right w:val="single" w:sz="4" w:space="0" w:color="000000"/>
            </w:tcBorders>
          </w:tcPr>
          <w:p>
            <w:pPr/>
          </w:p>
        </w:tc>
        <w:tc>
          <w:tcPr>
            <w:tcW w:w="3190" w:type="dxa"/>
            <w:vMerge/>
            <w:tcBorders>
              <w:left w:val="single" w:sz="4" w:space="0" w:color="000000"/>
              <w:bottom w:val="single" w:sz="4" w:space="0" w:color="000000"/>
              <w:right w:val="single" w:sz="4" w:space="0" w:color="000000"/>
            </w:tcBorders>
          </w:tcPr>
          <w:p>
            <w:pPr/>
          </w:p>
        </w:tc>
      </w:tr>
      <w:tr>
        <w:trPr>
          <w:trHeight w:val="401" w:hRule="exact"/>
        </w:trPr>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电话</w:t>
            </w:r>
          </w:p>
        </w:tc>
        <w:tc>
          <w:tcPr>
            <w:tcW w:w="31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left="13" w:right="0"/>
              <w:jc w:val="left"/>
              <w:rPr>
                <w:rFonts w:ascii="Times New Roman" w:hAnsi="Times New Roman" w:cs="Times New Roman" w:eastAsia="Times New Roman" w:hint="default"/>
                <w:sz w:val="18"/>
                <w:szCs w:val="18"/>
              </w:rPr>
            </w:pPr>
            <w:r>
              <w:rPr>
                <w:rFonts w:ascii="Times New Roman"/>
                <w:sz w:val="18"/>
              </w:rPr>
              <w:t>010-82306399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010-82306399</w:t>
            </w:r>
          </w:p>
        </w:tc>
      </w:tr>
      <w:tr>
        <w:trPr>
          <w:trHeight w:val="403" w:hRule="exact"/>
        </w:trPr>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传真</w:t>
            </w:r>
          </w:p>
        </w:tc>
        <w:tc>
          <w:tcPr>
            <w:tcW w:w="31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left="13" w:right="0"/>
              <w:jc w:val="left"/>
              <w:rPr>
                <w:rFonts w:ascii="Times New Roman" w:hAnsi="Times New Roman" w:cs="Times New Roman" w:eastAsia="Times New Roman" w:hint="default"/>
                <w:sz w:val="18"/>
                <w:szCs w:val="18"/>
              </w:rPr>
            </w:pPr>
            <w:r>
              <w:rPr>
                <w:rFonts w:ascii="Times New Roman"/>
                <w:sz w:val="18"/>
              </w:rPr>
              <w:t>010-82306909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010-82306909</w:t>
            </w:r>
          </w:p>
        </w:tc>
      </w:tr>
      <w:tr>
        <w:trPr>
          <w:trHeight w:val="401" w:hRule="exact"/>
        </w:trPr>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31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left="13" w:right="0"/>
              <w:jc w:val="left"/>
              <w:rPr>
                <w:rFonts w:ascii="Times New Roman" w:hAnsi="Times New Roman" w:cs="Times New Roman" w:eastAsia="Times New Roman" w:hint="default"/>
                <w:sz w:val="18"/>
                <w:szCs w:val="18"/>
              </w:rPr>
            </w:pPr>
            <w:hyperlink r:id="rId11">
              <w:r>
                <w:rPr>
                  <w:rFonts w:ascii="Times New Roman"/>
                  <w:sz w:val="18"/>
                </w:rPr>
                <w:t>dongmi@navinfo.com</w:t>
              </w:r>
            </w:hyperlink>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hyperlink r:id="rId12">
              <w:r>
                <w:rPr>
                  <w:rFonts w:ascii="Times New Roman"/>
                  <w:sz w:val="18"/>
                </w:rPr>
                <w:t>qinfang@navinfo.com</w:t>
              </w:r>
            </w:hyperlink>
          </w:p>
        </w:tc>
      </w:tr>
    </w:tbl>
    <w:p>
      <w:pPr>
        <w:spacing w:line="240" w:lineRule="auto" w:before="1"/>
        <w:rPr>
          <w:rFonts w:ascii="宋体" w:hAnsi="宋体" w:cs="宋体" w:eastAsia="宋体" w:hint="default"/>
          <w:b/>
          <w:bCs/>
          <w:sz w:val="18"/>
          <w:szCs w:val="18"/>
        </w:rPr>
      </w:pPr>
    </w:p>
    <w:p>
      <w:pPr>
        <w:pStyle w:val="Heading2"/>
        <w:spacing w:line="240" w:lineRule="auto" w:before="26"/>
        <w:ind w:right="982"/>
        <w:jc w:val="left"/>
        <w:rPr>
          <w:b w:val="0"/>
          <w:bCs w:val="0"/>
        </w:rPr>
      </w:pPr>
      <w:r>
        <w:rPr/>
        <w:t>三、信息披露及备置地点</w:t>
      </w:r>
      <w:r>
        <w:rPr>
          <w:b w:val="0"/>
          <w:bCs w:val="0"/>
        </w:rPr>
      </w:r>
    </w:p>
    <w:p>
      <w:pPr>
        <w:spacing w:line="240" w:lineRule="auto" w:before="11"/>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991"/>
        <w:gridCol w:w="5579"/>
      </w:tblGrid>
      <w:tr>
        <w:trPr>
          <w:trHeight w:val="403" w:hRule="exact"/>
        </w:trPr>
        <w:tc>
          <w:tcPr>
            <w:tcW w:w="3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公司选定的信息披露媒体的名称</w:t>
            </w:r>
          </w:p>
        </w:tc>
        <w:tc>
          <w:tcPr>
            <w:tcW w:w="5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《中国证券报</w:t>
            </w:r>
            <w:r>
              <w:rPr>
                <w:rFonts w:ascii="宋体" w:hAnsi="宋体" w:cs="宋体" w:eastAsia="宋体" w:hint="default"/>
                <w:spacing w:val="-92"/>
                <w:sz w:val="18"/>
                <w:szCs w:val="18"/>
              </w:rPr>
              <w:t>》、</w:t>
            </w:r>
            <w:r>
              <w:rPr>
                <w:rFonts w:ascii="宋体" w:hAnsi="宋体" w:cs="宋体" w:eastAsia="宋体" w:hint="default"/>
                <w:sz w:val="18"/>
                <w:szCs w:val="18"/>
              </w:rPr>
              <w:t>《证券时报》</w:t>
            </w:r>
          </w:p>
        </w:tc>
      </w:tr>
      <w:tr>
        <w:trPr>
          <w:trHeight w:val="401" w:hRule="exact"/>
        </w:trPr>
        <w:tc>
          <w:tcPr>
            <w:tcW w:w="3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登载年度报告的中国证监会指定网站的网址</w:t>
            </w:r>
          </w:p>
        </w:tc>
        <w:tc>
          <w:tcPr>
            <w:tcW w:w="5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hyperlink r:id="rId13">
              <w:r>
                <w:rPr>
                  <w:rFonts w:ascii="Times New Roman"/>
                  <w:sz w:val="18"/>
                </w:rPr>
                <w:t>www.cninfo.com.cn</w:t>
              </w:r>
            </w:hyperlink>
          </w:p>
        </w:tc>
      </w:tr>
      <w:tr>
        <w:trPr>
          <w:trHeight w:val="403" w:hRule="exact"/>
        </w:trPr>
        <w:tc>
          <w:tcPr>
            <w:tcW w:w="3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公司年度报告备置地点</w:t>
            </w:r>
          </w:p>
        </w:tc>
        <w:tc>
          <w:tcPr>
            <w:tcW w:w="5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公司董事会办公室</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8"/>
        <w:rPr>
          <w:rFonts w:ascii="宋体" w:hAnsi="宋体" w:cs="宋体" w:eastAsia="宋体" w:hint="default"/>
          <w:b/>
          <w:bCs/>
          <w:sz w:val="23"/>
          <w:szCs w:val="23"/>
        </w:rPr>
      </w:pPr>
    </w:p>
    <w:p>
      <w:pPr>
        <w:pStyle w:val="Heading2"/>
        <w:spacing w:line="240" w:lineRule="auto" w:before="26"/>
        <w:ind w:right="982"/>
        <w:jc w:val="left"/>
        <w:rPr>
          <w:b w:val="0"/>
          <w:bCs w:val="0"/>
        </w:rPr>
      </w:pPr>
      <w:r>
        <w:rPr/>
        <w:t>四、注册变更情况</w:t>
      </w:r>
      <w:r>
        <w:rPr>
          <w:b w:val="0"/>
          <w:bCs w:val="0"/>
        </w:rPr>
      </w:r>
    </w:p>
    <w:p>
      <w:pPr>
        <w:spacing w:line="240" w:lineRule="auto" w:before="12"/>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189"/>
        <w:gridCol w:w="6380"/>
      </w:tblGrid>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组织机构代码</w:t>
            </w:r>
          </w:p>
        </w:tc>
        <w:tc>
          <w:tcPr>
            <w:tcW w:w="6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统一社会信用代码：</w:t>
            </w:r>
            <w:r>
              <w:rPr>
                <w:rFonts w:ascii="Times New Roman" w:hAnsi="Times New Roman" w:cs="Times New Roman" w:eastAsia="Times New Roman" w:hint="default"/>
                <w:sz w:val="18"/>
                <w:szCs w:val="18"/>
              </w:rPr>
              <w:t>91110000745467123H</w:t>
            </w:r>
          </w:p>
        </w:tc>
      </w:tr>
      <w:tr>
        <w:trPr>
          <w:trHeight w:val="715"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96"/>
              <w:jc w:val="left"/>
              <w:rPr>
                <w:rFonts w:ascii="宋体" w:hAnsi="宋体" w:cs="宋体" w:eastAsia="宋体" w:hint="default"/>
                <w:sz w:val="18"/>
                <w:szCs w:val="18"/>
              </w:rPr>
            </w:pPr>
            <w:r>
              <w:rPr>
                <w:rFonts w:ascii="宋体" w:hAnsi="宋体" w:cs="宋体" w:eastAsia="宋体" w:hint="default"/>
                <w:sz w:val="18"/>
                <w:szCs w:val="18"/>
              </w:rPr>
              <w:t>公司上市以来主营业务的变化情况（如 有）</w:t>
            </w:r>
          </w:p>
        </w:tc>
        <w:tc>
          <w:tcPr>
            <w:tcW w:w="6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无变更</w:t>
            </w:r>
          </w:p>
        </w:tc>
      </w:tr>
      <w:tr>
        <w:trPr>
          <w:trHeight w:val="71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历次控股股东的变更情况（如有）</w:t>
            </w:r>
          </w:p>
        </w:tc>
        <w:tc>
          <w:tcPr>
            <w:tcW w:w="6380" w:type="dxa"/>
            <w:tcBorders>
              <w:top w:val="single" w:sz="4" w:space="0" w:color="000000"/>
              <w:left w:val="single" w:sz="4" w:space="0" w:color="000000"/>
              <w:bottom w:val="single" w:sz="4" w:space="0" w:color="000000"/>
              <w:right w:val="single" w:sz="4" w:space="0" w:color="000000"/>
            </w:tcBorders>
          </w:tcPr>
          <w:p>
            <w:pPr>
              <w:pStyle w:val="TableParagraph"/>
              <w:spacing w:line="297" w:lineRule="auto" w:before="49"/>
              <w:ind w:left="23" w:right="22"/>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年，公司原控股股东中国四维测绘技术有限公司将所持有的公司部分股权协 议转让腾讯产业基金，自此公司成为无控股股东、无实际控制人上市公司。</w:t>
            </w:r>
          </w:p>
        </w:tc>
      </w:tr>
    </w:tbl>
    <w:p>
      <w:pPr>
        <w:spacing w:line="240" w:lineRule="auto" w:before="1"/>
        <w:rPr>
          <w:rFonts w:ascii="宋体" w:hAnsi="宋体" w:cs="宋体" w:eastAsia="宋体" w:hint="default"/>
          <w:b/>
          <w:bCs/>
          <w:sz w:val="18"/>
          <w:szCs w:val="18"/>
        </w:rPr>
      </w:pPr>
    </w:p>
    <w:p>
      <w:pPr>
        <w:pStyle w:val="Heading2"/>
        <w:spacing w:line="240" w:lineRule="auto" w:before="26"/>
        <w:ind w:right="982"/>
        <w:jc w:val="left"/>
        <w:rPr>
          <w:b w:val="0"/>
          <w:bCs w:val="0"/>
        </w:rPr>
      </w:pPr>
      <w:r>
        <w:rPr/>
        <w:t>五、其他有关资料</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982"/>
        <w:jc w:val="left"/>
      </w:pPr>
      <w:r>
        <w:rPr/>
        <w:t>公司聘请的会计师事务所</w:t>
      </w:r>
    </w:p>
    <w:p>
      <w:pPr>
        <w:spacing w:line="240" w:lineRule="auto" w:before="2"/>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661"/>
        <w:gridCol w:w="6909"/>
      </w:tblGrid>
      <w:tr>
        <w:trPr>
          <w:trHeight w:val="404"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会计师事务所名称</w:t>
            </w:r>
          </w:p>
        </w:tc>
        <w:tc>
          <w:tcPr>
            <w:tcW w:w="6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信永中和会计师事务所（特殊普通合伙）</w:t>
            </w:r>
          </w:p>
        </w:tc>
      </w:tr>
      <w:tr>
        <w:trPr>
          <w:trHeight w:val="401"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会计师事务所办公地址</w:t>
            </w:r>
          </w:p>
        </w:tc>
        <w:tc>
          <w:tcPr>
            <w:tcW w:w="6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北京市东城区朝阳门北大街</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号富华大厦</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A</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座</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层</w:t>
            </w:r>
          </w:p>
        </w:tc>
      </w:tr>
      <w:tr>
        <w:trPr>
          <w:trHeight w:val="403"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签字会计师姓名</w:t>
            </w:r>
          </w:p>
        </w:tc>
        <w:tc>
          <w:tcPr>
            <w:tcW w:w="6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季晟、李宏志</w:t>
            </w:r>
          </w:p>
        </w:tc>
      </w:tr>
    </w:tbl>
    <w:p>
      <w:pPr>
        <w:pStyle w:val="BodyText"/>
        <w:spacing w:line="240" w:lineRule="auto" w:before="49"/>
        <w:ind w:right="982"/>
        <w:jc w:val="left"/>
      </w:pPr>
      <w:r>
        <w:rPr/>
        <w:t>公司聘请的报告期内履行持续督导职责的保荐机构</w:t>
      </w:r>
    </w:p>
    <w:p>
      <w:pPr>
        <w:pStyle w:val="BodyText"/>
        <w:spacing w:line="240" w:lineRule="auto" w:before="115"/>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4"/>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393"/>
        <w:gridCol w:w="2391"/>
        <w:gridCol w:w="2393"/>
        <w:gridCol w:w="2393"/>
      </w:tblGrid>
      <w:tr>
        <w:trPr>
          <w:trHeight w:val="403"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50" w:right="0"/>
              <w:jc w:val="left"/>
              <w:rPr>
                <w:rFonts w:ascii="宋体" w:hAnsi="宋体" w:cs="宋体" w:eastAsia="宋体" w:hint="default"/>
                <w:sz w:val="18"/>
                <w:szCs w:val="18"/>
              </w:rPr>
            </w:pPr>
            <w:r>
              <w:rPr>
                <w:rFonts w:ascii="宋体" w:hAnsi="宋体" w:cs="宋体" w:eastAsia="宋体" w:hint="default"/>
                <w:sz w:val="18"/>
                <w:szCs w:val="18"/>
              </w:rPr>
              <w:t>保荐机构名称</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70" w:right="0"/>
              <w:jc w:val="left"/>
              <w:rPr>
                <w:rFonts w:ascii="宋体" w:hAnsi="宋体" w:cs="宋体" w:eastAsia="宋体" w:hint="default"/>
                <w:sz w:val="18"/>
                <w:szCs w:val="18"/>
              </w:rPr>
            </w:pPr>
            <w:r>
              <w:rPr>
                <w:rFonts w:ascii="宋体" w:hAnsi="宋体" w:cs="宋体" w:eastAsia="宋体" w:hint="default"/>
                <w:sz w:val="18"/>
                <w:szCs w:val="18"/>
              </w:rPr>
              <w:t>保荐机构办公地址</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61" w:right="0"/>
              <w:jc w:val="left"/>
              <w:rPr>
                <w:rFonts w:ascii="宋体" w:hAnsi="宋体" w:cs="宋体" w:eastAsia="宋体" w:hint="default"/>
                <w:sz w:val="18"/>
                <w:szCs w:val="18"/>
              </w:rPr>
            </w:pPr>
            <w:r>
              <w:rPr>
                <w:rFonts w:ascii="宋体" w:hAnsi="宋体" w:cs="宋体" w:eastAsia="宋体" w:hint="default"/>
                <w:sz w:val="18"/>
                <w:szCs w:val="18"/>
              </w:rPr>
              <w:t>保荐代表人姓名</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50" w:right="0"/>
              <w:jc w:val="left"/>
              <w:rPr>
                <w:rFonts w:ascii="宋体" w:hAnsi="宋体" w:cs="宋体" w:eastAsia="宋体" w:hint="default"/>
                <w:sz w:val="18"/>
                <w:szCs w:val="18"/>
              </w:rPr>
            </w:pPr>
            <w:r>
              <w:rPr>
                <w:rFonts w:ascii="宋体" w:hAnsi="宋体" w:cs="宋体" w:eastAsia="宋体" w:hint="default"/>
                <w:sz w:val="18"/>
                <w:szCs w:val="18"/>
              </w:rPr>
              <w:t>持续督导期间</w:t>
            </w:r>
          </w:p>
        </w:tc>
      </w:tr>
      <w:tr>
        <w:trPr>
          <w:trHeight w:val="713"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中信建投证券股份有限公司</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北京市东城区朝阳门内大街</w:t>
            </w:r>
          </w:p>
          <w:p>
            <w:pPr>
              <w:pStyle w:val="TableParagraph"/>
              <w:spacing w:line="240" w:lineRule="auto" w:before="74"/>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188 </w:t>
            </w:r>
            <w:r>
              <w:rPr>
                <w:rFonts w:ascii="宋体" w:hAnsi="宋体" w:cs="宋体" w:eastAsia="宋体" w:hint="default"/>
                <w:sz w:val="18"/>
                <w:szCs w:val="18"/>
              </w:rPr>
              <w:t>号</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刘乃生、朱明强</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18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日至</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年</w:t>
            </w:r>
          </w:p>
          <w:p>
            <w:pPr>
              <w:pStyle w:val="TableParagraph"/>
              <w:spacing w:line="240" w:lineRule="auto" w:before="60"/>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bl>
    <w:p>
      <w:pPr>
        <w:pStyle w:val="BodyText"/>
        <w:spacing w:line="240" w:lineRule="auto" w:before="49"/>
        <w:ind w:right="982"/>
        <w:jc w:val="left"/>
      </w:pPr>
      <w:r>
        <w:rPr/>
        <w:t>公司聘请的报告期内履行持续督导职责的财务顾问</w:t>
      </w:r>
    </w:p>
    <w:p>
      <w:pPr>
        <w:pStyle w:val="BodyText"/>
        <w:spacing w:line="240" w:lineRule="auto" w:before="117"/>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1"/>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393"/>
        <w:gridCol w:w="2391"/>
        <w:gridCol w:w="2393"/>
        <w:gridCol w:w="2393"/>
      </w:tblGrid>
      <w:tr>
        <w:trPr>
          <w:trHeight w:val="403"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50" w:right="0"/>
              <w:jc w:val="left"/>
              <w:rPr>
                <w:rFonts w:ascii="宋体" w:hAnsi="宋体" w:cs="宋体" w:eastAsia="宋体" w:hint="default"/>
                <w:sz w:val="18"/>
                <w:szCs w:val="18"/>
              </w:rPr>
            </w:pPr>
            <w:r>
              <w:rPr>
                <w:rFonts w:ascii="宋体" w:hAnsi="宋体" w:cs="宋体" w:eastAsia="宋体" w:hint="default"/>
                <w:sz w:val="18"/>
                <w:szCs w:val="18"/>
              </w:rPr>
              <w:t>财务顾问名称</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70" w:right="0"/>
              <w:jc w:val="left"/>
              <w:rPr>
                <w:rFonts w:ascii="宋体" w:hAnsi="宋体" w:cs="宋体" w:eastAsia="宋体" w:hint="default"/>
                <w:sz w:val="18"/>
                <w:szCs w:val="18"/>
              </w:rPr>
            </w:pPr>
            <w:r>
              <w:rPr>
                <w:rFonts w:ascii="宋体" w:hAnsi="宋体" w:cs="宋体" w:eastAsia="宋体" w:hint="default"/>
                <w:sz w:val="18"/>
                <w:szCs w:val="18"/>
              </w:rPr>
              <w:t>财务顾问办公地址</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1" w:right="0"/>
              <w:jc w:val="left"/>
              <w:rPr>
                <w:rFonts w:ascii="宋体" w:hAnsi="宋体" w:cs="宋体" w:eastAsia="宋体" w:hint="default"/>
                <w:sz w:val="18"/>
                <w:szCs w:val="18"/>
              </w:rPr>
            </w:pPr>
            <w:r>
              <w:rPr>
                <w:rFonts w:ascii="宋体" w:hAnsi="宋体" w:cs="宋体" w:eastAsia="宋体" w:hint="default"/>
                <w:sz w:val="18"/>
                <w:szCs w:val="18"/>
              </w:rPr>
              <w:t>财务顾问主办人姓名</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50" w:right="0"/>
              <w:jc w:val="left"/>
              <w:rPr>
                <w:rFonts w:ascii="宋体" w:hAnsi="宋体" w:cs="宋体" w:eastAsia="宋体" w:hint="default"/>
                <w:sz w:val="18"/>
                <w:szCs w:val="18"/>
              </w:rPr>
            </w:pPr>
            <w:r>
              <w:rPr>
                <w:rFonts w:ascii="宋体" w:hAnsi="宋体" w:cs="宋体" w:eastAsia="宋体" w:hint="default"/>
                <w:sz w:val="18"/>
                <w:szCs w:val="18"/>
              </w:rPr>
              <w:t>持续督导期间</w:t>
            </w:r>
          </w:p>
        </w:tc>
      </w:tr>
      <w:tr>
        <w:trPr>
          <w:trHeight w:val="713"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中信建投证券股份有限公司</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北京市东城区朝阳门内大街</w:t>
            </w:r>
          </w:p>
          <w:p>
            <w:pPr>
              <w:pStyle w:val="TableParagraph"/>
              <w:spacing w:line="240" w:lineRule="auto" w:before="76"/>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188 </w:t>
            </w:r>
            <w:r>
              <w:rPr>
                <w:rFonts w:ascii="宋体" w:hAnsi="宋体" w:cs="宋体" w:eastAsia="宋体" w:hint="default"/>
                <w:sz w:val="18"/>
                <w:szCs w:val="18"/>
              </w:rPr>
              <w:t>号</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苏丽萍、顾中杰</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r>
    </w:tbl>
    <w:p>
      <w:pPr>
        <w:spacing w:line="240" w:lineRule="auto" w:before="1"/>
        <w:rPr>
          <w:rFonts w:ascii="宋体" w:hAnsi="宋体" w:cs="宋体" w:eastAsia="宋体" w:hint="default"/>
          <w:sz w:val="18"/>
          <w:szCs w:val="18"/>
        </w:rPr>
      </w:pPr>
    </w:p>
    <w:p>
      <w:pPr>
        <w:pStyle w:val="Heading2"/>
        <w:spacing w:line="240" w:lineRule="auto" w:before="26"/>
        <w:ind w:right="982"/>
        <w:jc w:val="left"/>
        <w:rPr>
          <w:b w:val="0"/>
          <w:bCs w:val="0"/>
        </w:rPr>
      </w:pPr>
      <w:r>
        <w:rPr/>
        <w:t>六、主要会计数据和财务指标</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982"/>
        <w:jc w:val="left"/>
      </w:pPr>
      <w:r>
        <w:rPr/>
        <w:t>公司是否需追溯调整或重述以前年度会计数据</w:t>
      </w:r>
    </w:p>
    <w:p>
      <w:pPr>
        <w:pStyle w:val="BodyText"/>
        <w:spacing w:line="240" w:lineRule="auto" w:before="117"/>
        <w:ind w:right="982"/>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spacing w:line="240" w:lineRule="auto" w:before="1"/>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2598"/>
        <w:gridCol w:w="1749"/>
        <w:gridCol w:w="1738"/>
        <w:gridCol w:w="1738"/>
        <w:gridCol w:w="1736"/>
      </w:tblGrid>
      <w:tr>
        <w:trPr>
          <w:trHeight w:val="404"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32" w:right="0"/>
              <w:jc w:val="left"/>
              <w:rPr>
                <w:rFonts w:ascii="宋体" w:hAnsi="宋体" w:cs="宋体" w:eastAsia="宋体" w:hint="default"/>
                <w:sz w:val="18"/>
                <w:szCs w:val="18"/>
              </w:rPr>
            </w:pPr>
            <w:r>
              <w:rPr>
                <w:rFonts w:ascii="宋体" w:hAnsi="宋体" w:cs="宋体" w:eastAsia="宋体" w:hint="default"/>
                <w:sz w:val="18"/>
                <w:szCs w:val="18"/>
              </w:rPr>
              <w:t>本年比上年增减</w:t>
            </w:r>
          </w:p>
        </w:tc>
        <w:tc>
          <w:tcPr>
            <w:tcW w:w="1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r>
      <w:tr>
        <w:trPr>
          <w:trHeight w:val="401"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营业收入（元）</w:t>
            </w:r>
          </w:p>
        </w:tc>
        <w:tc>
          <w:tcPr>
            <w:tcW w:w="174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2,133,659,113.98</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2,156,487,774.85</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-1.06%</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1,585,306,335.51</w:t>
            </w:r>
          </w:p>
        </w:tc>
      </w:tr>
      <w:tr>
        <w:trPr>
          <w:trHeight w:val="715"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p>
            <w:pPr>
              <w:pStyle w:val="TableParagraph"/>
              <w:spacing w:line="240" w:lineRule="auto" w:before="76"/>
              <w:ind w:left="12"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4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479,070,711.85</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265,199,610.30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80.65%</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156,569,086.39</w:t>
            </w:r>
          </w:p>
        </w:tc>
      </w:tr>
      <w:tr>
        <w:trPr>
          <w:trHeight w:val="713"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54"/>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 常性损益的净利润（元）</w:t>
            </w:r>
          </w:p>
        </w:tc>
        <w:tc>
          <w:tcPr>
            <w:tcW w:w="174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-1,057,466,402.08</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219,571,124.27</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-581.61%</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144,653,472.69</w:t>
            </w:r>
          </w:p>
        </w:tc>
      </w:tr>
      <w:tr>
        <w:trPr>
          <w:trHeight w:val="715"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p>
            <w:pPr>
              <w:pStyle w:val="TableParagraph"/>
              <w:spacing w:line="240" w:lineRule="auto" w:before="76"/>
              <w:ind w:left="12"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4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370,749,670.59</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390,314,073.58</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-5.01%</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398,617,134.62</w:t>
            </w:r>
          </w:p>
        </w:tc>
      </w:tr>
      <w:tr>
        <w:trPr>
          <w:trHeight w:val="401"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74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0.3755</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0.2186</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71.77%</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0.1502</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2598"/>
        <w:gridCol w:w="1749"/>
        <w:gridCol w:w="1738"/>
        <w:gridCol w:w="1738"/>
        <w:gridCol w:w="1736"/>
      </w:tblGrid>
      <w:tr>
        <w:trPr>
          <w:trHeight w:val="401"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74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0.3725</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0.2171</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71.58%</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0.1491</w:t>
            </w:r>
          </w:p>
        </w:tc>
      </w:tr>
      <w:tr>
        <w:trPr>
          <w:trHeight w:val="403"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174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6.96%</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4.69%</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2.27%</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5.91%</w:t>
            </w:r>
          </w:p>
        </w:tc>
      </w:tr>
      <w:tr>
        <w:trPr>
          <w:trHeight w:val="401"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年末</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8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年末</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53"/>
              <w:jc w:val="right"/>
              <w:rPr>
                <w:rFonts w:ascii="宋体" w:hAnsi="宋体" w:cs="宋体" w:eastAsia="宋体" w:hint="default"/>
                <w:sz w:val="18"/>
                <w:szCs w:val="18"/>
              </w:rPr>
            </w:pPr>
            <w:r>
              <w:rPr>
                <w:rFonts w:ascii="宋体" w:hAnsi="宋体" w:cs="宋体" w:eastAsia="宋体" w:hint="default"/>
                <w:sz w:val="18"/>
                <w:szCs w:val="18"/>
              </w:rPr>
              <w:t>本年末比上年末增减</w:t>
            </w:r>
          </w:p>
        </w:tc>
        <w:tc>
          <w:tcPr>
            <w:tcW w:w="1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8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年末</w:t>
            </w:r>
          </w:p>
        </w:tc>
      </w:tr>
      <w:tr>
        <w:trPr>
          <w:trHeight w:val="403"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总资产（元）</w:t>
            </w:r>
          </w:p>
        </w:tc>
        <w:tc>
          <w:tcPr>
            <w:tcW w:w="174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9,215,105,313.63</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9,798,917,104.82</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-5.96%</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4,122,242,723.69</w:t>
            </w:r>
          </w:p>
        </w:tc>
      </w:tr>
      <w:tr>
        <w:trPr>
          <w:trHeight w:val="715"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归属于上市公司股东的净资产</w:t>
            </w:r>
          </w:p>
          <w:p>
            <w:pPr>
              <w:pStyle w:val="TableParagraph"/>
              <w:spacing w:line="240" w:lineRule="auto" w:before="76"/>
              <w:ind w:left="12"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4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7,201,231,752.10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6,636,154,615.91</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8.52%</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2,793,417,545.71</w:t>
            </w:r>
          </w:p>
        </w:tc>
      </w:tr>
    </w:tbl>
    <w:p>
      <w:pPr>
        <w:pStyle w:val="BodyText"/>
        <w:spacing w:line="240" w:lineRule="auto" w:before="49"/>
        <w:ind w:right="982"/>
        <w:jc w:val="left"/>
      </w:pPr>
      <w:r>
        <w:rPr/>
        <w:t>说明：</w:t>
      </w:r>
    </w:p>
    <w:p>
      <w:pPr>
        <w:pStyle w:val="BodyText"/>
        <w:spacing w:line="319" w:lineRule="auto" w:before="115"/>
        <w:ind w:right="1128"/>
        <w:jc w:val="left"/>
      </w:pPr>
      <w:r>
        <w:rPr>
          <w:rFonts w:ascii="Times New Roman" w:hAnsi="Times New Roman" w:cs="Times New Roman" w:eastAsia="Times New Roman" w:hint="default"/>
        </w:rPr>
        <w:t>1</w:t>
      </w:r>
      <w:r>
        <w:rPr/>
        <w:t>）公司原控股子公司</w:t>
      </w:r>
      <w:r>
        <w:rPr>
          <w:spacing w:val="-47"/>
        </w:rPr>
        <w:t> </w:t>
      </w:r>
      <w:r>
        <w:rPr>
          <w:rFonts w:ascii="Times New Roman" w:hAnsi="Times New Roman" w:cs="Times New Roman" w:eastAsia="Times New Roman" w:hint="default"/>
        </w:rPr>
        <w:t>Mapbar</w:t>
      </w:r>
      <w:r>
        <w:rPr>
          <w:rFonts w:ascii="Times New Roman" w:hAnsi="Times New Roman" w:cs="Times New Roman" w:eastAsia="Times New Roman" w:hint="default"/>
          <w:spacing w:val="39"/>
        </w:rPr>
        <w:t> </w:t>
      </w:r>
      <w:r>
        <w:rPr>
          <w:rFonts w:ascii="Times New Roman" w:hAnsi="Times New Roman" w:cs="Times New Roman" w:eastAsia="Times New Roman" w:hint="default"/>
        </w:rPr>
        <w:t>Technology</w:t>
      </w:r>
      <w:r>
        <w:rPr>
          <w:rFonts w:ascii="Times New Roman" w:hAnsi="Times New Roman" w:cs="Times New Roman" w:eastAsia="Times New Roman" w:hint="default"/>
          <w:spacing w:val="38"/>
        </w:rPr>
        <w:t> </w:t>
      </w:r>
      <w:r>
        <w:rPr>
          <w:rFonts w:ascii="Times New Roman" w:hAnsi="Times New Roman" w:cs="Times New Roman" w:eastAsia="Times New Roman" w:hint="default"/>
        </w:rPr>
        <w:t>Limited</w:t>
      </w:r>
      <w:r>
        <w:rPr/>
        <w:t>（以下简称</w:t>
      </w:r>
      <w:r>
        <w:rPr>
          <w:rFonts w:ascii="Times New Roman" w:hAnsi="Times New Roman" w:cs="Times New Roman" w:eastAsia="Times New Roman" w:hint="default"/>
        </w:rPr>
        <w:t>“</w:t>
      </w:r>
      <w:r>
        <w:rPr/>
        <w:t>图吧</w:t>
      </w:r>
      <w:r>
        <w:rPr>
          <w:spacing w:val="-3"/>
        </w:rPr>
        <w:t> </w:t>
      </w:r>
      <w:r>
        <w:rPr>
          <w:rFonts w:ascii="Times New Roman" w:hAnsi="Times New Roman" w:cs="Times New Roman" w:eastAsia="Times New Roman" w:hint="default"/>
        </w:rPr>
        <w:t>BVI”</w:t>
      </w:r>
      <w:r>
        <w:rPr/>
        <w:t>）于</w:t>
      </w:r>
      <w:r>
        <w:rPr>
          <w:spacing w:val="-47"/>
        </w:rPr>
        <w:t> </w:t>
      </w:r>
      <w:r>
        <w:rPr>
          <w:rFonts w:ascii="Times New Roman" w:hAnsi="Times New Roman" w:cs="Times New Roman" w:eastAsia="Times New Roman" w:hint="default"/>
        </w:rPr>
        <w:t>2018 </w:t>
      </w:r>
      <w:r>
        <w:rPr/>
        <w:t>年进行增资扩股，并于</w:t>
      </w:r>
      <w:r>
        <w:rPr>
          <w:spacing w:val="-46"/>
        </w:rPr>
        <w:t> </w:t>
      </w:r>
      <w:r>
        <w:rPr>
          <w:rFonts w:ascii="Times New Roman" w:hAnsi="Times New Roman" w:cs="Times New Roman" w:eastAsia="Times New Roman" w:hint="default"/>
        </w:rPr>
        <w:t>2018</w:t>
      </w:r>
      <w:r>
        <w:rPr>
          <w:rFonts w:ascii="Times New Roman" w:hAnsi="Times New Roman" w:cs="Times New Roman" w:eastAsia="Times New Roman" w:hint="default"/>
          <w:spacing w:val="-3"/>
        </w:rPr>
        <w:t> </w:t>
      </w:r>
      <w:r>
        <w:rPr/>
        <w:t>年</w:t>
      </w:r>
      <w:r>
        <w:rPr>
          <w:spacing w:val="-47"/>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1"/>
        </w:rPr>
        <w:t> </w:t>
      </w:r>
      <w:r>
        <w:rPr/>
        <w:t>月</w:t>
      </w:r>
      <w:r>
        <w:rPr>
          <w:spacing w:val="-47"/>
        </w:rPr>
        <w:t> </w:t>
      </w:r>
      <w:r>
        <w:rPr>
          <w:rFonts w:ascii="Times New Roman" w:hAnsi="Times New Roman" w:cs="Times New Roman" w:eastAsia="Times New Roman" w:hint="default"/>
        </w:rPr>
        <w:t>23</w:t>
      </w:r>
      <w:r>
        <w:rPr>
          <w:rFonts w:ascii="Times New Roman" w:hAnsi="Times New Roman" w:cs="Times New Roman" w:eastAsia="Times New Roman" w:hint="default"/>
          <w:spacing w:val="-2"/>
        </w:rPr>
        <w:t> </w:t>
      </w:r>
      <w:r>
        <w:rPr/>
        <w:t>日完成增资及交割手续，图吧</w:t>
      </w:r>
      <w:r>
        <w:rPr>
          <w:spacing w:val="-46"/>
        </w:rPr>
        <w:t> </w:t>
      </w:r>
      <w:r>
        <w:rPr>
          <w:rFonts w:ascii="Times New Roman" w:hAnsi="Times New Roman" w:cs="Times New Roman" w:eastAsia="Times New Roman" w:hint="default"/>
        </w:rPr>
        <w:t>BVI</w:t>
      </w:r>
      <w:r>
        <w:rPr>
          <w:rFonts w:ascii="Times New Roman" w:hAnsi="Times New Roman" w:cs="Times New Roman" w:eastAsia="Times New Roman" w:hint="default"/>
          <w:spacing w:val="-1"/>
        </w:rPr>
        <w:t> </w:t>
      </w:r>
      <w:r>
        <w:rPr/>
        <w:t>不再纳入公司合并范围。本次交易一次性实现投资收益，增加公司净利润。</w:t>
      </w:r>
      <w:r>
        <w:rPr>
          <w:w w:val="99"/>
        </w:rPr>
        <w:t> </w:t>
      </w:r>
      <w:r>
        <w:rPr>
          <w:rFonts w:ascii="Times New Roman" w:hAnsi="Times New Roman" w:cs="Times New Roman" w:eastAsia="Times New Roman" w:hint="default"/>
          <w:spacing w:val="-3"/>
          <w:w w:val="99"/>
        </w:rPr>
        <w:t>2</w:t>
      </w:r>
      <w:r>
        <w:rPr>
          <w:spacing w:val="-3"/>
          <w:w w:val="99"/>
        </w:rPr>
        <w:t>）公司子公司合肥杰发科技有限公司（以下简称“杰发科技”）</w:t>
      </w:r>
      <w:r>
        <w:rPr>
          <w:rFonts w:ascii="Times New Roman" w:hAnsi="Times New Roman" w:cs="Times New Roman" w:eastAsia="Times New Roman" w:hint="default"/>
          <w:spacing w:val="-3"/>
          <w:w w:val="99"/>
        </w:rPr>
        <w:t>2016-2018</w:t>
      </w:r>
      <w:r>
        <w:rPr>
          <w:rFonts w:ascii="Times New Roman" w:hAnsi="Times New Roman" w:cs="Times New Roman" w:eastAsia="Times New Roman" w:hint="default"/>
          <w:spacing w:val="30"/>
          <w:w w:val="99"/>
        </w:rPr>
        <w:t> </w:t>
      </w:r>
      <w:r>
        <w:rPr>
          <w:spacing w:val="-1"/>
          <w:w w:val="99"/>
        </w:rPr>
        <w:t>年期间未能完成承诺累计税后净利润，根据相关</w:t>
      </w:r>
      <w:r>
        <w:rPr>
          <w:spacing w:val="-1"/>
        </w:rPr>
      </w:r>
    </w:p>
    <w:p>
      <w:pPr>
        <w:pStyle w:val="BodyText"/>
        <w:spacing w:line="316" w:lineRule="auto"/>
        <w:ind w:right="982"/>
        <w:jc w:val="left"/>
      </w:pPr>
      <w:r>
        <w:rPr>
          <w:spacing w:val="-2"/>
        </w:rPr>
        <w:t>协议四维图新向杰发科技原股东支付的股权转让对价总额需要进行相应调减，增加公司净利润。同时，公司基于审慎原则对</w:t>
      </w:r>
      <w:r>
        <w:rPr>
          <w:spacing w:val="-64"/>
        </w:rPr>
        <w:t> </w:t>
      </w:r>
      <w:r>
        <w:rPr>
          <w:spacing w:val="-64"/>
        </w:rPr>
      </w:r>
      <w:r>
        <w:rPr/>
        <w:t>收购杰发科技形成的商誉进行减值测试并计提减值准备，减少公司净利润。</w:t>
      </w: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13"/>
          <w:szCs w:val="13"/>
        </w:rPr>
      </w:pPr>
    </w:p>
    <w:p>
      <w:pPr>
        <w:pStyle w:val="BodyText"/>
        <w:spacing w:line="240" w:lineRule="auto"/>
        <w:ind w:right="982"/>
        <w:jc w:val="left"/>
      </w:pPr>
      <w:r>
        <w:rPr/>
        <w:t>截止披露前一交易日的公司总股本：</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524"/>
        <w:gridCol w:w="5046"/>
      </w:tblGrid>
      <w:tr>
        <w:trPr>
          <w:trHeight w:val="401" w:hRule="exact"/>
        </w:trPr>
        <w:tc>
          <w:tcPr>
            <w:tcW w:w="45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截止披露前一交易日的公司总股本（股）</w:t>
            </w:r>
          </w:p>
        </w:tc>
        <w:tc>
          <w:tcPr>
            <w:tcW w:w="5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1,307,508,282</w:t>
            </w:r>
          </w:p>
        </w:tc>
      </w:tr>
      <w:tr>
        <w:trPr>
          <w:trHeight w:val="403" w:hRule="exact"/>
        </w:trPr>
        <w:tc>
          <w:tcPr>
            <w:tcW w:w="45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用最新股本计算的全面摊薄每股收益（元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5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0.3664</w:t>
            </w:r>
          </w:p>
        </w:tc>
      </w:tr>
    </w:tbl>
    <w:p>
      <w:pPr>
        <w:pStyle w:val="BodyText"/>
        <w:spacing w:line="240" w:lineRule="auto" w:before="49"/>
        <w:ind w:right="982"/>
        <w:jc w:val="left"/>
      </w:pPr>
      <w:r>
        <w:rPr/>
        <w:t>是否存在公司债</w:t>
      </w:r>
    </w:p>
    <w:p>
      <w:pPr>
        <w:pStyle w:val="BodyText"/>
        <w:spacing w:line="340" w:lineRule="auto" w:before="115"/>
        <w:ind w:right="7694"/>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2"/>
        </w:rPr>
        <w:t> </w:t>
      </w:r>
      <w:r>
        <w:rPr/>
        <w:t>否 公司是否存在最近两年连续亏损的情形</w:t>
      </w:r>
    </w:p>
    <w:p>
      <w:pPr>
        <w:pStyle w:val="BodyText"/>
        <w:spacing w:line="240" w:lineRule="auto" w:before="39"/>
        <w:ind w:right="982"/>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t>否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3"/>
        <w:rPr>
          <w:rFonts w:ascii="宋体" w:hAnsi="宋体" w:cs="宋体" w:eastAsia="宋体" w:hint="default"/>
          <w:sz w:val="24"/>
          <w:szCs w:val="24"/>
        </w:rPr>
      </w:pPr>
    </w:p>
    <w:p>
      <w:pPr>
        <w:spacing w:line="506" w:lineRule="auto" w:before="0"/>
        <w:ind w:left="152" w:right="982" w:firstLine="0"/>
        <w:jc w:val="left"/>
        <w:rPr>
          <w:rFonts w:ascii="宋体" w:hAnsi="宋体" w:cs="宋体" w:eastAsia="宋体" w:hint="default"/>
          <w:sz w:val="18"/>
          <w:szCs w:val="18"/>
        </w:rPr>
      </w:pPr>
      <w:r>
        <w:rPr>
          <w:rFonts w:ascii="宋体" w:hAnsi="宋体" w:cs="宋体" w:eastAsia="宋体" w:hint="default"/>
          <w:b/>
          <w:bCs/>
          <w:sz w:val="24"/>
          <w:szCs w:val="24"/>
        </w:rPr>
        <w:t>七、境内外会计准则下会计数据差异</w:t>
      </w:r>
      <w:r>
        <w:rPr>
          <w:rFonts w:ascii="宋体" w:hAnsi="宋体" w:cs="宋体" w:eastAsia="宋体" w:hint="default"/>
          <w:b/>
          <w:bCs/>
          <w:w w:val="99"/>
          <w:sz w:val="24"/>
          <w:szCs w:val="24"/>
        </w:rPr>
        <w:t> </w:t>
      </w:r>
      <w:r>
        <w:rPr>
          <w:rFonts w:ascii="Times New Roman" w:hAnsi="Times New Roman" w:cs="Times New Roman" w:eastAsia="Times New Roman" w:hint="default"/>
          <w:b/>
          <w:bCs/>
          <w:spacing w:val="-1"/>
          <w:sz w:val="21"/>
          <w:szCs w:val="21"/>
        </w:rPr>
        <w:t>1</w:t>
      </w:r>
      <w:r>
        <w:rPr>
          <w:rFonts w:ascii="宋体" w:hAnsi="宋体" w:cs="宋体" w:eastAsia="宋体" w:hint="default"/>
          <w:b/>
          <w:bCs/>
          <w:spacing w:val="-1"/>
          <w:sz w:val="21"/>
          <w:szCs w:val="21"/>
        </w:rPr>
        <w:t>、同时按照国际会计准则与按照中国会计准则披露的财务报告中净利润和净资产差异情况</w:t>
      </w:r>
      <w:r>
        <w:rPr>
          <w:rFonts w:ascii="宋体" w:hAnsi="宋体" w:cs="宋体" w:eastAsia="宋体" w:hint="default"/>
          <w:b/>
          <w:bCs/>
          <w:spacing w:val="-69"/>
          <w:sz w:val="21"/>
          <w:szCs w:val="21"/>
        </w:rPr>
        <w:t> </w:t>
      </w:r>
      <w:r>
        <w:rPr>
          <w:rFonts w:ascii="宋体" w:hAnsi="宋体" w:cs="宋体" w:eastAsia="宋体" w:hint="default"/>
          <w:b/>
          <w:bCs/>
          <w:spacing w:val="-69"/>
          <w:sz w:val="21"/>
          <w:szCs w:val="21"/>
        </w:rPr>
      </w:r>
      <w:r>
        <w:rPr>
          <w:rFonts w:ascii="宋体" w:hAnsi="宋体" w:cs="宋体" w:eastAsia="宋体" w:hint="default"/>
          <w:sz w:val="18"/>
          <w:szCs w:val="18"/>
        </w:rPr>
        <w:t>公司报告期不存在按照国际会计准则与按照中国会计准则披露的财务报告中净利润和净资产差异情况。</w:t>
      </w:r>
    </w:p>
    <w:p>
      <w:pPr>
        <w:pStyle w:val="Heading4"/>
        <w:spacing w:line="240" w:lineRule="auto" w:before="153"/>
        <w:ind w:right="982"/>
        <w:jc w:val="left"/>
        <w:rPr>
          <w:b w:val="0"/>
          <w:bCs w:val="0"/>
        </w:rPr>
      </w:pPr>
      <w:r>
        <w:rPr>
          <w:rFonts w:ascii="Times New Roman" w:hAnsi="Times New Roman" w:cs="Times New Roman" w:eastAsia="Times New Roman" w:hint="default"/>
        </w:rPr>
        <w:t>2</w:t>
      </w:r>
      <w:r>
        <w:rPr/>
        <w:t>、同时按照境外会计准则与按照中国会计准则披露的财务报告中净利润和净资产差异情况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t>公司报告期不存在按照境外会计准则与按照中国会计准则披露的财务报告中净利润和净资产差异情况。</w:t>
      </w:r>
    </w:p>
    <w:p>
      <w:pPr>
        <w:spacing w:line="240" w:lineRule="auto" w:before="4"/>
        <w:rPr>
          <w:rFonts w:ascii="宋体" w:hAnsi="宋体" w:cs="宋体" w:eastAsia="宋体" w:hint="default"/>
          <w:sz w:val="25"/>
          <w:szCs w:val="25"/>
        </w:rPr>
      </w:pPr>
    </w:p>
    <w:p>
      <w:pPr>
        <w:pStyle w:val="Heading2"/>
        <w:spacing w:line="240" w:lineRule="auto"/>
        <w:ind w:right="982"/>
        <w:jc w:val="left"/>
        <w:rPr>
          <w:b w:val="0"/>
          <w:bCs w:val="0"/>
        </w:rPr>
      </w:pPr>
      <w:r>
        <w:rPr/>
        <w:t>八、分季度主要财务指标</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598"/>
        <w:gridCol w:w="1751"/>
        <w:gridCol w:w="1740"/>
        <w:gridCol w:w="1738"/>
        <w:gridCol w:w="1731"/>
      </w:tblGrid>
      <w:tr>
        <w:trPr>
          <w:trHeight w:val="403"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17" w:right="0"/>
              <w:jc w:val="left"/>
              <w:rPr>
                <w:rFonts w:ascii="宋体" w:hAnsi="宋体" w:cs="宋体" w:eastAsia="宋体" w:hint="default"/>
                <w:sz w:val="18"/>
                <w:szCs w:val="18"/>
              </w:rPr>
            </w:pPr>
            <w:r>
              <w:rPr>
                <w:rFonts w:ascii="宋体" w:hAnsi="宋体" w:cs="宋体" w:eastAsia="宋体" w:hint="default"/>
                <w:sz w:val="18"/>
                <w:szCs w:val="18"/>
              </w:rPr>
              <w:t>第一季度</w:t>
            </w:r>
          </w:p>
        </w:tc>
        <w:tc>
          <w:tcPr>
            <w:tcW w:w="1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03" w:right="0"/>
              <w:jc w:val="left"/>
              <w:rPr>
                <w:rFonts w:ascii="宋体" w:hAnsi="宋体" w:cs="宋体" w:eastAsia="宋体" w:hint="default"/>
                <w:sz w:val="18"/>
                <w:szCs w:val="18"/>
              </w:rPr>
            </w:pPr>
            <w:r>
              <w:rPr>
                <w:rFonts w:ascii="宋体" w:hAnsi="宋体" w:cs="宋体" w:eastAsia="宋体" w:hint="default"/>
                <w:sz w:val="18"/>
                <w:szCs w:val="18"/>
              </w:rPr>
              <w:t>第二季度</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03" w:right="0"/>
              <w:jc w:val="left"/>
              <w:rPr>
                <w:rFonts w:ascii="宋体" w:hAnsi="宋体" w:cs="宋体" w:eastAsia="宋体" w:hint="default"/>
                <w:sz w:val="18"/>
                <w:szCs w:val="18"/>
              </w:rPr>
            </w:pPr>
            <w:r>
              <w:rPr>
                <w:rFonts w:ascii="宋体" w:hAnsi="宋体" w:cs="宋体" w:eastAsia="宋体" w:hint="default"/>
                <w:sz w:val="18"/>
                <w:szCs w:val="18"/>
              </w:rPr>
              <w:t>第三季度</w:t>
            </w:r>
          </w:p>
        </w:tc>
        <w:tc>
          <w:tcPr>
            <w:tcW w:w="17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99" w:right="0"/>
              <w:jc w:val="left"/>
              <w:rPr>
                <w:rFonts w:ascii="宋体" w:hAnsi="宋体" w:cs="宋体" w:eastAsia="宋体" w:hint="default"/>
                <w:sz w:val="18"/>
                <w:szCs w:val="18"/>
              </w:rPr>
            </w:pPr>
            <w:r>
              <w:rPr>
                <w:rFonts w:ascii="宋体" w:hAnsi="宋体" w:cs="宋体" w:eastAsia="宋体" w:hint="default"/>
                <w:sz w:val="18"/>
                <w:szCs w:val="18"/>
              </w:rPr>
              <w:t>第四季度</w:t>
            </w:r>
          </w:p>
        </w:tc>
      </w:tr>
      <w:tr>
        <w:trPr>
          <w:trHeight w:val="401"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75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452,855,903.44</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537,487,265.33</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533,108,853.58</w:t>
            </w:r>
          </w:p>
        </w:tc>
        <w:tc>
          <w:tcPr>
            <w:tcW w:w="17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610,207,091.63</w:t>
            </w:r>
          </w:p>
        </w:tc>
      </w:tr>
      <w:tr>
        <w:trPr>
          <w:trHeight w:val="403"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tc>
        <w:tc>
          <w:tcPr>
            <w:tcW w:w="175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73,318,809.75</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89,923,843.68</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55,970,352.56</w:t>
            </w:r>
          </w:p>
        </w:tc>
        <w:tc>
          <w:tcPr>
            <w:tcW w:w="17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259,857,705.86</w:t>
            </w:r>
          </w:p>
        </w:tc>
      </w:tr>
      <w:tr>
        <w:trPr>
          <w:trHeight w:val="713"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54"/>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 常性损益的净利润</w:t>
            </w:r>
          </w:p>
        </w:tc>
        <w:tc>
          <w:tcPr>
            <w:tcW w:w="175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55,962,061.34</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78,913,371.16</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37,975,632.94</w:t>
            </w:r>
          </w:p>
        </w:tc>
        <w:tc>
          <w:tcPr>
            <w:tcW w:w="17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-1,230,317,467.52</w:t>
            </w:r>
          </w:p>
        </w:tc>
      </w:tr>
      <w:tr>
        <w:trPr>
          <w:trHeight w:val="403"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75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229,420,471.23</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-38,682,038.31</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128,822,943.66</w:t>
            </w:r>
          </w:p>
        </w:tc>
        <w:tc>
          <w:tcPr>
            <w:tcW w:w="17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51,188,294.01</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9"/>
        <w:rPr>
          <w:rFonts w:ascii="宋体" w:hAnsi="宋体" w:cs="宋体" w:eastAsia="宋体" w:hint="default"/>
          <w:sz w:val="25"/>
          <w:szCs w:val="25"/>
        </w:rPr>
      </w:pPr>
    </w:p>
    <w:p>
      <w:pPr>
        <w:pStyle w:val="BodyText"/>
        <w:spacing w:line="240" w:lineRule="auto" w:before="44"/>
        <w:ind w:right="982"/>
        <w:jc w:val="left"/>
      </w:pPr>
      <w:r>
        <w:rPr/>
        <w:t>上述财务指标或其加总数是否与公司已披露季度报告、半年度报告相关财务指标存在重大差异</w:t>
      </w:r>
    </w:p>
    <w:p>
      <w:pPr>
        <w:pStyle w:val="BodyText"/>
        <w:spacing w:line="240" w:lineRule="auto" w:before="117"/>
        <w:ind w:right="982"/>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spacing w:line="240" w:lineRule="auto" w:before="0"/>
        <w:rPr>
          <w:rFonts w:ascii="宋体" w:hAnsi="宋体" w:cs="宋体" w:eastAsia="宋体" w:hint="default"/>
          <w:sz w:val="24"/>
          <w:szCs w:val="24"/>
        </w:rPr>
      </w:pPr>
    </w:p>
    <w:p>
      <w:pPr>
        <w:pStyle w:val="Heading2"/>
        <w:spacing w:line="240" w:lineRule="auto"/>
        <w:ind w:right="982"/>
        <w:jc w:val="left"/>
        <w:rPr>
          <w:b w:val="0"/>
          <w:bCs w:val="0"/>
        </w:rPr>
      </w:pPr>
      <w:r>
        <w:rPr/>
        <w:t>九、非经常性损益项目及金额</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240" w:lineRule="auto" w:before="103"/>
        <w:ind w:left="0" w:right="1131"/>
        <w:jc w:val="right"/>
      </w:pPr>
      <w:r>
        <w:rPr/>
        <w:t>单位：元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273"/>
        <w:gridCol w:w="1532"/>
        <w:gridCol w:w="1520"/>
        <w:gridCol w:w="1522"/>
        <w:gridCol w:w="1712"/>
      </w:tblGrid>
      <w:tr>
        <w:trPr>
          <w:trHeight w:val="401"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年金额</w:t>
            </w:r>
          </w:p>
        </w:tc>
        <w:tc>
          <w:tcPr>
            <w:tcW w:w="15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年金额</w:t>
            </w:r>
          </w:p>
        </w:tc>
        <w:tc>
          <w:tcPr>
            <w:tcW w:w="15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年金额</w:t>
            </w:r>
          </w:p>
        </w:tc>
        <w:tc>
          <w:tcPr>
            <w:tcW w:w="17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161" w:hRule="exact"/>
        </w:trPr>
        <w:tc>
          <w:tcPr>
            <w:tcW w:w="3273" w:type="dxa"/>
            <w:tcBorders>
              <w:top w:val="single" w:sz="4" w:space="0" w:color="000000"/>
              <w:left w:val="single" w:sz="4" w:space="0" w:color="000000"/>
              <w:bottom w:val="nil" w:sz="6" w:space="0" w:color="auto"/>
              <w:right w:val="single" w:sz="4" w:space="0" w:color="000000"/>
            </w:tcBorders>
            <w:shd w:val="clear" w:color="auto" w:fill="D2D2D2"/>
          </w:tcPr>
          <w:p>
            <w:pPr/>
          </w:p>
        </w:tc>
        <w:tc>
          <w:tcPr>
            <w:tcW w:w="1532" w:type="dxa"/>
            <w:vMerge w:val="restart"/>
            <w:tcBorders>
              <w:top w:val="single" w:sz="4" w:space="0" w:color="000000"/>
              <w:left w:val="single" w:sz="10"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31" w:right="0"/>
              <w:jc w:val="left"/>
              <w:rPr>
                <w:rFonts w:ascii="Times New Roman" w:hAnsi="Times New Roman" w:cs="Times New Roman" w:eastAsia="Times New Roman" w:hint="default"/>
                <w:sz w:val="18"/>
                <w:szCs w:val="18"/>
              </w:rPr>
            </w:pPr>
            <w:r>
              <w:rPr>
                <w:rFonts w:ascii="Times New Roman"/>
                <w:sz w:val="18"/>
              </w:rPr>
              <w:t>1,077,376,020.17</w:t>
            </w:r>
          </w:p>
        </w:tc>
        <w:tc>
          <w:tcPr>
            <w:tcW w:w="152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542" w:right="0"/>
              <w:jc w:val="left"/>
              <w:rPr>
                <w:rFonts w:ascii="Times New Roman" w:hAnsi="Times New Roman" w:cs="Times New Roman" w:eastAsia="Times New Roman" w:hint="default"/>
                <w:sz w:val="18"/>
                <w:szCs w:val="18"/>
              </w:rPr>
            </w:pPr>
            <w:r>
              <w:rPr>
                <w:rFonts w:ascii="Times New Roman"/>
                <w:sz w:val="18"/>
              </w:rPr>
              <w:t>1,939,833.49</w:t>
            </w:r>
          </w:p>
        </w:tc>
        <w:tc>
          <w:tcPr>
            <w:tcW w:w="152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79" w:right="0"/>
              <w:jc w:val="left"/>
              <w:rPr>
                <w:rFonts w:ascii="Times New Roman" w:hAnsi="Times New Roman" w:cs="Times New Roman" w:eastAsia="Times New Roman" w:hint="default"/>
                <w:sz w:val="18"/>
                <w:szCs w:val="18"/>
              </w:rPr>
            </w:pPr>
            <w:r>
              <w:rPr>
                <w:rFonts w:ascii="Times New Roman"/>
                <w:sz w:val="18"/>
              </w:rPr>
              <w:t>437,037.50</w:t>
            </w:r>
          </w:p>
        </w:tc>
        <w:tc>
          <w:tcPr>
            <w:tcW w:w="1712" w:type="dxa"/>
            <w:vMerge w:val="restart"/>
            <w:tcBorders>
              <w:top w:val="single" w:sz="4" w:space="0" w:color="000000"/>
              <w:left w:val="single" w:sz="4" w:space="0" w:color="000000"/>
              <w:right w:val="single" w:sz="4" w:space="0" w:color="000000"/>
            </w:tcBorders>
          </w:tcPr>
          <w:p>
            <w:pPr>
              <w:pStyle w:val="TableParagraph"/>
              <w:spacing w:line="312" w:lineRule="exact" w:before="9"/>
              <w:ind w:left="23" w:right="161"/>
              <w:jc w:val="both"/>
              <w:rPr>
                <w:rFonts w:ascii="宋体" w:hAnsi="宋体" w:cs="宋体" w:eastAsia="宋体" w:hint="default"/>
                <w:sz w:val="18"/>
                <w:szCs w:val="18"/>
              </w:rPr>
            </w:pPr>
            <w:r>
              <w:rPr>
                <w:rFonts w:ascii="宋体" w:hAnsi="宋体" w:cs="宋体" w:eastAsia="宋体" w:hint="default"/>
                <w:sz w:val="18"/>
                <w:szCs w:val="18"/>
              </w:rPr>
              <w:t>主要系处置子公司 </w:t>
            </w:r>
            <w:r>
              <w:rPr>
                <w:rFonts w:ascii="Times New Roman" w:hAnsi="Times New Roman" w:cs="Times New Roman" w:eastAsia="Times New Roman" w:hint="default"/>
                <w:sz w:val="18"/>
                <w:szCs w:val="18"/>
              </w:rPr>
              <w:t>Mapbar</w:t>
            </w:r>
            <w:r>
              <w:rPr>
                <w:rFonts w:ascii="Times New Roman" w:hAnsi="Times New Roman" w:cs="Times New Roman" w:eastAsia="Times New Roman" w:hint="default"/>
                <w:spacing w:val="-8"/>
                <w:sz w:val="18"/>
                <w:szCs w:val="18"/>
              </w:rPr>
              <w:t> </w:t>
            </w:r>
            <w:r>
              <w:rPr>
                <w:rFonts w:ascii="Times New Roman" w:hAnsi="Times New Roman" w:cs="Times New Roman" w:eastAsia="Times New Roman" w:hint="default"/>
                <w:sz w:val="18"/>
                <w:szCs w:val="18"/>
              </w:rPr>
              <w:t>Technology</w:t>
            </w:r>
            <w:r>
              <w:rPr>
                <w:rFonts w:ascii="Times New Roman" w:hAnsi="Times New Roman" w:cs="Times New Roman" w:eastAsia="Times New Roman" w:hint="default"/>
                <w:sz w:val="18"/>
                <w:szCs w:val="18"/>
              </w:rPr>
              <w:t> Limited</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的投资收益</w:t>
            </w:r>
          </w:p>
        </w:tc>
      </w:tr>
      <w:tr>
        <w:trPr>
          <w:trHeight w:val="706" w:hRule="exact"/>
        </w:trPr>
        <w:tc>
          <w:tcPr>
            <w:tcW w:w="327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49"/>
              <w:ind w:left="12" w:right="9"/>
              <w:jc w:val="left"/>
              <w:rPr>
                <w:rFonts w:ascii="宋体" w:hAnsi="宋体" w:cs="宋体" w:eastAsia="宋体" w:hint="default"/>
                <w:sz w:val="18"/>
                <w:szCs w:val="18"/>
              </w:rPr>
            </w:pPr>
            <w:r>
              <w:rPr>
                <w:rFonts w:ascii="宋体" w:hAnsi="宋体" w:cs="宋体" w:eastAsia="宋体" w:hint="default"/>
                <w:sz w:val="18"/>
                <w:szCs w:val="18"/>
              </w:rPr>
              <w:t>非流动资产处置损益（包括已计提资产减 值准备的冲销部分）</w:t>
            </w:r>
          </w:p>
        </w:tc>
        <w:tc>
          <w:tcPr>
            <w:tcW w:w="1532" w:type="dxa"/>
            <w:vMerge/>
            <w:tcBorders>
              <w:left w:val="single" w:sz="10" w:space="0" w:color="D2D2D2"/>
              <w:right w:val="single" w:sz="4" w:space="0" w:color="000000"/>
            </w:tcBorders>
          </w:tcPr>
          <w:p>
            <w:pPr/>
          </w:p>
        </w:tc>
        <w:tc>
          <w:tcPr>
            <w:tcW w:w="1520" w:type="dxa"/>
            <w:vMerge/>
            <w:tcBorders>
              <w:left w:val="single" w:sz="4" w:space="0" w:color="000000"/>
              <w:right w:val="single" w:sz="4" w:space="0" w:color="000000"/>
            </w:tcBorders>
          </w:tcPr>
          <w:p>
            <w:pPr/>
          </w:p>
        </w:tc>
        <w:tc>
          <w:tcPr>
            <w:tcW w:w="1522" w:type="dxa"/>
            <w:vMerge/>
            <w:tcBorders>
              <w:left w:val="single" w:sz="4" w:space="0" w:color="000000"/>
              <w:right w:val="single" w:sz="4" w:space="0" w:color="000000"/>
            </w:tcBorders>
          </w:tcPr>
          <w:p>
            <w:pPr/>
          </w:p>
        </w:tc>
        <w:tc>
          <w:tcPr>
            <w:tcW w:w="1712" w:type="dxa"/>
            <w:vMerge/>
            <w:tcBorders>
              <w:left w:val="single" w:sz="4" w:space="0" w:color="000000"/>
              <w:right w:val="single" w:sz="4" w:space="0" w:color="000000"/>
            </w:tcBorders>
          </w:tcPr>
          <w:p>
            <w:pPr/>
          </w:p>
        </w:tc>
      </w:tr>
      <w:tr>
        <w:trPr>
          <w:trHeight w:val="161" w:hRule="exact"/>
        </w:trPr>
        <w:tc>
          <w:tcPr>
            <w:tcW w:w="3273" w:type="dxa"/>
            <w:tcBorders>
              <w:top w:val="nil" w:sz="6" w:space="0" w:color="auto"/>
              <w:left w:val="single" w:sz="4" w:space="0" w:color="000000"/>
              <w:bottom w:val="single" w:sz="4" w:space="0" w:color="000000"/>
              <w:right w:val="single" w:sz="4" w:space="0" w:color="000000"/>
            </w:tcBorders>
            <w:shd w:val="clear" w:color="auto" w:fill="D2D2D2"/>
          </w:tcPr>
          <w:p>
            <w:pPr/>
          </w:p>
        </w:tc>
        <w:tc>
          <w:tcPr>
            <w:tcW w:w="1532" w:type="dxa"/>
            <w:vMerge/>
            <w:tcBorders>
              <w:left w:val="single" w:sz="10" w:space="0" w:color="D2D2D2"/>
              <w:bottom w:val="single" w:sz="4" w:space="0" w:color="000000"/>
              <w:right w:val="single" w:sz="4" w:space="0" w:color="000000"/>
            </w:tcBorders>
          </w:tcPr>
          <w:p>
            <w:pPr/>
          </w:p>
        </w:tc>
        <w:tc>
          <w:tcPr>
            <w:tcW w:w="1520" w:type="dxa"/>
            <w:vMerge/>
            <w:tcBorders>
              <w:left w:val="single" w:sz="4" w:space="0" w:color="000000"/>
              <w:bottom w:val="single" w:sz="4" w:space="0" w:color="000000"/>
              <w:right w:val="single" w:sz="4" w:space="0" w:color="000000"/>
            </w:tcBorders>
          </w:tcPr>
          <w:p>
            <w:pPr/>
          </w:p>
        </w:tc>
        <w:tc>
          <w:tcPr>
            <w:tcW w:w="1522" w:type="dxa"/>
            <w:vMerge/>
            <w:tcBorders>
              <w:left w:val="single" w:sz="4" w:space="0" w:color="000000"/>
              <w:bottom w:val="single" w:sz="4" w:space="0" w:color="000000"/>
              <w:right w:val="single" w:sz="4" w:space="0" w:color="000000"/>
            </w:tcBorders>
          </w:tcPr>
          <w:p>
            <w:pPr/>
          </w:p>
        </w:tc>
        <w:tc>
          <w:tcPr>
            <w:tcW w:w="1712" w:type="dxa"/>
            <w:vMerge/>
            <w:tcBorders>
              <w:left w:val="single" w:sz="4" w:space="0" w:color="000000"/>
              <w:bottom w:val="single" w:sz="4" w:space="0" w:color="000000"/>
              <w:right w:val="single" w:sz="4" w:space="0" w:color="000000"/>
            </w:tcBorders>
          </w:tcPr>
          <w:p>
            <w:pPr/>
          </w:p>
        </w:tc>
      </w:tr>
      <w:tr>
        <w:trPr>
          <w:trHeight w:val="713"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12" w:right="9"/>
              <w:jc w:val="left"/>
              <w:rPr>
                <w:rFonts w:ascii="宋体" w:hAnsi="宋体" w:cs="宋体" w:eastAsia="宋体" w:hint="default"/>
                <w:sz w:val="18"/>
                <w:szCs w:val="18"/>
              </w:rPr>
            </w:pPr>
            <w:r>
              <w:rPr>
                <w:rFonts w:ascii="宋体" w:hAnsi="宋体" w:cs="宋体" w:eastAsia="宋体" w:hint="default"/>
                <w:sz w:val="18"/>
                <w:szCs w:val="18"/>
              </w:rPr>
              <w:t>越权审批或无正式批准文件的税收返还、 减免</w:t>
            </w:r>
          </w:p>
        </w:tc>
        <w:tc>
          <w:tcPr>
            <w:tcW w:w="153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712"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9"/>
              <w:jc w:val="both"/>
              <w:rPr>
                <w:rFonts w:ascii="宋体" w:hAnsi="宋体" w:cs="宋体" w:eastAsia="宋体" w:hint="default"/>
                <w:sz w:val="18"/>
                <w:szCs w:val="18"/>
              </w:rPr>
            </w:pPr>
            <w:r>
              <w:rPr>
                <w:rFonts w:ascii="宋体" w:hAnsi="宋体" w:cs="宋体" w:eastAsia="宋体" w:hint="default"/>
                <w:sz w:val="18"/>
                <w:szCs w:val="18"/>
              </w:rPr>
              <w:t>计入当期损益的政府补助（与企业业务密 切相关，按照国家统一标准定额或定量享 受的政府补助除外）</w:t>
            </w:r>
          </w:p>
        </w:tc>
        <w:tc>
          <w:tcPr>
            <w:tcW w:w="153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962,169.95</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52,164,892.67</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13,064,021.49</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56"/>
              <w:jc w:val="both"/>
              <w:rPr>
                <w:rFonts w:ascii="宋体" w:hAnsi="宋体" w:cs="宋体" w:eastAsia="宋体" w:hint="default"/>
                <w:sz w:val="18"/>
                <w:szCs w:val="18"/>
              </w:rPr>
            </w:pPr>
            <w:r>
              <w:rPr>
                <w:rFonts w:ascii="宋体" w:hAnsi="宋体" w:cs="宋体" w:eastAsia="宋体" w:hint="default"/>
                <w:sz w:val="18"/>
                <w:szCs w:val="18"/>
              </w:rPr>
              <w:t>公司收到政府项目资 助，并在本期确认营 业外收入</w:t>
            </w:r>
          </w:p>
        </w:tc>
      </w:tr>
      <w:tr>
        <w:trPr>
          <w:trHeight w:val="713"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12" w:right="9"/>
              <w:jc w:val="left"/>
              <w:rPr>
                <w:rFonts w:ascii="宋体" w:hAnsi="宋体" w:cs="宋体" w:eastAsia="宋体" w:hint="default"/>
                <w:sz w:val="18"/>
                <w:szCs w:val="18"/>
              </w:rPr>
            </w:pPr>
            <w:r>
              <w:rPr>
                <w:rFonts w:ascii="宋体" w:hAnsi="宋体" w:cs="宋体" w:eastAsia="宋体" w:hint="default"/>
                <w:sz w:val="18"/>
                <w:szCs w:val="18"/>
              </w:rPr>
              <w:t>计入当期损益的对非金融企业收取的资金 占用费</w:t>
            </w:r>
          </w:p>
        </w:tc>
        <w:tc>
          <w:tcPr>
            <w:tcW w:w="153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671,422.95</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712" w:type="dxa"/>
            <w:tcBorders>
              <w:top w:val="single" w:sz="4" w:space="0" w:color="000000"/>
              <w:left w:val="single" w:sz="4" w:space="0" w:color="000000"/>
              <w:bottom w:val="single" w:sz="4" w:space="0" w:color="000000"/>
              <w:right w:val="single" w:sz="4" w:space="0" w:color="000000"/>
            </w:tcBorders>
          </w:tcPr>
          <w:p>
            <w:pPr/>
          </w:p>
        </w:tc>
      </w:tr>
      <w:tr>
        <w:trPr>
          <w:trHeight w:val="1028"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9"/>
              <w:jc w:val="both"/>
              <w:rPr>
                <w:rFonts w:ascii="宋体" w:hAnsi="宋体" w:cs="宋体" w:eastAsia="宋体" w:hint="default"/>
                <w:sz w:val="18"/>
                <w:szCs w:val="18"/>
              </w:rPr>
            </w:pPr>
            <w:r>
              <w:rPr>
                <w:rFonts w:ascii="宋体" w:hAnsi="宋体" w:cs="宋体" w:eastAsia="宋体" w:hint="default"/>
                <w:sz w:val="18"/>
                <w:szCs w:val="18"/>
              </w:rPr>
              <w:t>企业取得子公司、联营企业及合营企业的 投资成本小于取得投资时应享有被投资单 位可辨认净资产公允价值产生的收益</w:t>
            </w:r>
          </w:p>
        </w:tc>
        <w:tc>
          <w:tcPr>
            <w:tcW w:w="153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71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非货币性资产交换损益</w:t>
            </w:r>
          </w:p>
        </w:tc>
        <w:tc>
          <w:tcPr>
            <w:tcW w:w="153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71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委托他人投资或管理资产的损益</w:t>
            </w:r>
          </w:p>
        </w:tc>
        <w:tc>
          <w:tcPr>
            <w:tcW w:w="153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25,082,831.48</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7,556,839.13</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2,745,205.47</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银行理财收益</w:t>
            </w:r>
          </w:p>
        </w:tc>
      </w:tr>
      <w:tr>
        <w:trPr>
          <w:trHeight w:val="713"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12" w:right="9"/>
              <w:jc w:val="left"/>
              <w:rPr>
                <w:rFonts w:ascii="宋体" w:hAnsi="宋体" w:cs="宋体" w:eastAsia="宋体" w:hint="default"/>
                <w:sz w:val="18"/>
                <w:szCs w:val="18"/>
              </w:rPr>
            </w:pPr>
            <w:r>
              <w:rPr>
                <w:rFonts w:ascii="宋体" w:hAnsi="宋体" w:cs="宋体" w:eastAsia="宋体" w:hint="default"/>
                <w:sz w:val="18"/>
                <w:szCs w:val="18"/>
              </w:rPr>
              <w:t>因不可抗力因素，如遭受自然灾害而计提 的各项资产减值准备</w:t>
            </w:r>
          </w:p>
        </w:tc>
        <w:tc>
          <w:tcPr>
            <w:tcW w:w="153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71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债务重组损益</w:t>
            </w:r>
          </w:p>
        </w:tc>
        <w:tc>
          <w:tcPr>
            <w:tcW w:w="153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-488,871.60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712"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12" w:right="9"/>
              <w:jc w:val="left"/>
              <w:rPr>
                <w:rFonts w:ascii="宋体" w:hAnsi="宋体" w:cs="宋体" w:eastAsia="宋体" w:hint="default"/>
                <w:sz w:val="18"/>
                <w:szCs w:val="18"/>
              </w:rPr>
            </w:pPr>
            <w:r>
              <w:rPr>
                <w:rFonts w:ascii="宋体" w:hAnsi="宋体" w:cs="宋体" w:eastAsia="宋体" w:hint="default"/>
                <w:sz w:val="18"/>
                <w:szCs w:val="18"/>
              </w:rPr>
              <w:t>企业重组费用，如安置职工的支出、整合 费用等</w:t>
            </w:r>
          </w:p>
        </w:tc>
        <w:tc>
          <w:tcPr>
            <w:tcW w:w="153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71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9"/>
              <w:jc w:val="left"/>
              <w:rPr>
                <w:rFonts w:ascii="宋体" w:hAnsi="宋体" w:cs="宋体" w:eastAsia="宋体" w:hint="default"/>
                <w:sz w:val="18"/>
                <w:szCs w:val="18"/>
              </w:rPr>
            </w:pPr>
            <w:r>
              <w:rPr>
                <w:rFonts w:ascii="宋体" w:hAnsi="宋体" w:cs="宋体" w:eastAsia="宋体" w:hint="default"/>
                <w:sz w:val="18"/>
                <w:szCs w:val="18"/>
              </w:rPr>
              <w:t>交易价格显失公允的交易产生的超过公允 价值部分的损益</w:t>
            </w:r>
          </w:p>
        </w:tc>
        <w:tc>
          <w:tcPr>
            <w:tcW w:w="153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712"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12" w:right="9"/>
              <w:jc w:val="left"/>
              <w:rPr>
                <w:rFonts w:ascii="宋体" w:hAnsi="宋体" w:cs="宋体" w:eastAsia="宋体" w:hint="default"/>
                <w:sz w:val="18"/>
                <w:szCs w:val="18"/>
              </w:rPr>
            </w:pPr>
            <w:r>
              <w:rPr>
                <w:rFonts w:ascii="宋体" w:hAnsi="宋体" w:cs="宋体" w:eastAsia="宋体" w:hint="default"/>
                <w:sz w:val="18"/>
                <w:szCs w:val="18"/>
              </w:rPr>
              <w:t>同一控制下企业合并产生的子公司期初至 合并日的当期净损益</w:t>
            </w:r>
          </w:p>
        </w:tc>
        <w:tc>
          <w:tcPr>
            <w:tcW w:w="153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71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9"/>
              <w:jc w:val="left"/>
              <w:rPr>
                <w:rFonts w:ascii="宋体" w:hAnsi="宋体" w:cs="宋体" w:eastAsia="宋体" w:hint="default"/>
                <w:sz w:val="18"/>
                <w:szCs w:val="18"/>
              </w:rPr>
            </w:pPr>
            <w:r>
              <w:rPr>
                <w:rFonts w:ascii="宋体" w:hAnsi="宋体" w:cs="宋体" w:eastAsia="宋体" w:hint="default"/>
                <w:sz w:val="18"/>
                <w:szCs w:val="18"/>
              </w:rPr>
              <w:t>与公司正常经营业务无关的或有事项产生 的损益</w:t>
            </w:r>
          </w:p>
        </w:tc>
        <w:tc>
          <w:tcPr>
            <w:tcW w:w="153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712" w:type="dxa"/>
            <w:tcBorders>
              <w:top w:val="single" w:sz="4" w:space="0" w:color="000000"/>
              <w:left w:val="single" w:sz="4" w:space="0" w:color="000000"/>
              <w:bottom w:val="single" w:sz="4" w:space="0" w:color="000000"/>
              <w:right w:val="single" w:sz="4" w:space="0" w:color="000000"/>
            </w:tcBorders>
          </w:tcPr>
          <w:p>
            <w:pPr/>
          </w:p>
        </w:tc>
      </w:tr>
      <w:tr>
        <w:trPr>
          <w:trHeight w:val="1649"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9"/>
              <w:jc w:val="both"/>
              <w:rPr>
                <w:rFonts w:ascii="宋体" w:hAnsi="宋体" w:cs="宋体" w:eastAsia="宋体" w:hint="default"/>
                <w:sz w:val="18"/>
                <w:szCs w:val="18"/>
              </w:rPr>
            </w:pPr>
            <w:r>
              <w:rPr>
                <w:rFonts w:ascii="宋体" w:hAnsi="宋体" w:cs="宋体" w:eastAsia="宋体" w:hint="default"/>
                <w:sz w:val="18"/>
                <w:szCs w:val="18"/>
              </w:rPr>
              <w:t>除同公司正常经营业务相关的有效套期保 值业务外，持有交易性金融资产、交易性 金融负债产生的公允价值变动损益，以及 处置交易性金融资产、交易性金融负债和 可供出售金融资产取得的投资收益</w:t>
            </w:r>
          </w:p>
        </w:tc>
        <w:tc>
          <w:tcPr>
            <w:tcW w:w="153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7,703,069.00</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8,472,084.00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3" w:right="56"/>
              <w:jc w:val="both"/>
              <w:rPr>
                <w:rFonts w:ascii="宋体" w:hAnsi="宋体" w:cs="宋体" w:eastAsia="宋体" w:hint="default"/>
                <w:sz w:val="18"/>
                <w:szCs w:val="18"/>
              </w:rPr>
            </w:pPr>
            <w:r>
              <w:rPr>
                <w:rFonts w:ascii="宋体" w:hAnsi="宋体" w:cs="宋体" w:eastAsia="宋体" w:hint="default"/>
                <w:sz w:val="18"/>
                <w:szCs w:val="18"/>
              </w:rPr>
              <w:t>主要系处置可供出售 金融资产取得的投资 收益</w:t>
            </w:r>
          </w:p>
        </w:tc>
      </w:tr>
    </w:tbl>
    <w:p>
      <w:pPr>
        <w:spacing w:after="0" w:line="316" w:lineRule="auto"/>
        <w:jc w:val="both"/>
        <w:rPr>
          <w:rFonts w:ascii="宋体" w:hAnsi="宋体" w:cs="宋体" w:eastAsia="宋体"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295"/>
        <w:gridCol w:w="1522"/>
        <w:gridCol w:w="1520"/>
        <w:gridCol w:w="1522"/>
        <w:gridCol w:w="1712"/>
      </w:tblGrid>
      <w:tr>
        <w:trPr>
          <w:trHeight w:val="713" w:hRule="exact"/>
        </w:trPr>
        <w:tc>
          <w:tcPr>
            <w:tcW w:w="3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2" w:right="20"/>
              <w:jc w:val="left"/>
              <w:rPr>
                <w:rFonts w:ascii="宋体" w:hAnsi="宋体" w:cs="宋体" w:eastAsia="宋体" w:hint="default"/>
                <w:sz w:val="18"/>
                <w:szCs w:val="18"/>
              </w:rPr>
            </w:pPr>
            <w:r>
              <w:rPr>
                <w:rFonts w:ascii="宋体" w:hAnsi="宋体" w:cs="宋体" w:eastAsia="宋体" w:hint="default"/>
                <w:sz w:val="18"/>
                <w:szCs w:val="18"/>
              </w:rPr>
              <w:t>单独进行减值测试的应收款项减值准备转 回</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71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对外委托贷款取得的损益</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712"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3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20"/>
              <w:jc w:val="left"/>
              <w:rPr>
                <w:rFonts w:ascii="宋体" w:hAnsi="宋体" w:cs="宋体" w:eastAsia="宋体" w:hint="default"/>
                <w:sz w:val="18"/>
                <w:szCs w:val="18"/>
              </w:rPr>
            </w:pPr>
            <w:r>
              <w:rPr>
                <w:rFonts w:ascii="宋体" w:hAnsi="宋体" w:cs="宋体" w:eastAsia="宋体" w:hint="default"/>
                <w:sz w:val="18"/>
                <w:szCs w:val="18"/>
              </w:rPr>
              <w:t>采用公允价值模式进行后续计量的投资性 房地产公允价值变动产生的损益</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71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3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2" w:right="20"/>
              <w:jc w:val="left"/>
              <w:rPr>
                <w:rFonts w:ascii="宋体" w:hAnsi="宋体" w:cs="宋体" w:eastAsia="宋体" w:hint="default"/>
                <w:sz w:val="18"/>
                <w:szCs w:val="18"/>
              </w:rPr>
            </w:pPr>
            <w:r>
              <w:rPr>
                <w:rFonts w:ascii="宋体" w:hAnsi="宋体" w:cs="宋体" w:eastAsia="宋体" w:hint="default"/>
                <w:sz w:val="18"/>
                <w:szCs w:val="18"/>
              </w:rPr>
              <w:t>根据税收、会计等法律、法规的要求对当 期损益进行一次性调整对当期损益的影响</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71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受托经营取得的托管费收入</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71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w w:val="95"/>
                <w:sz w:val="18"/>
              </w:rPr>
              <w:t>-933,962.88</w:t>
            </w:r>
            <w:r>
              <w:rPr>
                <w:rFonts w:ascii="Times New Roman"/>
                <w:sz w:val="18"/>
              </w:rPr>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-1,904,730.47</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575,633.04</w:t>
            </w:r>
          </w:p>
        </w:tc>
        <w:tc>
          <w:tcPr>
            <w:tcW w:w="1712"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3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其他符合非经常性损益定义的损益项目</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615,921,759.91</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3" w:right="55"/>
              <w:jc w:val="left"/>
              <w:rPr>
                <w:rFonts w:ascii="宋体" w:hAnsi="宋体" w:cs="宋体" w:eastAsia="宋体" w:hint="default"/>
                <w:sz w:val="18"/>
                <w:szCs w:val="18"/>
              </w:rPr>
            </w:pPr>
            <w:r>
              <w:rPr>
                <w:rFonts w:ascii="宋体" w:hAnsi="宋体" w:cs="宋体" w:eastAsia="宋体" w:hint="default"/>
                <w:sz w:val="18"/>
                <w:szCs w:val="18"/>
              </w:rPr>
              <w:t>杰发科技股权转让业 绩补偿金额</w:t>
            </w:r>
          </w:p>
        </w:tc>
      </w:tr>
      <w:tr>
        <w:trPr>
          <w:trHeight w:val="403" w:hRule="exact"/>
        </w:trPr>
        <w:tc>
          <w:tcPr>
            <w:tcW w:w="3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190,318,840.85</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4,092,023.56</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2,030,175.01</w:t>
            </w:r>
          </w:p>
        </w:tc>
        <w:tc>
          <w:tcPr>
            <w:tcW w:w="171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少数股东权益影响额（税后）</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-72,644.20</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18,019,537.63</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2,876,108.79</w:t>
            </w:r>
          </w:p>
        </w:tc>
        <w:tc>
          <w:tcPr>
            <w:tcW w:w="171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4"/>
              <w:jc w:val="right"/>
              <w:rPr>
                <w:rFonts w:ascii="Times New Roman" w:hAnsi="Times New Roman" w:cs="Times New Roman" w:eastAsia="Times New Roman" w:hint="default"/>
                <w:sz w:val="18"/>
                <w:szCs w:val="18"/>
              </w:rPr>
            </w:pPr>
            <w:r>
              <w:rPr>
                <w:rFonts w:ascii="Times New Roman"/>
                <w:spacing w:val="-1"/>
                <w:sz w:val="18"/>
              </w:rPr>
              <w:t>1,536,537,113.93</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45,628,486.03</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11,915,613.70</w:t>
            </w:r>
          </w:p>
        </w:tc>
        <w:tc>
          <w:tcPr>
            <w:tcW w:w="17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1"/>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49"/>
        <w:ind w:right="982"/>
        <w:jc w:val="left"/>
      </w:pPr>
      <w:r>
        <w:rPr>
          <w:spacing w:val="-3"/>
        </w:rPr>
        <w:t>对公司根据《公开发行证券的公司信息披露解释性公告第 </w:t>
      </w:r>
      <w:r>
        <w:rPr>
          <w:rFonts w:ascii="Times New Roman" w:hAnsi="Times New Roman" w:cs="Times New Roman" w:eastAsia="Times New Roman" w:hint="default"/>
        </w:rPr>
        <w:t>1</w:t>
      </w:r>
      <w:r>
        <w:rPr>
          <w:rFonts w:ascii="Times New Roman" w:hAnsi="Times New Roman" w:cs="Times New Roman" w:eastAsia="Times New Roman" w:hint="default"/>
          <w:spacing w:val="-25"/>
        </w:rPr>
        <w:t> </w:t>
      </w:r>
      <w:r>
        <w:rPr>
          <w:spacing w:val="-7"/>
        </w:rPr>
        <w:t>号</w:t>
      </w:r>
      <w:r>
        <w:rPr>
          <w:rFonts w:ascii="Times New Roman" w:hAnsi="Times New Roman" w:cs="Times New Roman" w:eastAsia="Times New Roman" w:hint="default"/>
          <w:spacing w:val="-7"/>
        </w:rPr>
        <w:t>——</w:t>
      </w:r>
      <w:r>
        <w:rPr>
          <w:spacing w:val="-7"/>
        </w:rPr>
        <w:t>非经常性损益》定义界定的非经常性损益项目，以及把《公</w:t>
      </w:r>
    </w:p>
    <w:p>
      <w:pPr>
        <w:pStyle w:val="BodyText"/>
        <w:spacing w:line="300" w:lineRule="auto" w:before="63"/>
        <w:ind w:right="1119"/>
        <w:jc w:val="left"/>
      </w:pPr>
      <w:r>
        <w:rPr/>
        <w:t>开发行证券的公司信息披露解释性公告第 </w:t>
      </w:r>
      <w:r>
        <w:rPr>
          <w:rFonts w:ascii="Times New Roman" w:hAnsi="Times New Roman" w:cs="Times New Roman" w:eastAsia="Times New Roman" w:hint="default"/>
        </w:rPr>
        <w:t>1</w:t>
      </w:r>
      <w:r>
        <w:rPr>
          <w:rFonts w:ascii="Times New Roman" w:hAnsi="Times New Roman" w:cs="Times New Roman" w:eastAsia="Times New Roman" w:hint="default"/>
          <w:spacing w:val="-25"/>
        </w:rPr>
        <w:t> </w:t>
      </w:r>
      <w:r>
        <w:rPr>
          <w:spacing w:val="-3"/>
        </w:rPr>
        <w:t>号</w:t>
      </w:r>
      <w:r>
        <w:rPr>
          <w:rFonts w:ascii="Times New Roman" w:hAnsi="Times New Roman" w:cs="Times New Roman" w:eastAsia="Times New Roman" w:hint="default"/>
          <w:spacing w:val="-3"/>
        </w:rPr>
        <w:t>——</w:t>
      </w:r>
      <w:r>
        <w:rPr>
          <w:spacing w:val="-3"/>
        </w:rPr>
        <w:t>非经常性损益》中列举的非经常性损益项目界定为经常性损益的项目，应</w:t>
      </w:r>
      <w:r>
        <w:rPr/>
        <w:t> 说明原因</w:t>
      </w:r>
    </w:p>
    <w:p>
      <w:pPr>
        <w:pStyle w:val="BodyText"/>
        <w:spacing w:line="240" w:lineRule="auto" w:before="70"/>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pStyle w:val="BodyText"/>
        <w:spacing w:line="300" w:lineRule="auto" w:before="103"/>
        <w:ind w:right="1117"/>
        <w:jc w:val="left"/>
      </w:pPr>
      <w:r>
        <w:rPr/>
        <w:t>公司报告期不存在将根据《公开发行证券的公司信息披露解释性公告第</w:t>
      </w:r>
      <w:r>
        <w:rPr>
          <w:spacing w:val="-53"/>
        </w:rPr>
        <w:t> </w:t>
      </w:r>
      <w:r>
        <w:rPr>
          <w:rFonts w:ascii="Times New Roman" w:hAnsi="Times New Roman" w:cs="Times New Roman" w:eastAsia="Times New Roman" w:hint="default"/>
        </w:rPr>
        <w:t>1</w:t>
      </w:r>
      <w:r>
        <w:rPr>
          <w:rFonts w:ascii="Times New Roman" w:hAnsi="Times New Roman" w:cs="Times New Roman" w:eastAsia="Times New Roman" w:hint="default"/>
          <w:spacing w:val="-9"/>
        </w:rPr>
        <w:t> </w:t>
      </w:r>
      <w:r>
        <w:rPr>
          <w:spacing w:val="-3"/>
        </w:rPr>
        <w:t>号</w:t>
      </w:r>
      <w:r>
        <w:rPr>
          <w:rFonts w:ascii="Times New Roman" w:hAnsi="Times New Roman" w:cs="Times New Roman" w:eastAsia="Times New Roman" w:hint="default"/>
          <w:spacing w:val="-3"/>
        </w:rPr>
        <w:t>——</w:t>
      </w:r>
      <w:r>
        <w:rPr>
          <w:spacing w:val="-3"/>
        </w:rPr>
        <w:t>非经常性损益》定义、列举的非经常性损益</w:t>
      </w:r>
      <w:r>
        <w:rPr/>
        <w:t> 项目界定为经常性损益的项目的情形。</w:t>
      </w:r>
    </w:p>
    <w:p>
      <w:pPr>
        <w:spacing w:after="0" w:line="300" w:lineRule="auto"/>
        <w:jc w:val="left"/>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right="1031"/>
        <w:jc w:val="center"/>
        <w:rPr>
          <w:b w:val="0"/>
          <w:bCs w:val="0"/>
        </w:rPr>
      </w:pPr>
      <w:bookmarkStart w:name="_bookmark2" w:id="3"/>
      <w:bookmarkEnd w:id="3"/>
      <w:r>
        <w:rPr>
          <w:b w:val="0"/>
          <w:bCs w:val="0"/>
        </w:rPr>
      </w:r>
      <w:r>
        <w:rPr/>
        <w:t>第三节</w:t>
      </w:r>
      <w:r>
        <w:rPr>
          <w:spacing w:val="-6"/>
        </w:rPr>
        <w:t> </w:t>
      </w:r>
      <w:r>
        <w:rPr/>
        <w:t>公司业务概要</w:t>
      </w:r>
      <w:r>
        <w:rPr>
          <w:b w:val="0"/>
          <w:bCs w:val="0"/>
        </w:rPr>
      </w:r>
    </w:p>
    <w:p>
      <w:pPr>
        <w:spacing w:line="240" w:lineRule="auto" w:before="2"/>
        <w:rPr>
          <w:rFonts w:ascii="宋体" w:hAnsi="宋体" w:cs="宋体" w:eastAsia="宋体" w:hint="default"/>
          <w:b/>
          <w:bCs/>
          <w:sz w:val="39"/>
          <w:szCs w:val="39"/>
        </w:rPr>
      </w:pPr>
    </w:p>
    <w:p>
      <w:pPr>
        <w:pStyle w:val="Heading2"/>
        <w:spacing w:line="240" w:lineRule="auto"/>
        <w:ind w:right="982"/>
        <w:jc w:val="left"/>
        <w:rPr>
          <w:b w:val="0"/>
          <w:bCs w:val="0"/>
        </w:rPr>
      </w:pPr>
      <w:r>
        <w:rPr/>
        <w:t>一、报告期内公司从事的主要业务</w:t>
      </w:r>
      <w:r>
        <w:rPr>
          <w:b w:val="0"/>
          <w:bCs w:val="0"/>
        </w:rPr>
      </w:r>
    </w:p>
    <w:p>
      <w:pPr>
        <w:spacing w:line="240" w:lineRule="auto" w:before="4"/>
        <w:rPr>
          <w:rFonts w:ascii="宋体" w:hAnsi="宋体" w:cs="宋体" w:eastAsia="宋体" w:hint="default"/>
          <w:b/>
          <w:bCs/>
          <w:sz w:val="26"/>
          <w:szCs w:val="26"/>
        </w:rPr>
      </w:pPr>
    </w:p>
    <w:p>
      <w:pPr>
        <w:pStyle w:val="BodyText"/>
        <w:spacing w:line="360" w:lineRule="auto"/>
        <w:ind w:right="7694"/>
        <w:jc w:val="left"/>
      </w:pPr>
      <w:r>
        <w:rPr/>
        <w:t>公司是否需要遵守特殊行业的披露要求 是</w:t>
      </w:r>
    </w:p>
    <w:p>
      <w:pPr>
        <w:pStyle w:val="BodyText"/>
        <w:spacing w:line="240" w:lineRule="auto" w:before="25"/>
        <w:ind w:right="982"/>
        <w:jc w:val="left"/>
      </w:pPr>
      <w:r>
        <w:rPr/>
        <w:t>软件与信息技术服务业</w:t>
      </w:r>
    </w:p>
    <w:p>
      <w:pPr>
        <w:pStyle w:val="BodyText"/>
        <w:spacing w:line="240" w:lineRule="auto" w:before="117"/>
        <w:ind w:right="982"/>
        <w:jc w:val="left"/>
      </w:pPr>
      <w:r>
        <w:rPr/>
        <w:t>公司需遵守《深圳证券交易所行业信息披露指引第</w:t>
      </w:r>
      <w:r>
        <w:rPr>
          <w:spacing w:val="-45"/>
        </w:rPr>
        <w:t> </w:t>
      </w:r>
      <w:r>
        <w:rPr>
          <w:rFonts w:ascii="Times New Roman" w:hAnsi="Times New Roman" w:cs="Times New Roman" w:eastAsia="Times New Roman" w:hint="default"/>
        </w:rPr>
        <w:t>12 </w:t>
      </w:r>
      <w:r>
        <w:rPr/>
        <w:t>号</w:t>
      </w:r>
      <w:r>
        <w:rPr>
          <w:rFonts w:ascii="Times New Roman" w:hAnsi="Times New Roman" w:cs="Times New Roman" w:eastAsia="Times New Roman" w:hint="default"/>
        </w:rPr>
        <w:t>——</w:t>
      </w:r>
      <w:r>
        <w:rPr/>
        <w:t>上市公司从事软件与信息技术服务业务》的披露要求</w:t>
      </w:r>
    </w:p>
    <w:p>
      <w:pPr>
        <w:spacing w:line="240" w:lineRule="auto" w:before="3"/>
        <w:rPr>
          <w:rFonts w:ascii="宋体" w:hAnsi="宋体" w:cs="宋体" w:eastAsia="宋体" w:hint="default"/>
          <w:sz w:val="21"/>
          <w:szCs w:val="21"/>
        </w:rPr>
      </w:pPr>
    </w:p>
    <w:p>
      <w:pPr>
        <w:pStyle w:val="Heading4"/>
        <w:spacing w:line="240" w:lineRule="auto"/>
        <w:ind w:left="575" w:right="982"/>
        <w:jc w:val="left"/>
        <w:rPr>
          <w:rFonts w:ascii="宋体" w:hAnsi="宋体" w:cs="宋体" w:eastAsia="宋体" w:hint="default"/>
          <w:b w:val="0"/>
          <w:bCs w:val="0"/>
        </w:rPr>
      </w:pPr>
      <w:r>
        <w:rPr/>
        <w:t>（一）公司主要业务概况</w:t>
      </w:r>
      <w:r>
        <w:rPr>
          <w:rFonts w:ascii="宋体" w:hAnsi="宋体" w:cs="宋体" w:eastAsia="宋体" w:hint="default"/>
          <w:w w:val="99"/>
        </w:rPr>
        <w:t> </w:t>
      </w:r>
      <w:r>
        <w:rPr>
          <w:rFonts w:ascii="宋体" w:hAnsi="宋体" w:cs="宋体" w:eastAsia="宋体" w:hint="default"/>
          <w:b w:val="0"/>
          <w:bCs w:val="0"/>
        </w:rPr>
      </w:r>
    </w:p>
    <w:p>
      <w:pPr>
        <w:spacing w:line="240" w:lineRule="auto" w:before="8"/>
        <w:rPr>
          <w:rFonts w:ascii="宋体" w:hAnsi="宋体" w:cs="宋体" w:eastAsia="宋体" w:hint="default"/>
          <w:b/>
          <w:bCs/>
          <w:sz w:val="14"/>
          <w:szCs w:val="14"/>
        </w:rPr>
      </w:pPr>
    </w:p>
    <w:p>
      <w:pPr>
        <w:pStyle w:val="Heading5"/>
        <w:spacing w:line="408" w:lineRule="auto" w:before="0"/>
        <w:ind w:right="1126"/>
        <w:jc w:val="both"/>
        <w:rPr>
          <w:rFonts w:ascii="宋体" w:hAnsi="宋体" w:cs="宋体" w:eastAsia="宋体" w:hint="default"/>
        </w:rPr>
      </w:pPr>
      <w:r>
        <w:rPr>
          <w:rFonts w:ascii="宋体" w:hAnsi="宋体" w:cs="宋体" w:eastAsia="宋体" w:hint="default"/>
        </w:rPr>
        <w:t>2018</w:t>
      </w:r>
      <w:r>
        <w:rPr>
          <w:rFonts w:ascii="宋体" w:hAnsi="宋体" w:cs="宋体" w:eastAsia="宋体" w:hint="default"/>
          <w:spacing w:val="1"/>
        </w:rPr>
        <w:t> </w:t>
      </w:r>
      <w:r>
        <w:rPr>
          <w:spacing w:val="-4"/>
        </w:rPr>
        <w:t>年，公司为了进一步落实“智能汽车大脑”战略愿景，从导航、车联网、车载智能芯片、高精度</w:t>
      </w:r>
      <w:r>
        <w:rPr>
          <w:w w:val="100"/>
        </w:rPr>
        <w:t> </w:t>
      </w:r>
      <w:r>
        <w:rPr>
          <w:spacing w:val="-2"/>
        </w:rPr>
        <w:t>地图、高精度定位以及自动驾驶整体解决方案服务能力建设入手，不断加大研发投入力度，并通过资本协</w:t>
      </w:r>
      <w:r>
        <w:rPr>
          <w:spacing w:val="-45"/>
        </w:rPr>
        <w:t> </w:t>
      </w:r>
      <w:r>
        <w:rPr>
          <w:spacing w:val="-45"/>
        </w:rPr>
      </w:r>
      <w:r>
        <w:rPr>
          <w:spacing w:val="-2"/>
        </w:rPr>
        <w:t>同、战略合作、联合验证等方式，加速推进产品技术商业化进程，为公司进一步打造“数字地图</w:t>
      </w:r>
      <w:r>
        <w:rPr>
          <w:rFonts w:ascii="宋体" w:hAnsi="宋体" w:cs="宋体" w:eastAsia="宋体" w:hint="default"/>
          <w:spacing w:val="-2"/>
        </w:rPr>
        <w:t>+</w:t>
      </w:r>
      <w:r>
        <w:rPr>
          <w:spacing w:val="-2"/>
        </w:rPr>
        <w:t>车联网</w:t>
      </w:r>
      <w:r>
        <w:rPr>
          <w:rFonts w:ascii="宋体" w:hAnsi="宋体" w:cs="宋体" w:eastAsia="宋体" w:hint="default"/>
          <w:spacing w:val="-2"/>
        </w:rPr>
        <w:t>+</w:t>
      </w:r>
      <w:r>
        <w:rPr>
          <w:rFonts w:ascii="宋体" w:hAnsi="宋体" w:cs="宋体" w:eastAsia="宋体" w:hint="default"/>
          <w:spacing w:val="-47"/>
        </w:rPr>
        <w:t> </w:t>
      </w:r>
      <w:r>
        <w:rPr/>
        <w:t>自动驾驶</w:t>
      </w:r>
      <w:r>
        <w:rPr>
          <w:rFonts w:ascii="宋体" w:hAnsi="宋体" w:cs="宋体" w:eastAsia="宋体" w:hint="default"/>
        </w:rPr>
        <w:t>+</w:t>
      </w:r>
      <w:r>
        <w:rPr/>
        <w:t>大数据</w:t>
      </w:r>
      <w:r>
        <w:rPr>
          <w:rFonts w:ascii="宋体" w:hAnsi="宋体" w:cs="宋体" w:eastAsia="宋体" w:hint="default"/>
        </w:rPr>
        <w:t>+</w:t>
      </w:r>
      <w:r>
        <w:rPr/>
        <w:t>芯片”五位一体的技术领先优势以及自动驾驶领域的行业头部地位奠定基础。</w:t>
      </w:r>
      <w:r>
        <w:rPr>
          <w:rFonts w:ascii="宋体" w:hAnsi="宋体" w:cs="宋体" w:eastAsia="宋体" w:hint="default"/>
        </w:rPr>
        <w:t> </w:t>
      </w:r>
    </w:p>
    <w:p>
      <w:pPr>
        <w:pStyle w:val="Heading5"/>
        <w:spacing w:line="408" w:lineRule="auto"/>
        <w:ind w:right="1129"/>
        <w:jc w:val="both"/>
        <w:rPr>
          <w:rFonts w:ascii="宋体" w:hAnsi="宋体" w:cs="宋体" w:eastAsia="宋体" w:hint="default"/>
        </w:rPr>
      </w:pPr>
      <w:r>
        <w:rPr>
          <w:spacing w:val="-2"/>
        </w:rPr>
        <w:t>报告期内，公司所从事的主要业务板块包括导航地图业务、车联网业务、汽车电子芯片业务、自动驾</w:t>
      </w:r>
      <w:r>
        <w:rPr>
          <w:w w:val="100"/>
        </w:rPr>
        <w:t> </w:t>
      </w:r>
      <w:r>
        <w:rPr/>
        <w:t>驶业务、位置大数据服务业务，具体业务情况如下：</w:t>
      </w:r>
      <w:r>
        <w:rPr>
          <w:rFonts w:ascii="宋体" w:hAnsi="宋体" w:cs="宋体" w:eastAsia="宋体" w:hint="default"/>
        </w:rPr>
        <w:t> </w:t>
      </w:r>
    </w:p>
    <w:p>
      <w:pPr>
        <w:pStyle w:val="Heading5"/>
        <w:spacing w:line="408" w:lineRule="auto"/>
        <w:ind w:right="1126" w:firstLine="422"/>
        <w:jc w:val="both"/>
        <w:rPr>
          <w:rFonts w:ascii="宋体" w:hAnsi="宋体" w:cs="宋体" w:eastAsia="宋体" w:hint="default"/>
        </w:rPr>
      </w:pPr>
      <w:r>
        <w:rPr>
          <w:rFonts w:ascii="宋体" w:hAnsi="宋体" w:cs="宋体" w:eastAsia="宋体" w:hint="default"/>
          <w:b/>
          <w:bCs/>
          <w:spacing w:val="-2"/>
        </w:rPr>
        <w:t>导航业务</w:t>
      </w:r>
      <w:r>
        <w:rPr>
          <w:spacing w:val="-2"/>
        </w:rPr>
        <w:t>：主要包括地图数据、数据编译以及导航软件。其中地图数据产品主要有：包含点要素和道</w:t>
      </w:r>
      <w:r>
        <w:rPr>
          <w:w w:val="100"/>
        </w:rPr>
        <w:t> </w:t>
      </w:r>
      <w:r>
        <w:rPr>
          <w:spacing w:val="-2"/>
        </w:rPr>
        <w:t>路要素的基础地图产品、高精鲜地图、三维地图、卡车地图等重要产品；高速收费、限行限号、新能源汽</w:t>
      </w:r>
      <w:r>
        <w:rPr>
          <w:spacing w:val="-42"/>
        </w:rPr>
        <w:t> </w:t>
      </w:r>
      <w:r>
        <w:rPr>
          <w:spacing w:val="-42"/>
        </w:rPr>
      </w:r>
      <w:r>
        <w:rPr>
          <w:spacing w:val="-11"/>
        </w:rPr>
        <w:t>车充电服务等在线服务型产品；行人导航、停车场、室内地图、核心公交等多模态导航数据；公司通过 </w:t>
      </w:r>
      <w:r>
        <w:rPr>
          <w:rFonts w:ascii="宋体" w:hAnsi="宋体" w:cs="宋体" w:eastAsia="宋体" w:hint="default"/>
        </w:rPr>
        <w:t>UGC</w:t>
      </w:r>
      <w:r>
        <w:rPr/>
        <w:t>、</w:t>
      </w:r>
      <w:r>
        <w:rPr>
          <w:spacing w:val="-54"/>
        </w:rPr>
        <w:t> </w:t>
      </w:r>
      <w:r>
        <w:rPr>
          <w:spacing w:val="-2"/>
        </w:rPr>
        <w:t>第三方数据合作等模式，不断丰富数据获取方式，提升导航电子地图数据制作工效，始终致力于满足客户</w:t>
      </w:r>
      <w:r>
        <w:rPr>
          <w:spacing w:val="-42"/>
        </w:rPr>
        <w:t> </w:t>
      </w:r>
      <w:r>
        <w:rPr>
          <w:spacing w:val="-42"/>
        </w:rPr>
      </w:r>
      <w:r>
        <w:rPr/>
        <w:t>在提升数据鲜度、丰富度、精度等方面日益复杂和高等级的应用需求，并以此引领行业发展。</w:t>
      </w:r>
      <w:r>
        <w:rPr>
          <w:rFonts w:ascii="宋体" w:hAnsi="宋体" w:cs="宋体" w:eastAsia="宋体" w:hint="default"/>
        </w:rPr>
        <w:t> </w:t>
      </w:r>
    </w:p>
    <w:p>
      <w:pPr>
        <w:spacing w:line="4296" w:lineRule="exact"/>
        <w:ind w:left="620" w:right="0" w:firstLine="0"/>
        <w:rPr>
          <w:rFonts w:ascii="宋体" w:hAnsi="宋体" w:cs="宋体" w:eastAsia="宋体" w:hint="default"/>
          <w:sz w:val="20"/>
          <w:szCs w:val="20"/>
        </w:rPr>
      </w:pPr>
      <w:r>
        <w:rPr>
          <w:rFonts w:ascii="宋体" w:hAnsi="宋体" w:cs="宋体" w:eastAsia="宋体" w:hint="default"/>
          <w:position w:val="-85"/>
          <w:sz w:val="20"/>
          <w:szCs w:val="20"/>
        </w:rPr>
        <w:drawing>
          <wp:inline distT="0" distB="0" distL="0" distR="0">
            <wp:extent cx="5813411" cy="2728341"/>
            <wp:effectExtent l="0" t="0" r="0" b="0"/>
            <wp:docPr id="3" name="image3.jpeg" descr=""/>
            <wp:cNvGraphicFramePr>
              <a:graphicFrameLocks noChangeAspect="1"/>
            </wp:cNvGraphicFramePr>
            <a:graphic>
              <a:graphicData uri="http://schemas.openxmlformats.org/drawingml/2006/picture">
                <pic:pic>
                  <pic:nvPicPr>
                    <pic:cNvPr id="4" name="image3.jpeg"/>
                    <pic:cNvPicPr/>
                  </pic:nvPicPr>
                  <pic:blipFill>
                    <a:blip r:embed="rId14" cstate="print"/>
                    <a:stretch>
                      <a:fillRect/>
                    </a:stretch>
                  </pic:blipFill>
                  <pic:spPr>
                    <a:xfrm>
                      <a:off x="0" y="0"/>
                      <a:ext cx="5813411" cy="2728341"/>
                    </a:xfrm>
                    <a:prstGeom prst="rect">
                      <a:avLst/>
                    </a:prstGeom>
                  </pic:spPr>
                </pic:pic>
              </a:graphicData>
            </a:graphic>
          </wp:inline>
        </w:drawing>
      </w:r>
      <w:r>
        <w:rPr>
          <w:rFonts w:ascii="宋体" w:hAnsi="宋体" w:cs="宋体" w:eastAsia="宋体" w:hint="default"/>
          <w:position w:val="-85"/>
          <w:sz w:val="20"/>
          <w:szCs w:val="20"/>
        </w:rPr>
      </w:r>
    </w:p>
    <w:p>
      <w:pPr>
        <w:pStyle w:val="Heading4"/>
        <w:spacing w:line="240" w:lineRule="auto" w:before="118"/>
        <w:ind w:left="157" w:right="1031"/>
        <w:jc w:val="center"/>
        <w:rPr>
          <w:rFonts w:ascii="宋体" w:hAnsi="宋体" w:cs="宋体" w:eastAsia="宋体" w:hint="default"/>
          <w:b w:val="0"/>
          <w:bCs w:val="0"/>
        </w:rPr>
      </w:pPr>
      <w:r>
        <w:rPr/>
        <w:t>地图数据产品</w:t>
      </w:r>
      <w:r>
        <w:rPr>
          <w:rFonts w:ascii="宋体" w:hAnsi="宋体" w:cs="宋体" w:eastAsia="宋体" w:hint="default"/>
          <w:color w:val="FF0000"/>
          <w:w w:val="99"/>
        </w:rPr>
        <w:t> </w:t>
      </w:r>
      <w:r>
        <w:rPr>
          <w:rFonts w:ascii="宋体" w:hAnsi="宋体" w:cs="宋体" w:eastAsia="宋体" w:hint="default"/>
          <w:b w:val="0"/>
          <w:bCs w:val="0"/>
        </w:rPr>
      </w:r>
    </w:p>
    <w:p>
      <w:pPr>
        <w:spacing w:after="0" w:line="240" w:lineRule="auto"/>
        <w:jc w:val="center"/>
        <w:rPr>
          <w:rFonts w:ascii="宋体" w:hAnsi="宋体" w:cs="宋体" w:eastAsia="宋体" w:hint="default"/>
        </w:rPr>
        <w:sectPr>
          <w:pgSz w:w="11910" w:h="16840"/>
          <w:pgMar w:header="745" w:footer="979" w:top="1060" w:bottom="1160" w:left="980" w:right="0"/>
        </w:sectPr>
      </w:pPr>
    </w:p>
    <w:p>
      <w:pPr>
        <w:spacing w:line="240" w:lineRule="auto" w:before="0"/>
        <w:rPr>
          <w:rFonts w:ascii="宋体" w:hAnsi="宋体" w:cs="宋体" w:eastAsia="宋体" w:hint="default"/>
          <w:b/>
          <w:bCs/>
          <w:sz w:val="20"/>
          <w:szCs w:val="20"/>
        </w:rPr>
      </w:pPr>
    </w:p>
    <w:p>
      <w:pPr>
        <w:pStyle w:val="Heading5"/>
        <w:spacing w:line="408" w:lineRule="auto" w:before="176"/>
        <w:ind w:right="1121"/>
        <w:jc w:val="left"/>
      </w:pPr>
      <w:r>
        <w:rPr>
          <w:spacing w:val="-2"/>
        </w:rPr>
        <w:t>数据编译服务主要是指将原始地图数据按照不同的需求，经过数据处理和格式转换，经过严格的逻辑</w:t>
      </w:r>
      <w:r>
        <w:rPr>
          <w:w w:val="100"/>
        </w:rPr>
        <w:t> </w:t>
      </w:r>
      <w:r>
        <w:rPr/>
        <w:t>检查和测试验证，满足客户的应用和使用需求。公司作为中国最早开展</w:t>
      </w:r>
      <w:r>
        <w:rPr>
          <w:spacing w:val="-65"/>
        </w:rPr>
        <w:t> </w:t>
      </w:r>
      <w:r>
        <w:rPr>
          <w:rFonts w:ascii="宋体" w:hAnsi="宋体" w:cs="宋体" w:eastAsia="宋体" w:hint="default"/>
        </w:rPr>
        <w:t>NDS</w:t>
      </w:r>
      <w:r>
        <w:rPr>
          <w:rFonts w:ascii="宋体" w:hAnsi="宋体" w:cs="宋体" w:eastAsia="宋体" w:hint="default"/>
          <w:spacing w:val="-67"/>
        </w:rPr>
        <w:t> </w:t>
      </w:r>
      <w:r>
        <w:rPr/>
        <w:t>数据标准开发的企业，已经建</w:t>
      </w:r>
      <w:r>
        <w:rPr>
          <w:w w:val="100"/>
        </w:rPr>
        <w:t> </w:t>
      </w:r>
      <w:r>
        <w:rPr/>
        <w:t>立了一套完善的</w:t>
      </w:r>
      <w:r>
        <w:rPr>
          <w:spacing w:val="-54"/>
        </w:rPr>
        <w:t> </w:t>
      </w:r>
      <w:r>
        <w:rPr>
          <w:rFonts w:ascii="宋体" w:hAnsi="宋体" w:cs="宋体" w:eastAsia="宋体" w:hint="default"/>
        </w:rPr>
        <w:t>NDS</w:t>
      </w:r>
      <w:r>
        <w:rPr>
          <w:rFonts w:ascii="宋体" w:hAnsi="宋体" w:cs="宋体" w:eastAsia="宋体" w:hint="default"/>
          <w:spacing w:val="-56"/>
        </w:rPr>
        <w:t> </w:t>
      </w:r>
      <w:r>
        <w:rPr/>
        <w:t>编译、测试和出品流程，以中间数据库格式</w:t>
      </w:r>
      <w:r>
        <w:rPr>
          <w:spacing w:val="-53"/>
        </w:rPr>
        <w:t> </w:t>
      </w:r>
      <w:r>
        <w:rPr>
          <w:rFonts w:ascii="宋体" w:hAnsi="宋体" w:cs="宋体" w:eastAsia="宋体" w:hint="default"/>
        </w:rPr>
        <w:t>d-Hive</w:t>
      </w:r>
      <w:r>
        <w:rPr>
          <w:rFonts w:ascii="宋体" w:hAnsi="宋体" w:cs="宋体" w:eastAsia="宋体" w:hint="default"/>
          <w:spacing w:val="-54"/>
        </w:rPr>
        <w:t> </w:t>
      </w:r>
      <w:r>
        <w:rPr/>
        <w:t>为中心，实现</w:t>
      </w:r>
      <w:r>
        <w:rPr>
          <w:spacing w:val="-54"/>
        </w:rPr>
        <w:t> </w:t>
      </w:r>
      <w:r>
        <w:rPr>
          <w:rFonts w:ascii="宋体" w:hAnsi="宋体" w:cs="宋体" w:eastAsia="宋体" w:hint="default"/>
        </w:rPr>
        <w:t>NDS</w:t>
      </w:r>
      <w:r>
        <w:rPr/>
        <w:t>、</w:t>
      </w:r>
      <w:r>
        <w:rPr>
          <w:rFonts w:ascii="宋体" w:hAnsi="宋体" w:cs="宋体" w:eastAsia="宋体" w:hint="default"/>
        </w:rPr>
        <w:t>RDF</w:t>
      </w:r>
      <w:r>
        <w:rPr/>
        <w:t>、</w:t>
      </w:r>
      <w:r>
        <w:rPr>
          <w:rFonts w:ascii="宋体" w:hAnsi="宋体" w:cs="宋体" w:eastAsia="宋体" w:hint="default"/>
        </w:rPr>
        <w:t>GDF</w:t>
      </w:r>
      <w:r>
        <w:rPr>
          <w:rFonts w:ascii="宋体" w:hAnsi="宋体" w:cs="宋体" w:eastAsia="宋体" w:hint="default"/>
          <w:spacing w:val="-56"/>
        </w:rPr>
        <w:t> </w:t>
      </w:r>
      <w:r>
        <w:rPr/>
        <w:t>等</w:t>
      </w:r>
      <w:r>
        <w:rPr>
          <w:w w:val="100"/>
        </w:rPr>
        <w:t> </w:t>
      </w:r>
      <w:r>
        <w:rPr/>
        <w:t>各种数据格式的编译转换。可面向全球客户的不同需求，提供定制化的地图全量或基于</w:t>
      </w:r>
      <w:r>
        <w:rPr>
          <w:spacing w:val="-54"/>
        </w:rPr>
        <w:t> </w:t>
      </w:r>
      <w:r>
        <w:rPr>
          <w:rFonts w:ascii="宋体" w:hAnsi="宋体" w:cs="宋体" w:eastAsia="宋体" w:hint="default"/>
        </w:rPr>
        <w:t>NDS</w:t>
      </w:r>
      <w:r>
        <w:rPr>
          <w:rFonts w:ascii="宋体" w:hAnsi="宋体" w:cs="宋体" w:eastAsia="宋体" w:hint="default"/>
          <w:spacing w:val="-55"/>
        </w:rPr>
        <w:t> </w:t>
      </w:r>
      <w:r>
        <w:rPr/>
        <w:t>图幅</w:t>
      </w:r>
    </w:p>
    <w:p>
      <w:pPr>
        <w:pStyle w:val="Heading5"/>
        <w:spacing w:line="408" w:lineRule="auto"/>
        <w:ind w:left="573" w:right="982" w:hanging="421"/>
        <w:jc w:val="left"/>
      </w:pPr>
      <w:r>
        <w:rPr/>
        <w:t>（</w:t>
      </w:r>
      <w:r>
        <w:rPr>
          <w:rFonts w:ascii="宋体" w:hAnsi="宋体" w:cs="宋体" w:eastAsia="宋体" w:hint="default"/>
        </w:rPr>
        <w:t>tile-based</w:t>
      </w:r>
      <w:r>
        <w:rPr/>
        <w:t>）的在线快速更新服务及解决方案，可支持</w:t>
      </w:r>
      <w:r>
        <w:rPr>
          <w:spacing w:val="-54"/>
        </w:rPr>
        <w:t> </w:t>
      </w:r>
      <w:r>
        <w:rPr>
          <w:rFonts w:ascii="宋体" w:hAnsi="宋体" w:cs="宋体" w:eastAsia="宋体" w:hint="default"/>
        </w:rPr>
        <w:t>ADAS</w:t>
      </w:r>
      <w:r>
        <w:rPr>
          <w:rFonts w:ascii="宋体" w:hAnsi="宋体" w:cs="宋体" w:eastAsia="宋体" w:hint="default"/>
          <w:spacing w:val="-53"/>
        </w:rPr>
        <w:t> </w:t>
      </w:r>
      <w:r>
        <w:rPr/>
        <w:t>地图和高精度地图的编译。</w:t>
      </w:r>
      <w:r>
        <w:rPr>
          <w:rFonts w:ascii="宋体" w:hAnsi="宋体" w:cs="宋体" w:eastAsia="宋体" w:hint="default"/>
          <w:w w:val="100"/>
        </w:rPr>
        <w:t> </w:t>
      </w:r>
      <w:r>
        <w:rPr>
          <w:spacing w:val="-2"/>
        </w:rPr>
        <w:t>导航软件及服务主要有：提供导航引擎软件及服务，支持混合导航、大数据智能动态路径规划、基于</w:t>
      </w:r>
    </w:p>
    <w:p>
      <w:pPr>
        <w:pStyle w:val="Heading5"/>
        <w:spacing w:line="408" w:lineRule="auto"/>
        <w:ind w:right="982" w:firstLine="0"/>
        <w:jc w:val="left"/>
        <w:rPr>
          <w:rFonts w:ascii="宋体" w:hAnsi="宋体" w:cs="宋体" w:eastAsia="宋体" w:hint="default"/>
        </w:rPr>
      </w:pPr>
      <w:r>
        <w:rPr>
          <w:spacing w:val="-2"/>
        </w:rPr>
        <w:t>多种传感器的高精度混合定位、导航数据增量更新及日更新、自然引导的语音播报、基于人工智能技术的</w:t>
      </w:r>
      <w:r>
        <w:rPr>
          <w:spacing w:val="-44"/>
        </w:rPr>
        <w:t> </w:t>
      </w:r>
      <w:r>
        <w:rPr>
          <w:spacing w:val="-44"/>
        </w:rPr>
      </w:r>
      <w:r>
        <w:rPr>
          <w:spacing w:val="-2"/>
        </w:rPr>
        <w:t>语音控制及语音智能搜索等功能，可满足国际、国内主流车厂以及移动出行服务商的深度定制化需求和从</w:t>
      </w:r>
      <w:r>
        <w:rPr>
          <w:spacing w:val="-43"/>
        </w:rPr>
        <w:t> </w:t>
      </w:r>
      <w:r>
        <w:rPr>
          <w:spacing w:val="-43"/>
        </w:rPr>
      </w:r>
      <w:r>
        <w:rPr/>
        <w:t>云到端的一体化场景应用需求。面向未来自动驾驶应用场景，新一代</w:t>
      </w:r>
      <w:r>
        <w:rPr>
          <w:spacing w:val="-55"/>
        </w:rPr>
        <w:t> </w:t>
      </w:r>
      <w:r>
        <w:rPr>
          <w:rFonts w:ascii="宋体" w:hAnsi="宋体" w:cs="宋体" w:eastAsia="宋体" w:hint="default"/>
        </w:rPr>
        <w:t>AR</w:t>
      </w:r>
      <w:r>
        <w:rPr>
          <w:rFonts w:ascii="宋体" w:hAnsi="宋体" w:cs="宋体" w:eastAsia="宋体" w:hint="default"/>
          <w:spacing w:val="-56"/>
        </w:rPr>
        <w:t> </w:t>
      </w:r>
      <w:r>
        <w:rPr/>
        <w:t>导航功能已经完成实车测试，正</w:t>
      </w:r>
      <w:r>
        <w:rPr>
          <w:w w:val="100"/>
        </w:rPr>
        <w:t> </w:t>
      </w:r>
      <w:r>
        <w:rPr/>
        <w:t>在积极投入研发下一代的</w:t>
      </w:r>
      <w:r>
        <w:rPr>
          <w:spacing w:val="-57"/>
        </w:rPr>
        <w:t> </w:t>
      </w:r>
      <w:r>
        <w:rPr>
          <w:rFonts w:ascii="宋体" w:hAnsi="宋体" w:cs="宋体" w:eastAsia="宋体" w:hint="default"/>
        </w:rPr>
        <w:t>AR</w:t>
      </w:r>
      <w:r>
        <w:rPr>
          <w:rFonts w:ascii="宋体" w:hAnsi="宋体" w:cs="宋体" w:eastAsia="宋体" w:hint="default"/>
          <w:spacing w:val="-55"/>
        </w:rPr>
        <w:t> </w:t>
      </w:r>
      <w:r>
        <w:rPr/>
        <w:t>实景导航功能，可结合高精度地图数据，利用车内多种传感器，致力于提升</w:t>
      </w:r>
      <w:r>
        <w:rPr>
          <w:w w:val="100"/>
        </w:rPr>
        <w:t> </w:t>
      </w:r>
      <w:r>
        <w:rPr/>
        <w:t>驾驶者体验及驾驶安全。</w:t>
      </w:r>
      <w:r>
        <w:rPr>
          <w:rFonts w:ascii="宋体" w:hAnsi="宋体" w:cs="宋体" w:eastAsia="宋体" w:hint="default"/>
        </w:rPr>
        <w:t> </w:t>
      </w:r>
    </w:p>
    <w:p>
      <w:pPr>
        <w:spacing w:line="240" w:lineRule="auto" w:before="5"/>
        <w:rPr>
          <w:rFonts w:ascii="宋体" w:hAnsi="宋体" w:cs="宋体" w:eastAsia="宋体" w:hint="default"/>
          <w:sz w:val="5"/>
          <w:szCs w:val="5"/>
        </w:rPr>
      </w:pPr>
    </w:p>
    <w:p>
      <w:pPr>
        <w:spacing w:line="4833" w:lineRule="exact"/>
        <w:ind w:left="1358" w:right="0" w:firstLine="0"/>
        <w:rPr>
          <w:rFonts w:ascii="宋体" w:hAnsi="宋体" w:cs="宋体" w:eastAsia="宋体" w:hint="default"/>
          <w:sz w:val="20"/>
          <w:szCs w:val="20"/>
        </w:rPr>
      </w:pPr>
      <w:r>
        <w:rPr>
          <w:rFonts w:ascii="宋体" w:hAnsi="宋体" w:cs="宋体" w:eastAsia="宋体" w:hint="default"/>
          <w:position w:val="-96"/>
          <w:sz w:val="20"/>
          <w:szCs w:val="20"/>
        </w:rPr>
        <w:drawing>
          <wp:inline distT="0" distB="0" distL="0" distR="0">
            <wp:extent cx="4603432" cy="3068954"/>
            <wp:effectExtent l="0" t="0" r="0" b="0"/>
            <wp:docPr id="5" name="image4.jpeg" descr=""/>
            <wp:cNvGraphicFramePr>
              <a:graphicFrameLocks noChangeAspect="1"/>
            </wp:cNvGraphicFramePr>
            <a:graphic>
              <a:graphicData uri="http://schemas.openxmlformats.org/drawingml/2006/picture">
                <pic:pic>
                  <pic:nvPicPr>
                    <pic:cNvPr id="6" name="image4.jpeg"/>
                    <pic:cNvPicPr/>
                  </pic:nvPicPr>
                  <pic:blipFill>
                    <a:blip r:embed="rId15" cstate="print"/>
                    <a:stretch>
                      <a:fillRect/>
                    </a:stretch>
                  </pic:blipFill>
                  <pic:spPr>
                    <a:xfrm>
                      <a:off x="0" y="0"/>
                      <a:ext cx="4603432" cy="3068954"/>
                    </a:xfrm>
                    <a:prstGeom prst="rect">
                      <a:avLst/>
                    </a:prstGeom>
                  </pic:spPr>
                </pic:pic>
              </a:graphicData>
            </a:graphic>
          </wp:inline>
        </w:drawing>
      </w:r>
      <w:r>
        <w:rPr>
          <w:rFonts w:ascii="宋体" w:hAnsi="宋体" w:cs="宋体" w:eastAsia="宋体" w:hint="default"/>
          <w:position w:val="-96"/>
          <w:sz w:val="20"/>
          <w:szCs w:val="20"/>
        </w:rPr>
      </w:r>
    </w:p>
    <w:p>
      <w:pPr>
        <w:pStyle w:val="Heading5"/>
        <w:spacing w:line="408" w:lineRule="auto" w:before="135"/>
        <w:ind w:left="573" w:right="982" w:firstLine="3449"/>
        <w:jc w:val="left"/>
      </w:pPr>
      <w:r>
        <w:rPr>
          <w:rFonts w:ascii="宋体" w:hAnsi="宋体" w:cs="宋体" w:eastAsia="宋体" w:hint="default"/>
          <w:b/>
          <w:bCs/>
        </w:rPr>
        <w:t>车载导航产品和服务</w:t>
      </w:r>
      <w:r>
        <w:rPr>
          <w:rFonts w:ascii="宋体" w:hAnsi="宋体" w:cs="宋体" w:eastAsia="宋体" w:hint="default"/>
          <w:b/>
          <w:bCs/>
          <w:w w:val="99"/>
        </w:rPr>
        <w:t> </w:t>
      </w:r>
      <w:r>
        <w:rPr>
          <w:rFonts w:ascii="宋体" w:hAnsi="宋体" w:cs="宋体" w:eastAsia="宋体" w:hint="default"/>
          <w:b/>
          <w:bCs/>
        </w:rPr>
        <w:t>车联网业务</w:t>
      </w:r>
      <w:r>
        <w:rPr/>
        <w:t>：主要包括乘用车车联网、商用车车联网及动态交通信息产品及服务。</w:t>
      </w:r>
      <w:r>
        <w:rPr>
          <w:rFonts w:ascii="宋体" w:hAnsi="宋体" w:cs="宋体" w:eastAsia="宋体" w:hint="default"/>
          <w:w w:val="100"/>
        </w:rPr>
        <w:t> </w:t>
      </w:r>
      <w:r>
        <w:rPr>
          <w:spacing w:val="-3"/>
        </w:rPr>
        <w:t>其中，乘用车车联网产品及服务主要有</w:t>
      </w:r>
      <w:r>
        <w:rPr>
          <w:spacing w:val="-35"/>
        </w:rPr>
        <w:t> </w:t>
      </w:r>
      <w:r>
        <w:rPr>
          <w:rFonts w:ascii="宋体" w:hAnsi="宋体" w:cs="宋体" w:eastAsia="宋体" w:hint="default"/>
        </w:rPr>
        <w:t>Welink</w:t>
      </w:r>
      <w:r>
        <w:rPr>
          <w:rFonts w:ascii="宋体" w:hAnsi="宋体" w:cs="宋体" w:eastAsia="宋体" w:hint="default"/>
          <w:spacing w:val="-35"/>
        </w:rPr>
        <w:t> </w:t>
      </w:r>
      <w:r>
        <w:rPr>
          <w:spacing w:val="-3"/>
        </w:rPr>
        <w:t>手机车机互联方案，</w:t>
      </w:r>
      <w:r>
        <w:rPr>
          <w:rFonts w:ascii="宋体" w:hAnsi="宋体" w:cs="宋体" w:eastAsia="宋体" w:hint="default"/>
          <w:spacing w:val="-3"/>
        </w:rPr>
        <w:t>WeCloud</w:t>
      </w:r>
      <w:r>
        <w:rPr>
          <w:rFonts w:ascii="宋体" w:hAnsi="宋体" w:cs="宋体" w:eastAsia="宋体" w:hint="default"/>
          <w:spacing w:val="-35"/>
        </w:rPr>
        <w:t> </w:t>
      </w:r>
      <w:r>
        <w:rPr>
          <w:spacing w:val="-4"/>
        </w:rPr>
        <w:t>应用平台及解决方案，智</w:t>
      </w:r>
    </w:p>
    <w:p>
      <w:pPr>
        <w:pStyle w:val="Heading5"/>
        <w:spacing w:line="408" w:lineRule="auto"/>
        <w:ind w:right="1126" w:firstLine="0"/>
        <w:jc w:val="both"/>
      </w:pPr>
      <w:r>
        <w:rPr/>
        <w:t>能网联操作系统，</w:t>
      </w:r>
      <w:r>
        <w:rPr>
          <w:rFonts w:ascii="宋体" w:hAnsi="宋体" w:cs="宋体" w:eastAsia="宋体" w:hint="default"/>
        </w:rPr>
        <w:t>Call-Center</w:t>
      </w:r>
      <w:r>
        <w:rPr>
          <w:rFonts w:ascii="宋体" w:hAnsi="宋体" w:cs="宋体" w:eastAsia="宋体" w:hint="default"/>
          <w:spacing w:val="-58"/>
        </w:rPr>
        <w:t> </w:t>
      </w:r>
      <w:r>
        <w:rPr/>
        <w:t>系统及云服务，车载硬件，人工智能语音，包容了海量</w:t>
      </w:r>
      <w:r>
        <w:rPr>
          <w:spacing w:val="-56"/>
        </w:rPr>
        <w:t> </w:t>
      </w:r>
      <w:r>
        <w:rPr>
          <w:rFonts w:ascii="宋体" w:hAnsi="宋体" w:cs="宋体" w:eastAsia="宋体" w:hint="default"/>
        </w:rPr>
        <w:t>APP</w:t>
      </w:r>
      <w:r>
        <w:rPr>
          <w:rFonts w:ascii="宋体" w:hAnsi="宋体" w:cs="宋体" w:eastAsia="宋体" w:hint="default"/>
          <w:spacing w:val="-55"/>
        </w:rPr>
        <w:t> </w:t>
      </w:r>
      <w:r>
        <w:rPr/>
        <w:t>的信息聚合服</w:t>
      </w:r>
      <w:r>
        <w:rPr>
          <w:w w:val="100"/>
        </w:rPr>
        <w:t> </w:t>
      </w:r>
      <w:r>
        <w:rPr>
          <w:spacing w:val="-2"/>
        </w:rPr>
        <w:t>务，涵盖从后台内容、动态信息、云端到操作系统、终端硬件的全生态车联网服务解决方案，致力于成为</w:t>
      </w:r>
      <w:r>
        <w:rPr>
          <w:spacing w:val="-43"/>
        </w:rPr>
        <w:t> </w:t>
      </w:r>
      <w:r>
        <w:rPr>
          <w:spacing w:val="-43"/>
        </w:rPr>
      </w:r>
      <w:r>
        <w:rPr>
          <w:spacing w:val="-2"/>
        </w:rPr>
        <w:t>可满足不同客户服务需求的车联网综合服务提供商和运营商。公司基于多年的技术积累和产业布局，通过</w:t>
      </w:r>
      <w:r>
        <w:rPr>
          <w:spacing w:val="-41"/>
        </w:rPr>
        <w:t> </w:t>
      </w:r>
      <w:r>
        <w:rPr>
          <w:spacing w:val="-41"/>
        </w:rPr>
      </w:r>
      <w:r>
        <w:rPr>
          <w:spacing w:val="-2"/>
        </w:rPr>
        <w:t>将导航、车联网平台、轻车联网等业务从上市公司拆分并独立融资的方式，以北京四维智联科技有限公司</w:t>
      </w:r>
    </w:p>
    <w:p>
      <w:pPr>
        <w:spacing w:after="0" w:line="408" w:lineRule="auto"/>
        <w:jc w:val="both"/>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pStyle w:val="Heading5"/>
        <w:spacing w:line="408" w:lineRule="auto" w:before="176"/>
        <w:ind w:right="982" w:firstLine="0"/>
        <w:jc w:val="left"/>
        <w:rPr>
          <w:rFonts w:ascii="宋体" w:hAnsi="宋体" w:cs="宋体" w:eastAsia="宋体" w:hint="default"/>
        </w:rPr>
      </w:pPr>
      <w:r>
        <w:rPr>
          <w:spacing w:val="-2"/>
        </w:rPr>
        <w:t>为主体，引进腾讯基金、蔚来资本、尚珹资本等战略投资者和股东，融资金额超过一亿美元。公司将进一</w:t>
      </w:r>
      <w:r>
        <w:rPr>
          <w:spacing w:val="-43"/>
        </w:rPr>
        <w:t> </w:t>
      </w:r>
      <w:r>
        <w:rPr>
          <w:spacing w:val="-43"/>
        </w:rPr>
      </w:r>
      <w:r>
        <w:rPr>
          <w:spacing w:val="-7"/>
          <w:w w:val="100"/>
        </w:rPr>
        <w:t>步加速推进新产品研发和市场拓展，打造在乘用车车联网领域的核心竞争优势，满足不同客户的应用需求。</w:t>
      </w:r>
      <w:r>
        <w:rPr>
          <w:rFonts w:ascii="宋体" w:hAnsi="宋体" w:cs="宋体" w:eastAsia="宋体" w:hint="default"/>
          <w:w w:val="100"/>
        </w:rPr>
        <w:t> </w:t>
      </w:r>
    </w:p>
    <w:p>
      <w:pPr>
        <w:spacing w:line="4320" w:lineRule="exact"/>
        <w:ind w:left="983" w:right="0" w:firstLine="0"/>
        <w:rPr>
          <w:rFonts w:ascii="宋体" w:hAnsi="宋体" w:cs="宋体" w:eastAsia="宋体" w:hint="default"/>
          <w:sz w:val="20"/>
          <w:szCs w:val="20"/>
        </w:rPr>
      </w:pPr>
      <w:r>
        <w:rPr>
          <w:rFonts w:ascii="宋体" w:hAnsi="宋体" w:cs="宋体" w:eastAsia="宋体" w:hint="default"/>
          <w:position w:val="-85"/>
          <w:sz w:val="20"/>
          <w:szCs w:val="20"/>
        </w:rPr>
        <w:drawing>
          <wp:inline distT="0" distB="0" distL="0" distR="0">
            <wp:extent cx="5324474" cy="2743200"/>
            <wp:effectExtent l="0" t="0" r="0" b="0"/>
            <wp:docPr id="7" name="image5.jpeg" descr=""/>
            <wp:cNvGraphicFramePr>
              <a:graphicFrameLocks noChangeAspect="1"/>
            </wp:cNvGraphicFramePr>
            <a:graphic>
              <a:graphicData uri="http://schemas.openxmlformats.org/drawingml/2006/picture">
                <pic:pic>
                  <pic:nvPicPr>
                    <pic:cNvPr id="8" name="image5.jpeg"/>
                    <pic:cNvPicPr/>
                  </pic:nvPicPr>
                  <pic:blipFill>
                    <a:blip r:embed="rId16" cstate="print"/>
                    <a:stretch>
                      <a:fillRect/>
                    </a:stretch>
                  </pic:blipFill>
                  <pic:spPr>
                    <a:xfrm>
                      <a:off x="0" y="0"/>
                      <a:ext cx="5324474" cy="2743200"/>
                    </a:xfrm>
                    <a:prstGeom prst="rect">
                      <a:avLst/>
                    </a:prstGeom>
                  </pic:spPr>
                </pic:pic>
              </a:graphicData>
            </a:graphic>
          </wp:inline>
        </w:drawing>
      </w:r>
      <w:r>
        <w:rPr>
          <w:rFonts w:ascii="宋体" w:hAnsi="宋体" w:cs="宋体" w:eastAsia="宋体" w:hint="default"/>
          <w:position w:val="-85"/>
          <w:sz w:val="20"/>
          <w:szCs w:val="20"/>
        </w:rPr>
      </w:r>
    </w:p>
    <w:p>
      <w:pPr>
        <w:pStyle w:val="Heading5"/>
        <w:spacing w:line="408" w:lineRule="auto" w:before="94"/>
        <w:ind w:left="573" w:right="1204" w:firstLine="3766"/>
        <w:jc w:val="left"/>
      </w:pPr>
      <w:r>
        <w:rPr>
          <w:rFonts w:ascii="宋体" w:hAnsi="宋体" w:cs="宋体" w:eastAsia="宋体" w:hint="default"/>
          <w:b/>
          <w:bCs/>
        </w:rPr>
        <w:t>乘用车车联网服务</w:t>
      </w:r>
      <w:r>
        <w:rPr>
          <w:rFonts w:ascii="宋体" w:hAnsi="宋体" w:cs="宋体" w:eastAsia="宋体" w:hint="default"/>
          <w:b/>
          <w:bCs/>
          <w:w w:val="99"/>
        </w:rPr>
        <w:t> </w:t>
      </w:r>
      <w:r>
        <w:rPr/>
        <w:t>商用车车联网产品及服务主要面向商用车领域，基于位置大数据平台、商用车</w:t>
      </w:r>
      <w:r>
        <w:rPr>
          <w:spacing w:val="-56"/>
        </w:rPr>
        <w:t> </w:t>
      </w:r>
      <w:r>
        <w:rPr>
          <w:rFonts w:ascii="宋体" w:hAnsi="宋体" w:cs="宋体" w:eastAsia="宋体" w:hint="default"/>
        </w:rPr>
        <w:t>ADAS</w:t>
      </w:r>
      <w:r>
        <w:rPr>
          <w:rFonts w:ascii="宋体" w:hAnsi="宋体" w:cs="宋体" w:eastAsia="宋体" w:hint="default"/>
          <w:spacing w:val="-55"/>
        </w:rPr>
        <w:t> </w:t>
      </w:r>
      <w:r>
        <w:rPr/>
        <w:t>地图和智能车载</w:t>
      </w:r>
    </w:p>
    <w:p>
      <w:pPr>
        <w:pStyle w:val="Heading5"/>
        <w:spacing w:line="408" w:lineRule="auto"/>
        <w:ind w:right="982" w:firstLine="0"/>
        <w:jc w:val="left"/>
        <w:rPr>
          <w:rFonts w:ascii="宋体" w:hAnsi="宋体" w:cs="宋体" w:eastAsia="宋体" w:hint="default"/>
        </w:rPr>
      </w:pPr>
      <w:r>
        <w:rPr>
          <w:spacing w:val="-7"/>
        </w:rPr>
        <w:t>硬件，融合大数据处理技术及计算能力，打造共享出行时代的“智能运力大脑”，赋能主机厂、车主司机、</w:t>
      </w:r>
      <w:r>
        <w:rPr>
          <w:spacing w:val="-21"/>
        </w:rPr>
        <w:t> </w:t>
      </w:r>
      <w:r>
        <w:rPr>
          <w:spacing w:val="-21"/>
        </w:rPr>
      </w:r>
      <w:r>
        <w:rPr/>
        <w:t>物流公司、后市场服务提供商、金融保险、无车承运人等物流产业链上下游企业，推动物流产业集约化、</w:t>
      </w:r>
      <w:r>
        <w:rPr>
          <w:spacing w:val="-31"/>
        </w:rPr>
        <w:t> </w:t>
      </w:r>
      <w:r>
        <w:rPr>
          <w:spacing w:val="-31"/>
        </w:rPr>
      </w:r>
      <w:r>
        <w:rPr>
          <w:spacing w:val="-2"/>
        </w:rPr>
        <w:t>智能化及数字化升级。基于精准、可靠、多源的车辆全生命周期海量数据，进行数据价值深入挖掘，为广</w:t>
      </w:r>
      <w:r>
        <w:rPr>
          <w:spacing w:val="-44"/>
        </w:rPr>
        <w:t> </w:t>
      </w:r>
      <w:r>
        <w:rPr>
          <w:spacing w:val="-44"/>
        </w:rPr>
      </w:r>
      <w:r>
        <w:rPr>
          <w:spacing w:val="-2"/>
          <w:w w:val="100"/>
        </w:rPr>
        <w:t>大车主司机、中小车队、大型物流企业、特种车行业的降本增效、安全生产等提供数字化全套解决方案。</w:t>
      </w:r>
      <w:r>
        <w:rPr>
          <w:rFonts w:ascii="宋体" w:hAnsi="宋体" w:cs="宋体" w:eastAsia="宋体" w:hint="default"/>
          <w:w w:val="100"/>
        </w:rPr>
        <w:t> </w:t>
      </w:r>
    </w:p>
    <w:p>
      <w:pPr>
        <w:spacing w:line="240" w:lineRule="auto" w:before="5"/>
        <w:rPr>
          <w:rFonts w:ascii="宋体" w:hAnsi="宋体" w:cs="宋体" w:eastAsia="宋体" w:hint="default"/>
          <w:sz w:val="8"/>
          <w:szCs w:val="8"/>
        </w:rPr>
      </w:pPr>
    </w:p>
    <w:p>
      <w:pPr>
        <w:spacing w:line="2858" w:lineRule="exact"/>
        <w:ind w:left="154" w:right="0" w:firstLine="0"/>
        <w:rPr>
          <w:rFonts w:ascii="宋体" w:hAnsi="宋体" w:cs="宋体" w:eastAsia="宋体" w:hint="default"/>
          <w:sz w:val="20"/>
          <w:szCs w:val="20"/>
        </w:rPr>
      </w:pPr>
      <w:r>
        <w:rPr>
          <w:rFonts w:ascii="宋体" w:hAnsi="宋体" w:cs="宋体" w:eastAsia="宋体" w:hint="default"/>
          <w:position w:val="-56"/>
          <w:sz w:val="20"/>
          <w:szCs w:val="20"/>
        </w:rPr>
        <w:drawing>
          <wp:inline distT="0" distB="0" distL="0" distR="0">
            <wp:extent cx="6125734" cy="1815083"/>
            <wp:effectExtent l="0" t="0" r="0" b="0"/>
            <wp:docPr id="9" name="image6.jpeg" descr=""/>
            <wp:cNvGraphicFramePr>
              <a:graphicFrameLocks noChangeAspect="1"/>
            </wp:cNvGraphicFramePr>
            <a:graphic>
              <a:graphicData uri="http://schemas.openxmlformats.org/drawingml/2006/picture">
                <pic:pic>
                  <pic:nvPicPr>
                    <pic:cNvPr id="10" name="image6.jpeg"/>
                    <pic:cNvPicPr/>
                  </pic:nvPicPr>
                  <pic:blipFill>
                    <a:blip r:embed="rId17" cstate="print"/>
                    <a:stretch>
                      <a:fillRect/>
                    </a:stretch>
                  </pic:blipFill>
                  <pic:spPr>
                    <a:xfrm>
                      <a:off x="0" y="0"/>
                      <a:ext cx="6125734" cy="1815083"/>
                    </a:xfrm>
                    <a:prstGeom prst="rect">
                      <a:avLst/>
                    </a:prstGeom>
                  </pic:spPr>
                </pic:pic>
              </a:graphicData>
            </a:graphic>
          </wp:inline>
        </w:drawing>
      </w:r>
      <w:r>
        <w:rPr>
          <w:rFonts w:ascii="宋体" w:hAnsi="宋体" w:cs="宋体" w:eastAsia="宋体" w:hint="default"/>
          <w:position w:val="-56"/>
          <w:sz w:val="20"/>
          <w:szCs w:val="20"/>
        </w:rPr>
      </w:r>
    </w:p>
    <w:p>
      <w:pPr>
        <w:spacing w:line="240" w:lineRule="auto" w:before="3"/>
        <w:rPr>
          <w:rFonts w:ascii="宋体" w:hAnsi="宋体" w:cs="宋体" w:eastAsia="宋体" w:hint="default"/>
          <w:sz w:val="15"/>
          <w:szCs w:val="15"/>
        </w:rPr>
      </w:pPr>
    </w:p>
    <w:p>
      <w:pPr>
        <w:pStyle w:val="Heading5"/>
        <w:spacing w:line="408" w:lineRule="auto" w:before="0"/>
        <w:ind w:left="573" w:right="1204" w:firstLine="3766"/>
        <w:jc w:val="left"/>
      </w:pPr>
      <w:r>
        <w:rPr>
          <w:rFonts w:ascii="宋体" w:hAnsi="宋体" w:cs="宋体" w:eastAsia="宋体" w:hint="default"/>
          <w:b/>
          <w:bCs/>
        </w:rPr>
        <w:t>商用车车联网服务</w:t>
      </w:r>
      <w:r>
        <w:rPr>
          <w:rFonts w:ascii="宋体" w:hAnsi="宋体" w:cs="宋体" w:eastAsia="宋体" w:hint="default"/>
          <w:b/>
          <w:bCs/>
          <w:color w:val="FF0000"/>
          <w:w w:val="99"/>
        </w:rPr>
        <w:t> </w:t>
      </w:r>
      <w:r>
        <w:rPr/>
        <w:t>动态交通信息产品及服务主要是基于自身海量的动态交通大数据优势，通过专业大数据及</w:t>
      </w:r>
      <w:r>
        <w:rPr>
          <w:spacing w:val="-55"/>
        </w:rPr>
        <w:t> </w:t>
      </w:r>
      <w:r>
        <w:rPr>
          <w:rFonts w:ascii="宋体" w:hAnsi="宋体" w:cs="宋体" w:eastAsia="宋体" w:hint="default"/>
        </w:rPr>
        <w:t>AI</w:t>
      </w:r>
      <w:r>
        <w:rPr>
          <w:rFonts w:ascii="宋体" w:hAnsi="宋体" w:cs="宋体" w:eastAsia="宋体" w:hint="default"/>
          <w:spacing w:val="-56"/>
        </w:rPr>
        <w:t> </w:t>
      </w:r>
      <w:r>
        <w:rPr/>
        <w:t>处理技</w:t>
      </w:r>
    </w:p>
    <w:p>
      <w:pPr>
        <w:pStyle w:val="Heading5"/>
        <w:spacing w:line="408" w:lineRule="auto"/>
        <w:ind w:right="1126" w:firstLine="0"/>
        <w:jc w:val="both"/>
      </w:pPr>
      <w:r>
        <w:rPr>
          <w:spacing w:val="-2"/>
        </w:rPr>
        <w:t>术，自主研发的多源数据处理模型，每分钟可生成发布全国</w:t>
      </w:r>
      <w:r>
        <w:rPr>
          <w:spacing w:val="-28"/>
        </w:rPr>
        <w:t> </w:t>
      </w:r>
      <w:r>
        <w:rPr>
          <w:rFonts w:ascii="宋体" w:hAnsi="宋体" w:cs="宋体" w:eastAsia="宋体" w:hint="default"/>
          <w:spacing w:val="-1"/>
        </w:rPr>
        <w:t>340</w:t>
      </w:r>
      <w:r>
        <w:rPr>
          <w:rFonts w:ascii="宋体" w:hAnsi="宋体" w:cs="宋体" w:eastAsia="宋体" w:hint="default"/>
          <w:spacing w:val="-29"/>
        </w:rPr>
        <w:t> </w:t>
      </w:r>
      <w:r>
        <w:rPr>
          <w:spacing w:val="-2"/>
        </w:rPr>
        <w:t>个城市实时路况信息，其中车规级城市达</w:t>
      </w:r>
      <w:r>
        <w:rPr>
          <w:spacing w:val="-95"/>
        </w:rPr>
        <w:t> </w:t>
      </w:r>
      <w:r>
        <w:rPr>
          <w:spacing w:val="-95"/>
        </w:rPr>
      </w:r>
      <w:r>
        <w:rPr>
          <w:rFonts w:ascii="宋体" w:hAnsi="宋体" w:cs="宋体" w:eastAsia="宋体" w:hint="default"/>
        </w:rPr>
        <w:t>130</w:t>
      </w:r>
      <w:r>
        <w:rPr>
          <w:rFonts w:ascii="宋体" w:hAnsi="宋体" w:cs="宋体" w:eastAsia="宋体" w:hint="default"/>
          <w:spacing w:val="-53"/>
        </w:rPr>
        <w:t> </w:t>
      </w:r>
      <w:r>
        <w:rPr/>
        <w:t>多个；依托高频</w:t>
      </w:r>
      <w:r>
        <w:rPr>
          <w:spacing w:val="-55"/>
        </w:rPr>
        <w:t> </w:t>
      </w:r>
      <w:r>
        <w:rPr>
          <w:rFonts w:ascii="宋体" w:hAnsi="宋体" w:cs="宋体" w:eastAsia="宋体" w:hint="default"/>
        </w:rPr>
        <w:t>GPS</w:t>
      </w:r>
      <w:r>
        <w:rPr>
          <w:rFonts w:ascii="宋体" w:hAnsi="宋体" w:cs="宋体" w:eastAsia="宋体" w:hint="default"/>
          <w:spacing w:val="-55"/>
        </w:rPr>
        <w:t> </w:t>
      </w:r>
      <w:r>
        <w:rPr/>
        <w:t>数据源以及独有的处理模型，具备提供真正基于真实路况拥堵的位置表达的米级</w:t>
      </w:r>
      <w:r>
        <w:rPr>
          <w:w w:val="100"/>
        </w:rPr>
        <w:t> </w:t>
      </w:r>
      <w:r>
        <w:rPr>
          <w:spacing w:val="-2"/>
        </w:rPr>
        <w:t>路况和多城市封闭道路分方向路况的商用能力；可提供交通路况服务、多类型高质量交通事件服务、城市</w:t>
      </w:r>
      <w:r>
        <w:rPr>
          <w:spacing w:val="-43"/>
        </w:rPr>
        <w:t> </w:t>
      </w:r>
      <w:r>
        <w:rPr>
          <w:spacing w:val="-43"/>
        </w:rPr>
      </w:r>
      <w:r>
        <w:rPr>
          <w:spacing w:val="-2"/>
        </w:rPr>
        <w:t>限行服务、动态停车场服务、动态充电桩服务、实时道路天气服务、在线路径规划等产品和服务，满足不</w:t>
      </w:r>
    </w:p>
    <w:p>
      <w:pPr>
        <w:spacing w:after="0" w:line="408" w:lineRule="auto"/>
        <w:jc w:val="both"/>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pStyle w:val="Heading5"/>
        <w:spacing w:line="408" w:lineRule="auto" w:before="176"/>
        <w:ind w:right="1126" w:firstLine="0"/>
        <w:jc w:val="both"/>
        <w:rPr>
          <w:rFonts w:ascii="宋体" w:hAnsi="宋体" w:cs="宋体" w:eastAsia="宋体" w:hint="default"/>
        </w:rPr>
      </w:pPr>
      <w:r>
        <w:rPr>
          <w:spacing w:val="-2"/>
        </w:rPr>
        <w:t>同领域客户的应用和高精度、高鲜度定制化需求。交通路况服务具体涵盖实时路况、精细化路况、分方向</w:t>
      </w:r>
      <w:r>
        <w:rPr>
          <w:spacing w:val="-44"/>
        </w:rPr>
        <w:t> </w:t>
      </w:r>
      <w:r>
        <w:rPr>
          <w:spacing w:val="-44"/>
        </w:rPr>
      </w:r>
      <w:r>
        <w:rPr/>
        <w:t>路况、路况简图、路况预测、历史路况。</w:t>
      </w:r>
      <w:r>
        <w:rPr>
          <w:rFonts w:ascii="宋体" w:hAnsi="宋体" w:cs="宋体" w:eastAsia="宋体" w:hint="default"/>
        </w:rPr>
        <w:t> </w:t>
      </w:r>
    </w:p>
    <w:p>
      <w:pPr>
        <w:spacing w:line="240" w:lineRule="auto" w:before="5"/>
        <w:rPr>
          <w:rFonts w:ascii="宋体" w:hAnsi="宋体" w:cs="宋体" w:eastAsia="宋体" w:hint="default"/>
          <w:sz w:val="10"/>
          <w:szCs w:val="10"/>
        </w:rPr>
      </w:pPr>
    </w:p>
    <w:p>
      <w:pPr>
        <w:spacing w:line="2816" w:lineRule="exact"/>
        <w:ind w:left="898" w:right="0" w:firstLine="0"/>
        <w:rPr>
          <w:rFonts w:ascii="宋体" w:hAnsi="宋体" w:cs="宋体" w:eastAsia="宋体" w:hint="default"/>
          <w:sz w:val="20"/>
          <w:szCs w:val="20"/>
        </w:rPr>
      </w:pPr>
      <w:r>
        <w:rPr>
          <w:rFonts w:ascii="宋体" w:hAnsi="宋体" w:cs="宋体" w:eastAsia="宋体" w:hint="default"/>
          <w:position w:val="-55"/>
          <w:sz w:val="20"/>
          <w:szCs w:val="20"/>
        </w:rPr>
        <w:drawing>
          <wp:inline distT="0" distB="0" distL="0" distR="0">
            <wp:extent cx="5412763" cy="1788223"/>
            <wp:effectExtent l="0" t="0" r="0" b="0"/>
            <wp:docPr id="11" name="image7.png" descr=""/>
            <wp:cNvGraphicFramePr>
              <a:graphicFrameLocks noChangeAspect="1"/>
            </wp:cNvGraphicFramePr>
            <a:graphic>
              <a:graphicData uri="http://schemas.openxmlformats.org/drawingml/2006/picture">
                <pic:pic>
                  <pic:nvPicPr>
                    <pic:cNvPr id="12" name="image7.png"/>
                    <pic:cNvPicPr/>
                  </pic:nvPicPr>
                  <pic:blipFill>
                    <a:blip r:embed="rId18" cstate="print"/>
                    <a:stretch>
                      <a:fillRect/>
                    </a:stretch>
                  </pic:blipFill>
                  <pic:spPr>
                    <a:xfrm>
                      <a:off x="0" y="0"/>
                      <a:ext cx="5412763" cy="1788223"/>
                    </a:xfrm>
                    <a:prstGeom prst="rect">
                      <a:avLst/>
                    </a:prstGeom>
                  </pic:spPr>
                </pic:pic>
              </a:graphicData>
            </a:graphic>
          </wp:inline>
        </w:drawing>
      </w:r>
      <w:r>
        <w:rPr>
          <w:rFonts w:ascii="宋体" w:hAnsi="宋体" w:cs="宋体" w:eastAsia="宋体" w:hint="default"/>
          <w:position w:val="-55"/>
          <w:sz w:val="20"/>
          <w:szCs w:val="20"/>
        </w:rPr>
      </w:r>
    </w:p>
    <w:p>
      <w:pPr>
        <w:spacing w:line="240" w:lineRule="auto" w:before="7"/>
        <w:rPr>
          <w:rFonts w:ascii="宋体" w:hAnsi="宋体" w:cs="宋体" w:eastAsia="宋体" w:hint="default"/>
          <w:sz w:val="19"/>
          <w:szCs w:val="19"/>
        </w:rPr>
      </w:pPr>
    </w:p>
    <w:p>
      <w:pPr>
        <w:spacing w:line="441" w:lineRule="auto" w:before="0"/>
        <w:ind w:left="575" w:right="982" w:firstLine="3449"/>
        <w:jc w:val="left"/>
        <w:rPr>
          <w:rFonts w:ascii="宋体" w:hAnsi="宋体" w:cs="宋体" w:eastAsia="宋体" w:hint="default"/>
          <w:sz w:val="21"/>
          <w:szCs w:val="21"/>
        </w:rPr>
      </w:pPr>
      <w:r>
        <w:rPr>
          <w:rFonts w:ascii="宋体" w:hAnsi="宋体" w:cs="宋体" w:eastAsia="宋体" w:hint="default"/>
          <w:b/>
          <w:bCs/>
          <w:sz w:val="21"/>
          <w:szCs w:val="21"/>
        </w:rPr>
        <w:t>动态交通信息及出行服务</w:t>
      </w:r>
      <w:r>
        <w:rPr>
          <w:rFonts w:ascii="宋体" w:hAnsi="宋体" w:cs="宋体" w:eastAsia="宋体" w:hint="default"/>
          <w:b/>
          <w:bCs/>
          <w:w w:val="99"/>
          <w:sz w:val="21"/>
          <w:szCs w:val="21"/>
        </w:rPr>
        <w:t> </w:t>
      </w:r>
      <w:r>
        <w:rPr>
          <w:rFonts w:ascii="宋体" w:hAnsi="宋体" w:cs="宋体" w:eastAsia="宋体" w:hint="default"/>
          <w:b/>
          <w:bCs/>
          <w:spacing w:val="-2"/>
          <w:sz w:val="21"/>
          <w:szCs w:val="21"/>
        </w:rPr>
        <w:t>芯片业务：</w:t>
      </w:r>
      <w:r>
        <w:rPr>
          <w:rFonts w:ascii="宋体" w:hAnsi="宋体" w:cs="宋体" w:eastAsia="宋体" w:hint="default"/>
          <w:spacing w:val="-2"/>
          <w:sz w:val="21"/>
          <w:szCs w:val="21"/>
        </w:rPr>
        <w:t>主要面向汽车信息娱乐系统、智能座舱系统、主动安全系统、车身控制系统、自动驾驶系</w:t>
      </w:r>
    </w:p>
    <w:p>
      <w:pPr>
        <w:pStyle w:val="Heading5"/>
        <w:spacing w:line="408" w:lineRule="auto" w:before="16"/>
        <w:ind w:right="1126" w:firstLine="0"/>
        <w:jc w:val="both"/>
        <w:rPr>
          <w:rFonts w:ascii="宋体" w:hAnsi="宋体" w:cs="宋体" w:eastAsia="宋体" w:hint="default"/>
        </w:rPr>
      </w:pPr>
      <w:r>
        <w:rPr>
          <w:spacing w:val="-2"/>
        </w:rPr>
        <w:t>统等汽车电子细分领域，设计、研发、生产并销售汽车电子芯片，同时提供高度集成及一体化系统解决方</w:t>
      </w:r>
      <w:r>
        <w:rPr>
          <w:spacing w:val="-47"/>
        </w:rPr>
        <w:t> </w:t>
      </w:r>
      <w:r>
        <w:rPr>
          <w:spacing w:val="-47"/>
        </w:rPr>
      </w:r>
      <w:r>
        <w:rPr/>
        <w:t>案。其中，主要芯片产品包括</w:t>
      </w:r>
      <w:r>
        <w:rPr>
          <w:spacing w:val="-35"/>
        </w:rPr>
        <w:t> </w:t>
      </w:r>
      <w:r>
        <w:rPr>
          <w:rFonts w:ascii="宋体" w:hAnsi="宋体" w:cs="宋体" w:eastAsia="宋体" w:hint="default"/>
        </w:rPr>
        <w:t>IVI</w:t>
      </w:r>
      <w:r>
        <w:rPr>
          <w:rFonts w:ascii="宋体" w:hAnsi="宋体" w:cs="宋体" w:eastAsia="宋体" w:hint="default"/>
          <w:spacing w:val="-33"/>
        </w:rPr>
        <w:t> </w:t>
      </w:r>
      <w:r>
        <w:rPr/>
        <w:t>车载信息娱乐系统芯片、</w:t>
      </w:r>
      <w:r>
        <w:rPr>
          <w:rFonts w:ascii="宋体" w:hAnsi="宋体" w:cs="宋体" w:eastAsia="宋体" w:hint="default"/>
        </w:rPr>
        <w:t>AMP</w:t>
      </w:r>
      <w:r>
        <w:rPr>
          <w:rFonts w:ascii="宋体" w:hAnsi="宋体" w:cs="宋体" w:eastAsia="宋体" w:hint="default"/>
          <w:spacing w:val="-36"/>
        </w:rPr>
        <w:t> </w:t>
      </w:r>
      <w:r>
        <w:rPr/>
        <w:t>车载功率电子芯片、</w:t>
      </w:r>
      <w:r>
        <w:rPr>
          <w:rFonts w:ascii="宋体" w:hAnsi="宋体" w:cs="宋体" w:eastAsia="宋体" w:hint="default"/>
        </w:rPr>
        <w:t>MCU</w:t>
      </w:r>
      <w:r>
        <w:rPr>
          <w:rFonts w:ascii="宋体" w:hAnsi="宋体" w:cs="宋体" w:eastAsia="宋体" w:hint="default"/>
          <w:spacing w:val="-35"/>
        </w:rPr>
        <w:t> </w:t>
      </w:r>
      <w:r>
        <w:rPr/>
        <w:t>车身控制芯片，</w:t>
      </w:r>
      <w:r>
        <w:rPr>
          <w:w w:val="100"/>
        </w:rPr>
        <w:t> </w:t>
      </w:r>
      <w:r>
        <w:rPr>
          <w:rFonts w:ascii="宋体" w:hAnsi="宋体" w:cs="宋体" w:eastAsia="宋体" w:hint="default"/>
        </w:rPr>
        <w:t>TPMS</w:t>
      </w:r>
      <w:r>
        <w:rPr>
          <w:rFonts w:ascii="宋体" w:hAnsi="宋体" w:cs="宋体" w:eastAsia="宋体" w:hint="default"/>
          <w:spacing w:val="-43"/>
        </w:rPr>
        <w:t> </w:t>
      </w:r>
      <w:r>
        <w:rPr/>
        <w:t>胎压监测芯片等。其中</w:t>
      </w:r>
      <w:r>
        <w:rPr>
          <w:spacing w:val="-43"/>
        </w:rPr>
        <w:t> </w:t>
      </w:r>
      <w:r>
        <w:rPr>
          <w:rFonts w:ascii="宋体" w:hAnsi="宋体" w:cs="宋体" w:eastAsia="宋体" w:hint="default"/>
        </w:rPr>
        <w:t>MCU</w:t>
      </w:r>
      <w:r>
        <w:rPr>
          <w:rFonts w:ascii="宋体" w:hAnsi="宋体" w:cs="宋体" w:eastAsia="宋体" w:hint="default"/>
          <w:spacing w:val="-42"/>
        </w:rPr>
        <w:t> </w:t>
      </w:r>
      <w:r>
        <w:rPr/>
        <w:t>芯片已于</w:t>
      </w:r>
      <w:r>
        <w:rPr>
          <w:spacing w:val="-43"/>
        </w:rPr>
        <w:t> </w:t>
      </w:r>
      <w:r>
        <w:rPr>
          <w:rFonts w:ascii="宋体" w:hAnsi="宋体" w:cs="宋体" w:eastAsia="宋体" w:hint="default"/>
        </w:rPr>
        <w:t>2018</w:t>
      </w:r>
      <w:r>
        <w:rPr>
          <w:rFonts w:ascii="宋体" w:hAnsi="宋体" w:cs="宋体" w:eastAsia="宋体" w:hint="default"/>
          <w:spacing w:val="-45"/>
        </w:rPr>
        <w:t> </w:t>
      </w:r>
      <w:r>
        <w:rPr/>
        <w:t>年完成量产，</w:t>
      </w:r>
      <w:r>
        <w:rPr>
          <w:rFonts w:ascii="宋体" w:hAnsi="宋体" w:cs="宋体" w:eastAsia="宋体" w:hint="default"/>
        </w:rPr>
        <w:t>TPMS</w:t>
      </w:r>
      <w:r>
        <w:rPr>
          <w:rFonts w:ascii="宋体" w:hAnsi="宋体" w:cs="宋体" w:eastAsia="宋体" w:hint="default"/>
          <w:spacing w:val="-45"/>
        </w:rPr>
        <w:t> </w:t>
      </w:r>
      <w:r>
        <w:rPr/>
        <w:t>芯片计划</w:t>
      </w:r>
      <w:r>
        <w:rPr>
          <w:spacing w:val="-46"/>
        </w:rPr>
        <w:t> </w:t>
      </w:r>
      <w:r>
        <w:rPr>
          <w:rFonts w:ascii="宋体" w:hAnsi="宋体" w:cs="宋体" w:eastAsia="宋体" w:hint="default"/>
        </w:rPr>
        <w:t>2019</w:t>
      </w:r>
      <w:r>
        <w:rPr>
          <w:rFonts w:ascii="宋体" w:hAnsi="宋体" w:cs="宋体" w:eastAsia="宋体" w:hint="default"/>
          <w:spacing w:val="-43"/>
        </w:rPr>
        <w:t> </w:t>
      </w:r>
      <w:r>
        <w:rPr/>
        <w:t>年实现量产。正在开发</w:t>
      </w:r>
      <w:r>
        <w:rPr>
          <w:w w:val="100"/>
        </w:rPr>
        <w:t> </w:t>
      </w:r>
      <w:r>
        <w:rPr/>
        <w:t>新的芯片如新一代智能座舱</w:t>
      </w:r>
      <w:r>
        <w:rPr>
          <w:spacing w:val="-50"/>
        </w:rPr>
        <w:t> </w:t>
      </w:r>
      <w:r>
        <w:rPr>
          <w:rFonts w:ascii="宋体" w:hAnsi="宋体" w:cs="宋体" w:eastAsia="宋体" w:hint="default"/>
        </w:rPr>
        <w:t>IVI</w:t>
      </w:r>
      <w:r>
        <w:rPr>
          <w:rFonts w:ascii="宋体" w:hAnsi="宋体" w:cs="宋体" w:eastAsia="宋体" w:hint="default"/>
          <w:spacing w:val="-51"/>
        </w:rPr>
        <w:t> </w:t>
      </w:r>
      <w:r>
        <w:rPr>
          <w:spacing w:val="-3"/>
        </w:rPr>
        <w:t>芯片，新一代车联网芯片，新一代</w:t>
      </w:r>
      <w:r>
        <w:rPr>
          <w:spacing w:val="-50"/>
        </w:rPr>
        <w:t> </w:t>
      </w:r>
      <w:r>
        <w:rPr>
          <w:rFonts w:ascii="宋体" w:hAnsi="宋体" w:cs="宋体" w:eastAsia="宋体" w:hint="default"/>
        </w:rPr>
        <w:t>AMP</w:t>
      </w:r>
      <w:r>
        <w:rPr>
          <w:rFonts w:ascii="宋体" w:hAnsi="宋体" w:cs="宋体" w:eastAsia="宋体" w:hint="default"/>
          <w:spacing w:val="-53"/>
        </w:rPr>
        <w:t> </w:t>
      </w:r>
      <w:r>
        <w:rPr/>
        <w:t>车载功率电子芯片，新一代</w:t>
      </w:r>
      <w:r>
        <w:rPr>
          <w:spacing w:val="-49"/>
        </w:rPr>
        <w:t> </w:t>
      </w:r>
      <w:r>
        <w:rPr>
          <w:rFonts w:ascii="宋体" w:hAnsi="宋体" w:cs="宋体" w:eastAsia="宋体" w:hint="default"/>
        </w:rPr>
        <w:t>MCU</w:t>
      </w:r>
      <w:r>
        <w:rPr>
          <w:rFonts w:ascii="宋体" w:hAnsi="宋体" w:cs="宋体" w:eastAsia="宋体" w:hint="default"/>
          <w:spacing w:val="-50"/>
        </w:rPr>
        <w:t> </w:t>
      </w:r>
      <w:r>
        <w:rPr/>
        <w:t>车</w:t>
      </w:r>
      <w:r>
        <w:rPr>
          <w:w w:val="100"/>
        </w:rPr>
        <w:t> </w:t>
      </w:r>
      <w:r>
        <w:rPr/>
        <w:t>身控制芯片等，将进一步为自动驾驶一体化解决方案落地奠定基础。</w:t>
      </w:r>
      <w:r>
        <w:rPr>
          <w:rFonts w:ascii="宋体" w:hAnsi="宋体" w:cs="宋体" w:eastAsia="宋体" w:hint="default"/>
        </w:rPr>
        <w:t> </w:t>
      </w:r>
    </w:p>
    <w:p>
      <w:pPr>
        <w:spacing w:line="240" w:lineRule="auto" w:before="2"/>
        <w:rPr>
          <w:rFonts w:ascii="宋体" w:hAnsi="宋体" w:cs="宋体" w:eastAsia="宋体" w:hint="default"/>
          <w:sz w:val="4"/>
          <w:szCs w:val="4"/>
        </w:rPr>
      </w:pPr>
    </w:p>
    <w:p>
      <w:pPr>
        <w:spacing w:line="4013" w:lineRule="exact"/>
        <w:ind w:left="576" w:right="0" w:firstLine="0"/>
        <w:rPr>
          <w:rFonts w:ascii="宋体" w:hAnsi="宋体" w:cs="宋体" w:eastAsia="宋体" w:hint="default"/>
          <w:sz w:val="20"/>
          <w:szCs w:val="20"/>
        </w:rPr>
      </w:pPr>
      <w:r>
        <w:rPr>
          <w:rFonts w:ascii="宋体" w:hAnsi="宋体" w:cs="宋体" w:eastAsia="宋体" w:hint="default"/>
          <w:position w:val="-79"/>
          <w:sz w:val="20"/>
          <w:szCs w:val="20"/>
        </w:rPr>
        <w:drawing>
          <wp:inline distT="0" distB="0" distL="0" distR="0">
            <wp:extent cx="5256586" cy="2548318"/>
            <wp:effectExtent l="0" t="0" r="0" b="0"/>
            <wp:docPr id="13" name="image8.jpeg" descr=""/>
            <wp:cNvGraphicFramePr>
              <a:graphicFrameLocks noChangeAspect="1"/>
            </wp:cNvGraphicFramePr>
            <a:graphic>
              <a:graphicData uri="http://schemas.openxmlformats.org/drawingml/2006/picture">
                <pic:pic>
                  <pic:nvPicPr>
                    <pic:cNvPr id="14" name="image8.jpeg"/>
                    <pic:cNvPicPr/>
                  </pic:nvPicPr>
                  <pic:blipFill>
                    <a:blip r:embed="rId19" cstate="print"/>
                    <a:stretch>
                      <a:fillRect/>
                    </a:stretch>
                  </pic:blipFill>
                  <pic:spPr>
                    <a:xfrm>
                      <a:off x="0" y="0"/>
                      <a:ext cx="5256586" cy="2548318"/>
                    </a:xfrm>
                    <a:prstGeom prst="rect">
                      <a:avLst/>
                    </a:prstGeom>
                  </pic:spPr>
                </pic:pic>
              </a:graphicData>
            </a:graphic>
          </wp:inline>
        </w:drawing>
      </w:r>
      <w:r>
        <w:rPr>
          <w:rFonts w:ascii="宋体" w:hAnsi="宋体" w:cs="宋体" w:eastAsia="宋体" w:hint="default"/>
          <w:position w:val="-79"/>
          <w:sz w:val="20"/>
          <w:szCs w:val="20"/>
        </w:rPr>
      </w:r>
    </w:p>
    <w:p>
      <w:pPr>
        <w:spacing w:line="441" w:lineRule="auto" w:before="117"/>
        <w:ind w:left="575" w:right="1141" w:firstLine="3869"/>
        <w:jc w:val="left"/>
        <w:rPr>
          <w:rFonts w:ascii="宋体" w:hAnsi="宋体" w:cs="宋体" w:eastAsia="宋体" w:hint="default"/>
          <w:sz w:val="21"/>
          <w:szCs w:val="21"/>
        </w:rPr>
      </w:pPr>
      <w:r>
        <w:rPr>
          <w:rFonts w:ascii="宋体" w:hAnsi="宋体" w:cs="宋体" w:eastAsia="宋体" w:hint="default"/>
          <w:b/>
          <w:bCs/>
          <w:sz w:val="21"/>
          <w:szCs w:val="21"/>
        </w:rPr>
        <w:t>芯片产品及服务</w:t>
      </w:r>
      <w:r>
        <w:rPr>
          <w:rFonts w:ascii="宋体" w:hAnsi="宋体" w:cs="宋体" w:eastAsia="宋体" w:hint="default"/>
          <w:b/>
          <w:bCs/>
          <w:w w:val="99"/>
          <w:sz w:val="21"/>
          <w:szCs w:val="21"/>
        </w:rPr>
        <w:t> </w:t>
      </w:r>
      <w:r>
        <w:rPr>
          <w:rFonts w:ascii="宋体" w:hAnsi="宋体" w:cs="宋体" w:eastAsia="宋体" w:hint="default"/>
          <w:b/>
          <w:bCs/>
          <w:sz w:val="21"/>
          <w:szCs w:val="21"/>
        </w:rPr>
        <w:t>高级辅助驾驶及自动驾驶业务</w:t>
      </w:r>
      <w:r>
        <w:rPr>
          <w:rFonts w:ascii="宋体" w:hAnsi="宋体" w:cs="宋体" w:eastAsia="宋体" w:hint="default"/>
          <w:sz w:val="21"/>
          <w:szCs w:val="21"/>
        </w:rPr>
        <w:t>：主要包括提供</w:t>
      </w:r>
      <w:r>
        <w:rPr>
          <w:rFonts w:ascii="宋体" w:hAnsi="宋体" w:cs="宋体" w:eastAsia="宋体" w:hint="default"/>
          <w:spacing w:val="-54"/>
          <w:sz w:val="21"/>
          <w:szCs w:val="21"/>
        </w:rPr>
        <w:t> </w:t>
      </w:r>
      <w:r>
        <w:rPr>
          <w:rFonts w:ascii="宋体" w:hAnsi="宋体" w:cs="宋体" w:eastAsia="宋体" w:hint="default"/>
          <w:sz w:val="21"/>
          <w:szCs w:val="21"/>
        </w:rPr>
        <w:t>ADAS</w:t>
      </w:r>
      <w:r>
        <w:rPr>
          <w:rFonts w:ascii="宋体" w:hAnsi="宋体" w:cs="宋体" w:eastAsia="宋体" w:hint="default"/>
          <w:spacing w:val="-56"/>
          <w:sz w:val="21"/>
          <w:szCs w:val="21"/>
        </w:rPr>
        <w:t> </w:t>
      </w:r>
      <w:r>
        <w:rPr>
          <w:rFonts w:ascii="宋体" w:hAnsi="宋体" w:cs="宋体" w:eastAsia="宋体" w:hint="default"/>
          <w:sz w:val="21"/>
          <w:szCs w:val="21"/>
        </w:rPr>
        <w:t>地图、</w:t>
      </w:r>
      <w:r>
        <w:rPr>
          <w:rFonts w:ascii="宋体" w:hAnsi="宋体" w:cs="宋体" w:eastAsia="宋体" w:hint="default"/>
          <w:sz w:val="21"/>
          <w:szCs w:val="21"/>
        </w:rPr>
        <w:t>HD</w:t>
      </w:r>
      <w:r>
        <w:rPr>
          <w:rFonts w:ascii="宋体" w:hAnsi="宋体" w:cs="宋体" w:eastAsia="宋体" w:hint="default"/>
          <w:spacing w:val="-56"/>
          <w:sz w:val="21"/>
          <w:szCs w:val="21"/>
        </w:rPr>
        <w:t> </w:t>
      </w:r>
      <w:r>
        <w:rPr>
          <w:rFonts w:ascii="宋体" w:hAnsi="宋体" w:cs="宋体" w:eastAsia="宋体" w:hint="default"/>
          <w:sz w:val="21"/>
          <w:szCs w:val="21"/>
        </w:rPr>
        <w:t>地图数据、高精度定位产品及自动驾驶</w:t>
      </w:r>
    </w:p>
    <w:p>
      <w:pPr>
        <w:pStyle w:val="Heading5"/>
        <w:spacing w:line="408" w:lineRule="auto" w:before="16"/>
        <w:ind w:right="1126" w:firstLine="0"/>
        <w:jc w:val="both"/>
      </w:pPr>
      <w:r>
        <w:rPr>
          <w:spacing w:val="-7"/>
        </w:rPr>
        <w:t>整体解决方案，相关前沿技术研发及联合验证。其中，基于云端动态融合的自动驾驶地图数据及服务能力，</w:t>
      </w:r>
      <w:r>
        <w:rPr>
          <w:spacing w:val="-20"/>
        </w:rPr>
        <w:t> </w:t>
      </w:r>
      <w:r>
        <w:rPr>
          <w:spacing w:val="-20"/>
        </w:rPr>
      </w:r>
      <w:r>
        <w:rPr>
          <w:spacing w:val="-4"/>
        </w:rPr>
        <w:t>可以支撑不同等级自动驾驶应用场景的多层次规划需求。</w:t>
      </w:r>
      <w:r>
        <w:rPr>
          <w:rFonts w:ascii="宋体" w:hAnsi="宋体" w:cs="宋体" w:eastAsia="宋体" w:hint="default"/>
          <w:spacing w:val="-4"/>
        </w:rPr>
        <w:t>HD</w:t>
      </w:r>
      <w:r>
        <w:rPr>
          <w:rFonts w:ascii="宋体" w:hAnsi="宋体" w:cs="宋体" w:eastAsia="宋体" w:hint="default"/>
          <w:spacing w:val="-27"/>
        </w:rPr>
        <w:t> </w:t>
      </w:r>
      <w:r>
        <w:rPr/>
        <w:t>地图已经完成全国高速道路数据采集和产品发</w:t>
      </w:r>
    </w:p>
    <w:p>
      <w:pPr>
        <w:spacing w:after="0" w:line="408" w:lineRule="auto"/>
        <w:jc w:val="both"/>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pStyle w:val="Heading5"/>
        <w:spacing w:line="408" w:lineRule="auto" w:before="176"/>
        <w:ind w:right="1133" w:firstLine="0"/>
        <w:jc w:val="left"/>
        <w:rPr>
          <w:rFonts w:ascii="宋体" w:hAnsi="宋体" w:cs="宋体" w:eastAsia="宋体" w:hint="default"/>
        </w:rPr>
      </w:pPr>
      <w:r>
        <w:rPr>
          <w:spacing w:val="-2"/>
        </w:rPr>
        <w:t>布。高精度定位目前已经完成了北京和成都测试，计划完成更多城市拓展。自动驾驶整体解决方案已经完</w:t>
      </w:r>
      <w:r>
        <w:rPr>
          <w:spacing w:val="-42"/>
        </w:rPr>
        <w:t> </w:t>
      </w:r>
      <w:r>
        <w:rPr>
          <w:spacing w:val="-42"/>
        </w:rPr>
      </w:r>
      <w:r>
        <w:rPr/>
        <w:t>成</w:t>
      </w:r>
      <w:r>
        <w:rPr>
          <w:spacing w:val="-54"/>
        </w:rPr>
        <w:t> </w:t>
      </w:r>
      <w:r>
        <w:rPr>
          <w:rFonts w:ascii="宋体" w:hAnsi="宋体" w:cs="宋体" w:eastAsia="宋体" w:hint="default"/>
        </w:rPr>
        <w:t>5000</w:t>
      </w:r>
      <w:r>
        <w:rPr>
          <w:rFonts w:ascii="宋体" w:hAnsi="宋体" w:cs="宋体" w:eastAsia="宋体" w:hint="default"/>
          <w:spacing w:val="-55"/>
        </w:rPr>
        <w:t> </w:t>
      </w:r>
      <w:r>
        <w:rPr/>
        <w:t>多公里长距离实际道路测试验证，具备</w:t>
      </w:r>
      <w:r>
        <w:rPr>
          <w:spacing w:val="-55"/>
        </w:rPr>
        <w:t> </w:t>
      </w:r>
      <w:r>
        <w:rPr>
          <w:rFonts w:ascii="宋体" w:hAnsi="宋体" w:cs="宋体" w:eastAsia="宋体" w:hint="default"/>
        </w:rPr>
        <w:t>L3</w:t>
      </w:r>
      <w:r>
        <w:rPr>
          <w:rFonts w:ascii="宋体" w:hAnsi="宋体" w:cs="宋体" w:eastAsia="宋体" w:hint="default"/>
          <w:spacing w:val="-57"/>
        </w:rPr>
        <w:t> </w:t>
      </w:r>
      <w:r>
        <w:rPr/>
        <w:t>级自动驾驶标准能力。</w:t>
      </w:r>
      <w:r>
        <w:rPr>
          <w:rFonts w:ascii="宋体" w:hAnsi="宋体" w:cs="宋体" w:eastAsia="宋体" w:hint="default"/>
        </w:rPr>
        <w:t> </w:t>
      </w:r>
    </w:p>
    <w:p>
      <w:pPr>
        <w:spacing w:line="240" w:lineRule="auto" w:before="0"/>
        <w:rPr>
          <w:rFonts w:ascii="宋体" w:hAnsi="宋体" w:cs="宋体" w:eastAsia="宋体" w:hint="default"/>
          <w:sz w:val="2"/>
          <w:szCs w:val="2"/>
        </w:rPr>
      </w:pPr>
    </w:p>
    <w:p>
      <w:pPr>
        <w:spacing w:line="4567" w:lineRule="exact"/>
        <w:ind w:left="1818" w:right="0" w:firstLine="0"/>
        <w:rPr>
          <w:rFonts w:ascii="宋体" w:hAnsi="宋体" w:cs="宋体" w:eastAsia="宋体" w:hint="default"/>
          <w:sz w:val="20"/>
          <w:szCs w:val="20"/>
        </w:rPr>
      </w:pPr>
      <w:r>
        <w:rPr>
          <w:rFonts w:ascii="宋体" w:hAnsi="宋体" w:cs="宋体" w:eastAsia="宋体" w:hint="default"/>
          <w:position w:val="-90"/>
          <w:sz w:val="20"/>
          <w:szCs w:val="20"/>
        </w:rPr>
        <w:drawing>
          <wp:inline distT="0" distB="0" distL="0" distR="0">
            <wp:extent cx="4255874" cy="2900553"/>
            <wp:effectExtent l="0" t="0" r="0" b="0"/>
            <wp:docPr id="15" name="image9.jpeg" descr=""/>
            <wp:cNvGraphicFramePr>
              <a:graphicFrameLocks noChangeAspect="1"/>
            </wp:cNvGraphicFramePr>
            <a:graphic>
              <a:graphicData uri="http://schemas.openxmlformats.org/drawingml/2006/picture">
                <pic:pic>
                  <pic:nvPicPr>
                    <pic:cNvPr id="16" name="image9.jpeg"/>
                    <pic:cNvPicPr/>
                  </pic:nvPicPr>
                  <pic:blipFill>
                    <a:blip r:embed="rId20" cstate="print"/>
                    <a:stretch>
                      <a:fillRect/>
                    </a:stretch>
                  </pic:blipFill>
                  <pic:spPr>
                    <a:xfrm>
                      <a:off x="0" y="0"/>
                      <a:ext cx="4255874" cy="2900553"/>
                    </a:xfrm>
                    <a:prstGeom prst="rect">
                      <a:avLst/>
                    </a:prstGeom>
                  </pic:spPr>
                </pic:pic>
              </a:graphicData>
            </a:graphic>
          </wp:inline>
        </w:drawing>
      </w:r>
      <w:r>
        <w:rPr>
          <w:rFonts w:ascii="宋体" w:hAnsi="宋体" w:cs="宋体" w:eastAsia="宋体" w:hint="default"/>
          <w:position w:val="-90"/>
          <w:sz w:val="20"/>
          <w:szCs w:val="20"/>
        </w:rPr>
      </w:r>
    </w:p>
    <w:p>
      <w:pPr>
        <w:pStyle w:val="Heading4"/>
        <w:spacing w:line="240" w:lineRule="auto" w:before="56"/>
        <w:ind w:left="4128" w:right="982"/>
        <w:jc w:val="left"/>
        <w:rPr>
          <w:rFonts w:ascii="宋体" w:hAnsi="宋体" w:cs="宋体" w:eastAsia="宋体" w:hint="default"/>
          <w:b w:val="0"/>
          <w:bCs w:val="0"/>
        </w:rPr>
      </w:pPr>
      <w:r>
        <w:rPr>
          <w:rFonts w:ascii="宋体" w:hAnsi="宋体" w:cs="宋体" w:eastAsia="宋体" w:hint="default"/>
        </w:rPr>
        <w:t>HD</w:t>
      </w:r>
      <w:r>
        <w:rPr/>
        <w:t>地图产品和在线服务</w:t>
      </w:r>
      <w:r>
        <w:rPr>
          <w:rFonts w:ascii="宋体" w:hAnsi="宋体" w:cs="宋体" w:eastAsia="宋体" w:hint="default"/>
          <w:b w:val="0"/>
          <w:bCs w:val="0"/>
          <w:w w:val="100"/>
        </w:rPr>
        <w:t> </w:t>
      </w:r>
    </w:p>
    <w:p>
      <w:pPr>
        <w:spacing w:line="240" w:lineRule="auto" w:before="11"/>
        <w:rPr>
          <w:rFonts w:ascii="宋体" w:hAnsi="宋体" w:cs="宋体" w:eastAsia="宋体" w:hint="default"/>
          <w:sz w:val="7"/>
          <w:szCs w:val="7"/>
        </w:rPr>
      </w:pPr>
    </w:p>
    <w:p>
      <w:pPr>
        <w:spacing w:line="4251" w:lineRule="exact"/>
        <w:ind w:left="1040" w:right="0" w:firstLine="0"/>
        <w:rPr>
          <w:rFonts w:ascii="宋体" w:hAnsi="宋体" w:cs="宋体" w:eastAsia="宋体" w:hint="default"/>
          <w:sz w:val="20"/>
          <w:szCs w:val="20"/>
        </w:rPr>
      </w:pPr>
      <w:r>
        <w:rPr>
          <w:rFonts w:ascii="宋体" w:hAnsi="宋体" w:cs="宋体" w:eastAsia="宋体" w:hint="default"/>
          <w:position w:val="-84"/>
          <w:sz w:val="20"/>
          <w:szCs w:val="20"/>
        </w:rPr>
        <w:drawing>
          <wp:inline distT="0" distB="0" distL="0" distR="0">
            <wp:extent cx="4983957" cy="2699385"/>
            <wp:effectExtent l="0" t="0" r="0" b="0"/>
            <wp:docPr id="17" name="image10.jpeg" descr=""/>
            <wp:cNvGraphicFramePr>
              <a:graphicFrameLocks noChangeAspect="1"/>
            </wp:cNvGraphicFramePr>
            <a:graphic>
              <a:graphicData uri="http://schemas.openxmlformats.org/drawingml/2006/picture">
                <pic:pic>
                  <pic:nvPicPr>
                    <pic:cNvPr id="18" name="image10.jpeg"/>
                    <pic:cNvPicPr/>
                  </pic:nvPicPr>
                  <pic:blipFill>
                    <a:blip r:embed="rId21" cstate="print"/>
                    <a:stretch>
                      <a:fillRect/>
                    </a:stretch>
                  </pic:blipFill>
                  <pic:spPr>
                    <a:xfrm>
                      <a:off x="0" y="0"/>
                      <a:ext cx="4983957" cy="2699385"/>
                    </a:xfrm>
                    <a:prstGeom prst="rect">
                      <a:avLst/>
                    </a:prstGeom>
                  </pic:spPr>
                </pic:pic>
              </a:graphicData>
            </a:graphic>
          </wp:inline>
        </w:drawing>
      </w:r>
      <w:r>
        <w:rPr>
          <w:rFonts w:ascii="宋体" w:hAnsi="宋体" w:cs="宋体" w:eastAsia="宋体" w:hint="default"/>
          <w:position w:val="-84"/>
          <w:sz w:val="20"/>
          <w:szCs w:val="20"/>
        </w:rPr>
      </w:r>
    </w:p>
    <w:p>
      <w:pPr>
        <w:spacing w:line="410" w:lineRule="auto" w:before="129"/>
        <w:ind w:left="575" w:right="982" w:firstLine="3343"/>
        <w:jc w:val="left"/>
        <w:rPr>
          <w:rFonts w:ascii="宋体" w:hAnsi="宋体" w:cs="宋体" w:eastAsia="宋体" w:hint="default"/>
          <w:sz w:val="21"/>
          <w:szCs w:val="21"/>
        </w:rPr>
      </w:pPr>
      <w:r>
        <w:rPr>
          <w:rFonts w:ascii="宋体" w:hAnsi="宋体" w:cs="宋体" w:eastAsia="宋体" w:hint="default"/>
          <w:b/>
          <w:bCs/>
          <w:sz w:val="21"/>
          <w:szCs w:val="21"/>
        </w:rPr>
        <w:t>自动驾驶整体解决方案</w:t>
      </w:r>
      <w:r>
        <w:rPr>
          <w:rFonts w:ascii="宋体" w:hAnsi="宋体" w:cs="宋体" w:eastAsia="宋体" w:hint="default"/>
          <w:b/>
          <w:bCs/>
          <w:color w:val="FF0000"/>
          <w:w w:val="99"/>
          <w:sz w:val="21"/>
          <w:szCs w:val="21"/>
        </w:rPr>
        <w:t> </w:t>
      </w:r>
      <w:r>
        <w:rPr>
          <w:rFonts w:ascii="宋体" w:hAnsi="宋体" w:cs="宋体" w:eastAsia="宋体" w:hint="default"/>
          <w:b/>
          <w:bCs/>
          <w:spacing w:val="-2"/>
          <w:sz w:val="21"/>
          <w:szCs w:val="21"/>
        </w:rPr>
        <w:t>位置大数据服务</w:t>
      </w:r>
      <w:r>
        <w:rPr>
          <w:rFonts w:ascii="宋体" w:hAnsi="宋体" w:cs="宋体" w:eastAsia="宋体" w:hint="default"/>
          <w:spacing w:val="-2"/>
          <w:sz w:val="21"/>
          <w:szCs w:val="21"/>
        </w:rPr>
        <w:t>：依托于公司十余年导航电子地图的生产及服务经验，充分利用自身的数据、算法和</w:t>
      </w:r>
    </w:p>
    <w:p>
      <w:pPr>
        <w:pStyle w:val="Heading5"/>
        <w:spacing w:line="408" w:lineRule="auto" w:before="44"/>
        <w:ind w:right="982" w:firstLine="0"/>
        <w:jc w:val="left"/>
      </w:pPr>
      <w:r>
        <w:rPr>
          <w:spacing w:val="-4"/>
        </w:rPr>
        <w:t>技术优势，专注研发位置大数据平台 </w:t>
      </w:r>
      <w:r>
        <w:rPr>
          <w:rFonts w:ascii="宋体" w:hAnsi="宋体" w:cs="宋体" w:eastAsia="宋体" w:hint="default"/>
          <w:spacing w:val="-3"/>
        </w:rPr>
        <w:t>Minedata</w:t>
      </w:r>
      <w:r>
        <w:rPr>
          <w:spacing w:val="-3"/>
        </w:rPr>
        <w:t>，并面向政府、企事业单位和行业用户提供一整套集数据汇</w:t>
      </w:r>
      <w:r>
        <w:rPr>
          <w:spacing w:val="-76"/>
        </w:rPr>
        <w:t> </w:t>
      </w:r>
      <w:r>
        <w:rPr>
          <w:spacing w:val="-76"/>
        </w:rPr>
      </w:r>
      <w:r>
        <w:rPr>
          <w:spacing w:val="-3"/>
        </w:rPr>
        <w:t>聚、可视化、分析、平台工程化和商业化的大数据解决方案。</w:t>
      </w:r>
      <w:r>
        <w:rPr>
          <w:rFonts w:ascii="宋体" w:hAnsi="宋体" w:cs="宋体" w:eastAsia="宋体" w:hint="default"/>
          <w:spacing w:val="-3"/>
        </w:rPr>
        <w:t>Minedata </w:t>
      </w:r>
      <w:r>
        <w:rPr>
          <w:spacing w:val="-3"/>
        </w:rPr>
        <w:t>平台主要包括集汇聚、存管与服务</w:t>
      </w:r>
      <w:r>
        <w:rPr>
          <w:spacing w:val="-90"/>
        </w:rPr>
        <w:t> </w:t>
      </w:r>
      <w:r>
        <w:rPr>
          <w:spacing w:val="-90"/>
        </w:rPr>
      </w:r>
      <w:r>
        <w:rPr>
          <w:spacing w:val="-2"/>
        </w:rPr>
        <w:t>为一体的自动化数据流转平台数据蜂巢</w:t>
      </w:r>
      <w:r>
        <w:rPr>
          <w:spacing w:val="-23"/>
        </w:rPr>
        <w:t> </w:t>
      </w:r>
      <w:r>
        <w:rPr>
          <w:rFonts w:ascii="宋体" w:hAnsi="宋体" w:cs="宋体" w:eastAsia="宋体" w:hint="default"/>
          <w:spacing w:val="-2"/>
        </w:rPr>
        <w:t>DataHIVE</w:t>
      </w:r>
      <w:r>
        <w:rPr>
          <w:spacing w:val="-2"/>
        </w:rPr>
        <w:t>、一站式地图可视化平台</w:t>
      </w:r>
      <w:r>
        <w:rPr>
          <w:spacing w:val="-25"/>
        </w:rPr>
        <w:t> </w:t>
      </w:r>
      <w:r>
        <w:rPr>
          <w:rFonts w:ascii="宋体" w:hAnsi="宋体" w:cs="宋体" w:eastAsia="宋体" w:hint="default"/>
          <w:spacing w:val="-2"/>
        </w:rPr>
        <w:t>MineMap</w:t>
      </w:r>
      <w:r>
        <w:rPr>
          <w:spacing w:val="-2"/>
        </w:rPr>
        <w:t>、一站式位置大数据分</w:t>
      </w:r>
      <w:r>
        <w:rPr>
          <w:spacing w:val="-91"/>
        </w:rPr>
        <w:t> </w:t>
      </w:r>
      <w:r>
        <w:rPr>
          <w:spacing w:val="-91"/>
        </w:rPr>
      </w:r>
      <w:r>
        <w:rPr/>
        <w:t>析与深度学习平台</w:t>
      </w:r>
      <w:r>
        <w:rPr>
          <w:spacing w:val="-44"/>
        </w:rPr>
        <w:t> </w:t>
      </w:r>
      <w:r>
        <w:rPr>
          <w:rFonts w:ascii="宋体" w:hAnsi="宋体" w:cs="宋体" w:eastAsia="宋体" w:hint="default"/>
          <w:spacing w:val="-6"/>
        </w:rPr>
        <w:t>MineLab</w:t>
      </w:r>
      <w:r>
        <w:rPr>
          <w:spacing w:val="-6"/>
        </w:rPr>
        <w:t>、行业解决方案</w:t>
      </w:r>
      <w:r>
        <w:rPr>
          <w:spacing w:val="-46"/>
        </w:rPr>
        <w:t> </w:t>
      </w:r>
      <w:r>
        <w:rPr>
          <w:rFonts w:ascii="宋体" w:hAnsi="宋体" w:cs="宋体" w:eastAsia="宋体" w:hint="default"/>
        </w:rPr>
        <w:t>MineSolution</w:t>
      </w:r>
      <w:r>
        <w:rPr>
          <w:rFonts w:ascii="宋体" w:hAnsi="宋体" w:cs="宋体" w:eastAsia="宋体" w:hint="default"/>
          <w:spacing w:val="-46"/>
        </w:rPr>
        <w:t> </w:t>
      </w:r>
      <w:r>
        <w:rPr>
          <w:spacing w:val="-6"/>
        </w:rPr>
        <w:t>四大模块，以及可视化快速搭建平台</w:t>
      </w:r>
      <w:r>
        <w:rPr>
          <w:spacing w:val="-43"/>
        </w:rPr>
        <w:t> </w:t>
      </w:r>
      <w:r>
        <w:rPr>
          <w:rFonts w:ascii="宋体" w:hAnsi="宋体" w:cs="宋体" w:eastAsia="宋体" w:hint="default"/>
        </w:rPr>
        <w:t>MinePlay</w:t>
      </w:r>
      <w:r>
        <w:rPr/>
        <w:t>、</w:t>
      </w:r>
      <w:r>
        <w:rPr>
          <w:spacing w:val="-100"/>
        </w:rPr>
        <w:t> </w:t>
      </w:r>
      <w:r>
        <w:rPr/>
        <w:t>面向行业应用领域的可定制化导航服务套件</w:t>
      </w:r>
      <w:r>
        <w:rPr>
          <w:spacing w:val="-55"/>
        </w:rPr>
        <w:t> </w:t>
      </w:r>
      <w:r>
        <w:rPr>
          <w:rFonts w:ascii="宋体" w:hAnsi="宋体" w:cs="宋体" w:eastAsia="宋体" w:hint="default"/>
        </w:rPr>
        <w:t>MineNavi</w:t>
      </w:r>
      <w:r>
        <w:rPr/>
        <w:t>、专业位置服务接口</w:t>
      </w:r>
      <w:r>
        <w:rPr>
          <w:spacing w:val="-56"/>
        </w:rPr>
        <w:t> </w:t>
      </w:r>
      <w:r>
        <w:rPr>
          <w:rFonts w:ascii="宋体" w:hAnsi="宋体" w:cs="宋体" w:eastAsia="宋体" w:hint="default"/>
        </w:rPr>
        <w:t>MineService</w:t>
      </w:r>
      <w:r>
        <w:rPr/>
        <w:t>。基于</w:t>
      </w:r>
      <w:r>
        <w:rPr>
          <w:spacing w:val="-55"/>
        </w:rPr>
        <w:t> </w:t>
      </w:r>
      <w:r>
        <w:rPr>
          <w:rFonts w:ascii="宋体" w:hAnsi="宋体" w:cs="宋体" w:eastAsia="宋体" w:hint="default"/>
        </w:rPr>
        <w:t>MineData</w:t>
      </w:r>
      <w:r>
        <w:rPr>
          <w:rFonts w:ascii="宋体" w:hAnsi="宋体" w:cs="宋体" w:eastAsia="宋体" w:hint="default"/>
          <w:w w:val="100"/>
        </w:rPr>
        <w:t> </w:t>
      </w:r>
      <w:r>
        <w:rPr>
          <w:spacing w:val="-2"/>
        </w:rPr>
        <w:t>平台和行业项目经验积累，公司继续研发并陆续推出针对不同行业应用特点的平台型产品，包括交警大数</w:t>
      </w:r>
    </w:p>
    <w:p>
      <w:pPr>
        <w:spacing w:after="0" w:line="408" w:lineRule="auto"/>
        <w:jc w:val="left"/>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pStyle w:val="Heading5"/>
        <w:spacing w:line="408" w:lineRule="auto" w:before="176"/>
        <w:ind w:right="982" w:firstLine="0"/>
        <w:jc w:val="left"/>
        <w:rPr>
          <w:rFonts w:ascii="宋体" w:hAnsi="宋体" w:cs="宋体" w:eastAsia="宋体" w:hint="default"/>
        </w:rPr>
      </w:pPr>
      <w:r>
        <w:rPr>
          <w:spacing w:val="-2"/>
        </w:rPr>
        <w:t>据平台、车辆大数据分析平台、警用公众地理信息服务平台、智绘城市规划平台、四维交通指数平台、城</w:t>
      </w:r>
      <w:r>
        <w:rPr>
          <w:spacing w:val="-43"/>
        </w:rPr>
        <w:t> </w:t>
      </w:r>
      <w:r>
        <w:rPr>
          <w:spacing w:val="-43"/>
        </w:rPr>
      </w:r>
      <w:r>
        <w:rPr/>
        <w:t>市路网密度监测平台等，为行业用户提供更专业的位置大数据服务。</w:t>
      </w:r>
      <w:r>
        <w:rPr>
          <w:rFonts w:ascii="宋体" w:hAnsi="宋体" w:cs="宋体" w:eastAsia="宋体" w:hint="default"/>
        </w:rPr>
        <w:t> </w:t>
      </w:r>
    </w:p>
    <w:p>
      <w:pPr>
        <w:spacing w:line="240" w:lineRule="auto" w:before="9"/>
        <w:rPr>
          <w:rFonts w:ascii="宋体" w:hAnsi="宋体" w:cs="宋体" w:eastAsia="宋体" w:hint="default"/>
          <w:sz w:val="8"/>
          <w:szCs w:val="8"/>
        </w:rPr>
      </w:pPr>
    </w:p>
    <w:p>
      <w:pPr>
        <w:spacing w:line="3267" w:lineRule="exact"/>
        <w:ind w:left="863" w:right="0" w:firstLine="0"/>
        <w:rPr>
          <w:rFonts w:ascii="宋体" w:hAnsi="宋体" w:cs="宋体" w:eastAsia="宋体" w:hint="default"/>
          <w:sz w:val="20"/>
          <w:szCs w:val="20"/>
        </w:rPr>
      </w:pPr>
      <w:r>
        <w:rPr>
          <w:rFonts w:ascii="宋体" w:hAnsi="宋体" w:cs="宋体" w:eastAsia="宋体" w:hint="default"/>
          <w:position w:val="-64"/>
          <w:sz w:val="20"/>
          <w:szCs w:val="20"/>
        </w:rPr>
        <w:drawing>
          <wp:inline distT="0" distB="0" distL="0" distR="0">
            <wp:extent cx="5479021" cy="2074545"/>
            <wp:effectExtent l="0" t="0" r="0" b="0"/>
            <wp:docPr id="19" name="image11.png" descr=""/>
            <wp:cNvGraphicFramePr>
              <a:graphicFrameLocks noChangeAspect="1"/>
            </wp:cNvGraphicFramePr>
            <a:graphic>
              <a:graphicData uri="http://schemas.openxmlformats.org/drawingml/2006/picture">
                <pic:pic>
                  <pic:nvPicPr>
                    <pic:cNvPr id="20" name="image11.png"/>
                    <pic:cNvPicPr/>
                  </pic:nvPicPr>
                  <pic:blipFill>
                    <a:blip r:embed="rId22" cstate="print"/>
                    <a:stretch>
                      <a:fillRect/>
                    </a:stretch>
                  </pic:blipFill>
                  <pic:spPr>
                    <a:xfrm>
                      <a:off x="0" y="0"/>
                      <a:ext cx="5479021" cy="2074545"/>
                    </a:xfrm>
                    <a:prstGeom prst="rect">
                      <a:avLst/>
                    </a:prstGeom>
                  </pic:spPr>
                </pic:pic>
              </a:graphicData>
            </a:graphic>
          </wp:inline>
        </w:drawing>
      </w:r>
      <w:r>
        <w:rPr>
          <w:rFonts w:ascii="宋体" w:hAnsi="宋体" w:cs="宋体" w:eastAsia="宋体" w:hint="default"/>
          <w:position w:val="-64"/>
          <w:sz w:val="20"/>
          <w:szCs w:val="20"/>
        </w:rPr>
      </w:r>
    </w:p>
    <w:p>
      <w:pPr>
        <w:pStyle w:val="Heading4"/>
        <w:spacing w:line="240" w:lineRule="auto" w:before="177"/>
        <w:ind w:left="159" w:right="1031"/>
        <w:jc w:val="center"/>
        <w:rPr>
          <w:rFonts w:ascii="宋体" w:hAnsi="宋体" w:cs="宋体" w:eastAsia="宋体" w:hint="default"/>
          <w:b w:val="0"/>
          <w:bCs w:val="0"/>
        </w:rPr>
      </w:pPr>
      <w:r>
        <w:rPr>
          <w:rFonts w:ascii="宋体" w:hAnsi="宋体" w:cs="宋体" w:eastAsia="宋体" w:hint="default"/>
        </w:rPr>
        <w:t>MineData</w:t>
      </w:r>
      <w:r>
        <w:rPr>
          <w:rFonts w:ascii="宋体" w:hAnsi="宋体" w:cs="宋体" w:eastAsia="宋体" w:hint="default"/>
          <w:spacing w:val="-53"/>
        </w:rPr>
        <w:t> </w:t>
      </w:r>
      <w:r>
        <w:rPr/>
        <w:t>位置大数据平台</w:t>
      </w:r>
      <w:r>
        <w:rPr>
          <w:rFonts w:ascii="宋体" w:hAnsi="宋体" w:cs="宋体" w:eastAsia="宋体" w:hint="default"/>
          <w:w w:val="99"/>
        </w:rPr>
        <w:t> </w:t>
      </w:r>
      <w:r>
        <w:rPr>
          <w:rFonts w:ascii="宋体" w:hAnsi="宋体" w:cs="宋体" w:eastAsia="宋体" w:hint="default"/>
          <w:b w:val="0"/>
          <w:bCs w:val="0"/>
        </w:rPr>
      </w:r>
    </w:p>
    <w:p>
      <w:pPr>
        <w:spacing w:line="240" w:lineRule="auto" w:before="1"/>
        <w:rPr>
          <w:rFonts w:ascii="宋体" w:hAnsi="宋体" w:cs="宋体" w:eastAsia="宋体" w:hint="default"/>
          <w:b/>
          <w:bCs/>
          <w:sz w:val="21"/>
          <w:szCs w:val="21"/>
        </w:rPr>
      </w:pPr>
    </w:p>
    <w:p>
      <w:pPr>
        <w:spacing w:line="4360" w:lineRule="exact"/>
        <w:ind w:left="818" w:right="0" w:firstLine="0"/>
        <w:rPr>
          <w:rFonts w:ascii="宋体" w:hAnsi="宋体" w:cs="宋体" w:eastAsia="宋体" w:hint="default"/>
          <w:sz w:val="20"/>
          <w:szCs w:val="20"/>
        </w:rPr>
      </w:pPr>
      <w:r>
        <w:rPr>
          <w:rFonts w:ascii="宋体" w:hAnsi="宋体" w:cs="宋体" w:eastAsia="宋体" w:hint="default"/>
          <w:position w:val="-86"/>
          <w:sz w:val="20"/>
          <w:szCs w:val="20"/>
        </w:rPr>
        <w:drawing>
          <wp:inline distT="0" distB="0" distL="0" distR="0">
            <wp:extent cx="5244841" cy="2768917"/>
            <wp:effectExtent l="0" t="0" r="0" b="0"/>
            <wp:docPr id="21" name="image12.jpeg" descr=""/>
            <wp:cNvGraphicFramePr>
              <a:graphicFrameLocks noChangeAspect="1"/>
            </wp:cNvGraphicFramePr>
            <a:graphic>
              <a:graphicData uri="http://schemas.openxmlformats.org/drawingml/2006/picture">
                <pic:pic>
                  <pic:nvPicPr>
                    <pic:cNvPr id="22" name="image12.jpeg"/>
                    <pic:cNvPicPr/>
                  </pic:nvPicPr>
                  <pic:blipFill>
                    <a:blip r:embed="rId23" cstate="print"/>
                    <a:stretch>
                      <a:fillRect/>
                    </a:stretch>
                  </pic:blipFill>
                  <pic:spPr>
                    <a:xfrm>
                      <a:off x="0" y="0"/>
                      <a:ext cx="5244841" cy="2768917"/>
                    </a:xfrm>
                    <a:prstGeom prst="rect">
                      <a:avLst/>
                    </a:prstGeom>
                  </pic:spPr>
                </pic:pic>
              </a:graphicData>
            </a:graphic>
          </wp:inline>
        </w:drawing>
      </w:r>
      <w:r>
        <w:rPr>
          <w:rFonts w:ascii="宋体" w:hAnsi="宋体" w:cs="宋体" w:eastAsia="宋体" w:hint="default"/>
          <w:position w:val="-86"/>
          <w:sz w:val="20"/>
          <w:szCs w:val="20"/>
        </w:rPr>
      </w:r>
    </w:p>
    <w:p>
      <w:pPr>
        <w:spacing w:line="240" w:lineRule="auto" w:before="2"/>
        <w:rPr>
          <w:rFonts w:ascii="宋体" w:hAnsi="宋体" w:cs="宋体" w:eastAsia="宋体" w:hint="default"/>
          <w:b/>
          <w:bCs/>
          <w:sz w:val="18"/>
          <w:szCs w:val="18"/>
        </w:rPr>
      </w:pPr>
    </w:p>
    <w:p>
      <w:pPr>
        <w:pStyle w:val="Heading4"/>
        <w:spacing w:line="240" w:lineRule="auto"/>
        <w:ind w:left="158" w:right="1031"/>
        <w:jc w:val="center"/>
        <w:rPr>
          <w:rFonts w:ascii="宋体" w:hAnsi="宋体" w:cs="宋体" w:eastAsia="宋体" w:hint="default"/>
          <w:b w:val="0"/>
          <w:bCs w:val="0"/>
        </w:rPr>
      </w:pPr>
      <w:r>
        <w:rPr/>
        <w:t>基于</w:t>
      </w:r>
      <w:r>
        <w:rPr>
          <w:spacing w:val="-54"/>
        </w:rPr>
        <w:t> </w:t>
      </w:r>
      <w:r>
        <w:rPr>
          <w:rFonts w:ascii="宋体" w:hAnsi="宋体" w:cs="宋体" w:eastAsia="宋体" w:hint="default"/>
        </w:rPr>
        <w:t>MineData</w:t>
      </w:r>
      <w:r>
        <w:rPr>
          <w:rFonts w:ascii="宋体" w:hAnsi="宋体" w:cs="宋体" w:eastAsia="宋体" w:hint="default"/>
          <w:spacing w:val="-55"/>
        </w:rPr>
        <w:t> </w:t>
      </w:r>
      <w:r>
        <w:rPr/>
        <w:t>平台的行业应用及定制化解决方案</w:t>
      </w:r>
      <w:r>
        <w:rPr>
          <w:rFonts w:ascii="宋体" w:hAnsi="宋体" w:cs="宋体" w:eastAsia="宋体" w:hint="default"/>
          <w:color w:val="FF0000"/>
          <w:w w:val="99"/>
        </w:rPr>
        <w:t> </w:t>
      </w:r>
      <w:r>
        <w:rPr>
          <w:rFonts w:ascii="宋体" w:hAnsi="宋体" w:cs="宋体" w:eastAsia="宋体" w:hint="default"/>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4"/>
          <w:szCs w:val="14"/>
        </w:rPr>
      </w:pPr>
    </w:p>
    <w:p>
      <w:pPr>
        <w:spacing w:line="441" w:lineRule="auto" w:before="36"/>
        <w:ind w:left="573" w:right="982" w:firstLine="2"/>
        <w:jc w:val="left"/>
        <w:rPr>
          <w:rFonts w:ascii="宋体" w:hAnsi="宋体" w:cs="宋体" w:eastAsia="宋体" w:hint="default"/>
          <w:sz w:val="21"/>
          <w:szCs w:val="21"/>
        </w:rPr>
      </w:pPr>
      <w:r>
        <w:rPr>
          <w:rFonts w:ascii="宋体" w:hAnsi="宋体" w:cs="宋体" w:eastAsia="宋体" w:hint="default"/>
          <w:b/>
          <w:bCs/>
          <w:sz w:val="21"/>
          <w:szCs w:val="21"/>
        </w:rPr>
        <w:t>（二）公司主要客户所处行业分析及公司的应对措施</w:t>
      </w:r>
      <w:r>
        <w:rPr>
          <w:rFonts w:ascii="宋体" w:hAnsi="宋体" w:cs="宋体" w:eastAsia="宋体" w:hint="default"/>
          <w:b/>
          <w:bCs/>
          <w:w w:val="99"/>
          <w:sz w:val="21"/>
          <w:szCs w:val="21"/>
        </w:rPr>
        <w:t> </w:t>
      </w:r>
      <w:r>
        <w:rPr>
          <w:rFonts w:ascii="宋体" w:hAnsi="宋体" w:cs="宋体" w:eastAsia="宋体" w:hint="default"/>
          <w:spacing w:val="-3"/>
          <w:sz w:val="21"/>
          <w:szCs w:val="21"/>
        </w:rPr>
        <w:t>报告期内，公司客户主要包括车厂及系统供应商，互联网高科技企业，政企及行业客户。它们所处行</w:t>
      </w:r>
    </w:p>
    <w:p>
      <w:pPr>
        <w:pStyle w:val="Heading5"/>
        <w:spacing w:line="408" w:lineRule="auto" w:before="16"/>
        <w:ind w:right="982" w:firstLine="0"/>
        <w:jc w:val="left"/>
        <w:rPr>
          <w:rFonts w:ascii="宋体" w:hAnsi="宋体" w:cs="宋体" w:eastAsia="宋体" w:hint="default"/>
        </w:rPr>
      </w:pPr>
      <w:r>
        <w:rPr>
          <w:spacing w:val="-2"/>
        </w:rPr>
        <w:t>业相关的宏观经济形势、行业政策环境和信息化投资需求等外部因素的变化情况，对公司当期及未来发展</w:t>
      </w:r>
      <w:r>
        <w:rPr>
          <w:spacing w:val="-42"/>
        </w:rPr>
        <w:t> </w:t>
      </w:r>
      <w:r>
        <w:rPr>
          <w:spacing w:val="-42"/>
        </w:rPr>
      </w:r>
      <w:r>
        <w:rPr/>
        <w:t>的影响</w:t>
      </w:r>
      <w:r>
        <w:rPr>
          <w:rFonts w:ascii="宋体" w:hAnsi="宋体" w:cs="宋体" w:eastAsia="宋体" w:hint="default"/>
        </w:rPr>
        <w:t>,</w:t>
      </w:r>
      <w:r>
        <w:rPr/>
        <w:t>以及公司已经或计划采取的应对措施具体如下：</w:t>
      </w:r>
      <w:r>
        <w:rPr>
          <w:rFonts w:ascii="宋体" w:hAnsi="宋体" w:cs="宋体" w:eastAsia="宋体" w:hint="default"/>
        </w:rPr>
        <w:t> </w:t>
      </w:r>
    </w:p>
    <w:p>
      <w:pPr>
        <w:pStyle w:val="Heading4"/>
        <w:spacing w:line="240" w:lineRule="auto" w:before="46"/>
        <w:ind w:left="575" w:right="982"/>
        <w:jc w:val="left"/>
        <w:rPr>
          <w:rFonts w:ascii="宋体" w:hAnsi="宋体" w:cs="宋体" w:eastAsia="宋体" w:hint="default"/>
          <w:b w:val="0"/>
          <w:bCs w:val="0"/>
        </w:rPr>
      </w:pPr>
      <w:r>
        <w:rPr>
          <w:rFonts w:ascii="宋体" w:hAnsi="宋体" w:cs="宋体" w:eastAsia="宋体" w:hint="default"/>
        </w:rPr>
        <w:t>1</w:t>
      </w:r>
      <w:r>
        <w:rPr/>
        <w:t>、车厂及系统供应商所处行业分析及公司的应对措施</w:t>
      </w:r>
      <w:r>
        <w:rPr>
          <w:rFonts w:ascii="宋体" w:hAnsi="宋体" w:cs="宋体" w:eastAsia="宋体" w:hint="default"/>
          <w:w w:val="99"/>
        </w:rPr>
        <w:t> </w:t>
      </w:r>
      <w:r>
        <w:rPr>
          <w:rFonts w:ascii="宋体" w:hAnsi="宋体" w:cs="宋体" w:eastAsia="宋体" w:hint="default"/>
          <w:b w:val="0"/>
          <w:bCs w:val="0"/>
        </w:rPr>
      </w:r>
    </w:p>
    <w:p>
      <w:pPr>
        <w:spacing w:line="240" w:lineRule="auto" w:before="12"/>
        <w:rPr>
          <w:rFonts w:ascii="宋体" w:hAnsi="宋体" w:cs="宋体" w:eastAsia="宋体" w:hint="default"/>
          <w:b/>
          <w:bCs/>
          <w:sz w:val="17"/>
          <w:szCs w:val="17"/>
        </w:rPr>
      </w:pPr>
    </w:p>
    <w:p>
      <w:pPr>
        <w:pStyle w:val="Heading4"/>
        <w:spacing w:line="240" w:lineRule="auto"/>
        <w:ind w:left="575" w:right="982"/>
        <w:jc w:val="left"/>
        <w:rPr>
          <w:rFonts w:ascii="宋体" w:hAnsi="宋体" w:cs="宋体" w:eastAsia="宋体" w:hint="default"/>
          <w:b w:val="0"/>
          <w:bCs w:val="0"/>
        </w:rPr>
      </w:pPr>
      <w:r>
        <w:rPr/>
        <w:t>（</w:t>
      </w:r>
      <w:r>
        <w:rPr>
          <w:rFonts w:ascii="宋体" w:hAnsi="宋体" w:cs="宋体" w:eastAsia="宋体" w:hint="default"/>
        </w:rPr>
        <w:t>1</w:t>
      </w:r>
      <w:r>
        <w:rPr/>
        <w:t>）车厂及系统供应商所处行业分析</w:t>
      </w:r>
      <w:r>
        <w:rPr>
          <w:rFonts w:ascii="宋体" w:hAnsi="宋体" w:cs="宋体" w:eastAsia="宋体" w:hint="default"/>
          <w:w w:val="99"/>
        </w:rPr>
        <w:t> </w:t>
      </w:r>
      <w:r>
        <w:rPr>
          <w:rFonts w:ascii="宋体" w:hAnsi="宋体" w:cs="宋体" w:eastAsia="宋体" w:hint="default"/>
          <w:b w:val="0"/>
          <w:bCs w:val="0"/>
        </w:rPr>
      </w:r>
    </w:p>
    <w:p>
      <w:pPr>
        <w:spacing w:line="240" w:lineRule="auto" w:before="11"/>
        <w:rPr>
          <w:rFonts w:ascii="宋体" w:hAnsi="宋体" w:cs="宋体" w:eastAsia="宋体" w:hint="default"/>
          <w:b/>
          <w:bCs/>
          <w:sz w:val="17"/>
          <w:szCs w:val="17"/>
        </w:rPr>
      </w:pPr>
    </w:p>
    <w:p>
      <w:pPr>
        <w:pStyle w:val="Heading5"/>
        <w:spacing w:line="240" w:lineRule="auto" w:before="0"/>
        <w:ind w:left="573" w:right="982" w:firstLine="0"/>
        <w:jc w:val="left"/>
      </w:pPr>
      <w:r>
        <w:rPr>
          <w:rFonts w:ascii="宋体" w:hAnsi="宋体" w:cs="宋体" w:eastAsia="宋体" w:hint="default"/>
        </w:rPr>
        <w:t>2018</w:t>
      </w:r>
      <w:r>
        <w:rPr>
          <w:rFonts w:ascii="宋体" w:hAnsi="宋体" w:cs="宋体" w:eastAsia="宋体" w:hint="default"/>
          <w:spacing w:val="31"/>
        </w:rPr>
        <w:t> </w:t>
      </w:r>
      <w:r>
        <w:rPr>
          <w:spacing w:val="-4"/>
        </w:rPr>
        <w:t>年，受购置税优惠政策全面退出、宏观经济增速回落以及中美贸易谈判等因素影响，我国汽车产</w:t>
      </w:r>
    </w:p>
    <w:p>
      <w:pPr>
        <w:spacing w:after="0" w:line="240" w:lineRule="auto"/>
        <w:jc w:val="left"/>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pStyle w:val="Heading5"/>
        <w:spacing w:line="408" w:lineRule="auto" w:before="176"/>
        <w:ind w:right="1022" w:firstLine="0"/>
        <w:jc w:val="left"/>
        <w:rPr>
          <w:rFonts w:ascii="宋体" w:hAnsi="宋体" w:cs="宋体" w:eastAsia="宋体" w:hint="default"/>
        </w:rPr>
      </w:pPr>
      <w:r>
        <w:rPr/>
        <w:t>业面临较大压力，产销增速低于年初预计。根据中国汽车工业协会统计，</w:t>
      </w:r>
      <w:r>
        <w:rPr>
          <w:rFonts w:ascii="宋体" w:hAnsi="宋体" w:cs="宋体" w:eastAsia="宋体" w:hint="default"/>
        </w:rPr>
        <w:t>2018 </w:t>
      </w:r>
      <w:r>
        <w:rPr/>
        <w:t>年我国汽车产销量分别为</w:t>
      </w:r>
      <w:r>
        <w:rPr>
          <w:spacing w:val="-28"/>
        </w:rPr>
        <w:t> </w:t>
      </w:r>
      <w:r>
        <w:rPr>
          <w:spacing w:val="-28"/>
        </w:rPr>
      </w:r>
      <w:r>
        <w:rPr>
          <w:rFonts w:ascii="宋体" w:hAnsi="宋体" w:cs="宋体" w:eastAsia="宋体" w:hint="default"/>
        </w:rPr>
        <w:t>2780.9</w:t>
      </w:r>
      <w:r>
        <w:rPr>
          <w:rFonts w:ascii="宋体" w:hAnsi="宋体" w:cs="宋体" w:eastAsia="宋体" w:hint="default"/>
          <w:spacing w:val="-48"/>
        </w:rPr>
        <w:t> </w:t>
      </w:r>
      <w:r>
        <w:rPr/>
        <w:t>万辆和</w:t>
      </w:r>
      <w:r>
        <w:rPr>
          <w:spacing w:val="-49"/>
        </w:rPr>
        <w:t> </w:t>
      </w:r>
      <w:r>
        <w:rPr>
          <w:rFonts w:ascii="宋体" w:hAnsi="宋体" w:cs="宋体" w:eastAsia="宋体" w:hint="default"/>
        </w:rPr>
        <w:t>2808.1</w:t>
      </w:r>
      <w:r>
        <w:rPr>
          <w:rFonts w:ascii="宋体" w:hAnsi="宋体" w:cs="宋体" w:eastAsia="宋体" w:hint="default"/>
          <w:spacing w:val="-49"/>
        </w:rPr>
        <w:t> </w:t>
      </w:r>
      <w:r>
        <w:rPr>
          <w:spacing w:val="-10"/>
        </w:rPr>
        <w:t>万辆，比去年同期下降</w:t>
      </w:r>
      <w:r>
        <w:rPr>
          <w:spacing w:val="-48"/>
        </w:rPr>
        <w:t> </w:t>
      </w:r>
      <w:r>
        <w:rPr>
          <w:rFonts w:ascii="宋体" w:hAnsi="宋体" w:cs="宋体" w:eastAsia="宋体" w:hint="default"/>
        </w:rPr>
        <w:t>4.2%</w:t>
      </w:r>
      <w:r>
        <w:rPr/>
        <w:t>和</w:t>
      </w:r>
      <w:r>
        <w:rPr>
          <w:spacing w:val="-49"/>
        </w:rPr>
        <w:t> </w:t>
      </w:r>
      <w:r>
        <w:rPr>
          <w:rFonts w:ascii="宋体" w:hAnsi="宋体" w:cs="宋体" w:eastAsia="宋体" w:hint="default"/>
          <w:spacing w:val="-11"/>
        </w:rPr>
        <w:t>2.8%</w:t>
      </w:r>
      <w:r>
        <w:rPr>
          <w:spacing w:val="-11"/>
        </w:rPr>
        <w:t>。其中，乘用车产销分别完成</w:t>
      </w:r>
      <w:r>
        <w:rPr>
          <w:spacing w:val="-49"/>
        </w:rPr>
        <w:t> </w:t>
      </w:r>
      <w:r>
        <w:rPr>
          <w:rFonts w:ascii="宋体" w:hAnsi="宋体" w:cs="宋体" w:eastAsia="宋体" w:hint="default"/>
        </w:rPr>
        <w:t>2352.9</w:t>
      </w:r>
      <w:r>
        <w:rPr>
          <w:rFonts w:ascii="宋体" w:hAnsi="宋体" w:cs="宋体" w:eastAsia="宋体" w:hint="default"/>
          <w:spacing w:val="-48"/>
        </w:rPr>
        <w:t> </w:t>
      </w:r>
      <w:r>
        <w:rPr/>
        <w:t>万辆和</w:t>
      </w:r>
      <w:r>
        <w:rPr>
          <w:spacing w:val="-52"/>
        </w:rPr>
        <w:t> </w:t>
      </w:r>
      <w:r>
        <w:rPr>
          <w:rFonts w:ascii="宋体" w:hAnsi="宋体" w:cs="宋体" w:eastAsia="宋体" w:hint="default"/>
        </w:rPr>
        <w:t>2371</w:t>
      </w:r>
      <w:r>
        <w:rPr>
          <w:rFonts w:ascii="宋体" w:hAnsi="宋体" w:cs="宋体" w:eastAsia="宋体" w:hint="default"/>
          <w:spacing w:val="-95"/>
        </w:rPr>
        <w:t> </w:t>
      </w:r>
      <w:r>
        <w:rPr>
          <w:rFonts w:ascii="宋体" w:hAnsi="宋体" w:cs="宋体" w:eastAsia="宋体" w:hint="default"/>
          <w:spacing w:val="-95"/>
        </w:rPr>
      </w:r>
      <w:r>
        <w:rPr/>
        <w:t>万辆，比上年同期分别下降</w:t>
      </w:r>
      <w:r>
        <w:rPr>
          <w:spacing w:val="-34"/>
        </w:rPr>
        <w:t> </w:t>
      </w:r>
      <w:r>
        <w:rPr>
          <w:rFonts w:ascii="宋体" w:hAnsi="宋体" w:cs="宋体" w:eastAsia="宋体" w:hint="default"/>
        </w:rPr>
        <w:t>5.2%</w:t>
      </w:r>
      <w:r>
        <w:rPr/>
        <w:t>和</w:t>
      </w:r>
      <w:r>
        <w:rPr>
          <w:spacing w:val="-34"/>
        </w:rPr>
        <w:t> </w:t>
      </w:r>
      <w:r>
        <w:rPr>
          <w:rFonts w:ascii="宋体" w:hAnsi="宋体" w:cs="宋体" w:eastAsia="宋体" w:hint="default"/>
        </w:rPr>
        <w:t>4.1%</w:t>
      </w:r>
      <w:r>
        <w:rPr/>
        <w:t>，占汽车产销比重分别为</w:t>
      </w:r>
      <w:r>
        <w:rPr>
          <w:spacing w:val="-34"/>
        </w:rPr>
        <w:t> </w:t>
      </w:r>
      <w:r>
        <w:rPr>
          <w:rFonts w:ascii="宋体" w:hAnsi="宋体" w:cs="宋体" w:eastAsia="宋体" w:hint="default"/>
        </w:rPr>
        <w:t>84.6%</w:t>
      </w:r>
      <w:r>
        <w:rPr/>
        <w:t>和</w:t>
      </w:r>
      <w:r>
        <w:rPr>
          <w:spacing w:val="-36"/>
        </w:rPr>
        <w:t> </w:t>
      </w:r>
      <w:r>
        <w:rPr>
          <w:rFonts w:ascii="宋体" w:hAnsi="宋体" w:cs="宋体" w:eastAsia="宋体" w:hint="default"/>
        </w:rPr>
        <w:t>84.4%</w:t>
      </w:r>
      <w:r>
        <w:rPr/>
        <w:t>，受汽车市场影响较大。</w:t>
      </w:r>
      <w:r>
        <w:rPr>
          <w:w w:val="100"/>
        </w:rPr>
        <w:t> </w:t>
      </w:r>
      <w:r>
        <w:rPr>
          <w:spacing w:val="-2"/>
        </w:rPr>
        <w:t>预测未来短期内，我国汽车产销量或将呈现继续下滑趋势，面向车厂及系统供应商提供的产品和服务销量</w:t>
      </w:r>
      <w:r>
        <w:rPr>
          <w:spacing w:val="-44"/>
        </w:rPr>
        <w:t> </w:t>
      </w:r>
      <w:r>
        <w:rPr>
          <w:spacing w:val="-44"/>
        </w:rPr>
      </w:r>
      <w:r>
        <w:rPr/>
        <w:t>及单价仍要承担较大压力。</w:t>
      </w:r>
      <w:r>
        <w:rPr>
          <w:rFonts w:ascii="宋体" w:hAnsi="宋体" w:cs="宋体" w:eastAsia="宋体" w:hint="default"/>
        </w:rPr>
        <w:t> </w:t>
      </w:r>
    </w:p>
    <w:p>
      <w:pPr>
        <w:spacing w:line="240" w:lineRule="auto" w:before="3"/>
        <w:rPr>
          <w:rFonts w:ascii="宋体" w:hAnsi="宋体" w:cs="宋体" w:eastAsia="宋体" w:hint="default"/>
          <w:sz w:val="4"/>
          <w:szCs w:val="4"/>
        </w:rPr>
      </w:pPr>
    </w:p>
    <w:p>
      <w:pPr>
        <w:spacing w:line="4320" w:lineRule="exact"/>
        <w:ind w:left="1126" w:right="0" w:firstLine="0"/>
        <w:rPr>
          <w:rFonts w:ascii="宋体" w:hAnsi="宋体" w:cs="宋体" w:eastAsia="宋体" w:hint="default"/>
          <w:sz w:val="20"/>
          <w:szCs w:val="20"/>
        </w:rPr>
      </w:pPr>
      <w:r>
        <w:rPr>
          <w:rFonts w:ascii="宋体" w:hAnsi="宋体" w:cs="宋体" w:eastAsia="宋体" w:hint="default"/>
          <w:position w:val="-85"/>
          <w:sz w:val="20"/>
          <w:szCs w:val="20"/>
        </w:rPr>
        <w:drawing>
          <wp:inline distT="0" distB="0" distL="0" distR="0">
            <wp:extent cx="5175742" cy="2743580"/>
            <wp:effectExtent l="0" t="0" r="0" b="0"/>
            <wp:docPr id="23" name="image13.jpeg" descr=""/>
            <wp:cNvGraphicFramePr>
              <a:graphicFrameLocks noChangeAspect="1"/>
            </wp:cNvGraphicFramePr>
            <a:graphic>
              <a:graphicData uri="http://schemas.openxmlformats.org/drawingml/2006/picture">
                <pic:pic>
                  <pic:nvPicPr>
                    <pic:cNvPr id="24" name="image13.jpeg"/>
                    <pic:cNvPicPr/>
                  </pic:nvPicPr>
                  <pic:blipFill>
                    <a:blip r:embed="rId24" cstate="print"/>
                    <a:stretch>
                      <a:fillRect/>
                    </a:stretch>
                  </pic:blipFill>
                  <pic:spPr>
                    <a:xfrm>
                      <a:off x="0" y="0"/>
                      <a:ext cx="5175742" cy="2743580"/>
                    </a:xfrm>
                    <a:prstGeom prst="rect">
                      <a:avLst/>
                    </a:prstGeom>
                  </pic:spPr>
                </pic:pic>
              </a:graphicData>
            </a:graphic>
          </wp:inline>
        </w:drawing>
      </w:r>
      <w:r>
        <w:rPr>
          <w:rFonts w:ascii="宋体" w:hAnsi="宋体" w:cs="宋体" w:eastAsia="宋体" w:hint="default"/>
          <w:position w:val="-85"/>
          <w:sz w:val="20"/>
          <w:szCs w:val="20"/>
        </w:rPr>
      </w:r>
    </w:p>
    <w:p>
      <w:pPr>
        <w:pStyle w:val="BodyText"/>
        <w:spacing w:line="240" w:lineRule="auto" w:before="144"/>
        <w:ind w:left="573" w:right="982"/>
        <w:jc w:val="left"/>
        <w:rPr>
          <w:rFonts w:ascii="宋体" w:hAnsi="宋体" w:cs="宋体" w:eastAsia="宋体" w:hint="default"/>
        </w:rPr>
      </w:pPr>
      <w:r>
        <w:rPr/>
        <w:t>资料来源：中国汽车工业协会</w:t>
      </w:r>
      <w:r>
        <w:rPr>
          <w:rFonts w:ascii="宋体" w:hAnsi="宋体" w:cs="宋体" w:eastAsia="宋体" w:hint="default"/>
        </w:rPr>
        <w:t> </w:t>
      </w:r>
    </w:p>
    <w:p>
      <w:pPr>
        <w:spacing w:line="240" w:lineRule="auto" w:before="13"/>
        <w:rPr>
          <w:rFonts w:ascii="宋体" w:hAnsi="宋体" w:cs="宋体" w:eastAsia="宋体" w:hint="default"/>
          <w:sz w:val="18"/>
          <w:szCs w:val="18"/>
        </w:rPr>
      </w:pPr>
    </w:p>
    <w:p>
      <w:pPr>
        <w:pStyle w:val="Heading5"/>
        <w:spacing w:line="408" w:lineRule="auto" w:before="0"/>
        <w:ind w:right="982"/>
        <w:jc w:val="left"/>
        <w:rPr>
          <w:rFonts w:ascii="宋体" w:hAnsi="宋体" w:cs="宋体" w:eastAsia="宋体" w:hint="default"/>
        </w:rPr>
      </w:pPr>
      <w:r>
        <w:rPr>
          <w:spacing w:val="2"/>
        </w:rPr>
        <w:t>国家新旧动能接档转换加速推动汽车产业结构优化升级，其中商用汽车和新能源汽车发展较快。自</w:t>
      </w:r>
      <w:r>
        <w:rPr>
          <w:w w:val="100"/>
        </w:rPr>
        <w:t> </w:t>
      </w:r>
      <w:r>
        <w:rPr>
          <w:rFonts w:ascii="宋体" w:hAnsi="宋体" w:cs="宋体" w:eastAsia="宋体" w:hint="default"/>
        </w:rPr>
        <w:t>2015 </w:t>
      </w:r>
      <w:r>
        <w:rPr/>
        <w:t>年开始，《中国制造</w:t>
      </w:r>
      <w:r>
        <w:rPr>
          <w:spacing w:val="-26"/>
        </w:rPr>
        <w:t> </w:t>
      </w:r>
      <w:r>
        <w:rPr>
          <w:rFonts w:ascii="宋体" w:hAnsi="宋体" w:cs="宋体" w:eastAsia="宋体" w:hint="default"/>
        </w:rPr>
        <w:t>2025</w:t>
      </w:r>
      <w:r>
        <w:rPr/>
        <w:t>》、《节能与新能源汽车技术路线图》等发展规划、专项行动计划陆续出</w:t>
      </w:r>
      <w:r>
        <w:rPr>
          <w:w w:val="100"/>
        </w:rPr>
        <w:t> </w:t>
      </w:r>
      <w:r>
        <w:rPr>
          <w:spacing w:val="-2"/>
        </w:rPr>
        <w:t>台，不断推进我国汽车产业调整发展方式、深化创新。电动化、智能化、网联化、共享化等“新四化”趋</w:t>
      </w:r>
      <w:r>
        <w:rPr>
          <w:spacing w:val="-48"/>
        </w:rPr>
        <w:t> </w:t>
      </w:r>
      <w:r>
        <w:rPr>
          <w:spacing w:val="-48"/>
        </w:rPr>
      </w:r>
      <w:r>
        <w:rPr/>
        <w:t>势正在重塑汽车产业原有的产业格局结构。中国各级政府以及欧洲主要国家陆续宣布燃油车禁售时间表，</w:t>
      </w:r>
      <w:r>
        <w:rPr>
          <w:spacing w:val="-22"/>
        </w:rPr>
        <w:t> </w:t>
      </w:r>
      <w:r>
        <w:rPr>
          <w:spacing w:val="-22"/>
        </w:rPr>
      </w:r>
      <w:r>
        <w:rPr/>
        <w:t>将加速推动新能源汽车、电动汽车的快速发展。国家多措并举发展“通道</w:t>
      </w:r>
      <w:r>
        <w:rPr>
          <w:rFonts w:ascii="宋体" w:hAnsi="宋体" w:cs="宋体" w:eastAsia="宋体" w:hint="default"/>
        </w:rPr>
        <w:t>+</w:t>
      </w:r>
      <w:r>
        <w:rPr/>
        <w:t>枢纽</w:t>
      </w:r>
      <w:r>
        <w:rPr>
          <w:rFonts w:ascii="宋体" w:hAnsi="宋体" w:cs="宋体" w:eastAsia="宋体" w:hint="default"/>
        </w:rPr>
        <w:t>+</w:t>
      </w:r>
      <w:r>
        <w:rPr/>
        <w:t>网络”的现代物流体系，</w:t>
      </w:r>
      <w:r>
        <w:rPr>
          <w:spacing w:val="-23"/>
        </w:rPr>
        <w:t> </w:t>
      </w:r>
      <w:r>
        <w:rPr>
          <w:spacing w:val="-23"/>
        </w:rPr>
      </w:r>
      <w:r>
        <w:rPr>
          <w:spacing w:val="-3"/>
        </w:rPr>
        <w:t>进一步拓宽了商用车及商用车联网产品和服务的市场发展空间。根据中国汽车工业协会数据，</w:t>
      </w:r>
      <w:r>
        <w:rPr>
          <w:rFonts w:ascii="宋体" w:hAnsi="宋体" w:cs="宋体" w:eastAsia="宋体" w:hint="default"/>
          <w:spacing w:val="-3"/>
        </w:rPr>
        <w:t>2018</w:t>
      </w:r>
      <w:r>
        <w:rPr>
          <w:rFonts w:ascii="宋体" w:hAnsi="宋体" w:cs="宋体" w:eastAsia="宋体" w:hint="default"/>
          <w:spacing w:val="-37"/>
        </w:rPr>
        <w:t> </w:t>
      </w:r>
      <w:r>
        <w:rPr/>
        <w:t>年我国</w:t>
      </w:r>
      <w:r>
        <w:rPr>
          <w:spacing w:val="-67"/>
        </w:rPr>
        <w:t> </w:t>
      </w:r>
      <w:r>
        <w:rPr>
          <w:spacing w:val="-67"/>
        </w:rPr>
      </w:r>
      <w:r>
        <w:rPr/>
        <w:t>商用车产销分别</w:t>
      </w:r>
      <w:r>
        <w:rPr>
          <w:spacing w:val="-47"/>
        </w:rPr>
        <w:t> </w:t>
      </w:r>
      <w:r>
        <w:rPr>
          <w:rFonts w:ascii="宋体" w:hAnsi="宋体" w:cs="宋体" w:eastAsia="宋体" w:hint="default"/>
        </w:rPr>
        <w:t>428</w:t>
      </w:r>
      <w:r>
        <w:rPr>
          <w:rFonts w:ascii="宋体" w:hAnsi="宋体" w:cs="宋体" w:eastAsia="宋体" w:hint="default"/>
          <w:spacing w:val="-49"/>
        </w:rPr>
        <w:t> </w:t>
      </w:r>
      <w:r>
        <w:rPr/>
        <w:t>万辆和</w:t>
      </w:r>
      <w:r>
        <w:rPr>
          <w:spacing w:val="-47"/>
        </w:rPr>
        <w:t> </w:t>
      </w:r>
      <w:r>
        <w:rPr>
          <w:rFonts w:ascii="宋体" w:hAnsi="宋体" w:cs="宋体" w:eastAsia="宋体" w:hint="default"/>
        </w:rPr>
        <w:t>437.1</w:t>
      </w:r>
      <w:r>
        <w:rPr>
          <w:rFonts w:ascii="宋体" w:hAnsi="宋体" w:cs="宋体" w:eastAsia="宋体" w:hint="default"/>
          <w:spacing w:val="-45"/>
        </w:rPr>
        <w:t> </w:t>
      </w:r>
      <w:r>
        <w:rPr>
          <w:spacing w:val="-6"/>
        </w:rPr>
        <w:t>万辆，比上年同期分别增长</w:t>
      </w:r>
      <w:r>
        <w:rPr>
          <w:spacing w:val="-47"/>
        </w:rPr>
        <w:t> </w:t>
      </w:r>
      <w:r>
        <w:rPr>
          <w:rFonts w:ascii="宋体" w:hAnsi="宋体" w:cs="宋体" w:eastAsia="宋体" w:hint="default"/>
        </w:rPr>
        <w:t>1.7%</w:t>
      </w:r>
      <w:r>
        <w:rPr/>
        <w:t>和</w:t>
      </w:r>
      <w:r>
        <w:rPr>
          <w:spacing w:val="-47"/>
        </w:rPr>
        <w:t> </w:t>
      </w:r>
      <w:r>
        <w:rPr>
          <w:rFonts w:ascii="宋体" w:hAnsi="宋体" w:cs="宋体" w:eastAsia="宋体" w:hint="default"/>
          <w:spacing w:val="-6"/>
        </w:rPr>
        <w:t>5.1%</w:t>
      </w:r>
      <w:r>
        <w:rPr>
          <w:spacing w:val="-6"/>
        </w:rPr>
        <w:t>，商用车销量创历史新高。</w:t>
      </w:r>
      <w:r>
        <w:rPr>
          <w:rFonts w:ascii="宋体" w:hAnsi="宋体" w:cs="宋体" w:eastAsia="宋体" w:hint="default"/>
          <w:spacing w:val="-6"/>
        </w:rPr>
        <w:t>2018</w:t>
      </w:r>
      <w:r>
        <w:rPr>
          <w:rFonts w:ascii="宋体" w:hAnsi="宋体" w:cs="宋体" w:eastAsia="宋体" w:hint="default"/>
          <w:spacing w:val="-89"/>
        </w:rPr>
        <w:t> </w:t>
      </w:r>
      <w:r>
        <w:rPr>
          <w:rFonts w:ascii="宋体" w:hAnsi="宋体" w:cs="宋体" w:eastAsia="宋体" w:hint="default"/>
          <w:spacing w:val="-89"/>
        </w:rPr>
      </w:r>
      <w:r>
        <w:rPr/>
        <w:t>年我国新能源汽车产销分别为</w:t>
      </w:r>
      <w:r>
        <w:rPr>
          <w:spacing w:val="-42"/>
        </w:rPr>
        <w:t> </w:t>
      </w:r>
      <w:r>
        <w:rPr>
          <w:rFonts w:ascii="宋体" w:hAnsi="宋体" w:cs="宋体" w:eastAsia="宋体" w:hint="default"/>
        </w:rPr>
        <w:t>127</w:t>
      </w:r>
      <w:r>
        <w:rPr>
          <w:rFonts w:ascii="宋体" w:hAnsi="宋体" w:cs="宋体" w:eastAsia="宋体" w:hint="default"/>
          <w:spacing w:val="-41"/>
        </w:rPr>
        <w:t> </w:t>
      </w:r>
      <w:r>
        <w:rPr/>
        <w:t>万辆和</w:t>
      </w:r>
      <w:r>
        <w:rPr>
          <w:spacing w:val="-42"/>
        </w:rPr>
        <w:t> </w:t>
      </w:r>
      <w:r>
        <w:rPr>
          <w:rFonts w:ascii="宋体" w:hAnsi="宋体" w:cs="宋体" w:eastAsia="宋体" w:hint="default"/>
        </w:rPr>
        <w:t>125.6</w:t>
      </w:r>
      <w:r>
        <w:rPr>
          <w:rFonts w:ascii="宋体" w:hAnsi="宋体" w:cs="宋体" w:eastAsia="宋体" w:hint="default"/>
          <w:spacing w:val="-39"/>
        </w:rPr>
        <w:t> </w:t>
      </w:r>
      <w:r>
        <w:rPr/>
        <w:t>万辆，比上年同期分别增长</w:t>
      </w:r>
      <w:r>
        <w:rPr>
          <w:spacing w:val="-42"/>
        </w:rPr>
        <w:t> </w:t>
      </w:r>
      <w:r>
        <w:rPr>
          <w:rFonts w:ascii="宋体" w:hAnsi="宋体" w:cs="宋体" w:eastAsia="宋体" w:hint="default"/>
        </w:rPr>
        <w:t>59.9%</w:t>
      </w:r>
      <w:r>
        <w:rPr/>
        <w:t>和</w:t>
      </w:r>
      <w:r>
        <w:rPr>
          <w:spacing w:val="-39"/>
        </w:rPr>
        <w:t> </w:t>
      </w:r>
      <w:r>
        <w:rPr>
          <w:rFonts w:ascii="宋体" w:hAnsi="宋体" w:cs="宋体" w:eastAsia="宋体" w:hint="default"/>
        </w:rPr>
        <w:t>61.7%</w:t>
      </w:r>
      <w:r>
        <w:rPr/>
        <w:t>，继续保持高</w:t>
      </w:r>
      <w:r>
        <w:rPr>
          <w:w w:val="100"/>
        </w:rPr>
        <w:t> </w:t>
      </w:r>
      <w:r>
        <w:rPr/>
        <w:t>速增长态势。</w:t>
      </w:r>
      <w:r>
        <w:rPr>
          <w:rFonts w:ascii="宋体" w:hAnsi="宋体" w:cs="宋体" w:eastAsia="宋体" w:hint="default"/>
        </w:rPr>
        <w:t> </w:t>
      </w:r>
    </w:p>
    <w:p>
      <w:pPr>
        <w:pStyle w:val="Heading5"/>
        <w:spacing w:line="408" w:lineRule="auto" w:before="87"/>
        <w:ind w:right="1126"/>
        <w:jc w:val="both"/>
      </w:pPr>
      <w:r>
        <w:rPr>
          <w:spacing w:val="-2"/>
        </w:rPr>
        <w:t>我国居民出行消费意愿持续提升，国内外车企将移动出行领域作为下一步发展重点。根据国家统计局</w:t>
      </w:r>
      <w:r>
        <w:rPr>
          <w:w w:val="100"/>
        </w:rPr>
        <w:t> </w:t>
      </w:r>
      <w:r>
        <w:rPr/>
        <w:t>数据，</w:t>
      </w:r>
      <w:r>
        <w:rPr>
          <w:rFonts w:ascii="宋体" w:hAnsi="宋体" w:cs="宋体" w:eastAsia="宋体" w:hint="default"/>
        </w:rPr>
        <w:t>2018</w:t>
      </w:r>
      <w:r>
        <w:rPr>
          <w:rFonts w:ascii="宋体" w:hAnsi="宋体" w:cs="宋体" w:eastAsia="宋体" w:hint="default"/>
          <w:spacing w:val="-45"/>
        </w:rPr>
        <w:t> </w:t>
      </w:r>
      <w:r>
        <w:rPr/>
        <w:t>年，我国居民人均可支配收入</w:t>
      </w:r>
      <w:r>
        <w:rPr>
          <w:spacing w:val="-44"/>
        </w:rPr>
        <w:t> </w:t>
      </w:r>
      <w:r>
        <w:rPr>
          <w:rFonts w:ascii="宋体" w:hAnsi="宋体" w:cs="宋体" w:eastAsia="宋体" w:hint="default"/>
        </w:rPr>
        <w:t>28228</w:t>
      </w:r>
      <w:r>
        <w:rPr>
          <w:rFonts w:ascii="宋体" w:hAnsi="宋体" w:cs="宋体" w:eastAsia="宋体" w:hint="default"/>
          <w:spacing w:val="-44"/>
        </w:rPr>
        <w:t> </w:t>
      </w:r>
      <w:r>
        <w:rPr/>
        <w:t>元，比上年实际增长</w:t>
      </w:r>
      <w:r>
        <w:rPr>
          <w:spacing w:val="-42"/>
        </w:rPr>
        <w:t> </w:t>
      </w:r>
      <w:r>
        <w:rPr>
          <w:rFonts w:ascii="宋体" w:hAnsi="宋体" w:cs="宋体" w:eastAsia="宋体" w:hint="default"/>
        </w:rPr>
        <w:t>6.5%</w:t>
      </w:r>
      <w:r>
        <w:rPr/>
        <w:t>，高于人均</w:t>
      </w:r>
      <w:r>
        <w:rPr>
          <w:spacing w:val="-42"/>
        </w:rPr>
        <w:t> </w:t>
      </w:r>
      <w:r>
        <w:rPr>
          <w:rFonts w:ascii="宋体" w:hAnsi="宋体" w:cs="宋体" w:eastAsia="宋体" w:hint="default"/>
        </w:rPr>
        <w:t>GDP</w:t>
      </w:r>
      <w:r>
        <w:rPr>
          <w:rFonts w:ascii="宋体" w:hAnsi="宋体" w:cs="宋体" w:eastAsia="宋体" w:hint="default"/>
          <w:spacing w:val="-44"/>
        </w:rPr>
        <w:t> </w:t>
      </w:r>
      <w:r>
        <w:rPr/>
        <w:t>增速</w:t>
      </w:r>
      <w:r>
        <w:rPr>
          <w:spacing w:val="-42"/>
        </w:rPr>
        <w:t> </w:t>
      </w:r>
      <w:r>
        <w:rPr>
          <w:rFonts w:ascii="宋体" w:hAnsi="宋体" w:cs="宋体" w:eastAsia="宋体" w:hint="default"/>
        </w:rPr>
        <w:t>0.4</w:t>
      </w:r>
      <w:r>
        <w:rPr>
          <w:rFonts w:ascii="宋体" w:hAnsi="宋体" w:cs="宋体" w:eastAsia="宋体" w:hint="default"/>
          <w:spacing w:val="-42"/>
        </w:rPr>
        <w:t> </w:t>
      </w:r>
      <w:r>
        <w:rPr>
          <w:spacing w:val="-3"/>
        </w:rPr>
        <w:t>个百</w:t>
      </w:r>
      <w:r>
        <w:rPr>
          <w:spacing w:val="-3"/>
          <w:w w:val="100"/>
        </w:rPr>
        <w:t> </w:t>
      </w:r>
      <w:r>
        <w:rPr>
          <w:spacing w:val="-3"/>
        </w:rPr>
        <w:t>分点；全年全国居民人均消费支出</w:t>
      </w:r>
      <w:r>
        <w:rPr>
          <w:spacing w:val="-39"/>
        </w:rPr>
        <w:t> </w:t>
      </w:r>
      <w:r>
        <w:rPr>
          <w:rFonts w:ascii="宋体" w:hAnsi="宋体" w:cs="宋体" w:eastAsia="宋体" w:hint="default"/>
        </w:rPr>
        <w:t>19853</w:t>
      </w:r>
      <w:r>
        <w:rPr>
          <w:rFonts w:ascii="宋体" w:hAnsi="宋体" w:cs="宋体" w:eastAsia="宋体" w:hint="default"/>
          <w:spacing w:val="-43"/>
        </w:rPr>
        <w:t> </w:t>
      </w:r>
      <w:r>
        <w:rPr>
          <w:spacing w:val="-4"/>
        </w:rPr>
        <w:t>元，比上年实际增长</w:t>
      </w:r>
      <w:r>
        <w:rPr>
          <w:spacing w:val="-40"/>
        </w:rPr>
        <w:t> </w:t>
      </w:r>
      <w:r>
        <w:rPr>
          <w:rFonts w:ascii="宋体" w:hAnsi="宋体" w:cs="宋体" w:eastAsia="宋体" w:hint="default"/>
          <w:spacing w:val="-3"/>
        </w:rPr>
        <w:t>6.2%</w:t>
      </w:r>
      <w:r>
        <w:rPr>
          <w:spacing w:val="-3"/>
        </w:rPr>
        <w:t>，增速高于上年同期</w:t>
      </w:r>
      <w:r>
        <w:rPr>
          <w:spacing w:val="-40"/>
        </w:rPr>
        <w:t> </w:t>
      </w:r>
      <w:r>
        <w:rPr>
          <w:rFonts w:ascii="宋体" w:hAnsi="宋体" w:cs="宋体" w:eastAsia="宋体" w:hint="default"/>
        </w:rPr>
        <w:t>0.8</w:t>
      </w:r>
      <w:r>
        <w:rPr>
          <w:rFonts w:ascii="宋体" w:hAnsi="宋体" w:cs="宋体" w:eastAsia="宋体" w:hint="default"/>
          <w:spacing w:val="-42"/>
        </w:rPr>
        <w:t> </w:t>
      </w:r>
      <w:r>
        <w:rPr>
          <w:spacing w:val="-5"/>
        </w:rPr>
        <w:t>个百分点。居</w:t>
      </w:r>
      <w:r>
        <w:rPr>
          <w:spacing w:val="-100"/>
        </w:rPr>
        <w:t> </w:t>
      </w:r>
      <w:r>
        <w:rPr>
          <w:spacing w:val="-100"/>
        </w:rPr>
      </w:r>
      <w:r>
        <w:rPr/>
        <w:t>民人均交通通信服务消费支出</w:t>
      </w:r>
      <w:r>
        <w:rPr>
          <w:spacing w:val="-35"/>
        </w:rPr>
        <w:t> </w:t>
      </w:r>
      <w:r>
        <w:rPr>
          <w:rFonts w:ascii="宋体" w:hAnsi="宋体" w:cs="宋体" w:eastAsia="宋体" w:hint="default"/>
        </w:rPr>
        <w:t>2675</w:t>
      </w:r>
      <w:r>
        <w:rPr>
          <w:rFonts w:ascii="宋体" w:hAnsi="宋体" w:cs="宋体" w:eastAsia="宋体" w:hint="default"/>
          <w:spacing w:val="-33"/>
        </w:rPr>
        <w:t> </w:t>
      </w:r>
      <w:r>
        <w:rPr/>
        <w:t>元，同比上年增长</w:t>
      </w:r>
      <w:r>
        <w:rPr>
          <w:spacing w:val="-36"/>
        </w:rPr>
        <w:t> </w:t>
      </w:r>
      <w:r>
        <w:rPr>
          <w:rFonts w:ascii="宋体" w:hAnsi="宋体" w:cs="宋体" w:eastAsia="宋体" w:hint="default"/>
        </w:rPr>
        <w:t>7%</w:t>
      </w:r>
      <w:r>
        <w:rPr/>
        <w:t>，占人均消费支出比重</w:t>
      </w:r>
      <w:r>
        <w:rPr>
          <w:spacing w:val="-35"/>
        </w:rPr>
        <w:t> </w:t>
      </w:r>
      <w:r>
        <w:rPr>
          <w:rFonts w:ascii="宋体" w:hAnsi="宋体" w:cs="宋体" w:eastAsia="宋体" w:hint="default"/>
        </w:rPr>
        <w:t>13.5%</w:t>
      </w:r>
      <w:r>
        <w:rPr/>
        <w:t>，占比与上年基本</w:t>
      </w:r>
      <w:r>
        <w:rPr>
          <w:w w:val="100"/>
        </w:rPr>
        <w:t> </w:t>
      </w:r>
      <w:r>
        <w:rPr>
          <w:spacing w:val="-2"/>
        </w:rPr>
        <w:t>持平。移动出行领域巨大的市场红利空间，很可能成为汽车行业深远变革的新生力量，宝马、大众、戴姆</w:t>
      </w:r>
    </w:p>
    <w:p>
      <w:pPr>
        <w:spacing w:after="0" w:line="408" w:lineRule="auto"/>
        <w:jc w:val="both"/>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pStyle w:val="Heading5"/>
        <w:spacing w:line="408" w:lineRule="auto" w:before="176"/>
        <w:ind w:right="1126" w:firstLine="0"/>
        <w:jc w:val="both"/>
        <w:rPr>
          <w:rFonts w:ascii="宋体" w:hAnsi="宋体" w:cs="宋体" w:eastAsia="宋体" w:hint="default"/>
        </w:rPr>
      </w:pPr>
      <w:r>
        <w:rPr>
          <w:spacing w:val="-2"/>
        </w:rPr>
        <w:t>勒、福特、通用、丰田、长安、上汽、首汽等国内外主流汽车品牌纷纷将“智能出行”“移动出行”作为</w:t>
      </w:r>
      <w:r>
        <w:rPr>
          <w:spacing w:val="-42"/>
        </w:rPr>
        <w:t> </w:t>
      </w:r>
      <w:r>
        <w:rPr>
          <w:spacing w:val="-42"/>
        </w:rPr>
      </w:r>
      <w:r>
        <w:rPr>
          <w:spacing w:val="-2"/>
        </w:rPr>
        <w:t>下一步战略发展重点，通过拆分重组、资本协同、联合测试等方式加速向智能出行领域的快速转型，推进</w:t>
      </w:r>
      <w:r>
        <w:rPr>
          <w:spacing w:val="-47"/>
        </w:rPr>
        <w:t> </w:t>
      </w:r>
      <w:r>
        <w:rPr>
          <w:spacing w:val="-47"/>
        </w:rPr>
      </w:r>
      <w:r>
        <w:rPr>
          <w:spacing w:val="-2"/>
        </w:rPr>
        <w:t>在新能源汽车充电、智能网联、自动驾驶等领域的拓展，并与互联网高科技企业建立广泛的合作关系，大</w:t>
      </w:r>
      <w:r>
        <w:rPr>
          <w:spacing w:val="-47"/>
        </w:rPr>
        <w:t> </w:t>
      </w:r>
      <w:r>
        <w:rPr>
          <w:spacing w:val="-47"/>
        </w:rPr>
      </w:r>
      <w:r>
        <w:rPr>
          <w:spacing w:val="-2"/>
        </w:rPr>
        <w:t>众与腾讯、长安</w:t>
      </w:r>
      <w:r>
        <w:rPr>
          <w:rFonts w:ascii="宋体" w:hAnsi="宋体" w:cs="宋体" w:eastAsia="宋体" w:hint="default"/>
          <w:spacing w:val="-2"/>
        </w:rPr>
        <w:t>/</w:t>
      </w:r>
      <w:r>
        <w:rPr>
          <w:spacing w:val="-2"/>
        </w:rPr>
        <w:t>东风</w:t>
      </w:r>
      <w:r>
        <w:rPr>
          <w:rFonts w:ascii="宋体" w:hAnsi="宋体" w:cs="宋体" w:eastAsia="宋体" w:hint="default"/>
          <w:spacing w:val="-2"/>
        </w:rPr>
        <w:t>/</w:t>
      </w:r>
      <w:r>
        <w:rPr>
          <w:spacing w:val="-2"/>
        </w:rPr>
        <w:t>一汽与阿里</w:t>
      </w:r>
      <w:r>
        <w:rPr>
          <w:rFonts w:ascii="宋体" w:hAnsi="宋体" w:cs="宋体" w:eastAsia="宋体" w:hint="default"/>
          <w:spacing w:val="-2"/>
        </w:rPr>
        <w:t>/</w:t>
      </w:r>
      <w:r>
        <w:rPr>
          <w:spacing w:val="-2"/>
        </w:rPr>
        <w:t>苏宁</w:t>
      </w:r>
      <w:r>
        <w:rPr>
          <w:rFonts w:ascii="宋体" w:hAnsi="宋体" w:cs="宋体" w:eastAsia="宋体" w:hint="default"/>
          <w:spacing w:val="-2"/>
        </w:rPr>
        <w:t>/</w:t>
      </w:r>
      <w:r>
        <w:rPr>
          <w:spacing w:val="-2"/>
        </w:rPr>
        <w:t>腾讯等陆续组建出行服务公司，共同打造共享化、网联化的智慧</w:t>
      </w:r>
      <w:r>
        <w:rPr>
          <w:spacing w:val="-41"/>
        </w:rPr>
        <w:t> </w:t>
      </w:r>
      <w:r>
        <w:rPr>
          <w:spacing w:val="-41"/>
        </w:rPr>
      </w:r>
      <w:r>
        <w:rPr/>
        <w:t>出行新生态。</w:t>
      </w:r>
      <w:r>
        <w:rPr>
          <w:rFonts w:ascii="宋体" w:hAnsi="宋体" w:cs="宋体" w:eastAsia="宋体" w:hint="default"/>
        </w:rPr>
        <w:t> </w:t>
      </w:r>
    </w:p>
    <w:p>
      <w:pPr>
        <w:pStyle w:val="Heading5"/>
        <w:spacing w:line="408" w:lineRule="auto" w:before="87"/>
        <w:ind w:right="982"/>
        <w:jc w:val="left"/>
        <w:rPr>
          <w:rFonts w:ascii="宋体" w:hAnsi="宋体" w:cs="宋体" w:eastAsia="宋体" w:hint="default"/>
        </w:rPr>
      </w:pPr>
      <w:r>
        <w:rPr>
          <w:spacing w:val="-7"/>
        </w:rPr>
        <w:t>汽车电子产品在整个汽车供应链体系中占比不断提高，新型芯片产品市场发展潜力增加。汽车产业“电</w:t>
      </w:r>
      <w:r>
        <w:rPr>
          <w:w w:val="100"/>
        </w:rPr>
        <w:t> </w:t>
      </w:r>
      <w:r>
        <w:rPr>
          <w:spacing w:val="-2"/>
        </w:rPr>
        <w:t>动化、智能化、网联化、共享化”发展趋势加速，面向高级辅助驾驶及自动驾驶的决策控制、海量数据算</w:t>
      </w:r>
      <w:r>
        <w:rPr>
          <w:spacing w:val="-42"/>
        </w:rPr>
        <w:t> </w:t>
      </w:r>
      <w:r>
        <w:rPr>
          <w:spacing w:val="-42"/>
        </w:rPr>
      </w:r>
      <w:r>
        <w:rPr/>
        <w:t>法、智能计算、传感器感知、联网联控、通信增强、辅助驾驶等功能模块对汽车电子芯片需求日益增加，</w:t>
      </w:r>
      <w:r>
        <w:rPr>
          <w:spacing w:val="-24"/>
        </w:rPr>
        <w:t> </w:t>
      </w:r>
      <w:r>
        <w:rPr>
          <w:spacing w:val="-24"/>
        </w:rPr>
      </w:r>
      <w:r>
        <w:rPr/>
        <w:t>新能源汽车的快速发展将进一步推动汽车电子需求的释放以及汽车全面硅化进程。</w:t>
      </w:r>
      <w:r>
        <w:rPr>
          <w:rFonts w:ascii="宋体" w:hAnsi="宋体" w:cs="宋体" w:eastAsia="宋体" w:hint="default"/>
        </w:rPr>
        <w:t>MCU</w:t>
      </w:r>
      <w:r>
        <w:rPr>
          <w:rFonts w:ascii="宋体" w:hAnsi="宋体" w:cs="宋体" w:eastAsia="宋体" w:hint="default"/>
          <w:spacing w:val="-26"/>
        </w:rPr>
        <w:t> </w:t>
      </w:r>
      <w:r>
        <w:rPr/>
        <w:t>车身控制芯片、传</w:t>
      </w:r>
      <w:r>
        <w:rPr>
          <w:w w:val="100"/>
        </w:rPr>
        <w:t> </w:t>
      </w:r>
      <w:r>
        <w:rPr/>
        <w:t>感器芯片、功率半导体等可适用于更多应用领域</w:t>
      </w:r>
      <w:r>
        <w:rPr>
          <w:rFonts w:ascii="宋体" w:hAnsi="宋体" w:cs="宋体" w:eastAsia="宋体" w:hint="default"/>
        </w:rPr>
        <w:t>/</w:t>
      </w:r>
      <w:r>
        <w:rPr/>
        <w:t>场景的重要汽车半导体产品发展空间广阔。截至目前，</w:t>
      </w:r>
      <w:r>
        <w:rPr>
          <w:spacing w:val="-23"/>
        </w:rPr>
        <w:t> </w:t>
      </w:r>
      <w:r>
        <w:rPr>
          <w:spacing w:val="-23"/>
        </w:rPr>
      </w:r>
      <w:r>
        <w:rPr>
          <w:spacing w:val="-2"/>
        </w:rPr>
        <w:t>胎压监测系统只装配在高端车型，或者主流车型的高配或者顶配标准车型。为了进一步推动车辆安全节能</w:t>
      </w:r>
      <w:r>
        <w:rPr>
          <w:spacing w:val="-43"/>
        </w:rPr>
        <w:t> </w:t>
      </w:r>
      <w:r>
        <w:rPr>
          <w:spacing w:val="-43"/>
        </w:rPr>
      </w:r>
      <w:r>
        <w:rPr/>
        <w:t>技术水平，我国《乘用车轮胎气压监测系统的性能要求和试验方法》要求，自</w:t>
      </w:r>
      <w:r>
        <w:rPr>
          <w:spacing w:val="-49"/>
        </w:rPr>
        <w:t> </w:t>
      </w:r>
      <w:r>
        <w:rPr>
          <w:rFonts w:ascii="宋体" w:hAnsi="宋体" w:cs="宋体" w:eastAsia="宋体" w:hint="default"/>
        </w:rPr>
        <w:t>2019</w:t>
      </w:r>
      <w:r>
        <w:rPr>
          <w:rFonts w:ascii="宋体" w:hAnsi="宋体" w:cs="宋体" w:eastAsia="宋体" w:hint="default"/>
          <w:spacing w:val="-51"/>
        </w:rPr>
        <w:t> </w:t>
      </w:r>
      <w:r>
        <w:rPr/>
        <w:t>年</w:t>
      </w:r>
      <w:r>
        <w:rPr>
          <w:spacing w:val="-49"/>
        </w:rPr>
        <w:t> </w:t>
      </w:r>
      <w:r>
        <w:rPr>
          <w:rFonts w:ascii="宋体" w:hAnsi="宋体" w:cs="宋体" w:eastAsia="宋体" w:hint="default"/>
        </w:rPr>
        <w:t>1</w:t>
      </w:r>
      <w:r>
        <w:rPr>
          <w:rFonts w:ascii="宋体" w:hAnsi="宋体" w:cs="宋体" w:eastAsia="宋体" w:hint="default"/>
          <w:spacing w:val="-51"/>
        </w:rPr>
        <w:t> </w:t>
      </w:r>
      <w:r>
        <w:rPr/>
        <w:t>月</w:t>
      </w:r>
      <w:r>
        <w:rPr>
          <w:spacing w:val="-51"/>
        </w:rPr>
        <w:t> </w:t>
      </w:r>
      <w:r>
        <w:rPr>
          <w:rFonts w:ascii="宋体" w:hAnsi="宋体" w:cs="宋体" w:eastAsia="宋体" w:hint="default"/>
        </w:rPr>
        <w:t>1</w:t>
      </w:r>
      <w:r>
        <w:rPr>
          <w:rFonts w:ascii="宋体" w:hAnsi="宋体" w:cs="宋体" w:eastAsia="宋体" w:hint="default"/>
          <w:spacing w:val="-49"/>
        </w:rPr>
        <w:t> </w:t>
      </w:r>
      <w:r>
        <w:rPr/>
        <w:t>日起将在</w:t>
      </w:r>
      <w:r>
        <w:rPr>
          <w:spacing w:val="-49"/>
        </w:rPr>
        <w:t> </w:t>
      </w:r>
      <w:r>
        <w:rPr>
          <w:rFonts w:ascii="宋体" w:hAnsi="宋体" w:cs="宋体" w:eastAsia="宋体" w:hint="default"/>
          <w:spacing w:val="-3"/>
        </w:rPr>
        <w:t>M1</w:t>
      </w:r>
      <w:r>
        <w:rPr>
          <w:rFonts w:ascii="宋体" w:hAnsi="宋体" w:cs="宋体" w:eastAsia="宋体" w:hint="default"/>
        </w:rPr>
      </w:r>
    </w:p>
    <w:p>
      <w:pPr>
        <w:pStyle w:val="Heading5"/>
        <w:spacing w:line="408" w:lineRule="auto"/>
        <w:ind w:right="1126" w:firstLine="0"/>
        <w:jc w:val="both"/>
        <w:rPr>
          <w:rFonts w:ascii="宋体" w:hAnsi="宋体" w:cs="宋体" w:eastAsia="宋体" w:hint="default"/>
        </w:rPr>
      </w:pPr>
      <w:r>
        <w:rPr>
          <w:spacing w:val="-4"/>
        </w:rPr>
        <w:t>类车上强制安装胎压监测系统，</w:t>
      </w:r>
      <w:r>
        <w:rPr>
          <w:rFonts w:ascii="宋体" w:hAnsi="宋体" w:cs="宋体" w:eastAsia="宋体" w:hint="default"/>
          <w:spacing w:val="-4"/>
        </w:rPr>
        <w:t>2020</w:t>
      </w:r>
      <w:r>
        <w:rPr>
          <w:rFonts w:ascii="宋体" w:hAnsi="宋体" w:cs="宋体" w:eastAsia="宋体" w:hint="default"/>
          <w:spacing w:val="-41"/>
        </w:rPr>
        <w:t> </w:t>
      </w:r>
      <w:r>
        <w:rPr/>
        <w:t>年</w:t>
      </w:r>
      <w:r>
        <w:rPr>
          <w:spacing w:val="-39"/>
        </w:rPr>
        <w:t> </w:t>
      </w:r>
      <w:r>
        <w:rPr>
          <w:rFonts w:ascii="宋体" w:hAnsi="宋体" w:cs="宋体" w:eastAsia="宋体" w:hint="default"/>
        </w:rPr>
        <w:t>1</w:t>
      </w:r>
      <w:r>
        <w:rPr>
          <w:rFonts w:ascii="宋体" w:hAnsi="宋体" w:cs="宋体" w:eastAsia="宋体" w:hint="default"/>
          <w:spacing w:val="-41"/>
        </w:rPr>
        <w:t> </w:t>
      </w:r>
      <w:r>
        <w:rPr/>
        <w:t>月</w:t>
      </w:r>
      <w:r>
        <w:rPr>
          <w:spacing w:val="-39"/>
        </w:rPr>
        <w:t> </w:t>
      </w:r>
      <w:r>
        <w:rPr>
          <w:rFonts w:ascii="宋体" w:hAnsi="宋体" w:cs="宋体" w:eastAsia="宋体" w:hint="default"/>
        </w:rPr>
        <w:t>1</w:t>
      </w:r>
      <w:r>
        <w:rPr>
          <w:rFonts w:ascii="宋体" w:hAnsi="宋体" w:cs="宋体" w:eastAsia="宋体" w:hint="default"/>
          <w:spacing w:val="-41"/>
        </w:rPr>
        <w:t> </w:t>
      </w:r>
      <w:r>
        <w:rPr>
          <w:spacing w:val="-3"/>
        </w:rPr>
        <w:t>日起在所有车辆上强制安装，胎压监测芯片市场需求量将迎</w:t>
      </w:r>
      <w:r>
        <w:rPr>
          <w:spacing w:val="-100"/>
        </w:rPr>
        <w:t> </w:t>
      </w:r>
      <w:r>
        <w:rPr>
          <w:spacing w:val="-100"/>
        </w:rPr>
      </w:r>
      <w:r>
        <w:rPr/>
        <w:t>来大幅增长。</w:t>
      </w:r>
      <w:r>
        <w:rPr>
          <w:rFonts w:ascii="宋体" w:hAnsi="宋体" w:cs="宋体" w:eastAsia="宋体" w:hint="default"/>
        </w:rPr>
        <w:t> </w:t>
      </w:r>
    </w:p>
    <w:p>
      <w:pPr>
        <w:pStyle w:val="Heading5"/>
        <w:spacing w:line="408" w:lineRule="auto" w:before="87"/>
        <w:ind w:right="1017"/>
        <w:jc w:val="left"/>
        <w:rPr>
          <w:rFonts w:ascii="宋体" w:hAnsi="宋体" w:cs="宋体" w:eastAsia="宋体" w:hint="default"/>
        </w:rPr>
      </w:pPr>
      <w:r>
        <w:rPr/>
        <w:t>国家开放汽车制造领域对外股权比例限制，激发外资品牌在中国的投资意愿，将有更多新车型投放中</w:t>
      </w:r>
      <w:r>
        <w:rPr>
          <w:w w:val="100"/>
        </w:rPr>
        <w:t> </w:t>
      </w:r>
      <w:r>
        <w:rPr>
          <w:spacing w:val="-3"/>
        </w:rPr>
        <w:t>国市场，或成为我国汽车产业新的市场增长动力。</w:t>
      </w:r>
      <w:r>
        <w:rPr>
          <w:rFonts w:ascii="宋体" w:hAnsi="宋体" w:cs="宋体" w:eastAsia="宋体" w:hint="default"/>
          <w:spacing w:val="-3"/>
        </w:rPr>
        <w:t>2018</w:t>
      </w:r>
      <w:r>
        <w:rPr>
          <w:rFonts w:ascii="宋体" w:hAnsi="宋体" w:cs="宋体" w:eastAsia="宋体" w:hint="default"/>
          <w:spacing w:val="-40"/>
        </w:rPr>
        <w:t> </w:t>
      </w:r>
      <w:r>
        <w:rPr/>
        <w:t>年</w:t>
      </w:r>
      <w:r>
        <w:rPr>
          <w:spacing w:val="-42"/>
        </w:rPr>
        <w:t> </w:t>
      </w:r>
      <w:r>
        <w:rPr>
          <w:rFonts w:ascii="宋体" w:hAnsi="宋体" w:cs="宋体" w:eastAsia="宋体" w:hint="default"/>
        </w:rPr>
        <w:t>6</w:t>
      </w:r>
      <w:r>
        <w:rPr>
          <w:rFonts w:ascii="宋体" w:hAnsi="宋体" w:cs="宋体" w:eastAsia="宋体" w:hint="default"/>
          <w:spacing w:val="-39"/>
        </w:rPr>
        <w:t> </w:t>
      </w:r>
      <w:r>
        <w:rPr>
          <w:spacing w:val="-4"/>
        </w:rPr>
        <w:t>月，国家发改委和商务部发布《外商投资准入</w:t>
      </w:r>
      <w:r>
        <w:rPr>
          <w:spacing w:val="-71"/>
        </w:rPr>
        <w:t> </w:t>
      </w:r>
      <w:r>
        <w:rPr>
          <w:spacing w:val="-71"/>
        </w:rPr>
      </w:r>
      <w:r>
        <w:rPr/>
        <w:t>特别管理措施（负面清单）（</w:t>
      </w:r>
      <w:r>
        <w:rPr>
          <w:rFonts w:ascii="宋体" w:hAnsi="宋体" w:cs="宋体" w:eastAsia="宋体" w:hint="default"/>
        </w:rPr>
        <w:t>2018</w:t>
      </w:r>
      <w:r>
        <w:rPr>
          <w:rFonts w:ascii="宋体" w:hAnsi="宋体" w:cs="宋体" w:eastAsia="宋体" w:hint="default"/>
          <w:spacing w:val="-28"/>
        </w:rPr>
        <w:t> </w:t>
      </w:r>
      <w:r>
        <w:rPr/>
        <w:t>年版）》，对汽车制造领域对外开放的路线图和时间表作出明确安排，</w:t>
      </w:r>
      <w:r>
        <w:rPr>
          <w:w w:val="100"/>
        </w:rPr>
        <w:t> </w:t>
      </w:r>
      <w:r>
        <w:rPr/>
        <w:t>逐渐取消汽车制造厂商外资股比限制。一方面，或将加速外资企业引进国外中高端车型及具有搭载高等级</w:t>
      </w:r>
      <w:r>
        <w:rPr>
          <w:w w:val="100"/>
        </w:rPr>
        <w:t> </w:t>
      </w:r>
      <w:r>
        <w:rPr>
          <w:spacing w:val="-2"/>
        </w:rPr>
        <w:t>智能化、网联化产品功能需求的车型，为公司进一步拓展中高端车型客户提供市场空间。另一方面，或将</w:t>
      </w:r>
      <w:r>
        <w:rPr>
          <w:spacing w:val="-47"/>
        </w:rPr>
        <w:t> </w:t>
      </w:r>
      <w:r>
        <w:rPr>
          <w:spacing w:val="-47"/>
        </w:rPr>
      </w:r>
      <w:r>
        <w:rPr/>
        <w:t>加速推进汽车产业竞争全球一体化发展，进一步激发自主品牌车企加速提升创新能力和参与国际化竞争的</w:t>
      </w:r>
      <w:r>
        <w:rPr>
          <w:w w:val="100"/>
        </w:rPr>
        <w:t> </w:t>
      </w:r>
      <w:r>
        <w:rPr/>
        <w:t>综合实力。公司作为汽车零部件供应商，也将更深层次的加入到国际化进程中来，进而提升国际竞争力。</w:t>
      </w:r>
      <w:r>
        <w:rPr>
          <w:spacing w:val="-24"/>
        </w:rPr>
        <w:t> </w:t>
      </w:r>
      <w:r>
        <w:rPr>
          <w:spacing w:val="-24"/>
        </w:rPr>
      </w:r>
      <w:r>
        <w:rPr>
          <w:spacing w:val="-4"/>
        </w:rPr>
        <w:t>根据国家统计局和中国汽车技术研究中心有限公司研究数据，</w:t>
      </w:r>
      <w:r>
        <w:rPr>
          <w:rFonts w:ascii="宋体" w:hAnsi="宋体" w:cs="宋体" w:eastAsia="宋体" w:hint="default"/>
          <w:spacing w:val="-4"/>
        </w:rPr>
        <w:t>2018</w:t>
      </w:r>
      <w:r>
        <w:rPr>
          <w:rFonts w:ascii="宋体" w:hAnsi="宋体" w:cs="宋体" w:eastAsia="宋体" w:hint="default"/>
          <w:spacing w:val="-42"/>
        </w:rPr>
        <w:t> </w:t>
      </w:r>
      <w:r>
        <w:rPr/>
        <w:t>年我国汽车制造业工业生产者出厂价格</w:t>
      </w:r>
      <w:r>
        <w:rPr>
          <w:spacing w:val="-76"/>
        </w:rPr>
        <w:t> </w:t>
      </w:r>
      <w:r>
        <w:rPr>
          <w:spacing w:val="-76"/>
        </w:rPr>
      </w:r>
      <w:r>
        <w:rPr/>
        <w:t>指数均值有所提升，汽车产品需求档次开始升级，中高端汽车销量逆势上扬。</w:t>
      </w:r>
      <w:r>
        <w:rPr>
          <w:rFonts w:ascii="宋体" w:hAnsi="宋体" w:cs="宋体" w:eastAsia="宋体" w:hint="default"/>
        </w:rPr>
        <w:t> </w:t>
      </w:r>
    </w:p>
    <w:p>
      <w:pPr>
        <w:spacing w:after="0" w:line="408" w:lineRule="auto"/>
        <w:jc w:val="left"/>
        <w:rPr>
          <w:rFonts w:ascii="宋体" w:hAnsi="宋体" w:cs="宋体" w:eastAsia="宋体" w:hint="default"/>
        </w:rPr>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9"/>
          <w:szCs w:val="19"/>
        </w:rPr>
      </w:pPr>
    </w:p>
    <w:p>
      <w:pPr>
        <w:spacing w:line="3128" w:lineRule="exact"/>
        <w:ind w:left="798" w:right="0" w:firstLine="0"/>
        <w:rPr>
          <w:rFonts w:ascii="宋体" w:hAnsi="宋体" w:cs="宋体" w:eastAsia="宋体" w:hint="default"/>
          <w:sz w:val="20"/>
          <w:szCs w:val="20"/>
        </w:rPr>
      </w:pPr>
      <w:r>
        <w:rPr>
          <w:rFonts w:ascii="宋体" w:hAnsi="宋体" w:cs="宋体" w:eastAsia="宋体" w:hint="default"/>
          <w:position w:val="-62"/>
          <w:sz w:val="20"/>
          <w:szCs w:val="20"/>
        </w:rPr>
        <w:drawing>
          <wp:inline distT="0" distB="0" distL="0" distR="0">
            <wp:extent cx="5545724" cy="1986533"/>
            <wp:effectExtent l="0" t="0" r="0" b="0"/>
            <wp:docPr id="25" name="image14.jpeg" descr=""/>
            <wp:cNvGraphicFramePr>
              <a:graphicFrameLocks noChangeAspect="1"/>
            </wp:cNvGraphicFramePr>
            <a:graphic>
              <a:graphicData uri="http://schemas.openxmlformats.org/drawingml/2006/picture">
                <pic:pic>
                  <pic:nvPicPr>
                    <pic:cNvPr id="26" name="image14.jpeg"/>
                    <pic:cNvPicPr/>
                  </pic:nvPicPr>
                  <pic:blipFill>
                    <a:blip r:embed="rId25" cstate="print"/>
                    <a:stretch>
                      <a:fillRect/>
                    </a:stretch>
                  </pic:blipFill>
                  <pic:spPr>
                    <a:xfrm>
                      <a:off x="0" y="0"/>
                      <a:ext cx="5545724" cy="1986533"/>
                    </a:xfrm>
                    <a:prstGeom prst="rect">
                      <a:avLst/>
                    </a:prstGeom>
                  </pic:spPr>
                </pic:pic>
              </a:graphicData>
            </a:graphic>
          </wp:inline>
        </w:drawing>
      </w:r>
      <w:r>
        <w:rPr>
          <w:rFonts w:ascii="宋体" w:hAnsi="宋体" w:cs="宋体" w:eastAsia="宋体" w:hint="default"/>
          <w:position w:val="-62"/>
          <w:sz w:val="20"/>
          <w:szCs w:val="20"/>
        </w:rPr>
      </w:r>
    </w:p>
    <w:p>
      <w:pPr>
        <w:spacing w:line="240" w:lineRule="auto" w:before="9"/>
        <w:rPr>
          <w:rFonts w:ascii="宋体" w:hAnsi="宋体" w:cs="宋体" w:eastAsia="宋体" w:hint="default"/>
          <w:sz w:val="14"/>
          <w:szCs w:val="14"/>
        </w:rPr>
      </w:pPr>
    </w:p>
    <w:p>
      <w:pPr>
        <w:pStyle w:val="Heading4"/>
        <w:spacing w:line="240" w:lineRule="auto" w:before="36"/>
        <w:ind w:left="3602" w:right="982"/>
        <w:jc w:val="left"/>
        <w:rPr>
          <w:rFonts w:ascii="宋体" w:hAnsi="宋体" w:cs="宋体" w:eastAsia="宋体" w:hint="default"/>
          <w:b w:val="0"/>
          <w:bCs w:val="0"/>
        </w:rPr>
      </w:pPr>
      <w:r>
        <w:rPr/>
        <w:t>汽车制造业工业产品出厂价格指数</w:t>
      </w:r>
      <w:r>
        <w:rPr>
          <w:rFonts w:ascii="宋体" w:hAnsi="宋体" w:cs="宋体" w:eastAsia="宋体" w:hint="default"/>
          <w:w w:val="99"/>
        </w:rPr>
        <w:t> </w:t>
      </w:r>
      <w:r>
        <w:rPr>
          <w:rFonts w:ascii="宋体" w:hAnsi="宋体" w:cs="宋体" w:eastAsia="宋体" w:hint="default"/>
          <w:b w:val="0"/>
          <w:bCs w:val="0"/>
        </w:rPr>
      </w:r>
    </w:p>
    <w:p>
      <w:pPr>
        <w:spacing w:line="240" w:lineRule="auto" w:before="7"/>
        <w:rPr>
          <w:rFonts w:ascii="宋体" w:hAnsi="宋体" w:cs="宋体" w:eastAsia="宋体" w:hint="default"/>
          <w:b/>
          <w:bCs/>
          <w:sz w:val="16"/>
          <w:szCs w:val="16"/>
        </w:rPr>
      </w:pPr>
    </w:p>
    <w:p>
      <w:pPr>
        <w:pStyle w:val="BodyText"/>
        <w:spacing w:line="240" w:lineRule="auto"/>
        <w:ind w:left="573" w:right="982"/>
        <w:jc w:val="left"/>
        <w:rPr>
          <w:rFonts w:ascii="宋体" w:hAnsi="宋体" w:cs="宋体" w:eastAsia="宋体" w:hint="default"/>
        </w:rPr>
      </w:pPr>
      <w:r>
        <w:rPr/>
        <w:t>资料来源：国家统计局、中国汽车技术研究中心有限公司</w:t>
      </w:r>
      <w:r>
        <w:rPr>
          <w:rFonts w:ascii="宋体" w:hAnsi="宋体" w:cs="宋体" w:eastAsia="宋体" w:hint="default"/>
        </w:rPr>
        <w:t> </w:t>
      </w:r>
    </w:p>
    <w:p>
      <w:pPr>
        <w:spacing w:line="240" w:lineRule="auto" w:before="2"/>
        <w:rPr>
          <w:rFonts w:ascii="宋体" w:hAnsi="宋体" w:cs="宋体" w:eastAsia="宋体" w:hint="default"/>
          <w:sz w:val="19"/>
          <w:szCs w:val="19"/>
        </w:rPr>
      </w:pPr>
    </w:p>
    <w:p>
      <w:pPr>
        <w:spacing w:line="444" w:lineRule="auto" w:before="0"/>
        <w:ind w:left="573" w:right="982" w:firstLine="2"/>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）公司已经或计划采取的应对措施</w:t>
      </w:r>
      <w:r>
        <w:rPr>
          <w:rFonts w:ascii="宋体" w:hAnsi="宋体" w:cs="宋体" w:eastAsia="宋体" w:hint="default"/>
          <w:w w:val="100"/>
          <w:sz w:val="21"/>
          <w:szCs w:val="21"/>
        </w:rPr>
        <w:t> </w:t>
      </w:r>
      <w:r>
        <w:rPr>
          <w:rFonts w:ascii="宋体" w:hAnsi="宋体" w:cs="宋体" w:eastAsia="宋体" w:hint="default"/>
          <w:spacing w:val="-2"/>
          <w:sz w:val="21"/>
          <w:szCs w:val="21"/>
        </w:rPr>
        <w:t>面对汽车销量下滑的趋势，公司继续推进与现有车厂客户的合作广度和深度，产品和服务领域从车载</w:t>
      </w:r>
    </w:p>
    <w:p>
      <w:pPr>
        <w:pStyle w:val="Heading5"/>
        <w:spacing w:line="408" w:lineRule="auto" w:before="12"/>
        <w:ind w:right="982" w:firstLine="0"/>
        <w:jc w:val="left"/>
        <w:rPr>
          <w:rFonts w:ascii="宋体" w:hAnsi="宋体" w:cs="宋体" w:eastAsia="宋体" w:hint="default"/>
        </w:rPr>
      </w:pPr>
      <w:r>
        <w:rPr>
          <w:spacing w:val="-2"/>
        </w:rPr>
        <w:t>导航电子地图数据服务，向车联网解决方案、汽车电子芯片、高精度地图、自动驾驶解决方案等领域拓展</w:t>
      </w:r>
      <w:r>
        <w:rPr>
          <w:spacing w:val="-47"/>
        </w:rPr>
        <w:t> </w:t>
      </w:r>
      <w:r>
        <w:rPr>
          <w:spacing w:val="-47"/>
        </w:rPr>
      </w:r>
      <w:r>
        <w:rPr/>
        <w:t>及深化，提升公司产品和服务的搭载装配率，降低汽车销量下降对公司的影响。在新能源汽车智能出行，</w:t>
      </w:r>
      <w:r>
        <w:rPr>
          <w:spacing w:val="-22"/>
        </w:rPr>
        <w:t> </w:t>
      </w:r>
      <w:r>
        <w:rPr>
          <w:spacing w:val="-22"/>
        </w:rPr>
      </w:r>
      <w:r>
        <w:rPr>
          <w:spacing w:val="-2"/>
        </w:rPr>
        <w:t>车联网及自动驾驶等领域，加强与车厂客户的联合开发力度，致力于帮助客户打造极具市场竞争优势的产</w:t>
      </w:r>
      <w:r>
        <w:rPr>
          <w:spacing w:val="-43"/>
        </w:rPr>
        <w:t> </w:t>
      </w:r>
      <w:r>
        <w:rPr>
          <w:spacing w:val="-43"/>
        </w:rPr>
      </w:r>
      <w:r>
        <w:rPr>
          <w:spacing w:val="-2"/>
        </w:rPr>
        <w:t>品和服务。同时，公司不断加大研发投入力度，通过智能化改造和升级，提升工效、降低成本，进一步帮</w:t>
      </w:r>
      <w:r>
        <w:rPr>
          <w:spacing w:val="-41"/>
        </w:rPr>
        <w:t> </w:t>
      </w:r>
      <w:r>
        <w:rPr>
          <w:spacing w:val="-41"/>
        </w:rPr>
      </w:r>
      <w:r>
        <w:rPr>
          <w:spacing w:val="-7"/>
        </w:rPr>
        <w:t>助车厂客户降低采购成本，提升市场竞争力、用户体验和客户满意度，加强承接中国市场本地化服务能力。</w:t>
      </w:r>
      <w:r>
        <w:rPr>
          <w:rFonts w:ascii="宋体" w:hAnsi="宋体" w:cs="宋体" w:eastAsia="宋体" w:hint="default"/>
        </w:rPr>
        <w:t> </w:t>
      </w:r>
    </w:p>
    <w:p>
      <w:pPr>
        <w:pStyle w:val="Heading5"/>
        <w:spacing w:line="408" w:lineRule="auto" w:before="87"/>
        <w:ind w:right="1126"/>
        <w:jc w:val="both"/>
        <w:rPr>
          <w:rFonts w:ascii="宋体" w:hAnsi="宋体" w:cs="宋体" w:eastAsia="宋体" w:hint="default"/>
        </w:rPr>
      </w:pPr>
      <w:r>
        <w:rPr>
          <w:spacing w:val="-2"/>
        </w:rPr>
        <w:t>面对新的市场发展空间，公司加大新产品开发和创新力度。在商用车服务领域，公司加大前装市场拓</w:t>
      </w:r>
      <w:r>
        <w:rPr>
          <w:w w:val="100"/>
        </w:rPr>
        <w:t> </w:t>
      </w:r>
      <w:r>
        <w:rPr/>
        <w:t>展力度，提升车联网平台、</w:t>
      </w:r>
      <w:r>
        <w:rPr>
          <w:rFonts w:ascii="宋体" w:hAnsi="宋体" w:cs="宋体" w:eastAsia="宋体" w:hint="default"/>
        </w:rPr>
        <w:t>T-Box</w:t>
      </w:r>
      <w:r>
        <w:rPr>
          <w:rFonts w:ascii="宋体" w:hAnsi="宋体" w:cs="宋体" w:eastAsia="宋体" w:hint="default"/>
          <w:spacing w:val="-31"/>
        </w:rPr>
        <w:t> </w:t>
      </w:r>
      <w:r>
        <w:rPr/>
        <w:t>车载硬件、</w:t>
      </w:r>
      <w:r>
        <w:rPr>
          <w:rFonts w:ascii="宋体" w:hAnsi="宋体" w:cs="宋体" w:eastAsia="宋体" w:hint="default"/>
        </w:rPr>
        <w:t>ADASIS</w:t>
      </w:r>
      <w:r>
        <w:rPr/>
        <w:t>、大数据应用等产品的研发和商业化进程，可以根据</w:t>
      </w:r>
      <w:r>
        <w:rPr>
          <w:w w:val="100"/>
        </w:rPr>
        <w:t> </w:t>
      </w:r>
      <w:r>
        <w:rPr>
          <w:spacing w:val="-2"/>
        </w:rPr>
        <w:t>商用车厂的定制化需求，打造各具特色的智能网联服务方案，帮助商用车厂客户在降本增效、安全生产等</w:t>
      </w:r>
      <w:r>
        <w:rPr>
          <w:spacing w:val="-44"/>
        </w:rPr>
        <w:t> </w:t>
      </w:r>
      <w:r>
        <w:rPr>
          <w:spacing w:val="-44"/>
        </w:rPr>
      </w:r>
      <w:r>
        <w:rPr/>
        <w:t>方面提升数字化运营能力。</w:t>
      </w:r>
      <w:r>
        <w:rPr>
          <w:rFonts w:ascii="宋体" w:hAnsi="宋体" w:cs="宋体" w:eastAsia="宋体" w:hint="default"/>
        </w:rPr>
        <w:t> </w:t>
      </w:r>
    </w:p>
    <w:p>
      <w:pPr>
        <w:pStyle w:val="Heading5"/>
        <w:spacing w:line="408" w:lineRule="auto" w:before="87"/>
        <w:ind w:right="1126"/>
        <w:jc w:val="both"/>
        <w:rPr>
          <w:rFonts w:ascii="宋体" w:hAnsi="宋体" w:cs="宋体" w:eastAsia="宋体" w:hint="default"/>
        </w:rPr>
      </w:pPr>
      <w:r>
        <w:rPr>
          <w:spacing w:val="-7"/>
        </w:rPr>
        <w:t>在新能源汽车服务领域，公司加大新能源汽车充电服务产品的开发进度，支持充电桩查询、路径规划、</w:t>
      </w:r>
      <w:r>
        <w:rPr>
          <w:w w:val="100"/>
        </w:rPr>
        <w:t> </w:t>
      </w:r>
      <w:r>
        <w:rPr>
          <w:spacing w:val="-2"/>
        </w:rPr>
        <w:t>充电桩动态信息等功能的新能源出行服务解决方案已经实现闭环。未来，公司将面向新能源汽车出行更多</w:t>
      </w:r>
      <w:r>
        <w:rPr>
          <w:spacing w:val="-42"/>
        </w:rPr>
        <w:t> </w:t>
      </w:r>
      <w:r>
        <w:rPr>
          <w:spacing w:val="-42"/>
        </w:rPr>
      </w:r>
      <w:r>
        <w:rPr>
          <w:spacing w:val="-2"/>
        </w:rPr>
        <w:t>应用场景进行产品开发和拓展，并与更多充电桩运营企业建立全面的合作关系，为车企进一步升级新能源</w:t>
      </w:r>
      <w:r>
        <w:rPr>
          <w:spacing w:val="-43"/>
        </w:rPr>
        <w:t> </w:t>
      </w:r>
      <w:r>
        <w:rPr>
          <w:spacing w:val="-43"/>
        </w:rPr>
      </w:r>
      <w:r>
        <w:rPr>
          <w:spacing w:val="-2"/>
        </w:rPr>
        <w:t>汽车出行服务提供能力支撑。同时，公司将进一步加大新能源物流车领域的产品和服务开发力度，积极提</w:t>
      </w:r>
      <w:r>
        <w:rPr>
          <w:spacing w:val="-44"/>
        </w:rPr>
        <w:t> </w:t>
      </w:r>
      <w:r>
        <w:rPr>
          <w:spacing w:val="-44"/>
        </w:rPr>
      </w:r>
      <w:r>
        <w:rPr/>
        <w:t>升定制化解决方案服务能力，帮助车厂客户提升运营效率、降低运营成本。</w:t>
      </w:r>
      <w:r>
        <w:rPr>
          <w:rFonts w:ascii="宋体" w:hAnsi="宋体" w:cs="宋体" w:eastAsia="宋体" w:hint="default"/>
        </w:rPr>
        <w:t> </w:t>
      </w:r>
    </w:p>
    <w:p>
      <w:pPr>
        <w:pStyle w:val="Heading5"/>
        <w:spacing w:line="408" w:lineRule="auto" w:before="87"/>
        <w:ind w:right="982"/>
        <w:jc w:val="left"/>
      </w:pPr>
      <w:r>
        <w:rPr>
          <w:spacing w:val="-2"/>
        </w:rPr>
        <w:t>在乘用车服务领域，公司基于多年的技术积累和产业布局，通过将导航、车联网平台、轻车联网等业</w:t>
      </w:r>
      <w:r>
        <w:rPr>
          <w:w w:val="100"/>
        </w:rPr>
        <w:t> </w:t>
      </w:r>
      <w:r>
        <w:rPr/>
        <w:t>务从上市公司拆分并独立融资等方式，以北京四维智联科技有限公司为主体，引进腾讯基金、蔚来资本、</w:t>
      </w:r>
      <w:r>
        <w:rPr>
          <w:spacing w:val="-20"/>
        </w:rPr>
        <w:t> </w:t>
      </w:r>
      <w:r>
        <w:rPr>
          <w:spacing w:val="-20"/>
        </w:rPr>
      </w:r>
      <w:r>
        <w:rPr>
          <w:spacing w:val="-2"/>
        </w:rPr>
        <w:t>尚珹资本等战略投资者和股东，加速推进新产品研发和市场拓展，打造在乘用车车联网领域的核心竞争优</w:t>
      </w:r>
      <w:r>
        <w:rPr>
          <w:spacing w:val="-42"/>
        </w:rPr>
        <w:t> </w:t>
      </w:r>
      <w:r>
        <w:rPr>
          <w:spacing w:val="-42"/>
        </w:rPr>
      </w:r>
      <w:r>
        <w:rPr>
          <w:spacing w:val="-2"/>
        </w:rPr>
        <w:t>势，满足不同客户的应用需求，提升公司产品和服务在单车的价值比例。同时，公司进一步加大于车辆联</w:t>
      </w:r>
    </w:p>
    <w:p>
      <w:pPr>
        <w:spacing w:after="0" w:line="408" w:lineRule="auto"/>
        <w:jc w:val="left"/>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pStyle w:val="Heading5"/>
        <w:spacing w:line="408" w:lineRule="auto" w:before="176"/>
        <w:ind w:right="982" w:firstLine="0"/>
        <w:jc w:val="left"/>
        <w:rPr>
          <w:rFonts w:ascii="宋体" w:hAnsi="宋体" w:cs="宋体" w:eastAsia="宋体" w:hint="default"/>
        </w:rPr>
      </w:pPr>
      <w:r>
        <w:rPr>
          <w:spacing w:val="-2"/>
        </w:rPr>
        <w:t>网的车辆全生命周期海量数据的商业价值挖掘和探索。面对中国庞大的汽车保有量，公司还将加大在汽车</w:t>
      </w:r>
      <w:r>
        <w:rPr>
          <w:spacing w:val="-44"/>
        </w:rPr>
        <w:t> </w:t>
      </w:r>
      <w:r>
        <w:rPr>
          <w:spacing w:val="-44"/>
        </w:rPr>
      </w:r>
      <w:r>
        <w:rPr/>
        <w:t>后服务市场的拓展力度。</w:t>
      </w:r>
      <w:r>
        <w:rPr>
          <w:rFonts w:ascii="宋体" w:hAnsi="宋体" w:cs="宋体" w:eastAsia="宋体" w:hint="default"/>
        </w:rPr>
        <w:t> </w:t>
      </w:r>
    </w:p>
    <w:p>
      <w:pPr>
        <w:pStyle w:val="Heading5"/>
        <w:spacing w:line="408" w:lineRule="auto" w:before="87"/>
        <w:ind w:right="982"/>
        <w:jc w:val="left"/>
        <w:rPr>
          <w:rFonts w:ascii="宋体" w:hAnsi="宋体" w:cs="宋体" w:eastAsia="宋体" w:hint="default"/>
        </w:rPr>
      </w:pPr>
      <w:r>
        <w:rPr/>
        <w:t>在汽车电子芯片领域，公司不断提升汽车电子芯片设计能力和新产品研发能力，积极拓展市场份额，</w:t>
      </w:r>
      <w:r>
        <w:rPr>
          <w:w w:val="100"/>
        </w:rPr>
        <w:t> </w:t>
      </w:r>
      <w:r>
        <w:rPr>
          <w:spacing w:val="-3"/>
        </w:rPr>
        <w:t>面向产业链上下游，持续打造可持续发展的产业协同能力。自主发的</w:t>
      </w:r>
      <w:r>
        <w:rPr>
          <w:spacing w:val="-38"/>
        </w:rPr>
        <w:t> </w:t>
      </w:r>
      <w:r>
        <w:rPr>
          <w:rFonts w:ascii="宋体" w:hAnsi="宋体" w:cs="宋体" w:eastAsia="宋体" w:hint="default"/>
        </w:rPr>
        <w:t>MCU</w:t>
      </w:r>
      <w:r>
        <w:rPr>
          <w:rFonts w:ascii="宋体" w:hAnsi="宋体" w:cs="宋体" w:eastAsia="宋体" w:hint="default"/>
          <w:spacing w:val="-40"/>
        </w:rPr>
        <w:t> </w:t>
      </w:r>
      <w:r>
        <w:rPr/>
        <w:t>芯片率先突破国际厂家的技术垄</w:t>
      </w:r>
      <w:r>
        <w:rPr>
          <w:spacing w:val="-74"/>
        </w:rPr>
        <w:t> </w:t>
      </w:r>
      <w:r>
        <w:rPr>
          <w:spacing w:val="-74"/>
        </w:rPr>
      </w:r>
      <w:r>
        <w:rPr/>
        <w:t>断，</w:t>
      </w:r>
      <w:r>
        <w:rPr>
          <w:rFonts w:ascii="宋体" w:hAnsi="宋体" w:cs="宋体" w:eastAsia="宋体" w:hint="default"/>
        </w:rPr>
        <w:t>TPMS</w:t>
      </w:r>
      <w:r>
        <w:rPr>
          <w:rFonts w:ascii="宋体" w:hAnsi="宋体" w:cs="宋体" w:eastAsia="宋体" w:hint="default"/>
          <w:spacing w:val="-59"/>
        </w:rPr>
        <w:t> </w:t>
      </w:r>
      <w:r>
        <w:rPr/>
        <w:t>胎压监测芯片已经完成样片开发，计划</w:t>
      </w:r>
      <w:r>
        <w:rPr>
          <w:spacing w:val="-57"/>
        </w:rPr>
        <w:t> </w:t>
      </w:r>
      <w:r>
        <w:rPr>
          <w:rFonts w:ascii="宋体" w:hAnsi="宋体" w:cs="宋体" w:eastAsia="宋体" w:hint="default"/>
        </w:rPr>
        <w:t>2019</w:t>
      </w:r>
      <w:r>
        <w:rPr>
          <w:rFonts w:ascii="宋体" w:hAnsi="宋体" w:cs="宋体" w:eastAsia="宋体" w:hint="default"/>
          <w:spacing w:val="-57"/>
        </w:rPr>
        <w:t> </w:t>
      </w:r>
      <w:r>
        <w:rPr/>
        <w:t>年实现量产。</w:t>
      </w:r>
      <w:r>
        <w:rPr>
          <w:rFonts w:ascii="宋体" w:hAnsi="宋体" w:cs="宋体" w:eastAsia="宋体" w:hint="default"/>
        </w:rPr>
        <w:t> </w:t>
      </w:r>
    </w:p>
    <w:p>
      <w:pPr>
        <w:pStyle w:val="Heading5"/>
        <w:spacing w:line="408" w:lineRule="auto" w:before="87"/>
        <w:ind w:right="1126"/>
        <w:jc w:val="both"/>
        <w:rPr>
          <w:rFonts w:ascii="宋体" w:hAnsi="宋体" w:cs="宋体" w:eastAsia="宋体" w:hint="default"/>
        </w:rPr>
      </w:pPr>
      <w:r>
        <w:rPr>
          <w:spacing w:val="-2"/>
        </w:rPr>
        <w:t>在包含汽车电子芯片在内的自动驾驶服务相关领域，公司不断丰富高精度地图、高精度定位、汽车电</w:t>
      </w:r>
      <w:r>
        <w:rPr>
          <w:w w:val="100"/>
        </w:rPr>
        <w:t> </w:t>
      </w:r>
      <w:r>
        <w:rPr/>
        <w:t>子芯片以及自动驾驶整体解决方案的产品和服务内涵，提升通用服务能力，</w:t>
      </w:r>
      <w:r>
        <w:rPr>
          <w:rFonts w:ascii="宋体" w:hAnsi="宋体" w:cs="宋体" w:eastAsia="宋体" w:hint="default"/>
        </w:rPr>
        <w:t>HD</w:t>
      </w:r>
      <w:r>
        <w:rPr>
          <w:rFonts w:ascii="宋体" w:hAnsi="宋体" w:cs="宋体" w:eastAsia="宋体" w:hint="default"/>
          <w:spacing w:val="70"/>
        </w:rPr>
        <w:t> </w:t>
      </w:r>
      <w:r>
        <w:rPr/>
        <w:t>高精度地图获得全国首个</w:t>
      </w:r>
      <w:r>
        <w:rPr>
          <w:spacing w:val="-95"/>
        </w:rPr>
        <w:t> </w:t>
      </w:r>
      <w:r>
        <w:rPr>
          <w:spacing w:val="-95"/>
        </w:rPr>
      </w:r>
      <w:r>
        <w:rPr>
          <w:rFonts w:ascii="宋体" w:hAnsi="宋体" w:cs="宋体" w:eastAsia="宋体" w:hint="default"/>
        </w:rPr>
        <w:t>L3</w:t>
      </w:r>
      <w:r>
        <w:rPr>
          <w:rFonts w:ascii="宋体" w:hAnsi="宋体" w:cs="宋体" w:eastAsia="宋体" w:hint="default"/>
          <w:spacing w:val="-58"/>
        </w:rPr>
        <w:t> </w:t>
      </w:r>
      <w:r>
        <w:rPr/>
        <w:t>级乘用车自动驾驶量产订单，</w:t>
      </w:r>
      <w:r>
        <w:rPr>
          <w:rFonts w:ascii="宋体" w:hAnsi="宋体" w:cs="宋体" w:eastAsia="宋体" w:hint="default"/>
        </w:rPr>
        <w:t>L3</w:t>
      </w:r>
      <w:r>
        <w:rPr>
          <w:rFonts w:ascii="宋体" w:hAnsi="宋体" w:cs="宋体" w:eastAsia="宋体" w:hint="default"/>
          <w:spacing w:val="-61"/>
        </w:rPr>
        <w:t> </w:t>
      </w:r>
      <w:r>
        <w:rPr/>
        <w:t>级别自动驾驶标准能力已经经过几千公里真实道路验证测试。</w:t>
      </w:r>
      <w:r>
        <w:rPr>
          <w:rFonts w:ascii="宋体" w:hAnsi="宋体" w:cs="宋体" w:eastAsia="宋体" w:hint="default"/>
        </w:rPr>
        <w:t> </w:t>
      </w:r>
    </w:p>
    <w:p>
      <w:pPr>
        <w:pStyle w:val="Heading4"/>
        <w:spacing w:line="240" w:lineRule="auto" w:before="46"/>
        <w:ind w:left="575" w:right="982"/>
        <w:jc w:val="left"/>
        <w:rPr>
          <w:rFonts w:ascii="宋体" w:hAnsi="宋体" w:cs="宋体" w:eastAsia="宋体" w:hint="default"/>
          <w:b w:val="0"/>
          <w:bCs w:val="0"/>
        </w:rPr>
      </w:pPr>
      <w:r>
        <w:rPr>
          <w:rFonts w:ascii="宋体" w:hAnsi="宋体" w:cs="宋体" w:eastAsia="宋体" w:hint="default"/>
        </w:rPr>
        <w:t>2</w:t>
      </w:r>
      <w:r>
        <w:rPr/>
        <w:t>、互联网高科技企业所处行业分析及公司的应对措施</w:t>
      </w:r>
      <w:r>
        <w:rPr>
          <w:rFonts w:ascii="宋体" w:hAnsi="宋体" w:cs="宋体" w:eastAsia="宋体" w:hint="default"/>
          <w:w w:val="99"/>
        </w:rPr>
        <w:t> </w:t>
      </w:r>
      <w:r>
        <w:rPr>
          <w:rFonts w:ascii="宋体" w:hAnsi="宋体" w:cs="宋体" w:eastAsia="宋体" w:hint="default"/>
          <w:b w:val="0"/>
          <w:bCs w:val="0"/>
        </w:rPr>
      </w:r>
    </w:p>
    <w:p>
      <w:pPr>
        <w:spacing w:line="240" w:lineRule="auto" w:before="10"/>
        <w:rPr>
          <w:rFonts w:ascii="宋体" w:hAnsi="宋体" w:cs="宋体" w:eastAsia="宋体" w:hint="default"/>
          <w:b/>
          <w:bCs/>
          <w:sz w:val="14"/>
          <w:szCs w:val="14"/>
        </w:rPr>
      </w:pPr>
    </w:p>
    <w:p>
      <w:pPr>
        <w:spacing w:line="408" w:lineRule="auto" w:before="0"/>
        <w:ind w:left="573" w:right="982" w:firstLine="2"/>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）互联网高科技企业所处行业分析</w:t>
      </w:r>
      <w:r>
        <w:rPr>
          <w:rFonts w:ascii="宋体" w:hAnsi="宋体" w:cs="宋体" w:eastAsia="宋体" w:hint="default"/>
          <w:w w:val="100"/>
          <w:sz w:val="21"/>
          <w:szCs w:val="21"/>
        </w:rPr>
        <w:t> </w:t>
      </w:r>
      <w:r>
        <w:rPr>
          <w:rFonts w:ascii="宋体" w:hAnsi="宋体" w:cs="宋体" w:eastAsia="宋体" w:hint="default"/>
          <w:spacing w:val="-2"/>
          <w:sz w:val="21"/>
          <w:szCs w:val="21"/>
        </w:rPr>
        <w:t>手机地图用户规模增长空间趋于饱和，网约车、电商物流等基于位置服务的新型互联网应用产品和服</w:t>
      </w:r>
    </w:p>
    <w:p>
      <w:pPr>
        <w:pStyle w:val="Heading5"/>
        <w:spacing w:line="408" w:lineRule="auto"/>
        <w:ind w:right="1030" w:firstLine="0"/>
        <w:jc w:val="left"/>
        <w:rPr>
          <w:rFonts w:ascii="宋体" w:hAnsi="宋体" w:cs="宋体" w:eastAsia="宋体" w:hint="default"/>
        </w:rPr>
      </w:pPr>
      <w:r>
        <w:rPr/>
        <w:t>务表现活跃。根据中国互联网络信息中心数据，截至</w:t>
      </w:r>
      <w:r>
        <w:rPr>
          <w:spacing w:val="-53"/>
        </w:rPr>
        <w:t> </w:t>
      </w:r>
      <w:r>
        <w:rPr>
          <w:rFonts w:ascii="宋体" w:hAnsi="宋体" w:cs="宋体" w:eastAsia="宋体" w:hint="default"/>
        </w:rPr>
        <w:t>2018</w:t>
      </w:r>
      <w:r>
        <w:rPr>
          <w:rFonts w:ascii="宋体" w:hAnsi="宋体" w:cs="宋体" w:eastAsia="宋体" w:hint="default"/>
          <w:spacing w:val="-54"/>
        </w:rPr>
        <w:t> </w:t>
      </w:r>
      <w:r>
        <w:rPr/>
        <w:t>年</w:t>
      </w:r>
      <w:r>
        <w:rPr>
          <w:spacing w:val="-56"/>
        </w:rPr>
        <w:t> </w:t>
      </w:r>
      <w:r>
        <w:rPr>
          <w:rFonts w:ascii="宋体" w:hAnsi="宋体" w:cs="宋体" w:eastAsia="宋体" w:hint="default"/>
        </w:rPr>
        <w:t>12</w:t>
      </w:r>
      <w:r>
        <w:rPr>
          <w:rFonts w:ascii="宋体" w:hAnsi="宋体" w:cs="宋体" w:eastAsia="宋体" w:hint="default"/>
          <w:spacing w:val="-54"/>
        </w:rPr>
        <w:t> </w:t>
      </w:r>
      <w:r>
        <w:rPr/>
        <w:t>月底，我国网民规模为</w:t>
      </w:r>
      <w:r>
        <w:rPr>
          <w:spacing w:val="-54"/>
        </w:rPr>
        <w:t> </w:t>
      </w:r>
      <w:r>
        <w:rPr>
          <w:rFonts w:ascii="宋体" w:hAnsi="宋体" w:cs="宋体" w:eastAsia="宋体" w:hint="default"/>
        </w:rPr>
        <w:t>8.29</w:t>
      </w:r>
      <w:r>
        <w:rPr>
          <w:rFonts w:ascii="宋体" w:hAnsi="宋体" w:cs="宋体" w:eastAsia="宋体" w:hint="default"/>
          <w:spacing w:val="-53"/>
        </w:rPr>
        <w:t> </w:t>
      </w:r>
      <w:r>
        <w:rPr/>
        <w:t>亿人，手机</w:t>
      </w:r>
      <w:r>
        <w:rPr>
          <w:w w:val="100"/>
        </w:rPr>
        <w:t> </w:t>
      </w:r>
      <w:r>
        <w:rPr/>
        <w:t>网民规模</w:t>
      </w:r>
      <w:r>
        <w:rPr>
          <w:spacing w:val="-54"/>
        </w:rPr>
        <w:t> </w:t>
      </w:r>
      <w:r>
        <w:rPr>
          <w:rFonts w:ascii="宋体" w:hAnsi="宋体" w:cs="宋体" w:eastAsia="宋体" w:hint="default"/>
        </w:rPr>
        <w:t>8.17</w:t>
      </w:r>
      <w:r>
        <w:rPr>
          <w:rFonts w:ascii="宋体" w:hAnsi="宋体" w:cs="宋体" w:eastAsia="宋体" w:hint="default"/>
          <w:spacing w:val="-57"/>
        </w:rPr>
        <w:t> </w:t>
      </w:r>
      <w:r>
        <w:rPr/>
        <w:t>亿元，通过手机接入互联网比例约</w:t>
      </w:r>
      <w:r>
        <w:rPr>
          <w:spacing w:val="-55"/>
        </w:rPr>
        <w:t> </w:t>
      </w:r>
      <w:r>
        <w:rPr>
          <w:rFonts w:ascii="宋体" w:hAnsi="宋体" w:cs="宋体" w:eastAsia="宋体" w:hint="default"/>
        </w:rPr>
        <w:t>98.6%</w:t>
      </w:r>
      <w:r>
        <w:rPr/>
        <w:t>。根据比达咨询统计数据，</w:t>
      </w:r>
      <w:r>
        <w:rPr>
          <w:rFonts w:ascii="宋体" w:hAnsi="宋体" w:cs="宋体" w:eastAsia="宋体" w:hint="default"/>
        </w:rPr>
        <w:t>2018</w:t>
      </w:r>
      <w:r>
        <w:rPr>
          <w:rFonts w:ascii="宋体" w:hAnsi="宋体" w:cs="宋体" w:eastAsia="宋体" w:hint="default"/>
          <w:spacing w:val="-57"/>
        </w:rPr>
        <w:t> </w:t>
      </w:r>
      <w:r>
        <w:rPr/>
        <w:t>年我国手机地图</w:t>
      </w:r>
      <w:r>
        <w:rPr>
          <w:w w:val="100"/>
        </w:rPr>
        <w:t> </w:t>
      </w:r>
      <w:r>
        <w:rPr/>
        <w:t>用户规模</w:t>
      </w:r>
      <w:r>
        <w:rPr>
          <w:spacing w:val="-53"/>
        </w:rPr>
        <w:t> </w:t>
      </w:r>
      <w:r>
        <w:rPr>
          <w:rFonts w:ascii="宋体" w:hAnsi="宋体" w:cs="宋体" w:eastAsia="宋体" w:hint="default"/>
        </w:rPr>
        <w:t>7.2</w:t>
      </w:r>
      <w:r>
        <w:rPr>
          <w:rFonts w:ascii="宋体" w:hAnsi="宋体" w:cs="宋体" w:eastAsia="宋体" w:hint="default"/>
          <w:spacing w:val="-54"/>
        </w:rPr>
        <w:t> </w:t>
      </w:r>
      <w:r>
        <w:rPr/>
        <w:t>亿人，</w:t>
      </w:r>
      <w:r>
        <w:rPr>
          <w:rFonts w:ascii="宋体" w:hAnsi="宋体" w:cs="宋体" w:eastAsia="宋体" w:hint="default"/>
        </w:rPr>
        <w:t>2017</w:t>
      </w:r>
      <w:r>
        <w:rPr>
          <w:rFonts w:ascii="宋体" w:hAnsi="宋体" w:cs="宋体" w:eastAsia="宋体" w:hint="default"/>
          <w:spacing w:val="-56"/>
        </w:rPr>
        <w:t> </w:t>
      </w:r>
      <w:r>
        <w:rPr/>
        <w:t>年手机地图用户规模约</w:t>
      </w:r>
      <w:r>
        <w:rPr>
          <w:spacing w:val="-53"/>
        </w:rPr>
        <w:t> </w:t>
      </w:r>
      <w:r>
        <w:rPr>
          <w:rFonts w:ascii="宋体" w:hAnsi="宋体" w:cs="宋体" w:eastAsia="宋体" w:hint="default"/>
        </w:rPr>
        <w:t>6.8</w:t>
      </w:r>
      <w:r>
        <w:rPr>
          <w:rFonts w:ascii="宋体" w:hAnsi="宋体" w:cs="宋体" w:eastAsia="宋体" w:hint="default"/>
          <w:spacing w:val="-54"/>
        </w:rPr>
        <w:t> </w:t>
      </w:r>
      <w:r>
        <w:rPr/>
        <w:t>亿人，同比增长</w:t>
      </w:r>
      <w:r>
        <w:rPr>
          <w:spacing w:val="-54"/>
        </w:rPr>
        <w:t> </w:t>
      </w:r>
      <w:r>
        <w:rPr>
          <w:rFonts w:ascii="宋体" w:hAnsi="宋体" w:cs="宋体" w:eastAsia="宋体" w:hint="default"/>
        </w:rPr>
        <w:t>5.9%</w:t>
      </w:r>
      <w:r>
        <w:rPr/>
        <w:t>，增速下滑</w:t>
      </w:r>
      <w:r>
        <w:rPr>
          <w:spacing w:val="-54"/>
        </w:rPr>
        <w:t> </w:t>
      </w:r>
      <w:r>
        <w:rPr>
          <w:rFonts w:ascii="宋体" w:hAnsi="宋体" w:cs="宋体" w:eastAsia="宋体" w:hint="default"/>
        </w:rPr>
        <w:t>0.3</w:t>
      </w:r>
      <w:r>
        <w:rPr>
          <w:rFonts w:ascii="宋体" w:hAnsi="宋体" w:cs="宋体" w:eastAsia="宋体" w:hint="default"/>
          <w:spacing w:val="-53"/>
        </w:rPr>
        <w:t> </w:t>
      </w:r>
      <w:r>
        <w:rPr/>
        <w:t>个百分点，传</w:t>
      </w:r>
      <w:r>
        <w:rPr>
          <w:w w:val="100"/>
        </w:rPr>
        <w:t> </w:t>
      </w:r>
      <w:r>
        <w:rPr>
          <w:spacing w:val="-3"/>
        </w:rPr>
        <w:t>统手机地图用户增长空间或趋于饱和。同时，根据比达咨询研究，</w:t>
      </w:r>
      <w:r>
        <w:rPr>
          <w:rFonts w:ascii="宋体" w:hAnsi="宋体" w:cs="宋体" w:eastAsia="宋体" w:hint="default"/>
          <w:spacing w:val="-3"/>
        </w:rPr>
        <w:t>2018</w:t>
      </w:r>
      <w:r>
        <w:rPr>
          <w:rFonts w:ascii="宋体" w:hAnsi="宋体" w:cs="宋体" w:eastAsia="宋体" w:hint="default"/>
          <w:spacing w:val="-36"/>
        </w:rPr>
        <w:t> </w:t>
      </w:r>
      <w:r>
        <w:rPr>
          <w:spacing w:val="-3"/>
        </w:rPr>
        <w:t>年基于手机地图的在线旅游、移动</w:t>
      </w:r>
      <w:r>
        <w:rPr>
          <w:spacing w:val="-61"/>
        </w:rPr>
        <w:t> </w:t>
      </w:r>
      <w:r>
        <w:rPr>
          <w:spacing w:val="-61"/>
        </w:rPr>
      </w:r>
      <w:r>
        <w:rPr/>
        <w:t>出行等</w:t>
      </w:r>
      <w:r>
        <w:rPr>
          <w:spacing w:val="-53"/>
        </w:rPr>
        <w:t> </w:t>
      </w:r>
      <w:r>
        <w:rPr>
          <w:rFonts w:ascii="宋体" w:hAnsi="宋体" w:cs="宋体" w:eastAsia="宋体" w:hint="default"/>
        </w:rPr>
        <w:t>LBS</w:t>
      </w:r>
      <w:r>
        <w:rPr>
          <w:rFonts w:ascii="宋体" w:hAnsi="宋体" w:cs="宋体" w:eastAsia="宋体" w:hint="default"/>
          <w:spacing w:val="-56"/>
        </w:rPr>
        <w:t> </w:t>
      </w:r>
      <w:r>
        <w:rPr/>
        <w:t>场景化应用不断拓展。根据中国互联网络信息中心数据，截至</w:t>
      </w:r>
      <w:r>
        <w:rPr>
          <w:spacing w:val="-53"/>
        </w:rPr>
        <w:t> </w:t>
      </w:r>
      <w:r>
        <w:rPr>
          <w:rFonts w:ascii="宋体" w:hAnsi="宋体" w:cs="宋体" w:eastAsia="宋体" w:hint="default"/>
        </w:rPr>
        <w:t>2018</w:t>
      </w:r>
      <w:r>
        <w:rPr>
          <w:rFonts w:ascii="宋体" w:hAnsi="宋体" w:cs="宋体" w:eastAsia="宋体" w:hint="default"/>
          <w:spacing w:val="-54"/>
        </w:rPr>
        <w:t> </w:t>
      </w:r>
      <w:r>
        <w:rPr/>
        <w:t>年</w:t>
      </w:r>
      <w:r>
        <w:rPr>
          <w:spacing w:val="-54"/>
        </w:rPr>
        <w:t> </w:t>
      </w:r>
      <w:r>
        <w:rPr>
          <w:rFonts w:ascii="宋体" w:hAnsi="宋体" w:cs="宋体" w:eastAsia="宋体" w:hint="default"/>
        </w:rPr>
        <w:t>12</w:t>
      </w:r>
      <w:r>
        <w:rPr>
          <w:rFonts w:ascii="宋体" w:hAnsi="宋体" w:cs="宋体" w:eastAsia="宋体" w:hint="default"/>
          <w:spacing w:val="-54"/>
        </w:rPr>
        <w:t> </w:t>
      </w:r>
      <w:r>
        <w:rPr>
          <w:spacing w:val="-3"/>
        </w:rPr>
        <w:t>月底，网约专车或快</w:t>
      </w:r>
      <w:r>
        <w:rPr>
          <w:w w:val="100"/>
        </w:rPr>
        <w:t> </w:t>
      </w:r>
      <w:r>
        <w:rPr/>
        <w:t>车用户规模</w:t>
      </w:r>
      <w:r>
        <w:rPr>
          <w:spacing w:val="-46"/>
        </w:rPr>
        <w:t> </w:t>
      </w:r>
      <w:r>
        <w:rPr>
          <w:rFonts w:ascii="宋体" w:hAnsi="宋体" w:cs="宋体" w:eastAsia="宋体" w:hint="default"/>
        </w:rPr>
        <w:t>3.32</w:t>
      </w:r>
      <w:r>
        <w:rPr>
          <w:rFonts w:ascii="宋体" w:hAnsi="宋体" w:cs="宋体" w:eastAsia="宋体" w:hint="default"/>
          <w:spacing w:val="-47"/>
        </w:rPr>
        <w:t> </w:t>
      </w:r>
      <w:r>
        <w:rPr>
          <w:spacing w:val="-6"/>
        </w:rPr>
        <w:t>亿人，比去年同期增长</w:t>
      </w:r>
      <w:r>
        <w:rPr>
          <w:spacing w:val="-46"/>
        </w:rPr>
        <w:t> </w:t>
      </w:r>
      <w:r>
        <w:rPr>
          <w:rFonts w:ascii="宋体" w:hAnsi="宋体" w:cs="宋体" w:eastAsia="宋体" w:hint="default"/>
          <w:spacing w:val="-5"/>
        </w:rPr>
        <w:t>40.9%</w:t>
      </w:r>
      <w:r>
        <w:rPr>
          <w:spacing w:val="-5"/>
        </w:rPr>
        <w:t>，网约出租车用户规模</w:t>
      </w:r>
      <w:r>
        <w:rPr>
          <w:spacing w:val="-47"/>
        </w:rPr>
        <w:t> </w:t>
      </w:r>
      <w:r>
        <w:rPr>
          <w:rFonts w:ascii="宋体" w:hAnsi="宋体" w:cs="宋体" w:eastAsia="宋体" w:hint="default"/>
        </w:rPr>
        <w:t>3.29</w:t>
      </w:r>
      <w:r>
        <w:rPr>
          <w:rFonts w:ascii="宋体" w:hAnsi="宋体" w:cs="宋体" w:eastAsia="宋体" w:hint="default"/>
          <w:spacing w:val="-47"/>
        </w:rPr>
        <w:t> </w:t>
      </w:r>
      <w:r>
        <w:rPr>
          <w:spacing w:val="-6"/>
        </w:rPr>
        <w:t>亿人，比去年同期增长</w:t>
      </w:r>
      <w:r>
        <w:rPr>
          <w:spacing w:val="-46"/>
        </w:rPr>
        <w:t> </w:t>
      </w:r>
      <w:r>
        <w:rPr>
          <w:rFonts w:ascii="宋体" w:hAnsi="宋体" w:cs="宋体" w:eastAsia="宋体" w:hint="default"/>
        </w:rPr>
        <w:t>15.1%</w:t>
      </w:r>
      <w:r>
        <w:rPr/>
        <w:t>，</w:t>
      </w:r>
      <w:r>
        <w:rPr>
          <w:spacing w:val="-90"/>
        </w:rPr>
        <w:t> </w:t>
      </w:r>
      <w:r>
        <w:rPr/>
        <w:t>滴滴等互联网网约车</w:t>
      </w:r>
      <w:r>
        <w:rPr>
          <w:spacing w:val="-19"/>
        </w:rPr>
        <w:t> </w:t>
      </w:r>
      <w:r>
        <w:rPr>
          <w:rFonts w:ascii="宋体" w:hAnsi="宋体" w:cs="宋体" w:eastAsia="宋体" w:hint="default"/>
        </w:rPr>
        <w:t>APP</w:t>
      </w:r>
      <w:r>
        <w:rPr>
          <w:rFonts w:ascii="宋体" w:hAnsi="宋体" w:cs="宋体" w:eastAsia="宋体" w:hint="default"/>
          <w:spacing w:val="-22"/>
        </w:rPr>
        <w:t> </w:t>
      </w:r>
      <w:r>
        <w:rPr/>
        <w:t>市场表现活跃，吸引携程、高德、美团等进行跨界布局。根据国家统计局数据，</w:t>
      </w:r>
      <w:r>
        <w:rPr>
          <w:spacing w:val="-97"/>
        </w:rPr>
        <w:t> </w:t>
      </w:r>
      <w:r>
        <w:rPr>
          <w:spacing w:val="-97"/>
        </w:rPr>
      </w:r>
      <w:r>
        <w:rPr>
          <w:rFonts w:ascii="宋体" w:hAnsi="宋体" w:cs="宋体" w:eastAsia="宋体" w:hint="default"/>
        </w:rPr>
        <w:t>2018</w:t>
      </w:r>
      <w:r>
        <w:rPr>
          <w:rFonts w:ascii="宋体" w:hAnsi="宋体" w:cs="宋体" w:eastAsia="宋体" w:hint="default"/>
          <w:spacing w:val="-55"/>
        </w:rPr>
        <w:t> </w:t>
      </w:r>
      <w:r>
        <w:rPr/>
        <w:t>年全年网上零售额</w:t>
      </w:r>
      <w:r>
        <w:rPr>
          <w:spacing w:val="-53"/>
        </w:rPr>
        <w:t> </w:t>
      </w:r>
      <w:r>
        <w:rPr>
          <w:rFonts w:ascii="宋体" w:hAnsi="宋体" w:cs="宋体" w:eastAsia="宋体" w:hint="default"/>
        </w:rPr>
        <w:t>90065</w:t>
      </w:r>
      <w:r>
        <w:rPr>
          <w:rFonts w:ascii="宋体" w:hAnsi="宋体" w:cs="宋体" w:eastAsia="宋体" w:hint="default"/>
          <w:spacing w:val="-53"/>
        </w:rPr>
        <w:t> </w:t>
      </w:r>
      <w:r>
        <w:rPr>
          <w:spacing w:val="-3"/>
        </w:rPr>
        <w:t>亿元，比上年同期增长</w:t>
      </w:r>
      <w:r>
        <w:rPr>
          <w:spacing w:val="-52"/>
        </w:rPr>
        <w:t> </w:t>
      </w:r>
      <w:r>
        <w:rPr>
          <w:rFonts w:ascii="宋体" w:hAnsi="宋体" w:cs="宋体" w:eastAsia="宋体" w:hint="default"/>
        </w:rPr>
        <w:t>23.9%</w:t>
      </w:r>
      <w:r>
        <w:rPr/>
        <w:t>，面向电子商务的移动物流市场需求增长。阿</w:t>
      </w:r>
      <w:r>
        <w:rPr>
          <w:w w:val="100"/>
        </w:rPr>
        <w:t> </w:t>
      </w:r>
      <w:r>
        <w:rPr>
          <w:spacing w:val="-2"/>
        </w:rPr>
        <w:t>里、京东、苏宁等互联网企业加大面向网上零售的外卖、快速、物流配送等领域的资源投入力度，持续提</w:t>
      </w:r>
      <w:r>
        <w:rPr>
          <w:spacing w:val="-43"/>
        </w:rPr>
        <w:t> </w:t>
      </w:r>
      <w:r>
        <w:rPr>
          <w:spacing w:val="-43"/>
        </w:rPr>
      </w:r>
      <w:r>
        <w:rPr/>
        <w:t>升自身服务能力建设。</w:t>
      </w:r>
      <w:r>
        <w:rPr>
          <w:rFonts w:ascii="宋体" w:hAnsi="宋体" w:cs="宋体" w:eastAsia="宋体" w:hint="default"/>
        </w:rPr>
        <w:t> </w:t>
      </w:r>
    </w:p>
    <w:p>
      <w:pPr>
        <w:pStyle w:val="Heading5"/>
        <w:spacing w:line="240" w:lineRule="auto"/>
        <w:ind w:left="573" w:right="982" w:firstLine="0"/>
        <w:jc w:val="left"/>
      </w:pPr>
      <w:r>
        <w:rPr/>
        <w:t>互联网高科技企业不断加大在智能网联、自动驾驶等汽车科技领域的投入力度，市场竞争日益激烈。</w:t>
      </w:r>
    </w:p>
    <w:p>
      <w:pPr>
        <w:spacing w:line="240" w:lineRule="auto" w:before="11"/>
        <w:rPr>
          <w:rFonts w:ascii="宋体" w:hAnsi="宋体" w:cs="宋体" w:eastAsia="宋体" w:hint="default"/>
          <w:sz w:val="14"/>
          <w:szCs w:val="14"/>
        </w:rPr>
      </w:pPr>
    </w:p>
    <w:p>
      <w:pPr>
        <w:pStyle w:val="Heading5"/>
        <w:spacing w:line="408" w:lineRule="auto" w:before="0"/>
        <w:ind w:right="982" w:firstLine="0"/>
        <w:jc w:val="left"/>
      </w:pPr>
      <w:r>
        <w:rPr>
          <w:spacing w:val="-2"/>
        </w:rPr>
        <w:t>《国家车联网产业标准体系建设指南》、《智能网联汽车道路测试管理规范（试行）》、组织支撑车联网</w:t>
      </w:r>
      <w:r>
        <w:rPr>
          <w:spacing w:val="-43"/>
        </w:rPr>
        <w:t> </w:t>
      </w:r>
      <w:r>
        <w:rPr>
          <w:spacing w:val="-43"/>
        </w:rPr>
      </w:r>
      <w:r>
        <w:rPr>
          <w:spacing w:val="-2"/>
        </w:rPr>
        <w:t>和智能化交通的新一代信息基础设施建设的通知、《车联网（智能网联汽车）产业发展行动计划》等系列</w:t>
      </w:r>
      <w:r>
        <w:rPr>
          <w:spacing w:val="-43"/>
        </w:rPr>
        <w:t> </w:t>
      </w:r>
      <w:r>
        <w:rPr>
          <w:spacing w:val="-43"/>
        </w:rPr>
      </w:r>
      <w:r>
        <w:rPr>
          <w:spacing w:val="-2"/>
        </w:rPr>
        <w:t>规范性文件密集落地，不断推进我国智能网联汽车相关进入快速发展阶段。在车联网、自动驾驶等智能网</w:t>
      </w:r>
      <w:r>
        <w:rPr>
          <w:spacing w:val="-44"/>
        </w:rPr>
        <w:t> </w:t>
      </w:r>
      <w:r>
        <w:rPr>
          <w:spacing w:val="-44"/>
        </w:rPr>
      </w:r>
      <w:r>
        <w:rPr>
          <w:spacing w:val="-2"/>
        </w:rPr>
        <w:t>联汽车相关的汽车科技领域，互联网高科技企业不断加大投入力度，加速推进战略布局和卡位，在车联网</w:t>
      </w:r>
      <w:r>
        <w:rPr>
          <w:spacing w:val="-43"/>
        </w:rPr>
        <w:t> </w:t>
      </w:r>
      <w:r>
        <w:rPr>
          <w:spacing w:val="-43"/>
        </w:rPr>
      </w:r>
      <w:r>
        <w:rPr/>
        <w:t>领域，阿里、百度、腾讯等将车载</w:t>
      </w:r>
      <w:r>
        <w:rPr>
          <w:spacing w:val="-55"/>
        </w:rPr>
        <w:t> </w:t>
      </w:r>
      <w:r>
        <w:rPr>
          <w:rFonts w:ascii="宋体" w:hAnsi="宋体" w:cs="宋体" w:eastAsia="宋体" w:hint="default"/>
        </w:rPr>
        <w:t>OS</w:t>
      </w:r>
      <w:r>
        <w:rPr>
          <w:rFonts w:ascii="宋体" w:hAnsi="宋体" w:cs="宋体" w:eastAsia="宋体" w:hint="default"/>
          <w:spacing w:val="-56"/>
        </w:rPr>
        <w:t> </w:t>
      </w:r>
      <w:r>
        <w:rPr/>
        <w:t>作为车联网布局演进的焦点，与车厂成立合资公司，并面向产业链</w:t>
      </w:r>
      <w:r>
        <w:rPr>
          <w:w w:val="100"/>
        </w:rPr>
        <w:t> </w:t>
      </w:r>
      <w:r>
        <w:rPr>
          <w:spacing w:val="-2"/>
        </w:rPr>
        <w:t>上下游积极寻求有技术积累并且具有应用落地和市场开拓能力的团队进行合作，抢占赛道。阿里因在操作</w:t>
      </w:r>
      <w:r>
        <w:rPr>
          <w:spacing w:val="-44"/>
        </w:rPr>
        <w:t> </w:t>
      </w:r>
      <w:r>
        <w:rPr>
          <w:spacing w:val="-44"/>
        </w:rPr>
      </w:r>
      <w:r>
        <w:rPr>
          <w:spacing w:val="-2"/>
        </w:rPr>
        <w:t>系统领域布局较早，生态体系整体竞争能力暂时领先。在自动驾驶领域，阿里、百度、滴滴、华为、京东</w:t>
      </w:r>
    </w:p>
    <w:p>
      <w:pPr>
        <w:spacing w:after="0" w:line="408" w:lineRule="auto"/>
        <w:jc w:val="left"/>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pStyle w:val="Heading5"/>
        <w:spacing w:line="408" w:lineRule="auto" w:before="176"/>
        <w:ind w:right="1133" w:firstLine="0"/>
        <w:jc w:val="left"/>
        <w:rPr>
          <w:rFonts w:ascii="宋体" w:hAnsi="宋体" w:cs="宋体" w:eastAsia="宋体" w:hint="default"/>
        </w:rPr>
      </w:pPr>
      <w:r>
        <w:rPr/>
        <w:t>等面向</w:t>
      </w:r>
      <w:r>
        <w:rPr>
          <w:spacing w:val="-54"/>
        </w:rPr>
        <w:t> </w:t>
      </w:r>
      <w:r>
        <w:rPr>
          <w:rFonts w:ascii="宋体" w:hAnsi="宋体" w:cs="宋体" w:eastAsia="宋体" w:hint="default"/>
        </w:rPr>
        <w:t>L4</w:t>
      </w:r>
      <w:r>
        <w:rPr>
          <w:rFonts w:ascii="宋体" w:hAnsi="宋体" w:cs="宋体" w:eastAsia="宋体" w:hint="default"/>
          <w:spacing w:val="-57"/>
        </w:rPr>
        <w:t> </w:t>
      </w:r>
      <w:r>
        <w:rPr/>
        <w:t>级自动驾驶汽车技术路线，通过投资并购、搭建开放平台、联合开发等多种方式，在高精度地</w:t>
      </w:r>
      <w:r>
        <w:rPr>
          <w:w w:val="100"/>
        </w:rPr>
        <w:t> </w:t>
      </w:r>
      <w:r>
        <w:rPr>
          <w:spacing w:val="-2"/>
        </w:rPr>
        <w:t>图、高精度定位、计算平台等领域加大与产业链上下游的协同合作力度，不断拓展生态资源建设。腾讯主</w:t>
      </w:r>
      <w:r>
        <w:rPr>
          <w:spacing w:val="-47"/>
        </w:rPr>
        <w:t> </w:t>
      </w:r>
      <w:r>
        <w:rPr>
          <w:spacing w:val="-47"/>
        </w:rPr>
      </w:r>
      <w:r>
        <w:rPr/>
        <w:t>推</w:t>
      </w:r>
      <w:r>
        <w:rPr>
          <w:spacing w:val="-55"/>
        </w:rPr>
        <w:t> </w:t>
      </w:r>
      <w:r>
        <w:rPr>
          <w:rFonts w:ascii="宋体" w:hAnsi="宋体" w:cs="宋体" w:eastAsia="宋体" w:hint="default"/>
        </w:rPr>
        <w:t>L2~l4</w:t>
      </w:r>
      <w:r>
        <w:rPr>
          <w:rFonts w:ascii="宋体" w:hAnsi="宋体" w:cs="宋体" w:eastAsia="宋体" w:hint="default"/>
          <w:spacing w:val="-56"/>
        </w:rPr>
        <w:t> </w:t>
      </w:r>
      <w:r>
        <w:rPr/>
        <w:t>级渐进式发展路线。汽车科技领域市场竞争日益激烈。</w:t>
      </w:r>
      <w:r>
        <w:rPr>
          <w:rFonts w:ascii="宋体" w:hAnsi="宋体" w:cs="宋体" w:eastAsia="宋体" w:hint="default"/>
        </w:rPr>
        <w:t> </w:t>
      </w:r>
    </w:p>
    <w:p>
      <w:pPr>
        <w:spacing w:line="240" w:lineRule="auto" w:before="9"/>
        <w:rPr>
          <w:rFonts w:ascii="宋体" w:hAnsi="宋体" w:cs="宋体" w:eastAsia="宋体" w:hint="default"/>
          <w:sz w:val="8"/>
          <w:szCs w:val="8"/>
        </w:rPr>
      </w:pPr>
    </w:p>
    <w:p>
      <w:pPr>
        <w:spacing w:line="5012" w:lineRule="exact"/>
        <w:ind w:left="574" w:right="0" w:firstLine="0"/>
        <w:rPr>
          <w:rFonts w:ascii="宋体" w:hAnsi="宋体" w:cs="宋体" w:eastAsia="宋体" w:hint="default"/>
          <w:sz w:val="20"/>
          <w:szCs w:val="20"/>
        </w:rPr>
      </w:pPr>
      <w:r>
        <w:rPr>
          <w:rFonts w:ascii="宋体" w:hAnsi="宋体" w:cs="宋体" w:eastAsia="宋体" w:hint="default"/>
          <w:position w:val="-99"/>
          <w:sz w:val="20"/>
          <w:szCs w:val="20"/>
        </w:rPr>
        <w:drawing>
          <wp:inline distT="0" distB="0" distL="0" distR="0">
            <wp:extent cx="5832931" cy="3182969"/>
            <wp:effectExtent l="0" t="0" r="0" b="0"/>
            <wp:docPr id="27" name="image15.jpeg" descr=""/>
            <wp:cNvGraphicFramePr>
              <a:graphicFrameLocks noChangeAspect="1"/>
            </wp:cNvGraphicFramePr>
            <a:graphic>
              <a:graphicData uri="http://schemas.openxmlformats.org/drawingml/2006/picture">
                <pic:pic>
                  <pic:nvPicPr>
                    <pic:cNvPr id="28" name="image15.jpeg"/>
                    <pic:cNvPicPr/>
                  </pic:nvPicPr>
                  <pic:blipFill>
                    <a:blip r:embed="rId26" cstate="print"/>
                    <a:stretch>
                      <a:fillRect/>
                    </a:stretch>
                  </pic:blipFill>
                  <pic:spPr>
                    <a:xfrm>
                      <a:off x="0" y="0"/>
                      <a:ext cx="5832931" cy="3182969"/>
                    </a:xfrm>
                    <a:prstGeom prst="rect">
                      <a:avLst/>
                    </a:prstGeom>
                  </pic:spPr>
                </pic:pic>
              </a:graphicData>
            </a:graphic>
          </wp:inline>
        </w:drawing>
      </w:r>
      <w:r>
        <w:rPr>
          <w:rFonts w:ascii="宋体" w:hAnsi="宋体" w:cs="宋体" w:eastAsia="宋体" w:hint="default"/>
          <w:position w:val="-99"/>
          <w:sz w:val="20"/>
          <w:szCs w:val="20"/>
        </w:rPr>
      </w:r>
    </w:p>
    <w:p>
      <w:pPr>
        <w:spacing w:line="240" w:lineRule="auto" w:before="3"/>
        <w:rPr>
          <w:rFonts w:ascii="宋体" w:hAnsi="宋体" w:cs="宋体" w:eastAsia="宋体" w:hint="default"/>
          <w:sz w:val="17"/>
          <w:szCs w:val="17"/>
        </w:rPr>
      </w:pPr>
    </w:p>
    <w:p>
      <w:pPr>
        <w:pStyle w:val="Heading4"/>
        <w:spacing w:line="240" w:lineRule="auto"/>
        <w:ind w:left="579" w:right="1029"/>
        <w:jc w:val="center"/>
        <w:rPr>
          <w:rFonts w:ascii="宋体" w:hAnsi="宋体" w:cs="宋体" w:eastAsia="宋体" w:hint="default"/>
          <w:b w:val="0"/>
          <w:bCs w:val="0"/>
        </w:rPr>
      </w:pPr>
      <w:r>
        <w:rPr>
          <w:rFonts w:ascii="宋体" w:hAnsi="宋体" w:cs="宋体" w:eastAsia="宋体" w:hint="default"/>
        </w:rPr>
        <w:t>BAT</w:t>
      </w:r>
      <w:r>
        <w:rPr>
          <w:rFonts w:ascii="宋体" w:hAnsi="宋体" w:cs="宋体" w:eastAsia="宋体" w:hint="default"/>
          <w:spacing w:val="-55"/>
        </w:rPr>
        <w:t> </w:t>
      </w:r>
      <w:r>
        <w:rPr/>
        <w:t>将车载</w:t>
      </w:r>
      <w:r>
        <w:rPr>
          <w:spacing w:val="-55"/>
        </w:rPr>
        <w:t> </w:t>
      </w:r>
      <w:r>
        <w:rPr>
          <w:rFonts w:ascii="宋体" w:hAnsi="宋体" w:cs="宋体" w:eastAsia="宋体" w:hint="default"/>
        </w:rPr>
        <w:t>OS</w:t>
      </w:r>
      <w:r>
        <w:rPr>
          <w:rFonts w:ascii="宋体" w:hAnsi="宋体" w:cs="宋体" w:eastAsia="宋体" w:hint="default"/>
          <w:spacing w:val="-55"/>
        </w:rPr>
        <w:t> </w:t>
      </w:r>
      <w:r>
        <w:rPr/>
        <w:t>作为车联网布局演进的焦点</w:t>
      </w:r>
      <w:r>
        <w:rPr>
          <w:rFonts w:ascii="宋体" w:hAnsi="宋体" w:cs="宋体" w:eastAsia="宋体" w:hint="default"/>
          <w:w w:val="99"/>
        </w:rPr>
        <w:t> </w:t>
      </w:r>
      <w:r>
        <w:rPr>
          <w:rFonts w:ascii="宋体" w:hAnsi="宋体" w:cs="宋体" w:eastAsia="宋体" w:hint="default"/>
          <w:b w:val="0"/>
          <w:bCs w:val="0"/>
        </w:rPr>
      </w:r>
    </w:p>
    <w:p>
      <w:pPr>
        <w:spacing w:line="240" w:lineRule="auto" w:before="7"/>
        <w:rPr>
          <w:rFonts w:ascii="宋体" w:hAnsi="宋体" w:cs="宋体" w:eastAsia="宋体" w:hint="default"/>
          <w:b/>
          <w:bCs/>
          <w:sz w:val="16"/>
          <w:szCs w:val="16"/>
        </w:rPr>
      </w:pPr>
    </w:p>
    <w:p>
      <w:pPr>
        <w:pStyle w:val="BodyText"/>
        <w:spacing w:line="240" w:lineRule="auto"/>
        <w:ind w:left="573" w:right="982"/>
        <w:jc w:val="left"/>
        <w:rPr>
          <w:rFonts w:ascii="宋体" w:hAnsi="宋体" w:cs="宋体" w:eastAsia="宋体" w:hint="default"/>
        </w:rPr>
      </w:pPr>
      <w:r>
        <w:rPr/>
        <w:t>资料来源：申万宏源</w:t>
      </w:r>
      <w:r>
        <w:rPr>
          <w:rFonts w:ascii="宋体" w:hAnsi="宋体" w:cs="宋体" w:eastAsia="宋体" w:hint="default"/>
        </w:rPr>
        <w:t> </w:t>
      </w:r>
    </w:p>
    <w:p>
      <w:pPr>
        <w:spacing w:line="240" w:lineRule="auto" w:before="0"/>
        <w:rPr>
          <w:rFonts w:ascii="宋体" w:hAnsi="宋体" w:cs="宋体" w:eastAsia="宋体" w:hint="default"/>
          <w:sz w:val="16"/>
          <w:szCs w:val="16"/>
        </w:rPr>
      </w:pPr>
    </w:p>
    <w:p>
      <w:pPr>
        <w:pStyle w:val="Heading5"/>
        <w:spacing w:line="240" w:lineRule="auto" w:before="0"/>
        <w:ind w:left="573" w:right="982" w:firstLine="0"/>
        <w:jc w:val="left"/>
      </w:pPr>
      <w:r>
        <w:rPr/>
        <w:t>互联网高科技企业计划跨界向产业互联网领域开拓新的市场发展空间，政企服务市场格局面临挑战。</w:t>
      </w:r>
    </w:p>
    <w:p>
      <w:pPr>
        <w:spacing w:line="240" w:lineRule="auto" w:before="10"/>
        <w:rPr>
          <w:rFonts w:ascii="宋体" w:hAnsi="宋体" w:cs="宋体" w:eastAsia="宋体" w:hint="default"/>
          <w:sz w:val="14"/>
          <w:szCs w:val="14"/>
        </w:rPr>
      </w:pPr>
    </w:p>
    <w:p>
      <w:pPr>
        <w:pStyle w:val="Heading5"/>
        <w:spacing w:line="408" w:lineRule="auto" w:before="0"/>
        <w:ind w:right="1126" w:firstLine="0"/>
        <w:jc w:val="both"/>
        <w:rPr>
          <w:rFonts w:ascii="宋体" w:hAnsi="宋体" w:cs="宋体" w:eastAsia="宋体" w:hint="default"/>
        </w:rPr>
      </w:pPr>
      <w:r>
        <w:rPr>
          <w:spacing w:val="-2"/>
        </w:rPr>
        <w:t>《国家信息化发展战略纲要》、《“十三五”国家信息化规划》将“数字中国”作为我国开启信息化发展</w:t>
      </w:r>
      <w:r>
        <w:rPr>
          <w:spacing w:val="-45"/>
        </w:rPr>
        <w:t> </w:t>
      </w:r>
      <w:r>
        <w:rPr>
          <w:spacing w:val="-45"/>
        </w:rPr>
      </w:r>
      <w:r>
        <w:rPr>
          <w:spacing w:val="-5"/>
        </w:rPr>
        <w:t>的新征程，涵盖经济、政治、文化、社会、生态等各领域信息化建设，包括“宽带中国”、“互联网</w:t>
      </w:r>
      <w:r>
        <w:rPr>
          <w:rFonts w:ascii="宋体" w:hAnsi="宋体" w:cs="宋体" w:eastAsia="宋体" w:hint="default"/>
          <w:spacing w:val="-5"/>
        </w:rPr>
        <w:t>+</w:t>
      </w:r>
      <w:r>
        <w:rPr>
          <w:spacing w:val="-5"/>
        </w:rPr>
        <w:t>”、</w:t>
      </w:r>
      <w:r>
        <w:rPr>
          <w:spacing w:val="-22"/>
        </w:rPr>
        <w:t> </w:t>
      </w:r>
      <w:r>
        <w:rPr>
          <w:spacing w:val="-2"/>
        </w:rPr>
        <w:t>大数据、云计算、人工智能、数字经济、电子政务、新型智慧城市、数字乡村等内容。面对国家经济向高</w:t>
      </w:r>
      <w:r>
        <w:rPr>
          <w:spacing w:val="-48"/>
        </w:rPr>
        <w:t> </w:t>
      </w:r>
      <w:r>
        <w:rPr>
          <w:spacing w:val="-48"/>
        </w:rPr>
      </w:r>
      <w:r>
        <w:rPr>
          <w:spacing w:val="-2"/>
        </w:rPr>
        <w:t>质量发展转型的契机，我国信息基础设施相关领域近年发展迅速，互联网高科技企业积极推动以企业为主</w:t>
      </w:r>
      <w:r>
        <w:rPr>
          <w:spacing w:val="-43"/>
        </w:rPr>
        <w:t> </w:t>
      </w:r>
      <w:r>
        <w:rPr>
          <w:spacing w:val="-43"/>
        </w:rPr>
      </w:r>
      <w:r>
        <w:rPr>
          <w:spacing w:val="-2"/>
        </w:rPr>
        <w:t>要用户、以生产经营活动为关键内容、以提升效率和优化配置为核心主题的互联网应用和创新，凭借在消</w:t>
      </w:r>
      <w:r>
        <w:rPr>
          <w:spacing w:val="-42"/>
        </w:rPr>
        <w:t> </w:t>
      </w:r>
      <w:r>
        <w:rPr>
          <w:spacing w:val="-42"/>
        </w:rPr>
      </w:r>
      <w:r>
        <w:rPr>
          <w:spacing w:val="-2"/>
        </w:rPr>
        <w:t>费互联网领域多年积累的用户资源和技术优势，推动人工智能、云计算、大数据等互联网技术和工具向传</w:t>
      </w:r>
      <w:r>
        <w:rPr>
          <w:spacing w:val="-44"/>
        </w:rPr>
        <w:t> </w:t>
      </w:r>
      <w:r>
        <w:rPr>
          <w:spacing w:val="-44"/>
        </w:rPr>
      </w:r>
      <w:r>
        <w:rPr/>
        <w:t>统产业的快速拓展和融合，已经在政府、旅游、教育等领取得了进展，并计划向更多领域拓展。</w:t>
      </w:r>
      <w:r>
        <w:rPr>
          <w:rFonts w:ascii="宋体" w:hAnsi="宋体" w:cs="宋体" w:eastAsia="宋体" w:hint="default"/>
        </w:rPr>
        <w:t> </w:t>
      </w:r>
    </w:p>
    <w:p>
      <w:pPr>
        <w:spacing w:line="408" w:lineRule="auto" w:before="87"/>
        <w:ind w:left="573" w:right="982" w:firstLine="2"/>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）公司已经或计划采取的应对措施</w:t>
      </w:r>
      <w:r>
        <w:rPr>
          <w:rFonts w:ascii="宋体" w:hAnsi="宋体" w:cs="宋体" w:eastAsia="宋体" w:hint="default"/>
          <w:w w:val="100"/>
          <w:sz w:val="21"/>
          <w:szCs w:val="21"/>
        </w:rPr>
        <w:t> </w:t>
      </w:r>
      <w:r>
        <w:rPr>
          <w:rFonts w:ascii="宋体" w:hAnsi="宋体" w:cs="宋体" w:eastAsia="宋体" w:hint="default"/>
          <w:spacing w:val="-2"/>
          <w:sz w:val="21"/>
          <w:szCs w:val="21"/>
        </w:rPr>
        <w:t>面对手机地图等传统互联网位置服务应用市场，公司进一步加强与已有互联网客户的合作关系，并面</w:t>
      </w:r>
    </w:p>
    <w:p>
      <w:pPr>
        <w:pStyle w:val="Heading5"/>
        <w:spacing w:line="408" w:lineRule="auto"/>
        <w:ind w:right="1126" w:firstLine="0"/>
        <w:jc w:val="both"/>
      </w:pPr>
      <w:r>
        <w:rPr>
          <w:spacing w:val="-2"/>
        </w:rPr>
        <w:t>向新型互联网位置服务应用领域进行全面拓展。面对消费互联网领域对位置数据服务日益复杂的快速响应</w:t>
      </w:r>
      <w:r>
        <w:rPr>
          <w:spacing w:val="-43"/>
        </w:rPr>
        <w:t> </w:t>
      </w:r>
      <w:r>
        <w:rPr>
          <w:spacing w:val="-43"/>
        </w:rPr>
      </w:r>
      <w:r>
        <w:rPr>
          <w:spacing w:val="-2"/>
        </w:rPr>
        <w:t>和动态调用需求，公司不断拓展众包、第三方等数据源，与滴滴等互联网企业建立深度数据合作关系，不</w:t>
      </w:r>
      <w:r>
        <w:rPr>
          <w:spacing w:val="-47"/>
        </w:rPr>
        <w:t> </w:t>
      </w:r>
      <w:r>
        <w:rPr>
          <w:spacing w:val="-47"/>
        </w:rPr>
      </w:r>
      <w:r>
        <w:rPr>
          <w:spacing w:val="-2"/>
        </w:rPr>
        <w:t>断优化地理位置信息自动化采编出的工艺流程体系，持续提升数据鲜度、丰富度和精度。面对互联网物流</w:t>
      </w:r>
    </w:p>
    <w:p>
      <w:pPr>
        <w:spacing w:after="0" w:line="408" w:lineRule="auto"/>
        <w:jc w:val="both"/>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pStyle w:val="Heading5"/>
        <w:spacing w:line="408" w:lineRule="auto" w:before="176"/>
        <w:ind w:right="1126" w:firstLine="0"/>
        <w:jc w:val="both"/>
        <w:rPr>
          <w:rFonts w:ascii="宋体" w:hAnsi="宋体" w:cs="宋体" w:eastAsia="宋体" w:hint="default"/>
        </w:rPr>
      </w:pPr>
      <w:r>
        <w:rPr>
          <w:spacing w:val="-2"/>
        </w:rPr>
        <w:t>行业快速发展对位置数据等基础设施层面日益增长的需求，公司基于位置大数据能力和人工智能技术，在</w:t>
      </w:r>
      <w:r>
        <w:rPr>
          <w:spacing w:val="-44"/>
        </w:rPr>
        <w:t> </w:t>
      </w:r>
      <w:r>
        <w:rPr>
          <w:spacing w:val="-44"/>
        </w:rPr>
      </w:r>
      <w:r>
        <w:rPr>
          <w:spacing w:val="-2"/>
        </w:rPr>
        <w:t>不断提升位置数据服务能力的同时，与互联网高科技企业共同提升物流车辆调度、车队监控等方面的智能</w:t>
      </w:r>
      <w:r>
        <w:rPr>
          <w:spacing w:val="-42"/>
        </w:rPr>
        <w:t> </w:t>
      </w:r>
      <w:r>
        <w:rPr>
          <w:spacing w:val="-42"/>
        </w:rPr>
      </w:r>
      <w:r>
        <w:rPr/>
        <w:t>化运营和管理能力。</w:t>
      </w:r>
      <w:r>
        <w:rPr>
          <w:rFonts w:ascii="宋体" w:hAnsi="宋体" w:cs="宋体" w:eastAsia="宋体" w:hint="default"/>
        </w:rPr>
        <w:t> </w:t>
      </w:r>
    </w:p>
    <w:p>
      <w:pPr>
        <w:pStyle w:val="Heading5"/>
        <w:spacing w:line="408" w:lineRule="auto"/>
        <w:ind w:right="1126"/>
        <w:jc w:val="both"/>
        <w:rPr>
          <w:rFonts w:ascii="宋体" w:hAnsi="宋体" w:cs="宋体" w:eastAsia="宋体" w:hint="default"/>
        </w:rPr>
      </w:pPr>
      <w:r>
        <w:rPr>
          <w:spacing w:val="-2"/>
        </w:rPr>
        <w:t>面对汽车科技领域日益激烈的竞争，公司进一步加强与车厂客户的合作关系和产业联系，共同推进新</w:t>
      </w:r>
      <w:r>
        <w:rPr>
          <w:w w:val="100"/>
        </w:rPr>
        <w:t> </w:t>
      </w:r>
      <w:r>
        <w:rPr>
          <w:spacing w:val="-2"/>
        </w:rPr>
        <w:t>产品和服务的联合开发和商业化验证。同时，公司持续加大内部资源整合力度和研发投入力度，积极打造</w:t>
      </w:r>
      <w:r>
        <w:rPr>
          <w:spacing w:val="-43"/>
        </w:rPr>
        <w:t> </w:t>
      </w:r>
      <w:r>
        <w:rPr>
          <w:spacing w:val="-43"/>
        </w:rPr>
      </w:r>
      <w:r>
        <w:rPr>
          <w:spacing w:val="-2"/>
        </w:rPr>
        <w:t>具有市场竞争优势的前沿技术攻关能力和产业协作能力，并与互联网科技企业建立广泛的产业联系。报告</w:t>
      </w:r>
      <w:r>
        <w:rPr>
          <w:spacing w:val="-42"/>
        </w:rPr>
        <w:t> </w:t>
      </w:r>
      <w:r>
        <w:rPr>
          <w:spacing w:val="-42"/>
        </w:rPr>
      </w:r>
      <w:r>
        <w:rPr>
          <w:spacing w:val="-7"/>
        </w:rPr>
        <w:t>期内，公司通过将导航、车联网平台、轻车联网等业务从上市公司拆分并独立融资等方式，与腾讯、蔚来、</w:t>
      </w:r>
      <w:r>
        <w:rPr>
          <w:spacing w:val="-23"/>
        </w:rPr>
        <w:t> </w:t>
      </w:r>
      <w:r>
        <w:rPr>
          <w:spacing w:val="-23"/>
        </w:rPr>
      </w:r>
      <w:r>
        <w:rPr>
          <w:spacing w:val="-2"/>
        </w:rPr>
        <w:t>滴滴等互联网高科技企业建立深度的产业合作联系。公司通过梳理内部资源和产品服务体系，对标具有先</w:t>
      </w:r>
      <w:r>
        <w:rPr>
          <w:spacing w:val="-44"/>
        </w:rPr>
        <w:t> </w:t>
      </w:r>
      <w:r>
        <w:rPr>
          <w:spacing w:val="-44"/>
        </w:rPr>
      </w:r>
      <w:r>
        <w:rPr>
          <w:spacing w:val="-2"/>
        </w:rPr>
        <w:t>发优势的企业，不断提升可面向不同客户需求的车联网综合服务和运营能力，提升公司产品和服务在单车</w:t>
      </w:r>
      <w:r>
        <w:rPr>
          <w:spacing w:val="-42"/>
        </w:rPr>
        <w:t> </w:t>
      </w:r>
      <w:r>
        <w:rPr>
          <w:spacing w:val="-42"/>
        </w:rPr>
      </w:r>
      <w:r>
        <w:rPr>
          <w:spacing w:val="-2"/>
        </w:rPr>
        <w:t>的价值比例，并获得客户认可。在自动驾驶领域，公司基于“数字地图</w:t>
      </w:r>
      <w:r>
        <w:rPr>
          <w:rFonts w:ascii="宋体" w:hAnsi="宋体" w:cs="宋体" w:eastAsia="宋体" w:hint="default"/>
          <w:spacing w:val="-2"/>
        </w:rPr>
        <w:t>+</w:t>
      </w:r>
      <w:r>
        <w:rPr>
          <w:spacing w:val="-2"/>
        </w:rPr>
        <w:t>车联网</w:t>
      </w:r>
      <w:r>
        <w:rPr>
          <w:rFonts w:ascii="宋体" w:hAnsi="宋体" w:cs="宋体" w:eastAsia="宋体" w:hint="default"/>
          <w:spacing w:val="-2"/>
        </w:rPr>
        <w:t>+</w:t>
      </w:r>
      <w:r>
        <w:rPr>
          <w:spacing w:val="-2"/>
        </w:rPr>
        <w:t>自动驾驶</w:t>
      </w:r>
      <w:r>
        <w:rPr>
          <w:rFonts w:ascii="宋体" w:hAnsi="宋体" w:cs="宋体" w:eastAsia="宋体" w:hint="default"/>
          <w:spacing w:val="-2"/>
        </w:rPr>
        <w:t>+</w:t>
      </w:r>
      <w:r>
        <w:rPr>
          <w:spacing w:val="-2"/>
        </w:rPr>
        <w:t>大数据</w:t>
      </w:r>
      <w:r>
        <w:rPr>
          <w:rFonts w:ascii="宋体" w:hAnsi="宋体" w:cs="宋体" w:eastAsia="宋体" w:hint="default"/>
          <w:spacing w:val="-2"/>
        </w:rPr>
        <w:t>+</w:t>
      </w:r>
      <w:r>
        <w:rPr>
          <w:spacing w:val="-2"/>
        </w:rPr>
        <w:t>芯片”</w:t>
      </w:r>
      <w:r>
        <w:rPr>
          <w:spacing w:val="-45"/>
        </w:rPr>
        <w:t> </w:t>
      </w:r>
      <w:r>
        <w:rPr>
          <w:spacing w:val="-45"/>
        </w:rPr>
      </w:r>
      <w:r>
        <w:rPr/>
        <w:t>五位一体的技术领先优势，积极协同产业链上下游，共同推进自动驾驶技术和服务商业化验证。</w:t>
      </w:r>
      <w:r>
        <w:rPr>
          <w:rFonts w:ascii="宋体" w:hAnsi="宋体" w:cs="宋体" w:eastAsia="宋体" w:hint="default"/>
        </w:rPr>
        <w:t> </w:t>
      </w:r>
    </w:p>
    <w:p>
      <w:pPr>
        <w:pStyle w:val="Heading5"/>
        <w:spacing w:line="408" w:lineRule="auto"/>
        <w:ind w:right="1126"/>
        <w:jc w:val="both"/>
        <w:rPr>
          <w:rFonts w:ascii="宋体" w:hAnsi="宋体" w:cs="宋体" w:eastAsia="宋体" w:hint="default"/>
        </w:rPr>
      </w:pPr>
      <w:r>
        <w:rPr>
          <w:spacing w:val="-2"/>
        </w:rPr>
        <w:t>面对互联网高科技企业对产业互联网领域竞争格局可能造成的冲击，一方面，公司与高科技互联网企</w:t>
      </w:r>
      <w:r>
        <w:rPr>
          <w:w w:val="100"/>
        </w:rPr>
        <w:t> </w:t>
      </w:r>
      <w:r>
        <w:rPr>
          <w:spacing w:val="-2"/>
        </w:rPr>
        <w:t>业建立全面的合作关系，凭借在电子地图领域连续十多年积累的定制化数据生产和服务能力，持续提升精</w:t>
      </w:r>
      <w:r>
        <w:rPr>
          <w:spacing w:val="-43"/>
        </w:rPr>
        <w:t> </w:t>
      </w:r>
      <w:r>
        <w:rPr>
          <w:spacing w:val="-43"/>
        </w:rPr>
      </w:r>
      <w:r>
        <w:rPr>
          <w:spacing w:val="-2"/>
        </w:rPr>
        <w:t>细化地图、高精鲜地图等产品和服务能力，帮助互联网企业共同面向产业客户的互联网化发展需求，并在</w:t>
      </w:r>
      <w:r>
        <w:rPr>
          <w:spacing w:val="-44"/>
        </w:rPr>
        <w:t> </w:t>
      </w:r>
      <w:r>
        <w:rPr>
          <w:spacing w:val="-44"/>
        </w:rPr>
      </w:r>
      <w:r>
        <w:rPr>
          <w:spacing w:val="-2"/>
        </w:rPr>
        <w:t>智慧景区、智慧园区等领域取得突破。公司加大内部资源整合力度，借助大数据、云计算等新一代信息技</w:t>
      </w:r>
      <w:r>
        <w:rPr>
          <w:spacing w:val="-50"/>
        </w:rPr>
        <w:t> </w:t>
      </w:r>
      <w:r>
        <w:rPr>
          <w:spacing w:val="-50"/>
        </w:rPr>
      </w:r>
      <w:r>
        <w:rPr>
          <w:spacing w:val="-2"/>
        </w:rPr>
        <w:t>术，加大位置大数据云平台底层能力和企业云平台中台服务建设，致力于打造可支撑不同调用需求的位置</w:t>
      </w:r>
      <w:r>
        <w:rPr>
          <w:spacing w:val="-43"/>
        </w:rPr>
        <w:t> </w:t>
      </w:r>
      <w:r>
        <w:rPr>
          <w:spacing w:val="-43"/>
        </w:rPr>
      </w:r>
      <w:r>
        <w:rPr>
          <w:spacing w:val="-2"/>
        </w:rPr>
        <w:t>大数据通用服务能力。另一方面，面对互联网企业对政企服务及行业应用市场竞争格局造成的冲击，公司</w:t>
      </w:r>
      <w:r>
        <w:rPr>
          <w:spacing w:val="-43"/>
        </w:rPr>
        <w:t> </w:t>
      </w:r>
      <w:r>
        <w:rPr>
          <w:spacing w:val="-43"/>
        </w:rPr>
      </w:r>
      <w:r>
        <w:rPr/>
        <w:t>积极推进位置大数据平台</w:t>
      </w:r>
      <w:r>
        <w:rPr>
          <w:spacing w:val="-36"/>
        </w:rPr>
        <w:t> </w:t>
      </w:r>
      <w:r>
        <w:rPr>
          <w:rFonts w:ascii="宋体" w:hAnsi="宋体" w:cs="宋体" w:eastAsia="宋体" w:hint="default"/>
        </w:rPr>
        <w:t>MineData</w:t>
      </w:r>
      <w:r>
        <w:rPr>
          <w:rFonts w:ascii="宋体" w:hAnsi="宋体" w:cs="宋体" w:eastAsia="宋体" w:hint="default"/>
          <w:spacing w:val="-36"/>
        </w:rPr>
        <w:t> </w:t>
      </w:r>
      <w:r>
        <w:rPr>
          <w:spacing w:val="-6"/>
        </w:rPr>
        <w:t>的产品和服务迭代演进，并聚焦公安、交警、交通、规划等重点领域，</w:t>
      </w:r>
      <w:r>
        <w:rPr>
          <w:spacing w:val="-95"/>
        </w:rPr>
        <w:t> </w:t>
      </w:r>
      <w:r>
        <w:rPr>
          <w:spacing w:val="-95"/>
        </w:rPr>
      </w:r>
      <w:r>
        <w:rPr/>
        <w:t>打造客户集群服务优势和行业生态。</w:t>
      </w:r>
      <w:r>
        <w:rPr>
          <w:rFonts w:ascii="宋体" w:hAnsi="宋体" w:cs="宋体" w:eastAsia="宋体" w:hint="default"/>
        </w:rPr>
        <w:t> </w:t>
      </w:r>
    </w:p>
    <w:p>
      <w:pPr>
        <w:pStyle w:val="Heading4"/>
        <w:spacing w:line="240" w:lineRule="auto" w:before="46"/>
        <w:ind w:left="575" w:right="982"/>
        <w:jc w:val="left"/>
        <w:rPr>
          <w:rFonts w:ascii="宋体" w:hAnsi="宋体" w:cs="宋体" w:eastAsia="宋体" w:hint="default"/>
          <w:b w:val="0"/>
          <w:bCs w:val="0"/>
        </w:rPr>
      </w:pPr>
      <w:r>
        <w:rPr>
          <w:rFonts w:ascii="宋体" w:hAnsi="宋体" w:cs="宋体" w:eastAsia="宋体" w:hint="default"/>
        </w:rPr>
        <w:t>3</w:t>
      </w:r>
      <w:r>
        <w:rPr/>
        <w:t>、政府及行业用户所处行业分析及公司的应对措施</w:t>
      </w:r>
      <w:r>
        <w:rPr>
          <w:rFonts w:ascii="宋体" w:hAnsi="宋体" w:cs="宋体" w:eastAsia="宋体" w:hint="default"/>
          <w:w w:val="99"/>
        </w:rPr>
        <w:t> </w:t>
      </w:r>
      <w:r>
        <w:rPr>
          <w:rFonts w:ascii="宋体" w:hAnsi="宋体" w:cs="宋体" w:eastAsia="宋体" w:hint="default"/>
          <w:b w:val="0"/>
          <w:bCs w:val="0"/>
        </w:rPr>
      </w:r>
    </w:p>
    <w:p>
      <w:pPr>
        <w:spacing w:line="240" w:lineRule="auto" w:before="10"/>
        <w:rPr>
          <w:rFonts w:ascii="宋体" w:hAnsi="宋体" w:cs="宋体" w:eastAsia="宋体" w:hint="default"/>
          <w:b/>
          <w:bCs/>
          <w:sz w:val="14"/>
          <w:szCs w:val="14"/>
        </w:rPr>
      </w:pPr>
    </w:p>
    <w:p>
      <w:pPr>
        <w:spacing w:line="408" w:lineRule="auto" w:before="0"/>
        <w:ind w:left="573" w:right="982" w:firstLine="2"/>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）政府及行业用户所处行业分析</w:t>
      </w:r>
      <w:r>
        <w:rPr>
          <w:rFonts w:ascii="宋体" w:hAnsi="宋体" w:cs="宋体" w:eastAsia="宋体" w:hint="default"/>
          <w:b/>
          <w:bCs/>
          <w:w w:val="99"/>
          <w:sz w:val="21"/>
          <w:szCs w:val="21"/>
        </w:rPr>
        <w:t> </w:t>
      </w:r>
      <w:r>
        <w:rPr>
          <w:rFonts w:ascii="宋体" w:hAnsi="宋体" w:cs="宋体" w:eastAsia="宋体" w:hint="default"/>
          <w:spacing w:val="-2"/>
          <w:sz w:val="21"/>
          <w:szCs w:val="21"/>
        </w:rPr>
        <w:t>国家加速推进产业互联网化发展进程，大数据、云计算等位置大数据平台所依赖的新一代信息技术发</w:t>
      </w:r>
    </w:p>
    <w:p>
      <w:pPr>
        <w:pStyle w:val="Heading5"/>
        <w:spacing w:line="408" w:lineRule="auto"/>
        <w:ind w:right="1126" w:firstLine="0"/>
        <w:jc w:val="both"/>
      </w:pPr>
      <w:r>
        <w:rPr/>
        <w:t>展迅速。自</w:t>
      </w:r>
      <w:r>
        <w:rPr>
          <w:spacing w:val="-65"/>
        </w:rPr>
        <w:t> </w:t>
      </w:r>
      <w:r>
        <w:rPr>
          <w:rFonts w:ascii="宋体" w:hAnsi="宋体" w:cs="宋体" w:eastAsia="宋体" w:hint="default"/>
        </w:rPr>
        <w:t>2015</w:t>
      </w:r>
      <w:r>
        <w:rPr>
          <w:rFonts w:ascii="宋体" w:hAnsi="宋体" w:cs="宋体" w:eastAsia="宋体" w:hint="default"/>
          <w:spacing w:val="-67"/>
        </w:rPr>
        <w:t> </w:t>
      </w:r>
      <w:r>
        <w:rPr/>
        <w:t>年国务院印发《关于积极推进“互联网</w:t>
      </w:r>
      <w:r>
        <w:rPr>
          <w:rFonts w:ascii="宋体" w:hAnsi="宋体" w:cs="宋体" w:eastAsia="宋体" w:hint="default"/>
        </w:rPr>
        <w:t>+</w:t>
      </w:r>
      <w:r>
        <w:rPr/>
        <w:t>”行动指导意见》，国家相关部委陆续出台数字</w:t>
      </w:r>
      <w:r>
        <w:rPr>
          <w:w w:val="100"/>
        </w:rPr>
        <w:t> </w:t>
      </w:r>
      <w:r>
        <w:rPr>
          <w:spacing w:val="-2"/>
        </w:rPr>
        <w:t>经济发展方面的政策性文件加速产业数字化转型，国家产业数字化发展规模持续增长。为了深入推进《大</w:t>
      </w:r>
      <w:r>
        <w:rPr>
          <w:spacing w:val="-43"/>
        </w:rPr>
        <w:t> </w:t>
      </w:r>
      <w:r>
        <w:rPr>
          <w:spacing w:val="-43"/>
        </w:rPr>
      </w:r>
      <w:r>
        <w:rPr>
          <w:spacing w:val="-3"/>
        </w:rPr>
        <w:t>数据产业发展规划（</w:t>
      </w:r>
      <w:r>
        <w:rPr>
          <w:rFonts w:ascii="宋体" w:hAnsi="宋体" w:cs="宋体" w:eastAsia="宋体" w:hint="default"/>
          <w:spacing w:val="-3"/>
        </w:rPr>
        <w:t>2016</w:t>
      </w:r>
      <w:r>
        <w:rPr>
          <w:spacing w:val="-3"/>
        </w:rPr>
        <w:t>－</w:t>
      </w:r>
      <w:r>
        <w:rPr>
          <w:rFonts w:ascii="宋体" w:hAnsi="宋体" w:cs="宋体" w:eastAsia="宋体" w:hint="default"/>
          <w:spacing w:val="-3"/>
        </w:rPr>
        <w:t>2020 </w:t>
      </w:r>
      <w:r>
        <w:rPr>
          <w:spacing w:val="-4"/>
        </w:rPr>
        <w:t>年）》落地实施，进一步打通产业互联网化发展过程中的数据联通不畅等</w:t>
      </w:r>
      <w:r>
        <w:rPr>
          <w:spacing w:val="-55"/>
        </w:rPr>
        <w:t> </w:t>
      </w:r>
      <w:r>
        <w:rPr>
          <w:spacing w:val="-55"/>
        </w:rPr>
      </w:r>
      <w:r>
        <w:rPr>
          <w:spacing w:val="-3"/>
        </w:rPr>
        <w:t>问题，截至</w:t>
      </w:r>
      <w:r>
        <w:rPr>
          <w:spacing w:val="-52"/>
        </w:rPr>
        <w:t> </w:t>
      </w:r>
      <w:r>
        <w:rPr>
          <w:rFonts w:ascii="宋体" w:hAnsi="宋体" w:cs="宋体" w:eastAsia="宋体" w:hint="default"/>
        </w:rPr>
        <w:t>2018</w:t>
      </w:r>
      <w:r>
        <w:rPr>
          <w:rFonts w:ascii="宋体" w:hAnsi="宋体" w:cs="宋体" w:eastAsia="宋体" w:hint="default"/>
          <w:spacing w:val="-53"/>
        </w:rPr>
        <w:t> </w:t>
      </w:r>
      <w:r>
        <w:rPr/>
        <w:t>年</w:t>
      </w:r>
      <w:r>
        <w:rPr>
          <w:spacing w:val="-55"/>
        </w:rPr>
        <w:t> </w:t>
      </w:r>
      <w:r>
        <w:rPr>
          <w:rFonts w:ascii="宋体" w:hAnsi="宋体" w:cs="宋体" w:eastAsia="宋体" w:hint="default"/>
        </w:rPr>
        <w:t>11</w:t>
      </w:r>
      <w:r>
        <w:rPr>
          <w:rFonts w:ascii="宋体" w:hAnsi="宋体" w:cs="宋体" w:eastAsia="宋体" w:hint="default"/>
          <w:spacing w:val="-53"/>
        </w:rPr>
        <w:t> </w:t>
      </w:r>
      <w:r>
        <w:rPr>
          <w:spacing w:val="-4"/>
        </w:rPr>
        <w:t>月，已有</w:t>
      </w:r>
      <w:r>
        <w:rPr>
          <w:spacing w:val="-52"/>
        </w:rPr>
        <w:t> </w:t>
      </w:r>
      <w:r>
        <w:rPr>
          <w:rFonts w:ascii="宋体" w:hAnsi="宋体" w:cs="宋体" w:eastAsia="宋体" w:hint="default"/>
        </w:rPr>
        <w:t>8</w:t>
      </w:r>
      <w:r>
        <w:rPr>
          <w:rFonts w:ascii="宋体" w:hAnsi="宋体" w:cs="宋体" w:eastAsia="宋体" w:hint="default"/>
          <w:spacing w:val="-55"/>
        </w:rPr>
        <w:t> </w:t>
      </w:r>
      <w:r>
        <w:rPr/>
        <w:t>个省份设立省市级大数据管理机构。国家积极引导软件企业向云计算加</w:t>
      </w:r>
      <w:r>
        <w:rPr>
          <w:w w:val="100"/>
        </w:rPr>
        <w:t> </w:t>
      </w:r>
      <w:r>
        <w:rPr>
          <w:spacing w:val="-3"/>
        </w:rPr>
        <w:t>速转型，推动云计算应用从互联网行业向政务、金融、汽车等传统领域中渗透。</w:t>
      </w:r>
      <w:r>
        <w:rPr>
          <w:rFonts w:ascii="宋体" w:hAnsi="宋体" w:cs="宋体" w:eastAsia="宋体" w:hint="default"/>
          <w:spacing w:val="-3"/>
        </w:rPr>
        <w:t>2018</w:t>
      </w:r>
      <w:r>
        <w:rPr>
          <w:rFonts w:ascii="宋体" w:hAnsi="宋体" w:cs="宋体" w:eastAsia="宋体" w:hint="default"/>
          <w:spacing w:val="-35"/>
        </w:rPr>
        <w:t> </w:t>
      </w:r>
      <w:r>
        <w:rPr/>
        <w:t>年</w:t>
      </w:r>
      <w:r>
        <w:rPr>
          <w:spacing w:val="-32"/>
        </w:rPr>
        <w:t> </w:t>
      </w:r>
      <w:r>
        <w:rPr>
          <w:rFonts w:ascii="宋体" w:hAnsi="宋体" w:cs="宋体" w:eastAsia="宋体" w:hint="default"/>
        </w:rPr>
        <w:t>8</w:t>
      </w:r>
      <w:r>
        <w:rPr>
          <w:rFonts w:ascii="宋体" w:hAnsi="宋体" w:cs="宋体" w:eastAsia="宋体" w:hint="default"/>
          <w:spacing w:val="-33"/>
        </w:rPr>
        <w:t> </w:t>
      </w:r>
      <w:r>
        <w:rPr>
          <w:spacing w:val="-4"/>
        </w:rPr>
        <w:t>月，工信部发布</w:t>
      </w:r>
    </w:p>
    <w:p>
      <w:pPr>
        <w:pStyle w:val="Heading5"/>
        <w:spacing w:line="408" w:lineRule="auto"/>
        <w:ind w:right="1128" w:firstLine="0"/>
        <w:jc w:val="both"/>
        <w:rPr>
          <w:rFonts w:ascii="宋体" w:hAnsi="宋体" w:cs="宋体" w:eastAsia="宋体" w:hint="default"/>
        </w:rPr>
      </w:pPr>
      <w:r>
        <w:rPr/>
        <w:t>《推动企业上云实施指南（</w:t>
      </w:r>
      <w:r>
        <w:rPr>
          <w:rFonts w:ascii="宋体" w:hAnsi="宋体" w:cs="宋体" w:eastAsia="宋体" w:hint="default"/>
        </w:rPr>
        <w:t>2018-2020</w:t>
      </w:r>
      <w:r>
        <w:rPr/>
        <w:t>）》强化以云计算平台服务和运营能力为基础，推进企业数字化、</w:t>
      </w:r>
      <w:r>
        <w:rPr>
          <w:spacing w:val="-27"/>
        </w:rPr>
        <w:t> </w:t>
      </w:r>
      <w:r>
        <w:rPr>
          <w:spacing w:val="-27"/>
        </w:rPr>
      </w:r>
      <w:r>
        <w:rPr>
          <w:spacing w:val="-4"/>
        </w:rPr>
        <w:t>网络化、智能化转型升级。伴随 </w:t>
      </w:r>
      <w:r>
        <w:rPr>
          <w:rFonts w:ascii="宋体" w:hAnsi="宋体" w:cs="宋体" w:eastAsia="宋体" w:hint="default"/>
          <w:spacing w:val="-3"/>
        </w:rPr>
        <w:t>5G</w:t>
      </w:r>
      <w:r>
        <w:rPr>
          <w:spacing w:val="-3"/>
        </w:rPr>
        <w:t>、人工智能、边缘计算等新一代互联网技术和工具快速发展，与云计算</w:t>
      </w:r>
      <w:r>
        <w:rPr>
          <w:spacing w:val="-85"/>
        </w:rPr>
        <w:t> </w:t>
      </w:r>
      <w:r>
        <w:rPr>
          <w:spacing w:val="-85"/>
        </w:rPr>
      </w:r>
      <w:r>
        <w:rPr/>
        <w:t>的协同也将极大提升对海量数据的及时处理能力、数据存储能力和深度学习能力。</w:t>
      </w:r>
      <w:r>
        <w:rPr>
          <w:rFonts w:ascii="宋体" w:hAnsi="宋体" w:cs="宋体" w:eastAsia="宋体" w:hint="default"/>
        </w:rPr>
        <w:t> </w:t>
      </w:r>
    </w:p>
    <w:p>
      <w:pPr>
        <w:spacing w:after="0" w:line="408" w:lineRule="auto"/>
        <w:jc w:val="both"/>
        <w:rPr>
          <w:rFonts w:ascii="宋体" w:hAnsi="宋体" w:cs="宋体" w:eastAsia="宋体" w:hint="default"/>
        </w:rPr>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7"/>
          <w:szCs w:val="17"/>
        </w:rPr>
      </w:pPr>
    </w:p>
    <w:p>
      <w:pPr>
        <w:spacing w:line="5700" w:lineRule="exact"/>
        <w:ind w:left="574" w:right="0" w:firstLine="0"/>
        <w:rPr>
          <w:rFonts w:ascii="宋体" w:hAnsi="宋体" w:cs="宋体" w:eastAsia="宋体" w:hint="default"/>
          <w:sz w:val="20"/>
          <w:szCs w:val="20"/>
        </w:rPr>
      </w:pPr>
      <w:r>
        <w:rPr>
          <w:rFonts w:ascii="宋体" w:hAnsi="宋体" w:cs="宋体" w:eastAsia="宋体" w:hint="default"/>
          <w:position w:val="-113"/>
          <w:sz w:val="20"/>
          <w:szCs w:val="20"/>
        </w:rPr>
        <w:drawing>
          <wp:inline distT="0" distB="0" distL="0" distR="0">
            <wp:extent cx="5172075" cy="3619500"/>
            <wp:effectExtent l="0" t="0" r="0" b="0"/>
            <wp:docPr id="29" name="image16.jpeg" descr=""/>
            <wp:cNvGraphicFramePr>
              <a:graphicFrameLocks noChangeAspect="1"/>
            </wp:cNvGraphicFramePr>
            <a:graphic>
              <a:graphicData uri="http://schemas.openxmlformats.org/drawingml/2006/picture">
                <pic:pic>
                  <pic:nvPicPr>
                    <pic:cNvPr id="30" name="image16.jpeg"/>
                    <pic:cNvPicPr/>
                  </pic:nvPicPr>
                  <pic:blipFill>
                    <a:blip r:embed="rId27" cstate="print"/>
                    <a:stretch>
                      <a:fillRect/>
                    </a:stretch>
                  </pic:blipFill>
                  <pic:spPr>
                    <a:xfrm>
                      <a:off x="0" y="0"/>
                      <a:ext cx="5172075" cy="3619500"/>
                    </a:xfrm>
                    <a:prstGeom prst="rect">
                      <a:avLst/>
                    </a:prstGeom>
                  </pic:spPr>
                </pic:pic>
              </a:graphicData>
            </a:graphic>
          </wp:inline>
        </w:drawing>
      </w:r>
      <w:r>
        <w:rPr>
          <w:rFonts w:ascii="宋体" w:hAnsi="宋体" w:cs="宋体" w:eastAsia="宋体" w:hint="default"/>
          <w:position w:val="-113"/>
          <w:sz w:val="20"/>
          <w:szCs w:val="20"/>
        </w:rPr>
      </w:r>
    </w:p>
    <w:p>
      <w:pPr>
        <w:spacing w:line="240" w:lineRule="auto" w:before="1"/>
        <w:rPr>
          <w:rFonts w:ascii="宋体" w:hAnsi="宋体" w:cs="宋体" w:eastAsia="宋体" w:hint="default"/>
          <w:sz w:val="12"/>
          <w:szCs w:val="12"/>
        </w:rPr>
      </w:pPr>
    </w:p>
    <w:p>
      <w:pPr>
        <w:pStyle w:val="BodyText"/>
        <w:spacing w:line="240" w:lineRule="auto" w:before="44"/>
        <w:ind w:left="573" w:right="982"/>
        <w:jc w:val="left"/>
        <w:rPr>
          <w:rFonts w:ascii="宋体" w:hAnsi="宋体" w:cs="宋体" w:eastAsia="宋体" w:hint="default"/>
        </w:rPr>
      </w:pPr>
      <w:r>
        <w:rPr/>
        <w:t>资料来源：中国信通院，中商产业研究院</w:t>
      </w:r>
      <w:r>
        <w:rPr>
          <w:rFonts w:ascii="宋体" w:hAnsi="宋体" w:cs="宋体" w:eastAsia="宋体" w:hint="default"/>
        </w:rPr>
        <w:t> </w:t>
      </w:r>
    </w:p>
    <w:p>
      <w:pPr>
        <w:spacing w:line="240" w:lineRule="auto" w:before="0"/>
        <w:rPr>
          <w:rFonts w:ascii="宋体" w:hAnsi="宋体" w:cs="宋体" w:eastAsia="宋体" w:hint="default"/>
          <w:sz w:val="16"/>
          <w:szCs w:val="16"/>
        </w:rPr>
      </w:pPr>
    </w:p>
    <w:p>
      <w:pPr>
        <w:pStyle w:val="Heading5"/>
        <w:spacing w:line="408" w:lineRule="auto" w:before="0"/>
        <w:ind w:right="1126"/>
        <w:jc w:val="both"/>
        <w:rPr>
          <w:rFonts w:ascii="宋体" w:hAnsi="宋体" w:cs="宋体" w:eastAsia="宋体" w:hint="default"/>
        </w:rPr>
      </w:pPr>
      <w:r>
        <w:rPr/>
        <w:t>政企及行业用户智能化改造需求强烈，“位置服务</w:t>
      </w:r>
      <w:r>
        <w:rPr>
          <w:rFonts w:ascii="宋体" w:hAnsi="宋体" w:cs="宋体" w:eastAsia="宋体" w:hint="default"/>
        </w:rPr>
        <w:t>+</w:t>
      </w:r>
      <w:r>
        <w:rPr/>
        <w:t>”的服务业态发展迅速。国家加速驱动数字化转</w:t>
      </w:r>
      <w:r>
        <w:rPr>
          <w:w w:val="100"/>
        </w:rPr>
        <w:t> </w:t>
      </w:r>
      <w:r>
        <w:rPr>
          <w:spacing w:val="-2"/>
        </w:rPr>
        <w:t>型，行业机构、政府部门、企事业单位在环保监测、智能交通、智慧城市、现代物流、金融等领域的智能</w:t>
      </w:r>
      <w:r>
        <w:rPr>
          <w:spacing w:val="-48"/>
        </w:rPr>
        <w:t> </w:t>
      </w:r>
      <w:r>
        <w:rPr>
          <w:spacing w:val="-48"/>
        </w:rPr>
      </w:r>
      <w:r>
        <w:rPr>
          <w:spacing w:val="-2"/>
        </w:rPr>
        <w:t>化改造需求日益显现，以位置大数据为基础的智能化解决方案市场发展空间增加。借助虚拟现实、人机交</w:t>
      </w:r>
      <w:r>
        <w:rPr>
          <w:spacing w:val="-44"/>
        </w:rPr>
        <w:t> </w:t>
      </w:r>
      <w:r>
        <w:rPr>
          <w:spacing w:val="-44"/>
        </w:rPr>
      </w:r>
      <w:r>
        <w:rPr>
          <w:spacing w:val="-2"/>
        </w:rPr>
        <w:t>互、实景三维、点云等新兴技术手段，基于地理信息的时空大数据被国家政府部门、企事业单位、行业机</w:t>
      </w:r>
      <w:r>
        <w:rPr>
          <w:spacing w:val="-43"/>
        </w:rPr>
        <w:t> </w:t>
      </w:r>
      <w:r>
        <w:rPr>
          <w:spacing w:val="-43"/>
        </w:rPr>
      </w:r>
      <w:r>
        <w:rPr>
          <w:spacing w:val="-2"/>
        </w:rPr>
        <w:t>构等广泛的应用到物流监控、灾害预防、环境治理、数字城市等领域，并被赋予不同的使命。基于用户位</w:t>
      </w:r>
      <w:r>
        <w:rPr>
          <w:spacing w:val="-43"/>
        </w:rPr>
        <w:t> </w:t>
      </w:r>
      <w:r>
        <w:rPr>
          <w:spacing w:val="-43"/>
        </w:rPr>
      </w:r>
      <w:r>
        <w:rPr>
          <w:spacing w:val="-2"/>
        </w:rPr>
        <w:t>置大数据的商业应用分析，已被广泛应用到大众位置生活场景再现、用户画像描述、商业运营指导及分析</w:t>
      </w:r>
      <w:r>
        <w:rPr>
          <w:spacing w:val="-44"/>
        </w:rPr>
        <w:t> </w:t>
      </w:r>
      <w:r>
        <w:rPr>
          <w:spacing w:val="-44"/>
        </w:rPr>
      </w:r>
      <w:r>
        <w:rPr>
          <w:spacing w:val="-2"/>
        </w:rPr>
        <w:t>等众多领域。全球移动出行领域快速发展对位置大数据需求迅速增加，且呈多样化发展趋势，与移动出行</w:t>
      </w:r>
      <w:r>
        <w:rPr>
          <w:spacing w:val="-43"/>
        </w:rPr>
        <w:t> </w:t>
      </w:r>
      <w:r>
        <w:rPr>
          <w:spacing w:val="-43"/>
        </w:rPr>
      </w:r>
      <w:r>
        <w:rPr>
          <w:spacing w:val="-3"/>
        </w:rPr>
        <w:t>相关的汽车充电、停车、维修等领域也对位置大数据服务提出更高要求。根据中研普华统计，</w:t>
      </w:r>
      <w:r>
        <w:rPr>
          <w:rFonts w:ascii="宋体" w:hAnsi="宋体" w:cs="宋体" w:eastAsia="宋体" w:hint="default"/>
          <w:spacing w:val="-3"/>
        </w:rPr>
        <w:t>2018</w:t>
      </w:r>
      <w:r>
        <w:rPr>
          <w:rFonts w:ascii="宋体" w:hAnsi="宋体" w:cs="宋体" w:eastAsia="宋体" w:hint="default"/>
          <w:spacing w:val="-17"/>
        </w:rPr>
        <w:t> </w:t>
      </w:r>
      <w:r>
        <w:rPr/>
        <w:t>年位置</w:t>
      </w:r>
      <w:r>
        <w:rPr>
          <w:spacing w:val="-90"/>
        </w:rPr>
        <w:t> </w:t>
      </w:r>
      <w:r>
        <w:rPr>
          <w:spacing w:val="-90"/>
        </w:rPr>
      </w:r>
      <w:r>
        <w:rPr/>
        <w:t>大数据的市场规模约为</w:t>
      </w:r>
      <w:r>
        <w:rPr>
          <w:spacing w:val="-54"/>
        </w:rPr>
        <w:t> </w:t>
      </w:r>
      <w:r>
        <w:rPr>
          <w:rFonts w:ascii="宋体" w:hAnsi="宋体" w:cs="宋体" w:eastAsia="宋体" w:hint="default"/>
        </w:rPr>
        <w:t>60.8</w:t>
      </w:r>
      <w:r>
        <w:rPr>
          <w:rFonts w:ascii="宋体" w:hAnsi="宋体" w:cs="宋体" w:eastAsia="宋体" w:hint="default"/>
          <w:spacing w:val="-54"/>
        </w:rPr>
        <w:t> </w:t>
      </w:r>
      <w:r>
        <w:rPr/>
        <w:t>亿元，</w:t>
      </w:r>
      <w:r>
        <w:rPr>
          <w:rFonts w:ascii="宋体" w:hAnsi="宋体" w:cs="宋体" w:eastAsia="宋体" w:hint="default"/>
        </w:rPr>
        <w:t>2023</w:t>
      </w:r>
      <w:r>
        <w:rPr>
          <w:rFonts w:ascii="宋体" w:hAnsi="宋体" w:cs="宋体" w:eastAsia="宋体" w:hint="default"/>
          <w:spacing w:val="-56"/>
        </w:rPr>
        <w:t> </w:t>
      </w:r>
      <w:r>
        <w:rPr/>
        <w:t>年市场规模预计可达</w:t>
      </w:r>
      <w:r>
        <w:rPr>
          <w:spacing w:val="-54"/>
        </w:rPr>
        <w:t> </w:t>
      </w:r>
      <w:r>
        <w:rPr>
          <w:rFonts w:ascii="宋体" w:hAnsi="宋体" w:cs="宋体" w:eastAsia="宋体" w:hint="default"/>
        </w:rPr>
        <w:t>293.2</w:t>
      </w:r>
      <w:r>
        <w:rPr>
          <w:rFonts w:ascii="宋体" w:hAnsi="宋体" w:cs="宋体" w:eastAsia="宋体" w:hint="default"/>
          <w:spacing w:val="-56"/>
        </w:rPr>
        <w:t> </w:t>
      </w:r>
      <w:r>
        <w:rPr/>
        <w:t>亿元，复合增长率</w:t>
      </w:r>
      <w:r>
        <w:rPr>
          <w:spacing w:val="-54"/>
        </w:rPr>
        <w:t> </w:t>
      </w:r>
      <w:r>
        <w:rPr>
          <w:rFonts w:ascii="宋体" w:hAnsi="宋体" w:cs="宋体" w:eastAsia="宋体" w:hint="default"/>
        </w:rPr>
        <w:t>CAGR</w:t>
      </w:r>
      <w:r>
        <w:rPr>
          <w:rFonts w:ascii="宋体" w:hAnsi="宋体" w:cs="宋体" w:eastAsia="宋体" w:hint="default"/>
          <w:spacing w:val="-56"/>
        </w:rPr>
        <w:t> </w:t>
      </w:r>
      <w:r>
        <w:rPr/>
        <w:t>约</w:t>
      </w:r>
      <w:r>
        <w:rPr>
          <w:spacing w:val="-54"/>
        </w:rPr>
        <w:t> </w:t>
      </w:r>
      <w:r>
        <w:rPr>
          <w:rFonts w:ascii="宋体" w:hAnsi="宋体" w:cs="宋体" w:eastAsia="宋体" w:hint="default"/>
        </w:rPr>
        <w:t>37%</w:t>
      </w:r>
      <w:r>
        <w:rPr/>
        <w:t>。</w:t>
      </w:r>
      <w:r>
        <w:rPr>
          <w:rFonts w:ascii="宋体" w:hAnsi="宋体" w:cs="宋体" w:eastAsia="宋体" w:hint="default"/>
        </w:rPr>
        <w:t> </w:t>
      </w:r>
    </w:p>
    <w:p>
      <w:pPr>
        <w:spacing w:line="408" w:lineRule="auto" w:before="46"/>
        <w:ind w:left="573" w:right="982" w:firstLine="2"/>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）公司已经或计划采取的应对措施：</w:t>
      </w:r>
      <w:r>
        <w:rPr>
          <w:rFonts w:ascii="宋体" w:hAnsi="宋体" w:cs="宋体" w:eastAsia="宋体" w:hint="default"/>
          <w:b/>
          <w:bCs/>
          <w:w w:val="99"/>
          <w:sz w:val="21"/>
          <w:szCs w:val="21"/>
        </w:rPr>
        <w:t> </w:t>
      </w:r>
      <w:r>
        <w:rPr>
          <w:rFonts w:ascii="宋体" w:hAnsi="宋体" w:cs="宋体" w:eastAsia="宋体" w:hint="default"/>
          <w:spacing w:val="-2"/>
          <w:sz w:val="21"/>
          <w:szCs w:val="21"/>
        </w:rPr>
        <w:t>公司经过多年运作，基于成熟的多源大数据、核心算法和移动互联网等技术优势，搭建起企业级别位</w:t>
      </w:r>
    </w:p>
    <w:p>
      <w:pPr>
        <w:pStyle w:val="Heading5"/>
        <w:spacing w:line="240" w:lineRule="auto"/>
        <w:ind w:right="982" w:firstLine="0"/>
        <w:jc w:val="left"/>
      </w:pPr>
      <w:r>
        <w:rPr/>
        <w:t>置大数据平台</w:t>
      </w:r>
      <w:r>
        <w:rPr>
          <w:spacing w:val="-36"/>
        </w:rPr>
        <w:t> </w:t>
      </w:r>
      <w:r>
        <w:rPr>
          <w:rFonts w:ascii="宋体" w:hAnsi="宋体" w:cs="宋体" w:eastAsia="宋体" w:hint="default"/>
        </w:rPr>
        <w:t>MineData</w:t>
      </w:r>
      <w:r>
        <w:rPr/>
        <w:t>，提供包括基于</w:t>
      </w:r>
      <w:r>
        <w:rPr>
          <w:spacing w:val="-36"/>
        </w:rPr>
        <w:t> </w:t>
      </w:r>
      <w:r>
        <w:rPr>
          <w:rFonts w:ascii="宋体" w:hAnsi="宋体" w:cs="宋体" w:eastAsia="宋体" w:hint="default"/>
        </w:rPr>
        <w:t>SaaS</w:t>
      </w:r>
      <w:r>
        <w:rPr>
          <w:rFonts w:ascii="宋体" w:hAnsi="宋体" w:cs="宋体" w:eastAsia="宋体" w:hint="default"/>
          <w:spacing w:val="-40"/>
        </w:rPr>
        <w:t> </w:t>
      </w:r>
      <w:r>
        <w:rPr>
          <w:spacing w:val="-4"/>
        </w:rPr>
        <w:t>的数据蜂巢（</w:t>
      </w:r>
      <w:r>
        <w:rPr>
          <w:rFonts w:ascii="宋体" w:hAnsi="宋体" w:cs="宋体" w:eastAsia="宋体" w:hint="default"/>
          <w:spacing w:val="-4"/>
        </w:rPr>
        <w:t>DataHive</w:t>
      </w:r>
      <w:r>
        <w:rPr>
          <w:spacing w:val="-4"/>
        </w:rPr>
        <w:t>）、可视化地图（</w:t>
      </w:r>
      <w:r>
        <w:rPr>
          <w:rFonts w:ascii="宋体" w:hAnsi="宋体" w:cs="宋体" w:eastAsia="宋体" w:hint="default"/>
          <w:spacing w:val="-4"/>
        </w:rPr>
        <w:t>Minemap</w:t>
      </w:r>
      <w:r>
        <w:rPr>
          <w:spacing w:val="-4"/>
        </w:rPr>
        <w:t>）、实验室</w:t>
      </w:r>
    </w:p>
    <w:p>
      <w:pPr>
        <w:spacing w:line="240" w:lineRule="auto" w:before="10"/>
        <w:rPr>
          <w:rFonts w:ascii="宋体" w:hAnsi="宋体" w:cs="宋体" w:eastAsia="宋体" w:hint="default"/>
          <w:sz w:val="14"/>
          <w:szCs w:val="14"/>
        </w:rPr>
      </w:pPr>
    </w:p>
    <w:p>
      <w:pPr>
        <w:pStyle w:val="Heading5"/>
        <w:spacing w:line="408" w:lineRule="auto" w:before="0"/>
        <w:ind w:right="982" w:firstLine="0"/>
        <w:jc w:val="left"/>
      </w:pPr>
      <w:r>
        <w:rPr/>
        <w:t>（</w:t>
      </w:r>
      <w:r>
        <w:rPr>
          <w:rFonts w:ascii="宋体" w:hAnsi="宋体" w:cs="宋体" w:eastAsia="宋体" w:hint="default"/>
        </w:rPr>
        <w:t>MineLab</w:t>
      </w:r>
      <w:r>
        <w:rPr/>
        <w:t>）在内的位置大数据汇聚、分析、可视化服务。基于“科研、平台工程化与商业服务”的可贯</w:t>
      </w:r>
      <w:r>
        <w:rPr>
          <w:w w:val="100"/>
        </w:rPr>
        <w:t> </w:t>
      </w:r>
      <w:r>
        <w:rPr>
          <w:spacing w:val="-2"/>
        </w:rPr>
        <w:t>通全链条的大数据服务能力，以实战应用为导向，与行业客户共同探讨在大数据环境下，以新技术、新理</w:t>
      </w:r>
      <w:r>
        <w:rPr>
          <w:spacing w:val="-44"/>
        </w:rPr>
        <w:t> </w:t>
      </w:r>
      <w:r>
        <w:rPr>
          <w:spacing w:val="-44"/>
        </w:rPr>
      </w:r>
      <w:r>
        <w:rPr>
          <w:spacing w:val="-2"/>
        </w:rPr>
        <w:t>念、新方法、新模式以及新思路，解决决策科学化、治理精准化及管理高效化等运营问题，并为其提供深</w:t>
      </w:r>
      <w:r>
        <w:rPr>
          <w:spacing w:val="-43"/>
        </w:rPr>
        <w:t> </w:t>
      </w:r>
      <w:r>
        <w:rPr>
          <w:spacing w:val="-43"/>
        </w:rPr>
      </w:r>
      <w:r>
        <w:rPr>
          <w:spacing w:val="-2"/>
        </w:rPr>
        <w:t>度定制的全方位解决方案，进一步提升赋能行业价值，并已在交警、公安、交通、物流、保险、气象、运</w:t>
      </w:r>
    </w:p>
    <w:p>
      <w:pPr>
        <w:spacing w:after="0" w:line="408" w:lineRule="auto"/>
        <w:jc w:val="left"/>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pStyle w:val="Heading5"/>
        <w:spacing w:line="408" w:lineRule="auto" w:before="176"/>
        <w:ind w:right="1126" w:firstLine="0"/>
        <w:jc w:val="both"/>
        <w:rPr>
          <w:rFonts w:ascii="宋体" w:hAnsi="宋体" w:cs="宋体" w:eastAsia="宋体" w:hint="default"/>
        </w:rPr>
      </w:pPr>
      <w:r>
        <w:rPr>
          <w:spacing w:val="-2"/>
        </w:rPr>
        <w:t>营商、城市规划、扶贫等多个细分行业取得进展。面对快速提升的移动位置服务大数据需求，公司加大研</w:t>
      </w:r>
      <w:r>
        <w:rPr>
          <w:spacing w:val="-47"/>
        </w:rPr>
        <w:t> </w:t>
      </w:r>
      <w:r>
        <w:rPr>
          <w:spacing w:val="-47"/>
        </w:rPr>
      </w:r>
      <w:r>
        <w:rPr>
          <w:spacing w:val="-2"/>
        </w:rPr>
        <w:t>发投入力度，进一步加强动态信息采集发布以及位置大数据服务能力，为位置大数据服务行业的快速发展</w:t>
      </w:r>
      <w:r>
        <w:rPr>
          <w:spacing w:val="-43"/>
        </w:rPr>
        <w:t> </w:t>
      </w:r>
      <w:r>
        <w:rPr>
          <w:spacing w:val="-43"/>
        </w:rPr>
      </w:r>
      <w:r>
        <w:rPr/>
        <w:t>提供基本保障。</w:t>
      </w:r>
      <w:r>
        <w:rPr>
          <w:rFonts w:ascii="宋体" w:hAnsi="宋体" w:cs="宋体" w:eastAsia="宋体" w:hint="default"/>
        </w:rPr>
        <w:t> </w:t>
      </w:r>
    </w:p>
    <w:p>
      <w:pPr>
        <w:pStyle w:val="Heading4"/>
        <w:spacing w:line="240" w:lineRule="auto" w:before="10"/>
        <w:ind w:right="0"/>
        <w:jc w:val="both"/>
        <w:rPr>
          <w:rFonts w:ascii="宋体" w:hAnsi="宋体" w:cs="宋体" w:eastAsia="宋体" w:hint="default"/>
          <w:b w:val="0"/>
          <w:bCs w:val="0"/>
        </w:rPr>
      </w:pPr>
      <w:r>
        <w:rPr>
          <w:rFonts w:ascii="宋体"/>
          <w:w w:val="99"/>
        </w:rPr>
        <w:t> </w:t>
      </w:r>
      <w:r>
        <w:rPr>
          <w:rFonts w:ascii="宋体"/>
          <w:b w:val="0"/>
        </w:rPr>
      </w:r>
    </w:p>
    <w:p>
      <w:pPr>
        <w:spacing w:line="391" w:lineRule="auto" w:before="75"/>
        <w:ind w:left="573" w:right="982" w:hanging="421"/>
        <w:jc w:val="left"/>
        <w:rPr>
          <w:rFonts w:ascii="宋体" w:hAnsi="宋体" w:cs="宋体" w:eastAsia="宋体" w:hint="default"/>
          <w:sz w:val="21"/>
          <w:szCs w:val="21"/>
        </w:rPr>
      </w:pPr>
      <w:r>
        <w:rPr>
          <w:rFonts w:ascii="宋体" w:hAnsi="宋体" w:cs="宋体" w:eastAsia="宋体" w:hint="default"/>
          <w:b/>
          <w:bCs/>
          <w:sz w:val="21"/>
          <w:szCs w:val="21"/>
        </w:rPr>
        <w:t>（三）公司所属行业的发展阶段、周期性特点及公司所处的行业地位</w:t>
      </w:r>
      <w:r>
        <w:rPr>
          <w:rFonts w:ascii="宋体" w:hAnsi="宋体" w:cs="宋体" w:eastAsia="宋体" w:hint="default"/>
          <w:b/>
          <w:bCs/>
          <w:w w:val="99"/>
          <w:sz w:val="21"/>
          <w:szCs w:val="21"/>
        </w:rPr>
        <w:t> </w:t>
      </w:r>
      <w:r>
        <w:rPr>
          <w:rFonts w:ascii="宋体" w:hAnsi="宋体" w:cs="宋体" w:eastAsia="宋体" w:hint="default"/>
          <w:b/>
          <w:bCs/>
          <w:sz w:val="21"/>
          <w:szCs w:val="21"/>
        </w:rPr>
        <w:t>1</w:t>
      </w:r>
      <w:r>
        <w:rPr>
          <w:rFonts w:ascii="宋体" w:hAnsi="宋体" w:cs="宋体" w:eastAsia="宋体" w:hint="default"/>
          <w:b/>
          <w:bCs/>
          <w:sz w:val="21"/>
          <w:szCs w:val="21"/>
        </w:rPr>
        <w:t>、导航电子地图行业的发展阶段、周期性特点及公司所处的行业地位</w:t>
      </w:r>
      <w:r>
        <w:rPr>
          <w:rFonts w:ascii="宋体" w:hAnsi="宋体" w:cs="宋体" w:eastAsia="宋体" w:hint="default"/>
          <w:b/>
          <w:bCs/>
          <w:w w:val="99"/>
          <w:sz w:val="21"/>
          <w:szCs w:val="21"/>
        </w:rPr>
        <w:t> </w:t>
      </w:r>
      <w:r>
        <w:rPr>
          <w:rFonts w:ascii="宋体" w:hAnsi="宋体" w:cs="宋体" w:eastAsia="宋体" w:hint="default"/>
          <w:spacing w:val="-2"/>
          <w:sz w:val="21"/>
          <w:szCs w:val="21"/>
        </w:rPr>
        <w:t>导航电子地图自诞生以来，最初作为车载端的重要位置服务应用在一些中高端车型开始装配，并且随</w:t>
      </w:r>
    </w:p>
    <w:p>
      <w:pPr>
        <w:pStyle w:val="Heading5"/>
        <w:spacing w:line="408" w:lineRule="auto" w:before="61"/>
        <w:ind w:right="1126" w:firstLine="0"/>
        <w:jc w:val="both"/>
        <w:rPr>
          <w:rFonts w:ascii="宋体" w:hAnsi="宋体" w:cs="宋体" w:eastAsia="宋体" w:hint="default"/>
        </w:rPr>
      </w:pPr>
      <w:r>
        <w:rPr>
          <w:spacing w:val="-2"/>
        </w:rPr>
        <w:t>着装载率不断提升，率先在汽车市场上实现了商业化，也孕育出了数家该领域的主要图商，公司就是其中</w:t>
      </w:r>
      <w:r>
        <w:rPr>
          <w:spacing w:val="-43"/>
        </w:rPr>
        <w:t> </w:t>
      </w:r>
      <w:r>
        <w:rPr>
          <w:spacing w:val="-43"/>
        </w:rPr>
      </w:r>
      <w:r>
        <w:rPr>
          <w:spacing w:val="-2"/>
        </w:rPr>
        <w:t>的领军企业。随着互联网技术以及手机技术的发展，分别开始出现了互联网以及手机导航地图应用（比如</w:t>
      </w:r>
      <w:r>
        <w:rPr>
          <w:spacing w:val="-44"/>
        </w:rPr>
        <w:t> </w:t>
      </w:r>
      <w:r>
        <w:rPr>
          <w:spacing w:val="-44"/>
        </w:rPr>
      </w:r>
      <w:r>
        <w:rPr>
          <w:spacing w:val="-2"/>
        </w:rPr>
        <w:t>诺基亚手机）。近期，随着智能手机的普及以及性能的飞速提高，结合移动互联领域的基础设施及应用开</w:t>
      </w:r>
      <w:r>
        <w:rPr>
          <w:spacing w:val="-44"/>
        </w:rPr>
        <w:t> </w:t>
      </w:r>
      <w:r>
        <w:rPr>
          <w:spacing w:val="-44"/>
        </w:rPr>
      </w:r>
      <w:r>
        <w:rPr/>
        <w:t>发的不断迅猛发展，智能手机导航</w:t>
      </w:r>
      <w:r>
        <w:rPr>
          <w:spacing w:val="-65"/>
        </w:rPr>
        <w:t> </w:t>
      </w:r>
      <w:r>
        <w:rPr>
          <w:rFonts w:ascii="宋体" w:hAnsi="宋体" w:cs="宋体" w:eastAsia="宋体" w:hint="default"/>
        </w:rPr>
        <w:t>APP</w:t>
      </w:r>
      <w:r>
        <w:rPr>
          <w:rFonts w:ascii="宋体" w:hAnsi="宋体" w:cs="宋体" w:eastAsia="宋体" w:hint="default"/>
          <w:spacing w:val="-66"/>
        </w:rPr>
        <w:t> </w:t>
      </w:r>
      <w:r>
        <w:rPr/>
        <w:t>面世并且吸引了海量客户，其中有代表性的为百度和高德地图。公</w:t>
      </w:r>
      <w:r>
        <w:rPr>
          <w:w w:val="100"/>
        </w:rPr>
        <w:t> </w:t>
      </w:r>
      <w:r>
        <w:rPr/>
        <w:t>司一直秉持着“客户背后的隐形冠军”发展定位，顺应行业发展趋势，为车载导航、手机</w:t>
      </w:r>
      <w:r>
        <w:rPr>
          <w:spacing w:val="-65"/>
        </w:rPr>
        <w:t> </w:t>
      </w:r>
      <w:r>
        <w:rPr>
          <w:rFonts w:ascii="宋体" w:hAnsi="宋体" w:cs="宋体" w:eastAsia="宋体" w:hint="default"/>
        </w:rPr>
        <w:t>APP</w:t>
      </w:r>
      <w:r>
        <w:rPr>
          <w:rFonts w:ascii="宋体" w:hAnsi="宋体" w:cs="宋体" w:eastAsia="宋体" w:hint="default"/>
          <w:spacing w:val="-65"/>
        </w:rPr>
        <w:t> </w:t>
      </w:r>
      <w:r>
        <w:rPr/>
        <w:t>以及其它各</w:t>
      </w:r>
      <w:r>
        <w:rPr>
          <w:w w:val="100"/>
        </w:rPr>
        <w:t> </w:t>
      </w:r>
      <w:r>
        <w:rPr/>
        <w:t>主要基于位置的</w:t>
      </w:r>
      <w:r>
        <w:rPr>
          <w:spacing w:val="-65"/>
        </w:rPr>
        <w:t> </w:t>
      </w:r>
      <w:r>
        <w:rPr>
          <w:rFonts w:ascii="宋体" w:hAnsi="宋体" w:cs="宋体" w:eastAsia="宋体" w:hint="default"/>
        </w:rPr>
        <w:t>APP</w:t>
      </w:r>
      <w:r>
        <w:rPr>
          <w:rFonts w:ascii="宋体" w:hAnsi="宋体" w:cs="宋体" w:eastAsia="宋体" w:hint="default"/>
          <w:spacing w:val="-67"/>
        </w:rPr>
        <w:t> </w:t>
      </w:r>
      <w:r>
        <w:rPr/>
        <w:t>提供导航数据、更新服务、大数据综合解决方案等一系列产品和服务。同时通过各种</w:t>
      </w:r>
      <w:r>
        <w:rPr>
          <w:w w:val="100"/>
        </w:rPr>
        <w:t> </w:t>
      </w:r>
      <w:r>
        <w:rPr/>
        <w:t>应用的海量数据反馈形成自我循环、不断丰富的数据产生和更新闭环，持续提升公司的价值。</w:t>
      </w:r>
      <w:r>
        <w:rPr>
          <w:rFonts w:ascii="宋体" w:hAnsi="宋体" w:cs="宋体" w:eastAsia="宋体" w:hint="default"/>
        </w:rPr>
        <w:t> </w:t>
      </w:r>
    </w:p>
    <w:p>
      <w:pPr>
        <w:pStyle w:val="Heading5"/>
        <w:spacing w:line="408" w:lineRule="auto"/>
        <w:ind w:right="1126"/>
        <w:jc w:val="both"/>
        <w:rPr>
          <w:rFonts w:ascii="宋体" w:hAnsi="宋体" w:cs="宋体" w:eastAsia="宋体" w:hint="default"/>
        </w:rPr>
      </w:pPr>
      <w:r>
        <w:rPr>
          <w:spacing w:val="-2"/>
        </w:rPr>
        <w:t>公司凭借着前瞻性的市场布局、优质的产品品质保证、贴合市场需求的数据产品生产和服务能力，以</w:t>
      </w:r>
      <w:r>
        <w:rPr>
          <w:w w:val="100"/>
        </w:rPr>
        <w:t> </w:t>
      </w:r>
      <w:r>
        <w:rPr>
          <w:spacing w:val="-2"/>
        </w:rPr>
        <w:t>及不断引领市场的技术创新能力，扎实推进全球化拓展及本土化深耕，已连续十多年领航中国前装车载导</w:t>
      </w:r>
      <w:r>
        <w:rPr>
          <w:spacing w:val="-43"/>
        </w:rPr>
        <w:t> </w:t>
      </w:r>
      <w:r>
        <w:rPr>
          <w:spacing w:val="-43"/>
        </w:rPr>
      </w:r>
      <w:r>
        <w:rPr>
          <w:spacing w:val="-2"/>
        </w:rPr>
        <w:t>航市场，并一直是国际主流车厂、新一代整车企业以及腾讯、滴滴、搜狗、华为、微软等国内外高科技企</w:t>
      </w:r>
      <w:r>
        <w:rPr>
          <w:spacing w:val="-45"/>
        </w:rPr>
        <w:t> </w:t>
      </w:r>
      <w:r>
        <w:rPr>
          <w:spacing w:val="-45"/>
        </w:rPr>
      </w:r>
      <w:r>
        <w:rPr/>
        <w:t>业在导航领域共同开发和升级高品质产品和服务的重要合作伙伴。</w:t>
      </w:r>
      <w:r>
        <w:rPr>
          <w:rFonts w:ascii="宋体" w:hAnsi="宋体" w:cs="宋体" w:eastAsia="宋体" w:hint="default"/>
        </w:rPr>
        <w:t> </w:t>
      </w:r>
    </w:p>
    <w:p>
      <w:pPr>
        <w:pStyle w:val="Heading4"/>
        <w:spacing w:line="240" w:lineRule="auto" w:before="46"/>
        <w:ind w:left="575" w:right="982"/>
        <w:jc w:val="left"/>
        <w:rPr>
          <w:rFonts w:ascii="宋体" w:hAnsi="宋体" w:cs="宋体" w:eastAsia="宋体" w:hint="default"/>
          <w:b w:val="0"/>
          <w:bCs w:val="0"/>
        </w:rPr>
      </w:pPr>
      <w:r>
        <w:rPr>
          <w:rFonts w:ascii="宋体" w:hAnsi="宋体" w:cs="宋体" w:eastAsia="宋体" w:hint="default"/>
        </w:rPr>
        <w:t>2</w:t>
      </w:r>
      <w:r>
        <w:rPr/>
        <w:t>、车联网行业的发展阶段、周期性特点及公司所处的行业地位</w:t>
      </w:r>
      <w:r>
        <w:rPr>
          <w:rFonts w:ascii="宋体" w:hAnsi="宋体" w:cs="宋体" w:eastAsia="宋体" w:hint="default"/>
          <w:w w:val="99"/>
        </w:rPr>
        <w:t> </w:t>
      </w:r>
      <w:r>
        <w:rPr>
          <w:rFonts w:ascii="宋体" w:hAnsi="宋体" w:cs="宋体" w:eastAsia="宋体" w:hint="default"/>
          <w:b w:val="0"/>
          <w:bCs w:val="0"/>
        </w:rPr>
      </w:r>
    </w:p>
    <w:p>
      <w:pPr>
        <w:spacing w:line="240" w:lineRule="auto" w:before="10"/>
        <w:rPr>
          <w:rFonts w:ascii="宋体" w:hAnsi="宋体" w:cs="宋体" w:eastAsia="宋体" w:hint="default"/>
          <w:b/>
          <w:bCs/>
          <w:sz w:val="14"/>
          <w:szCs w:val="14"/>
        </w:rPr>
      </w:pPr>
    </w:p>
    <w:p>
      <w:pPr>
        <w:pStyle w:val="Heading5"/>
        <w:spacing w:line="408" w:lineRule="auto" w:before="0"/>
        <w:ind w:right="1126"/>
        <w:jc w:val="both"/>
        <w:rPr>
          <w:rFonts w:ascii="宋体" w:hAnsi="宋体" w:cs="宋体" w:eastAsia="宋体" w:hint="default"/>
        </w:rPr>
      </w:pPr>
      <w:r>
        <w:rPr>
          <w:rFonts w:ascii="宋体" w:hAnsi="宋体" w:cs="宋体" w:eastAsia="宋体" w:hint="default"/>
        </w:rPr>
        <w:t>2018 </w:t>
      </w:r>
      <w:r>
        <w:rPr>
          <w:spacing w:val="-3"/>
        </w:rPr>
        <w:t>年多个主机厂的智能汽车和智能化战略纷纷落地，</w:t>
      </w:r>
      <w:r>
        <w:rPr>
          <w:rFonts w:ascii="宋体" w:hAnsi="宋体" w:cs="宋体" w:eastAsia="宋体" w:hint="default"/>
          <w:spacing w:val="-3"/>
        </w:rPr>
        <w:t>OEM</w:t>
      </w:r>
      <w:r>
        <w:rPr>
          <w:rFonts w:ascii="宋体" w:hAnsi="宋体" w:cs="宋体" w:eastAsia="宋体" w:hint="default"/>
          <w:spacing w:val="-71"/>
        </w:rPr>
        <w:t> </w:t>
      </w:r>
      <w:r>
        <w:rPr/>
        <w:t>与生态内企业在汽车智能化和出行服务两</w:t>
      </w:r>
      <w:r>
        <w:rPr>
          <w:w w:val="100"/>
        </w:rPr>
        <w:t> </w:t>
      </w:r>
      <w:r>
        <w:rPr/>
        <w:t>方面展开积极探索，由汽车网联化逐步向出行智能化过度。车联网行业从简单的</w:t>
      </w:r>
      <w:r>
        <w:rPr>
          <w:spacing w:val="-54"/>
        </w:rPr>
        <w:t> </w:t>
      </w:r>
      <w:r>
        <w:rPr>
          <w:rFonts w:ascii="宋体" w:hAnsi="宋体" w:cs="宋体" w:eastAsia="宋体" w:hint="default"/>
        </w:rPr>
        <w:t>T-BOX</w:t>
      </w:r>
      <w:r>
        <w:rPr>
          <w:rFonts w:ascii="宋体" w:hAnsi="宋体" w:cs="宋体" w:eastAsia="宋体" w:hint="default"/>
          <w:spacing w:val="-57"/>
        </w:rPr>
        <w:t> </w:t>
      </w:r>
      <w:r>
        <w:rPr>
          <w:spacing w:val="-3"/>
        </w:rPr>
        <w:t>产品形态、提供安</w:t>
      </w:r>
      <w:r>
        <w:rPr>
          <w:w w:val="100"/>
        </w:rPr>
        <w:t> </w:t>
      </w:r>
      <w:r>
        <w:rPr>
          <w:spacing w:val="-2"/>
        </w:rPr>
        <w:t>全救援服务，向中控显示屏车机形态、提供信息娱乐内容，逐步发展到现阶段以整车智能化为基础设施和</w:t>
      </w:r>
      <w:r>
        <w:rPr>
          <w:spacing w:val="-42"/>
        </w:rPr>
        <w:t> </w:t>
      </w:r>
      <w:r>
        <w:rPr>
          <w:spacing w:val="-42"/>
        </w:rPr>
      </w:r>
      <w:r>
        <w:rPr>
          <w:spacing w:val="-2"/>
        </w:rPr>
        <w:t>出行生态为服务能力的出行智能化阶段。基于此，为智能汽车提供智能网联技术，将有效解决当下的大众</w:t>
      </w:r>
      <w:r>
        <w:rPr>
          <w:spacing w:val="-44"/>
        </w:rPr>
        <w:t> </w:t>
      </w:r>
      <w:r>
        <w:rPr>
          <w:spacing w:val="-44"/>
        </w:rPr>
      </w:r>
      <w:r>
        <w:rPr/>
        <w:t>化用户出行需求，提高出行效率、满足用户全新体验并且可持续发展。</w:t>
      </w:r>
      <w:r>
        <w:rPr>
          <w:rFonts w:ascii="宋体" w:hAnsi="宋体" w:cs="宋体" w:eastAsia="宋体" w:hint="default"/>
        </w:rPr>
        <w:t> </w:t>
      </w:r>
    </w:p>
    <w:p>
      <w:pPr>
        <w:pStyle w:val="Heading5"/>
        <w:spacing w:line="408" w:lineRule="auto"/>
        <w:ind w:right="982"/>
        <w:jc w:val="left"/>
      </w:pPr>
      <w:r>
        <w:rPr/>
        <w:t>公司自</w:t>
      </w:r>
      <w:r>
        <w:rPr>
          <w:spacing w:val="-56"/>
        </w:rPr>
        <w:t> </w:t>
      </w:r>
      <w:r>
        <w:rPr>
          <w:rFonts w:ascii="宋体" w:hAnsi="宋体" w:cs="宋体" w:eastAsia="宋体" w:hint="default"/>
        </w:rPr>
        <w:t>2009</w:t>
      </w:r>
      <w:r>
        <w:rPr>
          <w:rFonts w:ascii="宋体" w:hAnsi="宋体" w:cs="宋体" w:eastAsia="宋体" w:hint="default"/>
          <w:spacing w:val="-56"/>
        </w:rPr>
        <w:t> </w:t>
      </w:r>
      <w:r>
        <w:rPr/>
        <w:t>年开始布局车联网产业，组建专业的产品研发团队及运营平台，积极打造覆盖乘用车、</w:t>
      </w:r>
      <w:r>
        <w:rPr>
          <w:w w:val="100"/>
        </w:rPr>
        <w:t> </w:t>
      </w:r>
      <w:r>
        <w:rPr>
          <w:spacing w:val="-2"/>
        </w:rPr>
        <w:t>商用车、动态交通信息的车联网服务应用体系。基于多年的行业地位、资源优势以及一系列资本运作，公</w:t>
      </w:r>
      <w:r>
        <w:rPr>
          <w:spacing w:val="-47"/>
        </w:rPr>
        <w:t> </w:t>
      </w:r>
      <w:r>
        <w:rPr>
          <w:spacing w:val="-47"/>
        </w:rPr>
      </w:r>
      <w:r>
        <w:rPr>
          <w:spacing w:val="-7"/>
        </w:rPr>
        <w:t>司已经具备了从传统地图到动态交通信息、云平台、信息聚合、车载操作系统、车载硬件、手机车机互联、</w:t>
      </w:r>
      <w:r>
        <w:rPr>
          <w:spacing w:val="-22"/>
        </w:rPr>
        <w:t> </w:t>
      </w:r>
      <w:r>
        <w:rPr>
          <w:spacing w:val="-22"/>
        </w:rPr>
      </w:r>
      <w:r>
        <w:rPr>
          <w:spacing w:val="-2"/>
        </w:rPr>
        <w:t>大数据赋能等在内的车联网产品组件和一体化服务能力，获得国内外众多客户的认可，并在商用车车联网</w:t>
      </w:r>
      <w:r>
        <w:rPr>
          <w:spacing w:val="-42"/>
        </w:rPr>
        <w:t> </w:t>
      </w:r>
      <w:r>
        <w:rPr>
          <w:spacing w:val="-42"/>
        </w:rPr>
      </w:r>
      <w:r>
        <w:rPr>
          <w:spacing w:val="-2"/>
        </w:rPr>
        <w:t>领域和动态交通信息领域持续占据市场领先地位。在乘用车联网领域，公司通过分拆融资等方式，引进腾</w:t>
      </w:r>
      <w:r>
        <w:rPr>
          <w:spacing w:val="-43"/>
        </w:rPr>
        <w:t> </w:t>
      </w:r>
      <w:r>
        <w:rPr>
          <w:spacing w:val="-43"/>
        </w:rPr>
      </w:r>
      <w:r>
        <w:rPr>
          <w:spacing w:val="-2"/>
        </w:rPr>
        <w:t>讯、蔚来资本等在互联网和汽车行业具有强大产业资源支持和行业影响力的战略投资者和股东，共同推进</w:t>
      </w:r>
    </w:p>
    <w:p>
      <w:pPr>
        <w:spacing w:after="0" w:line="408" w:lineRule="auto"/>
        <w:jc w:val="left"/>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pStyle w:val="Heading5"/>
        <w:spacing w:line="408" w:lineRule="auto" w:before="176"/>
        <w:ind w:right="982" w:firstLine="0"/>
        <w:jc w:val="left"/>
        <w:rPr>
          <w:rFonts w:ascii="宋体" w:hAnsi="宋体" w:cs="宋体" w:eastAsia="宋体" w:hint="default"/>
        </w:rPr>
      </w:pPr>
      <w:r>
        <w:rPr>
          <w:spacing w:val="-2"/>
        </w:rPr>
        <w:t>车联网平台、轻车联网解决方案等方面的产品研发和商业化进程，为公司进一步提升市场竞争能力奠定基</w:t>
      </w:r>
      <w:r>
        <w:rPr>
          <w:spacing w:val="-43"/>
        </w:rPr>
        <w:t> </w:t>
      </w:r>
      <w:r>
        <w:rPr>
          <w:spacing w:val="-43"/>
        </w:rPr>
      </w:r>
      <w:r>
        <w:rPr/>
        <w:t>础。</w:t>
      </w:r>
      <w:r>
        <w:rPr>
          <w:rFonts w:ascii="宋体" w:hAnsi="宋体" w:cs="宋体" w:eastAsia="宋体" w:hint="default"/>
        </w:rPr>
        <w:t> </w:t>
      </w:r>
    </w:p>
    <w:p>
      <w:pPr>
        <w:spacing w:line="444" w:lineRule="auto" w:before="46"/>
        <w:ind w:left="573" w:right="982" w:firstLine="2"/>
        <w:jc w:val="left"/>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b/>
          <w:bCs/>
          <w:sz w:val="21"/>
          <w:szCs w:val="21"/>
        </w:rPr>
        <w:t>、汽车电子芯片行业的发展阶段、周期性特点及公司所处的行业地位</w:t>
      </w:r>
      <w:r>
        <w:rPr>
          <w:rFonts w:ascii="宋体" w:hAnsi="宋体" w:cs="宋体" w:eastAsia="宋体" w:hint="default"/>
          <w:b/>
          <w:bCs/>
          <w:w w:val="99"/>
          <w:sz w:val="21"/>
          <w:szCs w:val="21"/>
        </w:rPr>
        <w:t> </w:t>
      </w:r>
      <w:r>
        <w:rPr>
          <w:rFonts w:ascii="宋体" w:hAnsi="宋体" w:cs="宋体" w:eastAsia="宋体" w:hint="default"/>
          <w:spacing w:val="-2"/>
          <w:sz w:val="21"/>
          <w:szCs w:val="21"/>
        </w:rPr>
        <w:t>伴随汽车电动化、智能化发展，汽车电子芯片产业在整车价值体系比例持续提升。相比一般消费类或</w:t>
      </w:r>
    </w:p>
    <w:p>
      <w:pPr>
        <w:pStyle w:val="Heading5"/>
        <w:spacing w:line="408" w:lineRule="auto" w:before="14"/>
        <w:ind w:right="982" w:firstLine="0"/>
        <w:jc w:val="left"/>
        <w:rPr>
          <w:rFonts w:ascii="宋体" w:hAnsi="宋体" w:cs="宋体" w:eastAsia="宋体" w:hint="default"/>
        </w:rPr>
      </w:pPr>
      <w:r>
        <w:rPr/>
        <w:t>工业类芯片，汽车电子芯片需要面对更为复杂、恶劣的工况条件，产品设计开发、验证测试等难度较大，</w:t>
      </w:r>
      <w:r>
        <w:rPr>
          <w:spacing w:val="-17"/>
        </w:rPr>
        <w:t> </w:t>
      </w:r>
      <w:r>
        <w:rPr>
          <w:spacing w:val="-17"/>
        </w:rPr>
      </w:r>
      <w:r>
        <w:rPr/>
        <w:t>新产品从开发到量产上车通常需要几年的时间，对汽车芯片企业在人才技术储备、资金积累等方面提出很</w:t>
      </w:r>
      <w:r>
        <w:rPr>
          <w:w w:val="100"/>
        </w:rPr>
        <w:t> </w:t>
      </w:r>
      <w:r>
        <w:rPr/>
        <w:t>高要求。汽车芯片产品一旦进入整车制造供应链，将可获得长达 </w:t>
      </w:r>
      <w:r>
        <w:rPr>
          <w:rFonts w:ascii="宋体" w:hAnsi="宋体" w:cs="宋体" w:eastAsia="宋体" w:hint="default"/>
        </w:rPr>
        <w:t>5~10</w:t>
      </w:r>
      <w:r>
        <w:rPr>
          <w:rFonts w:ascii="宋体" w:hAnsi="宋体" w:cs="宋体" w:eastAsia="宋体" w:hint="default"/>
          <w:spacing w:val="-27"/>
        </w:rPr>
        <w:t> </w:t>
      </w:r>
      <w:r>
        <w:rPr/>
        <w:t>年的供货周期保障。汽车电子芯片</w:t>
      </w:r>
      <w:r>
        <w:rPr>
          <w:w w:val="100"/>
        </w:rPr>
        <w:t> </w:t>
      </w:r>
      <w:r>
        <w:rPr>
          <w:spacing w:val="-4"/>
        </w:rPr>
        <w:t>按照应用领域主要分为应用处理器（</w:t>
      </w:r>
      <w:r>
        <w:rPr>
          <w:rFonts w:ascii="宋体" w:hAnsi="宋体" w:cs="宋体" w:eastAsia="宋体" w:hint="default"/>
          <w:spacing w:val="-4"/>
        </w:rPr>
        <w:t>IVI</w:t>
      </w:r>
      <w:r>
        <w:rPr>
          <w:spacing w:val="-4"/>
        </w:rPr>
        <w:t>、</w:t>
      </w:r>
      <w:r>
        <w:rPr>
          <w:rFonts w:ascii="宋体" w:hAnsi="宋体" w:cs="宋体" w:eastAsia="宋体" w:hint="default"/>
          <w:spacing w:val="-4"/>
        </w:rPr>
        <w:t>MCU </w:t>
      </w:r>
      <w:r>
        <w:rPr>
          <w:spacing w:val="-7"/>
        </w:rPr>
        <w:t>等）、功率半导体（</w:t>
      </w:r>
      <w:r>
        <w:rPr>
          <w:rFonts w:ascii="宋体" w:hAnsi="宋体" w:cs="宋体" w:eastAsia="宋体" w:hint="default"/>
          <w:spacing w:val="-7"/>
        </w:rPr>
        <w:t>AMP</w:t>
      </w:r>
      <w:r>
        <w:rPr>
          <w:spacing w:val="-7"/>
        </w:rPr>
        <w:t>、</w:t>
      </w:r>
      <w:r>
        <w:rPr>
          <w:rFonts w:ascii="宋体" w:hAnsi="宋体" w:cs="宋体" w:eastAsia="宋体" w:hint="default"/>
          <w:spacing w:val="-7"/>
        </w:rPr>
        <w:t>IGBT</w:t>
      </w:r>
      <w:r>
        <w:rPr>
          <w:spacing w:val="-7"/>
        </w:rPr>
        <w:t>、</w:t>
      </w:r>
      <w:r>
        <w:rPr>
          <w:rFonts w:ascii="宋体" w:hAnsi="宋体" w:cs="宋体" w:eastAsia="宋体" w:hint="default"/>
          <w:spacing w:val="-7"/>
        </w:rPr>
        <w:t>MOSFET </w:t>
      </w:r>
      <w:r>
        <w:rPr>
          <w:spacing w:val="-9"/>
        </w:rPr>
        <w:t>等）、传感器（</w:t>
      </w:r>
      <w:r>
        <w:rPr>
          <w:rFonts w:ascii="宋体" w:hAnsi="宋体" w:cs="宋体" w:eastAsia="宋体" w:hint="default"/>
          <w:spacing w:val="-9"/>
        </w:rPr>
        <w:t>TPMS</w:t>
      </w:r>
      <w:r>
        <w:rPr>
          <w:rFonts w:ascii="宋体" w:hAnsi="宋体" w:cs="宋体" w:eastAsia="宋体" w:hint="default"/>
          <w:spacing w:val="-81"/>
        </w:rPr>
        <w:t> </w:t>
      </w:r>
      <w:r>
        <w:rPr>
          <w:rFonts w:ascii="宋体" w:hAnsi="宋体" w:cs="宋体" w:eastAsia="宋体" w:hint="default"/>
          <w:spacing w:val="-81"/>
        </w:rPr>
      </w:r>
      <w:r>
        <w:rPr/>
        <w:t>等）及分离器件等。</w:t>
      </w:r>
      <w:r>
        <w:rPr>
          <w:rFonts w:ascii="宋体" w:hAnsi="宋体" w:cs="宋体" w:eastAsia="宋体" w:hint="default"/>
        </w:rPr>
        <w:t> </w:t>
      </w:r>
    </w:p>
    <w:p>
      <w:pPr>
        <w:pStyle w:val="Heading5"/>
        <w:spacing w:line="408" w:lineRule="auto" w:before="84"/>
        <w:ind w:right="1126"/>
        <w:jc w:val="both"/>
        <w:rPr>
          <w:rFonts w:ascii="宋体" w:hAnsi="宋体" w:cs="宋体" w:eastAsia="宋体" w:hint="default"/>
        </w:rPr>
      </w:pPr>
      <w:r>
        <w:rPr>
          <w:spacing w:val="-2"/>
        </w:rPr>
        <w:t>目前，汽车电子芯片在全球市场份额主要被恩智浦、英飞凌、瑞萨等全球汽车芯片大厂所占据。在我</w:t>
      </w:r>
      <w:r>
        <w:rPr>
          <w:w w:val="100"/>
        </w:rPr>
        <w:t> </w:t>
      </w:r>
      <w:r>
        <w:rPr/>
        <w:t>国国内市场，汽车电子芯片前装市场主要被英飞凌等国际汽车芯片厂商所垄断，本土企业在</w:t>
      </w:r>
      <w:r>
        <w:rPr>
          <w:spacing w:val="-64"/>
        </w:rPr>
        <w:t> </w:t>
      </w:r>
      <w:r>
        <w:rPr>
          <w:rFonts w:ascii="宋体" w:hAnsi="宋体" w:cs="宋体" w:eastAsia="宋体" w:hint="default"/>
        </w:rPr>
        <w:t>IVI</w:t>
      </w:r>
      <w:r>
        <w:rPr>
          <w:rFonts w:ascii="宋体" w:hAnsi="宋体" w:cs="宋体" w:eastAsia="宋体" w:hint="default"/>
          <w:spacing w:val="-67"/>
        </w:rPr>
        <w:t> </w:t>
      </w:r>
      <w:r>
        <w:rPr/>
        <w:t>后装市场</w:t>
      </w:r>
      <w:r>
        <w:rPr>
          <w:w w:val="100"/>
        </w:rPr>
        <w:t> </w:t>
      </w:r>
      <w:r>
        <w:rPr/>
        <w:t>有一定优势。</w:t>
      </w:r>
      <w:r>
        <w:rPr>
          <w:rFonts w:ascii="宋体" w:hAnsi="宋体" w:cs="宋体" w:eastAsia="宋体" w:hint="default"/>
        </w:rPr>
        <w:t> </w:t>
      </w:r>
    </w:p>
    <w:p>
      <w:pPr>
        <w:pStyle w:val="Heading5"/>
        <w:spacing w:line="408" w:lineRule="auto" w:before="87"/>
        <w:ind w:right="1126"/>
        <w:jc w:val="both"/>
        <w:rPr>
          <w:rFonts w:ascii="宋体" w:hAnsi="宋体" w:cs="宋体" w:eastAsia="宋体" w:hint="default"/>
          <w:sz w:val="18"/>
          <w:szCs w:val="18"/>
        </w:rPr>
      </w:pPr>
      <w:r>
        <w:rPr>
          <w:spacing w:val="-2"/>
        </w:rPr>
        <w:t>芯片厂商之间正在通过兼并收购等方式建立整合优势，如恩智浦收购飞思卡尔，英飞凌意图收购意法</w:t>
      </w:r>
      <w:r>
        <w:rPr>
          <w:w w:val="100"/>
        </w:rPr>
        <w:t> </w:t>
      </w:r>
      <w:r>
        <w:rPr/>
        <w:t>半导体等。互联网科技巨头加紧在汽车芯片领域的布局，英特尔通过收购 </w:t>
      </w:r>
      <w:r>
        <w:rPr>
          <w:rFonts w:ascii="宋体" w:hAnsi="宋体" w:cs="宋体" w:eastAsia="宋体" w:hint="default"/>
        </w:rPr>
        <w:t>Mobileye</w:t>
      </w:r>
      <w:r>
        <w:rPr>
          <w:rFonts w:ascii="宋体" w:hAnsi="宋体" w:cs="宋体" w:eastAsia="宋体" w:hint="default"/>
          <w:spacing w:val="-31"/>
        </w:rPr>
        <w:t> </w:t>
      </w:r>
      <w:r>
        <w:rPr/>
        <w:t>获得汽车电子芯片能</w:t>
      </w:r>
      <w:r>
        <w:rPr>
          <w:w w:val="100"/>
        </w:rPr>
        <w:t> </w:t>
      </w:r>
      <w:r>
        <w:rPr>
          <w:spacing w:val="-2"/>
        </w:rPr>
        <w:t>力及渠道经验，英伟达不断拓展汽车电子芯片领域的新产品开发与合作。伴随智能驾驶渗透率提升，主控</w:t>
      </w:r>
      <w:r>
        <w:rPr>
          <w:spacing w:val="-43"/>
        </w:rPr>
        <w:t> </w:t>
      </w:r>
      <w:r>
        <w:rPr>
          <w:spacing w:val="-43"/>
        </w:rPr>
      </w:r>
      <w:r>
        <w:rPr/>
        <w:t>芯片市场规模有望快速成长，</w:t>
      </w:r>
      <w:r>
        <w:rPr>
          <w:rFonts w:ascii="宋体" w:hAnsi="宋体" w:cs="宋体" w:eastAsia="宋体" w:hint="default"/>
        </w:rPr>
        <w:t>IHS</w:t>
      </w:r>
      <w:r>
        <w:rPr>
          <w:rFonts w:ascii="宋体" w:hAnsi="宋体" w:cs="宋体" w:eastAsia="宋体" w:hint="default"/>
          <w:spacing w:val="-51"/>
        </w:rPr>
        <w:t> </w:t>
      </w:r>
      <w:r>
        <w:rPr/>
        <w:t>预测</w:t>
      </w:r>
      <w:r>
        <w:rPr>
          <w:spacing w:val="-49"/>
        </w:rPr>
        <w:t> </w:t>
      </w:r>
      <w:r>
        <w:rPr>
          <w:rFonts w:ascii="宋体" w:hAnsi="宋体" w:cs="宋体" w:eastAsia="宋体" w:hint="default"/>
        </w:rPr>
        <w:t>2020</w:t>
      </w:r>
      <w:r>
        <w:rPr>
          <w:rFonts w:ascii="宋体" w:hAnsi="宋体" w:cs="宋体" w:eastAsia="宋体" w:hint="default"/>
          <w:spacing w:val="-49"/>
        </w:rPr>
        <w:t> </w:t>
      </w:r>
      <w:r>
        <w:rPr/>
        <w:t>年可达</w:t>
      </w:r>
      <w:r>
        <w:rPr>
          <w:spacing w:val="-51"/>
        </w:rPr>
        <w:t> </w:t>
      </w:r>
      <w:r>
        <w:rPr>
          <w:rFonts w:ascii="宋体" w:hAnsi="宋体" w:cs="宋体" w:eastAsia="宋体" w:hint="default"/>
        </w:rPr>
        <w:t>40</w:t>
      </w:r>
      <w:r>
        <w:rPr>
          <w:rFonts w:ascii="宋体" w:hAnsi="宋体" w:cs="宋体" w:eastAsia="宋体" w:hint="default"/>
          <w:spacing w:val="-49"/>
        </w:rPr>
        <w:t> </w:t>
      </w:r>
      <w:r>
        <w:rPr/>
        <w:t>亿美元。中国市场由于国家强制性安装要求，</w:t>
      </w:r>
      <w:r>
        <w:rPr>
          <w:rFonts w:ascii="宋体" w:hAnsi="宋体" w:cs="宋体" w:eastAsia="宋体" w:hint="default"/>
        </w:rPr>
        <w:t>TPMS</w:t>
      </w:r>
      <w:r>
        <w:rPr>
          <w:rFonts w:ascii="宋体" w:hAnsi="宋体" w:cs="宋体" w:eastAsia="宋体" w:hint="default"/>
          <w:w w:val="100"/>
        </w:rPr>
        <w:t> </w:t>
      </w:r>
      <w:r>
        <w:rPr/>
        <w:t>产品或将迎来一轮市场增长空间。</w:t>
      </w:r>
      <w:r>
        <w:rPr>
          <w:rFonts w:ascii="宋体" w:hAnsi="宋体" w:cs="宋体" w:eastAsia="宋体" w:hint="default"/>
          <w:sz w:val="18"/>
          <w:szCs w:val="18"/>
        </w:rPr>
        <w:t> </w:t>
      </w:r>
    </w:p>
    <w:p>
      <w:pPr>
        <w:pStyle w:val="Heading5"/>
        <w:spacing w:line="408" w:lineRule="auto" w:before="87"/>
        <w:ind w:right="1126"/>
        <w:jc w:val="both"/>
        <w:rPr>
          <w:rFonts w:ascii="宋体" w:hAnsi="宋体" w:cs="宋体" w:eastAsia="宋体" w:hint="default"/>
        </w:rPr>
      </w:pPr>
      <w:r>
        <w:rPr>
          <w:rFonts w:ascii="宋体" w:hAnsi="宋体" w:cs="宋体" w:eastAsia="宋体" w:hint="default"/>
        </w:rPr>
        <w:t>2017</w:t>
      </w:r>
      <w:r>
        <w:rPr>
          <w:rFonts w:ascii="宋体" w:hAnsi="宋体" w:cs="宋体" w:eastAsia="宋体" w:hint="default"/>
          <w:spacing w:val="7"/>
        </w:rPr>
        <w:t> </w:t>
      </w:r>
      <w:r>
        <w:rPr>
          <w:spacing w:val="-4"/>
        </w:rPr>
        <w:t>年，公司通过收购杰发科技具备了为车厂提供高性能车规级汽车电子芯片的能力。杰发科技作为</w:t>
      </w:r>
      <w:r>
        <w:rPr>
          <w:w w:val="100"/>
        </w:rPr>
        <w:t> </w:t>
      </w:r>
      <w:r>
        <w:rPr/>
        <w:t>国内芯片产业的主要代表企业之一，产品主要集中在</w:t>
      </w:r>
      <w:r>
        <w:rPr>
          <w:spacing w:val="-33"/>
        </w:rPr>
        <w:t> </w:t>
      </w:r>
      <w:r>
        <w:rPr>
          <w:rFonts w:ascii="宋体" w:hAnsi="宋体" w:cs="宋体" w:eastAsia="宋体" w:hint="default"/>
        </w:rPr>
        <w:t>IVI</w:t>
      </w:r>
      <w:r>
        <w:rPr>
          <w:rFonts w:ascii="宋体" w:hAnsi="宋体" w:cs="宋体" w:eastAsia="宋体" w:hint="default"/>
          <w:spacing w:val="-36"/>
        </w:rPr>
        <w:t> </w:t>
      </w:r>
      <w:r>
        <w:rPr/>
        <w:t>车载信息娱乐芯片、</w:t>
      </w:r>
      <w:r>
        <w:rPr>
          <w:rFonts w:ascii="宋体" w:hAnsi="宋体" w:cs="宋体" w:eastAsia="宋体" w:hint="default"/>
        </w:rPr>
        <w:t>AMP</w:t>
      </w:r>
      <w:r>
        <w:rPr>
          <w:rFonts w:ascii="宋体" w:hAnsi="宋体" w:cs="宋体" w:eastAsia="宋体" w:hint="default"/>
          <w:spacing w:val="-33"/>
        </w:rPr>
        <w:t> </w:t>
      </w:r>
      <w:r>
        <w:rPr/>
        <w:t>功率芯片、</w:t>
      </w:r>
      <w:r>
        <w:rPr>
          <w:rFonts w:ascii="宋体" w:hAnsi="宋体" w:cs="宋体" w:eastAsia="宋体" w:hint="default"/>
        </w:rPr>
        <w:t>MCU</w:t>
      </w:r>
      <w:r>
        <w:rPr>
          <w:rFonts w:ascii="宋体" w:hAnsi="宋体" w:cs="宋体" w:eastAsia="宋体" w:hint="default"/>
          <w:spacing w:val="-36"/>
        </w:rPr>
        <w:t> </w:t>
      </w:r>
      <w:r>
        <w:rPr/>
        <w:t>车身控</w:t>
      </w:r>
      <w:r>
        <w:rPr>
          <w:w w:val="100"/>
        </w:rPr>
        <w:t> </w:t>
      </w:r>
      <w:r>
        <w:rPr/>
        <w:t>制芯片、</w:t>
      </w:r>
      <w:r>
        <w:rPr>
          <w:rFonts w:ascii="宋体" w:hAnsi="宋体" w:cs="宋体" w:eastAsia="宋体" w:hint="default"/>
        </w:rPr>
        <w:t>TPMS</w:t>
      </w:r>
      <w:r>
        <w:rPr>
          <w:rFonts w:ascii="宋体" w:hAnsi="宋体" w:cs="宋体" w:eastAsia="宋体" w:hint="default"/>
          <w:spacing w:val="-45"/>
        </w:rPr>
        <w:t> </w:t>
      </w:r>
      <w:r>
        <w:rPr/>
        <w:t>胎压监测芯片等。其中，</w:t>
      </w:r>
      <w:r>
        <w:rPr>
          <w:rFonts w:ascii="宋体" w:hAnsi="宋体" w:cs="宋体" w:eastAsia="宋体" w:hint="default"/>
        </w:rPr>
        <w:t>IVI</w:t>
      </w:r>
      <w:r>
        <w:rPr>
          <w:rFonts w:ascii="宋体" w:hAnsi="宋体" w:cs="宋体" w:eastAsia="宋体" w:hint="default"/>
          <w:spacing w:val="-45"/>
        </w:rPr>
        <w:t> </w:t>
      </w:r>
      <w:r>
        <w:rPr/>
        <w:t>芯片已经连续多年占据国内后装市场</w:t>
      </w:r>
      <w:r>
        <w:rPr>
          <w:spacing w:val="-45"/>
        </w:rPr>
        <w:t> </w:t>
      </w:r>
      <w:r>
        <w:rPr>
          <w:rFonts w:ascii="宋体" w:hAnsi="宋体" w:cs="宋体" w:eastAsia="宋体" w:hint="default"/>
        </w:rPr>
        <w:t>50%</w:t>
      </w:r>
      <w:r>
        <w:rPr/>
        <w:t>以上的市场份额，并</w:t>
      </w:r>
      <w:r>
        <w:rPr>
          <w:w w:val="100"/>
        </w:rPr>
        <w:t> </w:t>
      </w:r>
      <w:r>
        <w:rPr/>
        <w:t>在前装市场不断拓展。公司的</w:t>
      </w:r>
      <w:r>
        <w:rPr>
          <w:spacing w:val="-43"/>
        </w:rPr>
        <w:t> </w:t>
      </w:r>
      <w:r>
        <w:rPr>
          <w:rFonts w:ascii="宋体" w:hAnsi="宋体" w:cs="宋体" w:eastAsia="宋体" w:hint="default"/>
        </w:rPr>
        <w:t>MCU</w:t>
      </w:r>
      <w:r>
        <w:rPr>
          <w:rFonts w:ascii="宋体" w:hAnsi="宋体" w:cs="宋体" w:eastAsia="宋体" w:hint="default"/>
          <w:spacing w:val="-45"/>
        </w:rPr>
        <w:t> </w:t>
      </w:r>
      <w:r>
        <w:rPr/>
        <w:t>芯片也在</w:t>
      </w:r>
      <w:r>
        <w:rPr>
          <w:spacing w:val="-43"/>
        </w:rPr>
        <w:t> </w:t>
      </w:r>
      <w:r>
        <w:rPr>
          <w:rFonts w:ascii="宋体" w:hAnsi="宋体" w:cs="宋体" w:eastAsia="宋体" w:hint="default"/>
        </w:rPr>
        <w:t>2018</w:t>
      </w:r>
      <w:r>
        <w:rPr>
          <w:rFonts w:ascii="宋体" w:hAnsi="宋体" w:cs="宋体" w:eastAsia="宋体" w:hint="default"/>
          <w:spacing w:val="-45"/>
        </w:rPr>
        <w:t> </w:t>
      </w:r>
      <w:r>
        <w:rPr/>
        <w:t>年</w:t>
      </w:r>
      <w:r>
        <w:rPr>
          <w:spacing w:val="-43"/>
        </w:rPr>
        <w:t> </w:t>
      </w:r>
      <w:r>
        <w:rPr>
          <w:rFonts w:ascii="宋体" w:hAnsi="宋体" w:cs="宋体" w:eastAsia="宋体" w:hint="default"/>
        </w:rPr>
        <w:t>12</w:t>
      </w:r>
      <w:r>
        <w:rPr>
          <w:rFonts w:ascii="宋体" w:hAnsi="宋体" w:cs="宋体" w:eastAsia="宋体" w:hint="default"/>
          <w:spacing w:val="-43"/>
        </w:rPr>
        <w:t> </w:t>
      </w:r>
      <w:r>
        <w:rPr/>
        <w:t>月通过</w:t>
      </w:r>
      <w:r>
        <w:rPr>
          <w:spacing w:val="-43"/>
        </w:rPr>
        <w:t> </w:t>
      </w:r>
      <w:r>
        <w:rPr>
          <w:rFonts w:ascii="宋体" w:hAnsi="宋体" w:cs="宋体" w:eastAsia="宋体" w:hint="default"/>
        </w:rPr>
        <w:t>AEC-Q100Grade1</w:t>
      </w:r>
      <w:r>
        <w:rPr>
          <w:rFonts w:ascii="宋体" w:hAnsi="宋体" w:cs="宋体" w:eastAsia="宋体" w:hint="default"/>
          <w:spacing w:val="-43"/>
        </w:rPr>
        <w:t> </w:t>
      </w:r>
      <w:r>
        <w:rPr/>
        <w:t>车规级验证，成为国内首</w:t>
      </w:r>
      <w:r>
        <w:rPr>
          <w:w w:val="100"/>
        </w:rPr>
        <w:t> </w:t>
      </w:r>
      <w:r>
        <w:rPr>
          <w:spacing w:val="-2"/>
        </w:rPr>
        <w:t>颗自主研发的可在客户端量产的车规级车身控制芯片，打破了一直以来国际巨头的技术垄断，并已获得量</w:t>
      </w:r>
      <w:r>
        <w:rPr>
          <w:spacing w:val="-44"/>
        </w:rPr>
        <w:t> </w:t>
      </w:r>
      <w:r>
        <w:rPr>
          <w:spacing w:val="-44"/>
        </w:rPr>
      </w:r>
      <w:r>
        <w:rPr/>
        <w:t>产订单，并可向智能家电、工业控制等应用领域拓展。未来，胎压监测芯片</w:t>
      </w:r>
      <w:r>
        <w:rPr>
          <w:rFonts w:ascii="宋体" w:hAnsi="宋体" w:cs="宋体" w:eastAsia="宋体" w:hint="default"/>
        </w:rPr>
        <w:t>(TPMS)</w:t>
      </w:r>
      <w:r>
        <w:rPr/>
        <w:t>、智能座舱以及</w:t>
      </w:r>
      <w:r>
        <w:rPr>
          <w:spacing w:val="73"/>
        </w:rPr>
        <w:t> </w:t>
      </w:r>
      <w:r>
        <w:rPr>
          <w:rFonts w:ascii="宋体" w:hAnsi="宋体" w:cs="宋体" w:eastAsia="宋体" w:hint="default"/>
        </w:rPr>
        <w:t>ADAS</w:t>
      </w:r>
      <w:r>
        <w:rPr>
          <w:rFonts w:ascii="宋体" w:hAnsi="宋体" w:cs="宋体" w:eastAsia="宋体" w:hint="default"/>
          <w:spacing w:val="-96"/>
        </w:rPr>
        <w:t> </w:t>
      </w:r>
      <w:r>
        <w:rPr>
          <w:rFonts w:ascii="宋体" w:hAnsi="宋体" w:cs="宋体" w:eastAsia="宋体" w:hint="default"/>
          <w:spacing w:val="-96"/>
        </w:rPr>
      </w:r>
      <w:r>
        <w:rPr/>
        <w:t>芯片等多款新产品也将陆续投入市场。</w:t>
      </w:r>
      <w:r>
        <w:rPr>
          <w:rFonts w:ascii="宋体" w:hAnsi="宋体" w:cs="宋体" w:eastAsia="宋体" w:hint="default"/>
        </w:rPr>
        <w:t> </w:t>
      </w:r>
    </w:p>
    <w:p>
      <w:pPr>
        <w:pStyle w:val="Heading5"/>
        <w:spacing w:line="408" w:lineRule="auto" w:before="84"/>
        <w:ind w:right="982"/>
        <w:jc w:val="left"/>
        <w:rPr>
          <w:rFonts w:ascii="宋体" w:hAnsi="宋体" w:cs="宋体" w:eastAsia="宋体" w:hint="default"/>
        </w:rPr>
      </w:pPr>
      <w:r>
        <w:rPr>
          <w:spacing w:val="-2"/>
        </w:rPr>
        <w:t>公司作为国内首家面向自动驾驶在高精度地图、高精度定位、算法、芯片、大数据等关键节点进行战</w:t>
      </w:r>
      <w:r>
        <w:rPr>
          <w:w w:val="100"/>
        </w:rPr>
        <w:t> </w:t>
      </w:r>
      <w:r>
        <w:rPr/>
        <w:t>略卡位的企业，将继续推进已有芯片产品的研发和量产进度，加大在 </w:t>
      </w:r>
      <w:r>
        <w:rPr>
          <w:rFonts w:ascii="宋体" w:hAnsi="宋体" w:cs="宋体" w:eastAsia="宋体" w:hint="default"/>
        </w:rPr>
        <w:t>AI</w:t>
      </w:r>
      <w:r>
        <w:rPr>
          <w:rFonts w:ascii="宋体" w:hAnsi="宋体" w:cs="宋体" w:eastAsia="宋体" w:hint="default"/>
          <w:spacing w:val="-27"/>
        </w:rPr>
        <w:t> </w:t>
      </w:r>
      <w:r>
        <w:rPr/>
        <w:t>芯片领域的资源投入，加强与产</w:t>
      </w:r>
      <w:r>
        <w:rPr>
          <w:w w:val="100"/>
        </w:rPr>
        <w:t> </w:t>
      </w:r>
      <w:r>
        <w:rPr/>
        <w:t>业链上下游以及软硬件一体化垂直整合，加强与高精度地图、高精度定位、自动驾驶等业务的协同能力，</w:t>
      </w:r>
      <w:r>
        <w:rPr>
          <w:spacing w:val="-24"/>
        </w:rPr>
        <w:t> </w:t>
      </w:r>
      <w:r>
        <w:rPr>
          <w:spacing w:val="-24"/>
        </w:rPr>
      </w:r>
      <w:r>
        <w:rPr/>
        <w:t>为进一步推进“智能汽车大脑“战略落地奠定基础。</w:t>
      </w:r>
      <w:r>
        <w:rPr>
          <w:rFonts w:ascii="宋体" w:hAnsi="宋体" w:cs="宋体" w:eastAsia="宋体" w:hint="default"/>
        </w:rPr>
        <w:t> </w:t>
      </w:r>
    </w:p>
    <w:p>
      <w:pPr>
        <w:pStyle w:val="Heading4"/>
        <w:spacing w:line="240" w:lineRule="auto" w:before="87"/>
        <w:ind w:left="575" w:right="982"/>
        <w:jc w:val="left"/>
        <w:rPr>
          <w:rFonts w:ascii="宋体" w:hAnsi="宋体" w:cs="宋体" w:eastAsia="宋体" w:hint="default"/>
          <w:b w:val="0"/>
          <w:bCs w:val="0"/>
        </w:rPr>
      </w:pPr>
      <w:r>
        <w:rPr>
          <w:rFonts w:ascii="宋体" w:hAnsi="宋体" w:cs="宋体" w:eastAsia="宋体" w:hint="default"/>
        </w:rPr>
        <w:t>4</w:t>
      </w:r>
      <w:r>
        <w:rPr/>
        <w:t>、高级辅助驾驶及自动驾驶行业的发展阶段、周期性特点及公司所处的行业地位</w:t>
      </w:r>
      <w:r>
        <w:rPr>
          <w:rFonts w:ascii="宋体" w:hAnsi="宋体" w:cs="宋体" w:eastAsia="宋体" w:hint="default"/>
          <w:w w:val="99"/>
        </w:rPr>
        <w:t> </w:t>
      </w:r>
      <w:r>
        <w:rPr>
          <w:rFonts w:ascii="宋体" w:hAnsi="宋体" w:cs="宋体" w:eastAsia="宋体" w:hint="default"/>
          <w:b w:val="0"/>
          <w:bCs w:val="0"/>
        </w:rPr>
      </w:r>
    </w:p>
    <w:p>
      <w:pPr>
        <w:spacing w:after="0" w:line="240" w:lineRule="auto"/>
        <w:jc w:val="left"/>
        <w:rPr>
          <w:rFonts w:ascii="宋体" w:hAnsi="宋体" w:cs="宋体" w:eastAsia="宋体" w:hint="default"/>
        </w:rPr>
        <w:sectPr>
          <w:pgSz w:w="11910" w:h="16840"/>
          <w:pgMar w:header="745" w:footer="979" w:top="1060" w:bottom="1160" w:left="980" w:right="0"/>
        </w:sectPr>
      </w:pPr>
    </w:p>
    <w:p>
      <w:pPr>
        <w:spacing w:line="240" w:lineRule="auto" w:before="0"/>
        <w:rPr>
          <w:rFonts w:ascii="宋体" w:hAnsi="宋体" w:cs="宋体" w:eastAsia="宋体" w:hint="default"/>
          <w:b/>
          <w:bCs/>
          <w:sz w:val="20"/>
          <w:szCs w:val="20"/>
        </w:rPr>
      </w:pPr>
    </w:p>
    <w:p>
      <w:pPr>
        <w:pStyle w:val="Heading5"/>
        <w:spacing w:line="408" w:lineRule="auto" w:before="176"/>
        <w:ind w:right="982"/>
        <w:jc w:val="left"/>
        <w:rPr>
          <w:rFonts w:ascii="宋体" w:hAnsi="宋体" w:cs="宋体" w:eastAsia="宋体" w:hint="default"/>
        </w:rPr>
      </w:pPr>
      <w:r>
        <w:rPr>
          <w:spacing w:val="-2"/>
        </w:rPr>
        <w:t>自动驾驶汽车是指搭载了先进的传感系统、控制系统、决策系统、车联网平台，通过通信网络技术实</w:t>
      </w:r>
      <w:r>
        <w:rPr>
          <w:w w:val="100"/>
        </w:rPr>
        <w:t> </w:t>
      </w:r>
      <w:r>
        <w:rPr>
          <w:spacing w:val="-2"/>
        </w:rPr>
        <w:t>现全方位网络连接，具备信息共享、环境感知、智能决策、自主控制功能等的新一代汽车。自动驾驶产业</w:t>
      </w:r>
      <w:r>
        <w:rPr>
          <w:spacing w:val="-43"/>
        </w:rPr>
        <w:t> </w:t>
      </w:r>
      <w:r>
        <w:rPr>
          <w:spacing w:val="-43"/>
        </w:rPr>
      </w:r>
      <w:r>
        <w:rPr>
          <w:spacing w:val="-2"/>
        </w:rPr>
        <w:t>链复杂，参与者众多，总体上分为整车厂，系统供应商，零部件和解决方案供应商。零部件供应商主要包</w:t>
      </w:r>
      <w:r>
        <w:rPr>
          <w:spacing w:val="-43"/>
        </w:rPr>
        <w:t> </w:t>
      </w:r>
      <w:r>
        <w:rPr>
          <w:spacing w:val="-43"/>
        </w:rPr>
      </w:r>
      <w:r>
        <w:rPr>
          <w:spacing w:val="-2"/>
        </w:rPr>
        <w:t>括传感器、算法、芯片、高精度地图、高精度定位、车载信息系统，通信技术及解决方案供应商。根据各</w:t>
      </w:r>
      <w:r>
        <w:rPr>
          <w:spacing w:val="-48"/>
        </w:rPr>
        <w:t> </w:t>
      </w:r>
      <w:r>
        <w:rPr>
          <w:spacing w:val="-48"/>
        </w:rPr>
      </w:r>
      <w:r>
        <w:rPr>
          <w:spacing w:val="-3"/>
        </w:rPr>
        <w:t>主要车厂公布的自动驾驶路线图，目前大多数车企处于</w:t>
      </w:r>
      <w:r>
        <w:rPr>
          <w:spacing w:val="-38"/>
        </w:rPr>
        <w:t> </w:t>
      </w:r>
      <w:r>
        <w:rPr>
          <w:rFonts w:ascii="宋体" w:hAnsi="宋体" w:cs="宋体" w:eastAsia="宋体" w:hint="default"/>
        </w:rPr>
        <w:t>L1/L2</w:t>
      </w:r>
      <w:r>
        <w:rPr>
          <w:rFonts w:ascii="宋体" w:hAnsi="宋体" w:cs="宋体" w:eastAsia="宋体" w:hint="default"/>
          <w:spacing w:val="-42"/>
        </w:rPr>
        <w:t> </w:t>
      </w:r>
      <w:r>
        <w:rPr>
          <w:spacing w:val="-5"/>
        </w:rPr>
        <w:t>级自动驾驶水平，</w:t>
      </w:r>
      <w:r>
        <w:rPr>
          <w:rFonts w:ascii="宋体" w:hAnsi="宋体" w:cs="宋体" w:eastAsia="宋体" w:hint="default"/>
          <w:spacing w:val="-5"/>
        </w:rPr>
        <w:t>L3</w:t>
      </w:r>
      <w:r>
        <w:rPr>
          <w:rFonts w:ascii="宋体" w:hAnsi="宋体" w:cs="宋体" w:eastAsia="宋体" w:hint="default"/>
          <w:spacing w:val="-42"/>
        </w:rPr>
        <w:t> </w:t>
      </w:r>
      <w:r>
        <w:rPr/>
        <w:t>级自动驾驶技术有望集</w:t>
      </w:r>
      <w:r>
        <w:rPr>
          <w:spacing w:val="-100"/>
        </w:rPr>
        <w:t> </w:t>
      </w:r>
      <w:r>
        <w:rPr>
          <w:spacing w:val="-100"/>
        </w:rPr>
      </w:r>
      <w:r>
        <w:rPr/>
        <w:t>中在</w:t>
      </w:r>
      <w:r>
        <w:rPr>
          <w:spacing w:val="-54"/>
        </w:rPr>
        <w:t> </w:t>
      </w:r>
      <w:r>
        <w:rPr>
          <w:rFonts w:ascii="宋体" w:hAnsi="宋体" w:cs="宋体" w:eastAsia="宋体" w:hint="default"/>
        </w:rPr>
        <w:t>2020</w:t>
      </w:r>
      <w:r>
        <w:rPr>
          <w:rFonts w:ascii="宋体" w:hAnsi="宋体" w:cs="宋体" w:eastAsia="宋体" w:hint="default"/>
          <w:spacing w:val="-57"/>
        </w:rPr>
        <w:t> </w:t>
      </w:r>
      <w:r>
        <w:rPr/>
        <w:t>年实现突破。在高级辅助驾驶和自动驾驶领域，众多互联网高科技企业和新兴造车势力也在积</w:t>
      </w:r>
      <w:r>
        <w:rPr>
          <w:w w:val="100"/>
        </w:rPr>
        <w:t> </w:t>
      </w:r>
      <w:r>
        <w:rPr/>
        <w:t>极布局，普遍推动</w:t>
      </w:r>
      <w:r>
        <w:rPr>
          <w:spacing w:val="-56"/>
        </w:rPr>
        <w:t> </w:t>
      </w:r>
      <w:r>
        <w:rPr>
          <w:rFonts w:ascii="宋体" w:hAnsi="宋体" w:cs="宋体" w:eastAsia="宋体" w:hint="default"/>
        </w:rPr>
        <w:t>L2</w:t>
      </w:r>
      <w:r>
        <w:rPr>
          <w:rFonts w:ascii="宋体" w:hAnsi="宋体" w:cs="宋体" w:eastAsia="宋体" w:hint="default"/>
          <w:spacing w:val="-56"/>
        </w:rPr>
        <w:t> </w:t>
      </w:r>
      <w:r>
        <w:rPr/>
        <w:t>级高级辅助驾驶与</w:t>
      </w:r>
      <w:r>
        <w:rPr>
          <w:spacing w:val="-55"/>
        </w:rPr>
        <w:t> </w:t>
      </w:r>
      <w:r>
        <w:rPr>
          <w:rFonts w:ascii="宋体" w:hAnsi="宋体" w:cs="宋体" w:eastAsia="宋体" w:hint="default"/>
        </w:rPr>
        <w:t>L4</w:t>
      </w:r>
      <w:r>
        <w:rPr>
          <w:rFonts w:ascii="宋体" w:hAnsi="宋体" w:cs="宋体" w:eastAsia="宋体" w:hint="default"/>
          <w:spacing w:val="-56"/>
        </w:rPr>
        <w:t> </w:t>
      </w:r>
      <w:r>
        <w:rPr/>
        <w:t>级自动驾驶并行推进的渐进式自动驾驶发展路径。</w:t>
      </w:r>
      <w:r>
        <w:rPr>
          <w:rFonts w:ascii="宋体" w:hAnsi="宋体" w:cs="宋体" w:eastAsia="宋体" w:hint="default"/>
        </w:rPr>
        <w:t> </w:t>
      </w:r>
    </w:p>
    <w:p>
      <w:pPr>
        <w:spacing w:line="240" w:lineRule="auto" w:before="12"/>
        <w:rPr>
          <w:rFonts w:ascii="宋体" w:hAnsi="宋体" w:cs="宋体" w:eastAsia="宋体" w:hint="default"/>
          <w:sz w:val="5"/>
          <w:szCs w:val="5"/>
        </w:rPr>
      </w:pPr>
    </w:p>
    <w:p>
      <w:pPr>
        <w:spacing w:line="4788" w:lineRule="exact"/>
        <w:ind w:left="795" w:right="0" w:firstLine="0"/>
        <w:rPr>
          <w:rFonts w:ascii="宋体" w:hAnsi="宋体" w:cs="宋体" w:eastAsia="宋体" w:hint="default"/>
          <w:sz w:val="20"/>
          <w:szCs w:val="20"/>
        </w:rPr>
      </w:pPr>
      <w:r>
        <w:rPr>
          <w:rFonts w:ascii="宋体" w:hAnsi="宋体" w:cs="宋体" w:eastAsia="宋体" w:hint="default"/>
          <w:position w:val="-95"/>
          <w:sz w:val="20"/>
          <w:szCs w:val="20"/>
        </w:rPr>
        <w:drawing>
          <wp:inline distT="0" distB="0" distL="0" distR="0">
            <wp:extent cx="5558068" cy="3040379"/>
            <wp:effectExtent l="0" t="0" r="0" b="0"/>
            <wp:docPr id="31" name="image17.jpeg" descr=""/>
            <wp:cNvGraphicFramePr>
              <a:graphicFrameLocks noChangeAspect="1"/>
            </wp:cNvGraphicFramePr>
            <a:graphic>
              <a:graphicData uri="http://schemas.openxmlformats.org/drawingml/2006/picture">
                <pic:pic>
                  <pic:nvPicPr>
                    <pic:cNvPr id="32" name="image17.jpeg"/>
                    <pic:cNvPicPr/>
                  </pic:nvPicPr>
                  <pic:blipFill>
                    <a:blip r:embed="rId28" cstate="print"/>
                    <a:stretch>
                      <a:fillRect/>
                    </a:stretch>
                  </pic:blipFill>
                  <pic:spPr>
                    <a:xfrm>
                      <a:off x="0" y="0"/>
                      <a:ext cx="5558068" cy="3040379"/>
                    </a:xfrm>
                    <a:prstGeom prst="rect">
                      <a:avLst/>
                    </a:prstGeom>
                  </pic:spPr>
                </pic:pic>
              </a:graphicData>
            </a:graphic>
          </wp:inline>
        </w:drawing>
      </w:r>
      <w:r>
        <w:rPr>
          <w:rFonts w:ascii="宋体" w:hAnsi="宋体" w:cs="宋体" w:eastAsia="宋体" w:hint="default"/>
          <w:position w:val="-95"/>
          <w:sz w:val="20"/>
          <w:szCs w:val="20"/>
        </w:rPr>
      </w:r>
    </w:p>
    <w:p>
      <w:pPr>
        <w:spacing w:line="240" w:lineRule="auto" w:before="2"/>
        <w:rPr>
          <w:rFonts w:ascii="宋体" w:hAnsi="宋体" w:cs="宋体" w:eastAsia="宋体" w:hint="default"/>
          <w:sz w:val="10"/>
          <w:szCs w:val="10"/>
        </w:rPr>
      </w:pPr>
    </w:p>
    <w:p>
      <w:pPr>
        <w:spacing w:line="4644" w:lineRule="exact"/>
        <w:ind w:left="1140" w:right="0" w:firstLine="0"/>
        <w:rPr>
          <w:rFonts w:ascii="宋体" w:hAnsi="宋体" w:cs="宋体" w:eastAsia="宋体" w:hint="default"/>
          <w:sz w:val="20"/>
          <w:szCs w:val="20"/>
        </w:rPr>
      </w:pPr>
      <w:r>
        <w:rPr>
          <w:rFonts w:ascii="宋体" w:hAnsi="宋体" w:cs="宋体" w:eastAsia="宋体" w:hint="default"/>
          <w:position w:val="-92"/>
          <w:sz w:val="20"/>
          <w:szCs w:val="20"/>
        </w:rPr>
        <w:drawing>
          <wp:inline distT="0" distB="0" distL="0" distR="0">
            <wp:extent cx="5149576" cy="2949130"/>
            <wp:effectExtent l="0" t="0" r="0" b="0"/>
            <wp:docPr id="33" name="image18.jpeg" descr=""/>
            <wp:cNvGraphicFramePr>
              <a:graphicFrameLocks noChangeAspect="1"/>
            </wp:cNvGraphicFramePr>
            <a:graphic>
              <a:graphicData uri="http://schemas.openxmlformats.org/drawingml/2006/picture">
                <pic:pic>
                  <pic:nvPicPr>
                    <pic:cNvPr id="34" name="image18.jpeg"/>
                    <pic:cNvPicPr/>
                  </pic:nvPicPr>
                  <pic:blipFill>
                    <a:blip r:embed="rId29" cstate="print"/>
                    <a:stretch>
                      <a:fillRect/>
                    </a:stretch>
                  </pic:blipFill>
                  <pic:spPr>
                    <a:xfrm>
                      <a:off x="0" y="0"/>
                      <a:ext cx="5149576" cy="2949130"/>
                    </a:xfrm>
                    <a:prstGeom prst="rect">
                      <a:avLst/>
                    </a:prstGeom>
                  </pic:spPr>
                </pic:pic>
              </a:graphicData>
            </a:graphic>
          </wp:inline>
        </w:drawing>
      </w:r>
      <w:r>
        <w:rPr>
          <w:rFonts w:ascii="宋体" w:hAnsi="宋体" w:cs="宋体" w:eastAsia="宋体" w:hint="default"/>
          <w:position w:val="-92"/>
          <w:sz w:val="20"/>
          <w:szCs w:val="20"/>
        </w:rPr>
      </w:r>
    </w:p>
    <w:p>
      <w:pPr>
        <w:pStyle w:val="Heading4"/>
        <w:spacing w:line="240" w:lineRule="auto" w:before="77"/>
        <w:ind w:left="3602" w:right="982"/>
        <w:jc w:val="left"/>
        <w:rPr>
          <w:rFonts w:ascii="宋体" w:hAnsi="宋体" w:cs="宋体" w:eastAsia="宋体" w:hint="default"/>
          <w:b w:val="0"/>
          <w:bCs w:val="0"/>
        </w:rPr>
      </w:pPr>
      <w:r>
        <w:rPr/>
        <w:t>各主要车厂公布的自动驾驶路线图</w:t>
      </w:r>
      <w:r>
        <w:rPr>
          <w:rFonts w:ascii="宋体" w:hAnsi="宋体" w:cs="宋体" w:eastAsia="宋体" w:hint="default"/>
          <w:w w:val="99"/>
        </w:rPr>
        <w:t> </w:t>
      </w:r>
      <w:r>
        <w:rPr>
          <w:rFonts w:ascii="宋体" w:hAnsi="宋体" w:cs="宋体" w:eastAsia="宋体" w:hint="default"/>
          <w:b w:val="0"/>
          <w:bCs w:val="0"/>
        </w:rPr>
      </w:r>
    </w:p>
    <w:p>
      <w:pPr>
        <w:spacing w:line="240" w:lineRule="auto" w:before="10"/>
        <w:rPr>
          <w:rFonts w:ascii="宋体" w:hAnsi="宋体" w:cs="宋体" w:eastAsia="宋体" w:hint="default"/>
          <w:b/>
          <w:bCs/>
          <w:sz w:val="14"/>
          <w:szCs w:val="14"/>
        </w:rPr>
      </w:pPr>
    </w:p>
    <w:p>
      <w:pPr>
        <w:pStyle w:val="Heading5"/>
        <w:spacing w:line="240" w:lineRule="auto" w:before="0"/>
        <w:ind w:left="573" w:right="982" w:firstLine="0"/>
        <w:jc w:val="left"/>
        <w:rPr>
          <w:rFonts w:ascii="宋体" w:hAnsi="宋体" w:cs="宋体" w:eastAsia="宋体" w:hint="default"/>
        </w:rPr>
      </w:pPr>
      <w:r>
        <w:rPr/>
        <w:t>资料来源：公开资料</w:t>
      </w:r>
      <w:r>
        <w:rPr>
          <w:rFonts w:ascii="宋体" w:hAnsi="宋体" w:cs="宋体" w:eastAsia="宋体" w:hint="default"/>
        </w:rPr>
        <w:t> </w:t>
      </w:r>
    </w:p>
    <w:p>
      <w:pPr>
        <w:spacing w:after="0" w:line="240" w:lineRule="auto"/>
        <w:jc w:val="left"/>
        <w:rPr>
          <w:rFonts w:ascii="宋体" w:hAnsi="宋体" w:cs="宋体" w:eastAsia="宋体" w:hint="default"/>
        </w:rPr>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pStyle w:val="Heading5"/>
        <w:spacing w:line="408" w:lineRule="auto" w:before="176"/>
        <w:ind w:right="982"/>
        <w:jc w:val="left"/>
        <w:rPr>
          <w:rFonts w:ascii="宋体" w:hAnsi="宋体" w:cs="宋体" w:eastAsia="宋体" w:hint="default"/>
        </w:rPr>
      </w:pPr>
      <w:r>
        <w:rPr>
          <w:spacing w:val="-4"/>
        </w:rPr>
        <w:t>公司基于智能化测绘技术、传感器网络、高性能计算能力和专业的实时数据处理能力，不断加大</w:t>
      </w:r>
      <w:r>
        <w:rPr>
          <w:spacing w:val="6"/>
        </w:rPr>
        <w:t> </w:t>
      </w:r>
      <w:r>
        <w:rPr>
          <w:rFonts w:ascii="宋体" w:hAnsi="宋体" w:cs="宋体" w:eastAsia="宋体" w:hint="default"/>
        </w:rPr>
        <w:t>ADAS</w:t>
      </w:r>
      <w:r>
        <w:rPr>
          <w:rFonts w:ascii="宋体" w:hAnsi="宋体" w:cs="宋体" w:eastAsia="宋体" w:hint="default"/>
          <w:w w:val="100"/>
        </w:rPr>
        <w:t> </w:t>
      </w:r>
      <w:r>
        <w:rPr/>
        <w:t>地图和</w:t>
      </w:r>
      <w:r>
        <w:rPr>
          <w:spacing w:val="-54"/>
        </w:rPr>
        <w:t> </w:t>
      </w:r>
      <w:r>
        <w:rPr>
          <w:rFonts w:ascii="宋体" w:hAnsi="宋体" w:cs="宋体" w:eastAsia="宋体" w:hint="default"/>
        </w:rPr>
        <w:t>HD</w:t>
      </w:r>
      <w:r>
        <w:rPr>
          <w:rFonts w:ascii="宋体" w:hAnsi="宋体" w:cs="宋体" w:eastAsia="宋体" w:hint="default"/>
          <w:spacing w:val="-57"/>
        </w:rPr>
        <w:t> </w:t>
      </w:r>
      <w:r>
        <w:rPr/>
        <w:t>地图采编自动化和一体化的品质提升，加速推进高精度地图数据的商业化验证，不断拓展可满</w:t>
      </w:r>
      <w:r>
        <w:rPr>
          <w:w w:val="100"/>
        </w:rPr>
        <w:t> </w:t>
      </w:r>
      <w:r>
        <w:rPr/>
        <w:t>足不同精度需求的地图数据服务能力，截至</w:t>
      </w:r>
      <w:r>
        <w:rPr>
          <w:spacing w:val="-54"/>
        </w:rPr>
        <w:t> </w:t>
      </w:r>
      <w:r>
        <w:rPr>
          <w:rFonts w:ascii="宋体" w:hAnsi="宋体" w:cs="宋体" w:eastAsia="宋体" w:hint="default"/>
        </w:rPr>
        <w:t>2018</w:t>
      </w:r>
      <w:r>
        <w:rPr>
          <w:rFonts w:ascii="宋体" w:hAnsi="宋体" w:cs="宋体" w:eastAsia="宋体" w:hint="default"/>
          <w:spacing w:val="-56"/>
        </w:rPr>
        <w:t> </w:t>
      </w:r>
      <w:r>
        <w:rPr/>
        <w:t>年底，</w:t>
      </w:r>
      <w:r>
        <w:rPr>
          <w:rFonts w:ascii="宋体" w:hAnsi="宋体" w:cs="宋体" w:eastAsia="宋体" w:hint="default"/>
        </w:rPr>
        <w:t>ADAS</w:t>
      </w:r>
      <w:r>
        <w:rPr>
          <w:rFonts w:ascii="宋体" w:hAnsi="宋体" w:cs="宋体" w:eastAsia="宋体" w:hint="default"/>
          <w:spacing w:val="-56"/>
        </w:rPr>
        <w:t> </w:t>
      </w:r>
      <w:r>
        <w:rPr/>
        <w:t>数据总里程已覆盖</w:t>
      </w:r>
      <w:r>
        <w:rPr>
          <w:spacing w:val="-54"/>
        </w:rPr>
        <w:t> </w:t>
      </w:r>
      <w:r>
        <w:rPr>
          <w:rFonts w:ascii="宋体" w:hAnsi="宋体" w:cs="宋体" w:eastAsia="宋体" w:hint="default"/>
        </w:rPr>
        <w:t>140</w:t>
      </w:r>
      <w:r>
        <w:rPr>
          <w:rFonts w:ascii="宋体" w:hAnsi="宋体" w:cs="宋体" w:eastAsia="宋体" w:hint="default"/>
          <w:spacing w:val="-56"/>
        </w:rPr>
        <w:t> </w:t>
      </w:r>
      <w:r>
        <w:rPr/>
        <w:t>万公里。已获得中国</w:t>
      </w:r>
      <w:r>
        <w:rPr>
          <w:w w:val="100"/>
        </w:rPr>
        <w:t> </w:t>
      </w:r>
      <w:r>
        <w:rPr/>
        <w:t>首个乘用车</w:t>
      </w:r>
      <w:r>
        <w:rPr>
          <w:spacing w:val="-54"/>
        </w:rPr>
        <w:t> </w:t>
      </w:r>
      <w:r>
        <w:rPr>
          <w:rFonts w:ascii="宋体" w:hAnsi="宋体" w:cs="宋体" w:eastAsia="宋体" w:hint="default"/>
        </w:rPr>
        <w:t>L3</w:t>
      </w:r>
      <w:r>
        <w:rPr>
          <w:rFonts w:ascii="宋体" w:hAnsi="宋体" w:cs="宋体" w:eastAsia="宋体" w:hint="default"/>
          <w:spacing w:val="-57"/>
        </w:rPr>
        <w:t> </w:t>
      </w:r>
      <w:r>
        <w:rPr/>
        <w:t>级自动驾驶地图量产订单，并与工信部等政府机构共同推进高精度地图保密插件等联合验</w:t>
      </w:r>
      <w:r>
        <w:rPr>
          <w:w w:val="100"/>
        </w:rPr>
        <w:t> </w:t>
      </w:r>
      <w:r>
        <w:rPr/>
        <w:t>证，与</w:t>
      </w:r>
      <w:r>
        <w:rPr>
          <w:spacing w:val="-53"/>
        </w:rPr>
        <w:t> </w:t>
      </w:r>
      <w:r>
        <w:rPr>
          <w:rFonts w:ascii="宋体" w:hAnsi="宋体" w:cs="宋体" w:eastAsia="宋体" w:hint="default"/>
        </w:rPr>
        <w:t>HERE</w:t>
      </w:r>
      <w:r>
        <w:rPr/>
        <w:t>、</w:t>
      </w:r>
      <w:r>
        <w:rPr>
          <w:rFonts w:ascii="宋体" w:hAnsi="宋体" w:cs="宋体" w:eastAsia="宋体" w:hint="default"/>
        </w:rPr>
        <w:t>Increment</w:t>
      </w:r>
      <w:r>
        <w:rPr>
          <w:rFonts w:ascii="宋体" w:hAnsi="宋体" w:cs="宋体" w:eastAsia="宋体" w:hint="default"/>
          <w:spacing w:val="-5"/>
        </w:rPr>
        <w:t> </w:t>
      </w:r>
      <w:r>
        <w:rPr>
          <w:rFonts w:ascii="宋体" w:hAnsi="宋体" w:cs="宋体" w:eastAsia="宋体" w:hint="default"/>
        </w:rPr>
        <w:t>P</w:t>
      </w:r>
      <w:r>
        <w:rPr>
          <w:rFonts w:ascii="宋体" w:hAnsi="宋体" w:cs="宋体" w:eastAsia="宋体" w:hint="default"/>
          <w:spacing w:val="-2"/>
        </w:rPr>
        <w:t> </w:t>
      </w:r>
      <w:r>
        <w:rPr>
          <w:rFonts w:ascii="宋体" w:hAnsi="宋体" w:cs="宋体" w:eastAsia="宋体" w:hint="default"/>
        </w:rPr>
        <w:t>(IPC)/Pioneer</w:t>
      </w:r>
      <w:r>
        <w:rPr/>
        <w:t>、</w:t>
      </w:r>
      <w:r>
        <w:rPr>
          <w:rFonts w:ascii="宋体" w:hAnsi="宋体" w:cs="宋体" w:eastAsia="宋体" w:hint="default"/>
        </w:rPr>
        <w:t>SK</w:t>
      </w:r>
      <w:r>
        <w:rPr>
          <w:rFonts w:ascii="宋体" w:hAnsi="宋体" w:cs="宋体" w:eastAsia="宋体" w:hint="default"/>
          <w:spacing w:val="-2"/>
        </w:rPr>
        <w:t> </w:t>
      </w:r>
      <w:r>
        <w:rPr>
          <w:rFonts w:ascii="宋体" w:hAnsi="宋体" w:cs="宋体" w:eastAsia="宋体" w:hint="default"/>
        </w:rPr>
        <w:t>Telecom</w:t>
      </w:r>
      <w:r>
        <w:rPr>
          <w:rFonts w:ascii="宋体" w:hAnsi="宋体" w:cs="宋体" w:eastAsia="宋体" w:hint="default"/>
          <w:spacing w:val="-56"/>
        </w:rPr>
        <w:t> </w:t>
      </w:r>
      <w:r>
        <w:rPr/>
        <w:t>共同成立高精度地图产业联盟</w:t>
      </w:r>
      <w:r>
        <w:rPr>
          <w:spacing w:val="-54"/>
        </w:rPr>
        <w:t> </w:t>
      </w:r>
      <w:r>
        <w:rPr>
          <w:rFonts w:ascii="宋体" w:hAnsi="宋体" w:cs="宋体" w:eastAsia="宋体" w:hint="default"/>
        </w:rPr>
        <w:t>OneMap</w:t>
      </w:r>
      <w:r>
        <w:rPr>
          <w:rFonts w:ascii="宋体" w:hAnsi="宋体" w:cs="宋体" w:eastAsia="宋体" w:hint="default"/>
          <w:spacing w:val="-53"/>
        </w:rPr>
        <w:t> </w:t>
      </w:r>
      <w:r>
        <w:rPr/>
        <w:t>联盟，致</w:t>
      </w:r>
      <w:r>
        <w:rPr>
          <w:w w:val="100"/>
        </w:rPr>
        <w:t> </w:t>
      </w:r>
      <w:r>
        <w:rPr>
          <w:spacing w:val="-2"/>
        </w:rPr>
        <w:t>力于为全球客户提供标准化的高精度地图产品与服务。公司不断丰富高精度定位解决方案，成立六分科技</w:t>
      </w:r>
      <w:r>
        <w:rPr>
          <w:spacing w:val="-43"/>
        </w:rPr>
        <w:t> </w:t>
      </w:r>
      <w:r>
        <w:rPr>
          <w:spacing w:val="-43"/>
        </w:rPr>
      </w:r>
      <w:r>
        <w:rPr>
          <w:spacing w:val="-2"/>
        </w:rPr>
        <w:t>公司，加强基于地基增强技术的高精度定位组网能力和终端应用能力，已完成与客户的联合测试。公司以</w:t>
      </w:r>
      <w:r>
        <w:rPr>
          <w:spacing w:val="-44"/>
        </w:rPr>
        <w:t> </w:t>
      </w:r>
      <w:r>
        <w:rPr>
          <w:spacing w:val="-44"/>
        </w:rPr>
      </w:r>
      <w:r>
        <w:rPr/>
        <w:t>高精度地图和高精度定位为切入点，向可应用于</w:t>
      </w:r>
      <w:r>
        <w:rPr>
          <w:spacing w:val="-55"/>
        </w:rPr>
        <w:t> </w:t>
      </w:r>
      <w:r>
        <w:rPr>
          <w:rFonts w:ascii="宋体" w:hAnsi="宋体" w:cs="宋体" w:eastAsia="宋体" w:hint="default"/>
        </w:rPr>
        <w:t>ADAS</w:t>
      </w:r>
      <w:r>
        <w:rPr>
          <w:rFonts w:ascii="宋体" w:hAnsi="宋体" w:cs="宋体" w:eastAsia="宋体" w:hint="default"/>
          <w:spacing w:val="-56"/>
        </w:rPr>
        <w:t> </w:t>
      </w:r>
      <w:r>
        <w:rPr/>
        <w:t>和自动驾驶的车规级芯片领域拓展，加大新产品研</w:t>
      </w:r>
      <w:r>
        <w:rPr>
          <w:w w:val="100"/>
        </w:rPr>
        <w:t> </w:t>
      </w:r>
      <w:r>
        <w:rPr>
          <w:spacing w:val="-2"/>
        </w:rPr>
        <w:t>发，不断提升软硬件一体化整合能力。公司持续积累基于真实场景的实际道路训练和测试经验，优化自动</w:t>
      </w:r>
      <w:r>
        <w:rPr>
          <w:spacing w:val="-42"/>
        </w:rPr>
        <w:t> </w:t>
      </w:r>
      <w:r>
        <w:rPr>
          <w:spacing w:val="-42"/>
        </w:rPr>
      </w:r>
      <w:r>
        <w:rPr>
          <w:spacing w:val="-1"/>
        </w:rPr>
        <w:t>驾驶算法模型，</w:t>
      </w:r>
      <w:r>
        <w:rPr>
          <w:rFonts w:ascii="宋体" w:hAnsi="宋体" w:cs="宋体" w:eastAsia="宋体" w:hint="default"/>
          <w:spacing w:val="-1"/>
        </w:rPr>
        <w:t>L3</w:t>
      </w:r>
      <w:r>
        <w:rPr>
          <w:rFonts w:ascii="宋体" w:hAnsi="宋体" w:cs="宋体" w:eastAsia="宋体" w:hint="default"/>
          <w:spacing w:val="16"/>
        </w:rPr>
        <w:t> </w:t>
      </w:r>
      <w:r>
        <w:rPr>
          <w:spacing w:val="-2"/>
        </w:rPr>
        <w:t>级自动驾驶完成解决方案服务标准能力已经通过几千公里真实道路测试验证。</w:t>
      </w:r>
      <w:r>
        <w:rPr>
          <w:rFonts w:ascii="宋体" w:hAnsi="宋体" w:cs="宋体" w:eastAsia="宋体" w:hint="default"/>
        </w:rPr>
        <w:t> </w:t>
      </w:r>
    </w:p>
    <w:p>
      <w:pPr>
        <w:spacing w:line="408" w:lineRule="auto" w:before="46"/>
        <w:ind w:left="573" w:right="982" w:firstLine="2"/>
        <w:jc w:val="left"/>
        <w:rPr>
          <w:rFonts w:ascii="宋体" w:hAnsi="宋体" w:cs="宋体" w:eastAsia="宋体" w:hint="default"/>
          <w:sz w:val="21"/>
          <w:szCs w:val="21"/>
        </w:rPr>
      </w:pPr>
      <w:r>
        <w:rPr>
          <w:rFonts w:ascii="宋体" w:hAnsi="宋体" w:cs="宋体" w:eastAsia="宋体" w:hint="default"/>
          <w:b/>
          <w:bCs/>
          <w:sz w:val="21"/>
          <w:szCs w:val="21"/>
        </w:rPr>
        <w:t>5</w:t>
      </w:r>
      <w:r>
        <w:rPr>
          <w:rFonts w:ascii="宋体" w:hAnsi="宋体" w:cs="宋体" w:eastAsia="宋体" w:hint="default"/>
          <w:b/>
          <w:bCs/>
          <w:sz w:val="21"/>
          <w:szCs w:val="21"/>
        </w:rPr>
        <w:t>、位置大数据服务行业的发展阶段、周期性特点及公司所处的行业地位</w:t>
      </w:r>
      <w:r>
        <w:rPr>
          <w:rFonts w:ascii="宋体" w:hAnsi="宋体" w:cs="宋体" w:eastAsia="宋体" w:hint="default"/>
          <w:b/>
          <w:bCs/>
          <w:w w:val="99"/>
          <w:sz w:val="21"/>
          <w:szCs w:val="21"/>
        </w:rPr>
        <w:t> </w:t>
      </w:r>
      <w:r>
        <w:rPr>
          <w:rFonts w:ascii="宋体" w:hAnsi="宋体" w:cs="宋体" w:eastAsia="宋体" w:hint="default"/>
          <w:sz w:val="21"/>
          <w:szCs w:val="21"/>
        </w:rPr>
        <w:t>利用大数据提升管理、服务和决策的水平，是当今世界各国的主要发展趋势。在我国，“智慧城市”</w:t>
      </w:r>
    </w:p>
    <w:p>
      <w:pPr>
        <w:pStyle w:val="Heading5"/>
        <w:spacing w:line="408" w:lineRule="auto"/>
        <w:ind w:right="1126" w:firstLine="0"/>
        <w:jc w:val="both"/>
        <w:rPr>
          <w:rFonts w:ascii="宋体" w:hAnsi="宋体" w:cs="宋体" w:eastAsia="宋体" w:hint="default"/>
        </w:rPr>
      </w:pPr>
      <w:r>
        <w:rPr>
          <w:spacing w:val="-2"/>
        </w:rPr>
        <w:t>多年快速发展积累的信息化效果已经成为经济范式，正在向城市及社会管理的各个垂直领域深入渗透。基</w:t>
      </w:r>
      <w:r>
        <w:rPr>
          <w:spacing w:val="-44"/>
        </w:rPr>
        <w:t> </w:t>
      </w:r>
      <w:r>
        <w:rPr>
          <w:spacing w:val="-44"/>
        </w:rPr>
      </w:r>
      <w:r>
        <w:rPr>
          <w:spacing w:val="-2"/>
        </w:rPr>
        <w:t>于位置大数据的智慧政务管理需求已经进入了环境认知、社群行为监测分析等领域。针对不同行业、不同</w:t>
      </w:r>
      <w:r>
        <w:rPr>
          <w:spacing w:val="-42"/>
        </w:rPr>
        <w:t> </w:t>
      </w:r>
      <w:r>
        <w:rPr>
          <w:spacing w:val="-42"/>
        </w:rPr>
      </w:r>
      <w:r>
        <w:rPr/>
        <w:t>地区各具特色的定制化服务需求日益凸显。</w:t>
      </w:r>
      <w:r>
        <w:rPr>
          <w:rFonts w:ascii="宋体" w:hAnsi="宋体" w:cs="宋体" w:eastAsia="宋体" w:hint="default"/>
        </w:rPr>
        <w:t> </w:t>
      </w:r>
    </w:p>
    <w:p>
      <w:pPr>
        <w:pStyle w:val="Heading5"/>
        <w:spacing w:line="408" w:lineRule="auto" w:before="87"/>
        <w:ind w:right="1126"/>
        <w:jc w:val="both"/>
        <w:rPr>
          <w:rFonts w:ascii="宋体" w:hAnsi="宋体" w:cs="宋体" w:eastAsia="宋体" w:hint="default"/>
        </w:rPr>
      </w:pPr>
      <w:r>
        <w:rPr>
          <w:spacing w:val="-2"/>
        </w:rPr>
        <w:t>公司经过多年运作，基于成熟的多源大数据、核心算法和移动互联网等技术优势，搭建起企业级别位</w:t>
      </w:r>
      <w:r>
        <w:rPr>
          <w:w w:val="100"/>
        </w:rPr>
        <w:t> </w:t>
      </w:r>
      <w:r>
        <w:rPr/>
        <w:t>置大数据平台 </w:t>
      </w:r>
      <w:r>
        <w:rPr>
          <w:rFonts w:ascii="宋体" w:hAnsi="宋体" w:cs="宋体" w:eastAsia="宋体" w:hint="default"/>
        </w:rPr>
        <w:t>MineData</w:t>
      </w:r>
      <w:r>
        <w:rPr>
          <w:rFonts w:ascii="宋体" w:hAnsi="宋体" w:cs="宋体" w:eastAsia="宋体" w:hint="default"/>
          <w:spacing w:val="-29"/>
        </w:rPr>
        <w:t> </w:t>
      </w:r>
      <w:r>
        <w:rPr/>
        <w:t>已在多个细分行业取得进展，在交警、公安、交通、规划等重点领域建立了客户</w:t>
      </w:r>
      <w:r>
        <w:rPr>
          <w:w w:val="100"/>
        </w:rPr>
        <w:t> </w:t>
      </w:r>
      <w:r>
        <w:rPr/>
        <w:t>集群和行业生态，并在新加坡等海外地区进行本地化部署和联测。</w:t>
      </w:r>
      <w:r>
        <w:rPr>
          <w:rFonts w:ascii="宋体" w:hAnsi="宋体" w:cs="宋体" w:eastAsia="宋体" w:hint="default"/>
        </w:rPr>
        <w:t> </w:t>
      </w:r>
    </w:p>
    <w:p>
      <w:pPr>
        <w:spacing w:line="240" w:lineRule="auto" w:before="6"/>
        <w:rPr>
          <w:rFonts w:ascii="宋体" w:hAnsi="宋体" w:cs="宋体" w:eastAsia="宋体" w:hint="default"/>
          <w:sz w:val="18"/>
          <w:szCs w:val="18"/>
        </w:rPr>
      </w:pPr>
    </w:p>
    <w:p>
      <w:pPr>
        <w:pStyle w:val="Heading2"/>
        <w:spacing w:line="240" w:lineRule="auto"/>
        <w:ind w:right="0"/>
        <w:jc w:val="both"/>
        <w:rPr>
          <w:b w:val="0"/>
          <w:bCs w:val="0"/>
        </w:rPr>
      </w:pPr>
      <w:r>
        <w:rPr/>
        <w:t>二、主要资产重大变化情况</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0"/>
        <w:jc w:val="both"/>
        <w:rPr>
          <w:b w:val="0"/>
          <w:bCs w:val="0"/>
        </w:rPr>
      </w:pPr>
      <w:r>
        <w:rPr>
          <w:rFonts w:ascii="Times New Roman" w:hAnsi="Times New Roman" w:cs="Times New Roman" w:eastAsia="Times New Roman" w:hint="default"/>
        </w:rPr>
        <w:t>1</w:t>
      </w:r>
      <w:r>
        <w:rPr/>
        <w:t>、主要资产重大变化情况</w:t>
      </w:r>
      <w:r>
        <w:rPr>
          <w:b w:val="0"/>
          <w:bCs w:val="0"/>
        </w:rPr>
      </w:r>
    </w:p>
    <w:p>
      <w:pPr>
        <w:spacing w:line="240" w:lineRule="auto" w:before="9"/>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3051"/>
        <w:gridCol w:w="6519"/>
      </w:tblGrid>
      <w:tr>
        <w:trPr>
          <w:trHeight w:val="185" w:hRule="exact"/>
        </w:trPr>
        <w:tc>
          <w:tcPr>
            <w:tcW w:w="3051" w:type="dxa"/>
            <w:tcBorders>
              <w:top w:val="single" w:sz="4" w:space="0" w:color="000000"/>
              <w:left w:val="single" w:sz="4" w:space="0" w:color="000000"/>
              <w:bottom w:val="nil" w:sz="6" w:space="0" w:color="auto"/>
              <w:right w:val="single" w:sz="4" w:space="0" w:color="000000"/>
            </w:tcBorders>
            <w:shd w:val="clear" w:color="auto" w:fill="D2D2D2"/>
          </w:tcPr>
          <w:p>
            <w:pPr/>
          </w:p>
        </w:tc>
        <w:tc>
          <w:tcPr>
            <w:tcW w:w="6519"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4" w:hRule="exact"/>
        </w:trPr>
        <w:tc>
          <w:tcPr>
            <w:tcW w:w="305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主要资产</w:t>
            </w:r>
          </w:p>
        </w:tc>
        <w:tc>
          <w:tcPr>
            <w:tcW w:w="651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重大变化说明</w:t>
            </w:r>
          </w:p>
        </w:tc>
      </w:tr>
      <w:tr>
        <w:trPr>
          <w:trHeight w:val="185" w:hRule="exact"/>
        </w:trPr>
        <w:tc>
          <w:tcPr>
            <w:tcW w:w="3051" w:type="dxa"/>
            <w:tcBorders>
              <w:top w:val="nil" w:sz="6" w:space="0" w:color="auto"/>
              <w:left w:val="single" w:sz="4" w:space="0" w:color="000000"/>
              <w:bottom w:val="single" w:sz="4" w:space="0" w:color="000000"/>
              <w:right w:val="single" w:sz="4" w:space="0" w:color="000000"/>
            </w:tcBorders>
            <w:shd w:val="clear" w:color="auto" w:fill="D2D2D2"/>
          </w:tcPr>
          <w:p>
            <w:pPr/>
          </w:p>
        </w:tc>
        <w:tc>
          <w:tcPr>
            <w:tcW w:w="6519"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161" w:hRule="exact"/>
        </w:trPr>
        <w:tc>
          <w:tcPr>
            <w:tcW w:w="3051" w:type="dxa"/>
            <w:tcBorders>
              <w:top w:val="single" w:sz="4" w:space="0" w:color="000000"/>
              <w:left w:val="single" w:sz="4" w:space="0" w:color="000000"/>
              <w:bottom w:val="nil" w:sz="6" w:space="0" w:color="auto"/>
              <w:right w:val="single" w:sz="4" w:space="0" w:color="000000"/>
            </w:tcBorders>
            <w:shd w:val="clear" w:color="auto" w:fill="D2D2D2"/>
          </w:tcPr>
          <w:p>
            <w:pPr/>
          </w:p>
        </w:tc>
        <w:tc>
          <w:tcPr>
            <w:tcW w:w="6519" w:type="dxa"/>
            <w:vMerge w:val="restart"/>
            <w:tcBorders>
              <w:top w:val="single" w:sz="4" w:space="0" w:color="000000"/>
              <w:left w:val="single" w:sz="10" w:space="0" w:color="D2D2D2"/>
              <w:right w:val="single" w:sz="4" w:space="0" w:color="000000"/>
            </w:tcBorders>
          </w:tcPr>
          <w:p>
            <w:pPr>
              <w:pStyle w:val="TableParagraph"/>
              <w:spacing w:line="300" w:lineRule="auto" w:before="49"/>
              <w:ind w:left="16" w:right="10"/>
              <w:jc w:val="left"/>
              <w:rPr>
                <w:rFonts w:ascii="宋体" w:hAnsi="宋体" w:cs="宋体" w:eastAsia="宋体" w:hint="default"/>
                <w:sz w:val="18"/>
                <w:szCs w:val="18"/>
              </w:rPr>
            </w:pPr>
            <w:r>
              <w:rPr>
                <w:rFonts w:ascii="宋体" w:hAnsi="宋体" w:cs="宋体" w:eastAsia="宋体" w:hint="default"/>
                <w:sz w:val="18"/>
                <w:szCs w:val="18"/>
              </w:rPr>
              <w:t>本期增加系子公司</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Mapbar</w:t>
            </w:r>
            <w:r>
              <w:rPr>
                <w:rFonts w:ascii="Times New Roman" w:hAnsi="Times New Roman" w:cs="Times New Roman" w:eastAsia="Times New Roman" w:hint="default"/>
                <w:spacing w:val="-10"/>
                <w:sz w:val="18"/>
                <w:szCs w:val="18"/>
              </w:rPr>
              <w:t> </w:t>
            </w:r>
            <w:r>
              <w:rPr>
                <w:rFonts w:ascii="Times New Roman" w:hAnsi="Times New Roman" w:cs="Times New Roman" w:eastAsia="Times New Roman" w:hint="default"/>
                <w:sz w:val="18"/>
                <w:szCs w:val="18"/>
              </w:rPr>
              <w:t>Technology</w:t>
            </w:r>
            <w:r>
              <w:rPr>
                <w:rFonts w:ascii="Times New Roman" w:hAnsi="Times New Roman" w:cs="Times New Roman" w:eastAsia="Times New Roman" w:hint="default"/>
                <w:spacing w:val="-6"/>
                <w:sz w:val="18"/>
                <w:szCs w:val="18"/>
              </w:rPr>
              <w:t> </w:t>
            </w:r>
            <w:r>
              <w:rPr>
                <w:rFonts w:ascii="Times New Roman" w:hAnsi="Times New Roman" w:cs="Times New Roman" w:eastAsia="Times New Roman" w:hint="default"/>
                <w:sz w:val="18"/>
                <w:szCs w:val="18"/>
              </w:rPr>
              <w:t>Limited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引入第三方增资，公司丧失控制权， 转为参股公司核算所致；</w:t>
            </w:r>
          </w:p>
        </w:tc>
      </w:tr>
      <w:tr>
        <w:trPr>
          <w:trHeight w:val="394" w:hRule="exact"/>
        </w:trPr>
        <w:tc>
          <w:tcPr>
            <w:tcW w:w="305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股权资产</w:t>
            </w:r>
          </w:p>
        </w:tc>
        <w:tc>
          <w:tcPr>
            <w:tcW w:w="6519" w:type="dxa"/>
            <w:vMerge/>
            <w:tcBorders>
              <w:left w:val="single" w:sz="10" w:space="0" w:color="D2D2D2"/>
              <w:right w:val="single" w:sz="4" w:space="0" w:color="000000"/>
            </w:tcBorders>
          </w:tcPr>
          <w:p>
            <w:pPr/>
          </w:p>
        </w:tc>
      </w:tr>
      <w:tr>
        <w:trPr>
          <w:trHeight w:val="161" w:hRule="exact"/>
        </w:trPr>
        <w:tc>
          <w:tcPr>
            <w:tcW w:w="3051" w:type="dxa"/>
            <w:tcBorders>
              <w:top w:val="nil" w:sz="6" w:space="0" w:color="auto"/>
              <w:left w:val="single" w:sz="4" w:space="0" w:color="000000"/>
              <w:bottom w:val="single" w:sz="4" w:space="0" w:color="000000"/>
              <w:right w:val="single" w:sz="4" w:space="0" w:color="000000"/>
            </w:tcBorders>
            <w:shd w:val="clear" w:color="auto" w:fill="D2D2D2"/>
          </w:tcPr>
          <w:p>
            <w:pPr/>
          </w:p>
        </w:tc>
        <w:tc>
          <w:tcPr>
            <w:tcW w:w="6519" w:type="dxa"/>
            <w:vMerge/>
            <w:tcBorders>
              <w:left w:val="single" w:sz="10" w:space="0" w:color="D2D2D2"/>
              <w:bottom w:val="single" w:sz="4" w:space="0" w:color="000000"/>
              <w:right w:val="single" w:sz="4" w:space="0" w:color="000000"/>
            </w:tcBorders>
          </w:tcPr>
          <w:p>
            <w:pPr/>
          </w:p>
        </w:tc>
      </w:tr>
      <w:tr>
        <w:trPr>
          <w:trHeight w:val="401" w:hRule="exact"/>
        </w:trPr>
        <w:tc>
          <w:tcPr>
            <w:tcW w:w="30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651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16" w:right="0"/>
              <w:jc w:val="left"/>
              <w:rPr>
                <w:rFonts w:ascii="宋体" w:hAnsi="宋体" w:cs="宋体" w:eastAsia="宋体" w:hint="default"/>
                <w:sz w:val="18"/>
                <w:szCs w:val="18"/>
              </w:rPr>
            </w:pPr>
            <w:r>
              <w:rPr>
                <w:rFonts w:ascii="宋体" w:hAnsi="宋体" w:cs="宋体" w:eastAsia="宋体" w:hint="default"/>
                <w:sz w:val="18"/>
                <w:szCs w:val="18"/>
              </w:rPr>
              <w:t>无重大变化；</w:t>
            </w:r>
          </w:p>
        </w:tc>
      </w:tr>
      <w:tr>
        <w:trPr>
          <w:trHeight w:val="403" w:hRule="exact"/>
        </w:trPr>
        <w:tc>
          <w:tcPr>
            <w:tcW w:w="30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651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16" w:right="0"/>
              <w:jc w:val="left"/>
              <w:rPr>
                <w:rFonts w:ascii="宋体" w:hAnsi="宋体" w:cs="宋体" w:eastAsia="宋体" w:hint="default"/>
                <w:sz w:val="18"/>
                <w:szCs w:val="18"/>
              </w:rPr>
            </w:pPr>
            <w:r>
              <w:rPr>
                <w:rFonts w:ascii="宋体" w:hAnsi="宋体" w:cs="宋体" w:eastAsia="宋体" w:hint="default"/>
                <w:sz w:val="18"/>
                <w:szCs w:val="18"/>
              </w:rPr>
              <w:t>本期增加系永丰基地土地投入增加所致；</w:t>
            </w:r>
          </w:p>
        </w:tc>
      </w:tr>
      <w:tr>
        <w:trPr>
          <w:trHeight w:val="401" w:hRule="exact"/>
        </w:trPr>
        <w:tc>
          <w:tcPr>
            <w:tcW w:w="30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651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16" w:right="0"/>
              <w:jc w:val="left"/>
              <w:rPr>
                <w:rFonts w:ascii="宋体" w:hAnsi="宋体" w:cs="宋体" w:eastAsia="宋体" w:hint="default"/>
                <w:sz w:val="18"/>
                <w:szCs w:val="18"/>
              </w:rPr>
            </w:pPr>
            <w:r>
              <w:rPr>
                <w:rFonts w:ascii="宋体" w:hAnsi="宋体" w:cs="宋体" w:eastAsia="宋体" w:hint="default"/>
                <w:sz w:val="18"/>
                <w:szCs w:val="18"/>
              </w:rPr>
              <w:t>无重大变化；</w:t>
            </w:r>
          </w:p>
        </w:tc>
      </w:tr>
      <w:tr>
        <w:trPr>
          <w:trHeight w:val="403" w:hRule="exact"/>
        </w:trPr>
        <w:tc>
          <w:tcPr>
            <w:tcW w:w="30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6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本期减少系支付收购杰发科技股权款项及购买理财产品所致；</w:t>
            </w:r>
          </w:p>
        </w:tc>
      </w:tr>
      <w:tr>
        <w:trPr>
          <w:trHeight w:val="713" w:hRule="exact"/>
        </w:trPr>
        <w:tc>
          <w:tcPr>
            <w:tcW w:w="30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6519"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4" w:right="183"/>
              <w:jc w:val="left"/>
              <w:rPr>
                <w:rFonts w:ascii="宋体" w:hAnsi="宋体" w:cs="宋体" w:eastAsia="宋体" w:hint="default"/>
                <w:sz w:val="18"/>
                <w:szCs w:val="18"/>
              </w:rPr>
            </w:pPr>
            <w:r>
              <w:rPr>
                <w:rFonts w:ascii="宋体" w:hAnsi="宋体" w:cs="宋体" w:eastAsia="宋体" w:hint="default"/>
                <w:sz w:val="18"/>
                <w:szCs w:val="18"/>
              </w:rPr>
              <w:t>本期减少系应收定期存款利息减少以及收到上海安吉四维信息技术有限公司分红 款所致；</w:t>
            </w:r>
          </w:p>
        </w:tc>
      </w:tr>
    </w:tbl>
    <w:p>
      <w:pPr>
        <w:spacing w:after="0" w:line="314" w:lineRule="auto"/>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b/>
          <w:bCs/>
          <w:sz w:val="28"/>
          <w:szCs w:val="28"/>
        </w:rPr>
      </w:pPr>
    </w:p>
    <w:tbl>
      <w:tblPr>
        <w:tblW w:w="0" w:type="auto"/>
        <w:jc w:val="left"/>
        <w:tblInd w:w="149" w:type="dxa"/>
        <w:tblLayout w:type="fixed"/>
        <w:tblCellMar>
          <w:top w:w="0" w:type="dxa"/>
          <w:left w:w="0" w:type="dxa"/>
          <w:bottom w:w="0" w:type="dxa"/>
          <w:right w:w="0" w:type="dxa"/>
        </w:tblCellMar>
        <w:tblLook w:val="01E0"/>
      </w:tblPr>
      <w:tblGrid>
        <w:gridCol w:w="3050"/>
        <w:gridCol w:w="6519"/>
      </w:tblGrid>
      <w:tr>
        <w:trPr>
          <w:trHeight w:val="401" w:hRule="exact"/>
        </w:trPr>
        <w:tc>
          <w:tcPr>
            <w:tcW w:w="30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6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本期增加系购买银行理财产品所致；</w:t>
            </w:r>
          </w:p>
        </w:tc>
      </w:tr>
      <w:tr>
        <w:trPr>
          <w:trHeight w:val="403" w:hRule="exact"/>
        </w:trPr>
        <w:tc>
          <w:tcPr>
            <w:tcW w:w="30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6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本期增加系新增投资中国大地财产保险股份有限公司等所致；</w:t>
            </w:r>
          </w:p>
        </w:tc>
      </w:tr>
      <w:tr>
        <w:trPr>
          <w:trHeight w:val="713" w:hRule="exact"/>
        </w:trPr>
        <w:tc>
          <w:tcPr>
            <w:tcW w:w="30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6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本期减少系部分研发项目完成转入无形资产以及子公司</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Mapbar</w:t>
            </w:r>
            <w:r>
              <w:rPr>
                <w:rFonts w:ascii="Times New Roman" w:hAnsi="Times New Roman" w:cs="Times New Roman" w:eastAsia="Times New Roman" w:hint="default"/>
                <w:spacing w:val="-10"/>
                <w:sz w:val="18"/>
                <w:szCs w:val="18"/>
              </w:rPr>
              <w:t> </w:t>
            </w:r>
            <w:r>
              <w:rPr>
                <w:rFonts w:ascii="Times New Roman" w:hAnsi="Times New Roman" w:cs="Times New Roman" w:eastAsia="Times New Roman" w:hint="default"/>
                <w:sz w:val="18"/>
                <w:szCs w:val="18"/>
              </w:rPr>
              <w:t>Technology</w:t>
            </w:r>
            <w:r>
              <w:rPr>
                <w:rFonts w:ascii="Times New Roman" w:hAnsi="Times New Roman" w:cs="Times New Roman" w:eastAsia="Times New Roman" w:hint="default"/>
                <w:spacing w:val="-11"/>
                <w:sz w:val="18"/>
                <w:szCs w:val="18"/>
              </w:rPr>
              <w:t> </w:t>
            </w:r>
            <w:r>
              <w:rPr>
                <w:rFonts w:ascii="Times New Roman" w:hAnsi="Times New Roman" w:cs="Times New Roman" w:eastAsia="Times New Roman" w:hint="default"/>
                <w:sz w:val="18"/>
                <w:szCs w:val="18"/>
              </w:rPr>
              <w:t>Limited</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不再纳入合并范围所致；</w:t>
            </w:r>
          </w:p>
        </w:tc>
      </w:tr>
      <w:tr>
        <w:trPr>
          <w:trHeight w:val="403" w:hRule="exact"/>
        </w:trPr>
        <w:tc>
          <w:tcPr>
            <w:tcW w:w="30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6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本期减少系计提商誉减值准备所致；</w:t>
            </w:r>
          </w:p>
        </w:tc>
      </w:tr>
      <w:tr>
        <w:trPr>
          <w:trHeight w:val="403" w:hRule="exact"/>
        </w:trPr>
        <w:tc>
          <w:tcPr>
            <w:tcW w:w="30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6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本期增加系支付</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Mapbar</w:t>
            </w:r>
            <w:r>
              <w:rPr>
                <w:rFonts w:ascii="Times New Roman" w:hAnsi="Times New Roman" w:cs="Times New Roman" w:eastAsia="Times New Roman" w:hint="default"/>
                <w:spacing w:val="-10"/>
                <w:sz w:val="18"/>
                <w:szCs w:val="18"/>
              </w:rPr>
              <w:t> </w:t>
            </w:r>
            <w:r>
              <w:rPr>
                <w:rFonts w:ascii="Times New Roman" w:hAnsi="Times New Roman" w:cs="Times New Roman" w:eastAsia="Times New Roman" w:hint="default"/>
                <w:sz w:val="18"/>
                <w:szCs w:val="18"/>
              </w:rPr>
              <w:t>Technology</w:t>
            </w:r>
            <w:r>
              <w:rPr>
                <w:rFonts w:ascii="Times New Roman" w:hAnsi="Times New Roman" w:cs="Times New Roman" w:eastAsia="Times New Roman" w:hint="default"/>
                <w:spacing w:val="-7"/>
                <w:sz w:val="18"/>
                <w:szCs w:val="18"/>
              </w:rPr>
              <w:t> </w:t>
            </w:r>
            <w:r>
              <w:rPr>
                <w:rFonts w:ascii="Times New Roman" w:hAnsi="Times New Roman" w:cs="Times New Roman" w:eastAsia="Times New Roman" w:hint="default"/>
                <w:sz w:val="18"/>
                <w:szCs w:val="18"/>
              </w:rPr>
              <w:t>Limited</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投资意向款所致。</w:t>
            </w:r>
          </w:p>
        </w:tc>
      </w:tr>
    </w:tbl>
    <w:p>
      <w:pPr>
        <w:spacing w:line="240" w:lineRule="auto" w:before="3"/>
        <w:rPr>
          <w:rFonts w:ascii="宋体" w:hAnsi="宋体" w:cs="宋体" w:eastAsia="宋体" w:hint="default"/>
          <w:b/>
          <w:bCs/>
          <w:sz w:val="19"/>
          <w:szCs w:val="19"/>
        </w:rPr>
      </w:pPr>
    </w:p>
    <w:p>
      <w:pPr>
        <w:pStyle w:val="Heading4"/>
        <w:spacing w:line="240" w:lineRule="auto" w:before="36"/>
        <w:ind w:right="0"/>
        <w:jc w:val="both"/>
        <w:rPr>
          <w:b w:val="0"/>
          <w:bCs w:val="0"/>
        </w:rPr>
      </w:pPr>
      <w:r>
        <w:rPr>
          <w:rFonts w:ascii="Times New Roman" w:hAnsi="Times New Roman" w:cs="Times New Roman" w:eastAsia="Times New Roman" w:hint="default"/>
        </w:rPr>
        <w:t>2</w:t>
      </w:r>
      <w:r>
        <w:rPr/>
        <w:t>、主要境外资产情况</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0"/>
        <w:jc w:val="both"/>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3"/>
        <w:rPr>
          <w:rFonts w:ascii="宋体" w:hAnsi="宋体" w:cs="宋体" w:eastAsia="宋体" w:hint="default"/>
          <w:sz w:val="24"/>
          <w:szCs w:val="24"/>
        </w:rPr>
      </w:pPr>
    </w:p>
    <w:p>
      <w:pPr>
        <w:pStyle w:val="Heading2"/>
        <w:spacing w:line="240" w:lineRule="auto"/>
        <w:ind w:right="0"/>
        <w:jc w:val="both"/>
        <w:rPr>
          <w:b w:val="0"/>
          <w:bCs w:val="0"/>
        </w:rPr>
      </w:pPr>
      <w:r>
        <w:rPr/>
        <w:t>三、核心竞争力分析</w:t>
      </w:r>
      <w:r>
        <w:rPr>
          <w:b w:val="0"/>
          <w:bCs w:val="0"/>
        </w:rPr>
      </w:r>
    </w:p>
    <w:p>
      <w:pPr>
        <w:spacing w:line="240" w:lineRule="auto" w:before="6"/>
        <w:rPr>
          <w:rFonts w:ascii="宋体" w:hAnsi="宋体" w:cs="宋体" w:eastAsia="宋体" w:hint="default"/>
          <w:b/>
          <w:bCs/>
          <w:sz w:val="26"/>
          <w:szCs w:val="26"/>
        </w:rPr>
      </w:pPr>
    </w:p>
    <w:p>
      <w:pPr>
        <w:pStyle w:val="BodyText"/>
        <w:spacing w:line="357" w:lineRule="auto"/>
        <w:ind w:right="7694"/>
        <w:jc w:val="left"/>
      </w:pPr>
      <w:r>
        <w:rPr/>
        <w:t>公司是否需要遵守特殊行业的披露要求 是</w:t>
      </w:r>
    </w:p>
    <w:p>
      <w:pPr>
        <w:pStyle w:val="BodyText"/>
        <w:spacing w:line="240" w:lineRule="auto" w:before="29"/>
        <w:ind w:right="0"/>
        <w:jc w:val="both"/>
      </w:pPr>
      <w:r>
        <w:rPr/>
        <w:t>软件与信息技术服务业</w:t>
      </w:r>
    </w:p>
    <w:p>
      <w:pPr>
        <w:spacing w:line="240" w:lineRule="auto" w:before="3"/>
        <w:rPr>
          <w:rFonts w:ascii="宋体" w:hAnsi="宋体" w:cs="宋体" w:eastAsia="宋体" w:hint="default"/>
          <w:sz w:val="22"/>
          <w:szCs w:val="22"/>
        </w:rPr>
      </w:pPr>
    </w:p>
    <w:p>
      <w:pPr>
        <w:pStyle w:val="Heading5"/>
        <w:spacing w:line="408" w:lineRule="auto" w:before="0"/>
        <w:ind w:right="0"/>
        <w:jc w:val="left"/>
        <w:rPr>
          <w:rFonts w:ascii="宋体" w:hAnsi="宋体" w:cs="宋体" w:eastAsia="宋体" w:hint="default"/>
        </w:rPr>
      </w:pPr>
      <w:r>
        <w:rPr>
          <w:rFonts w:ascii="宋体" w:hAnsi="宋体" w:cs="宋体" w:eastAsia="宋体" w:hint="default"/>
        </w:rPr>
        <w:t>2018</w:t>
      </w:r>
      <w:r>
        <w:rPr>
          <w:rFonts w:ascii="宋体" w:hAnsi="宋体" w:cs="宋体" w:eastAsia="宋体" w:hint="default"/>
          <w:spacing w:val="-41"/>
        </w:rPr>
        <w:t> </w:t>
      </w:r>
      <w:r>
        <w:rPr>
          <w:spacing w:val="-4"/>
        </w:rPr>
        <w:t>年，公司为了进一步落实“智能汽车大脑”战略愿景，从导航、车联网、车载智能芯片、高精度</w:t>
      </w:r>
      <w:r>
        <w:rPr>
          <w:w w:val="100"/>
        </w:rPr>
        <w:t> </w:t>
      </w:r>
      <w:r>
        <w:rPr/>
        <w:t>地图、高精度定位以及自动驾驶整体解决方案服务能力建设入手，不断加大研发投入力度，并通过资本协</w:t>
      </w:r>
      <w:r>
        <w:rPr>
          <w:w w:val="100"/>
        </w:rPr>
        <w:t> </w:t>
      </w:r>
      <w:r>
        <w:rPr/>
        <w:t>同、战略合作、联合验证等方式，加速推进产品技术商业化进程，为公司进一步打造“数字地图</w:t>
      </w:r>
      <w:r>
        <w:rPr>
          <w:rFonts w:ascii="宋体" w:hAnsi="宋体" w:cs="宋体" w:eastAsia="宋体" w:hint="default"/>
        </w:rPr>
        <w:t>+</w:t>
      </w:r>
      <w:r>
        <w:rPr/>
        <w:t>车联网</w:t>
      </w:r>
      <w:r>
        <w:rPr>
          <w:rFonts w:ascii="宋体" w:hAnsi="宋体" w:cs="宋体" w:eastAsia="宋体" w:hint="default"/>
        </w:rPr>
        <w:t>+</w:t>
      </w:r>
      <w:r>
        <w:rPr>
          <w:rFonts w:ascii="宋体" w:hAnsi="宋体" w:cs="宋体" w:eastAsia="宋体" w:hint="default"/>
          <w:w w:val="100"/>
        </w:rPr>
        <w:t> </w:t>
      </w:r>
      <w:r>
        <w:rPr>
          <w:spacing w:val="-2"/>
        </w:rPr>
        <w:t>自动驾驶</w:t>
      </w:r>
      <w:r>
        <w:rPr>
          <w:rFonts w:ascii="宋体" w:hAnsi="宋体" w:cs="宋体" w:eastAsia="宋体" w:hint="default"/>
          <w:spacing w:val="-2"/>
        </w:rPr>
        <w:t>+</w:t>
      </w:r>
      <w:r>
        <w:rPr>
          <w:spacing w:val="-2"/>
        </w:rPr>
        <w:t>大数据</w:t>
      </w:r>
      <w:r>
        <w:rPr>
          <w:rFonts w:ascii="宋体" w:hAnsi="宋体" w:cs="宋体" w:eastAsia="宋体" w:hint="default"/>
          <w:spacing w:val="-2"/>
        </w:rPr>
        <w:t>+</w:t>
      </w:r>
      <w:r>
        <w:rPr>
          <w:spacing w:val="-2"/>
        </w:rPr>
        <w:t>芯片”五位一体的技术领先优势以及自动驾驶领域的行业头部地位奠定基础。报告期内，</w:t>
      </w:r>
      <w:r>
        <w:rPr>
          <w:spacing w:val="-42"/>
        </w:rPr>
        <w:t> </w:t>
      </w:r>
      <w:r>
        <w:rPr>
          <w:spacing w:val="-42"/>
        </w:rPr>
      </w:r>
      <w:r>
        <w:rPr/>
        <w:t>公司在以下几方面持续打造核心竞争能力：</w:t>
      </w:r>
      <w:r>
        <w:rPr>
          <w:rFonts w:ascii="宋体" w:hAnsi="宋体" w:cs="宋体" w:eastAsia="宋体" w:hint="default"/>
        </w:rPr>
        <w:t> </w:t>
      </w:r>
    </w:p>
    <w:p>
      <w:pPr>
        <w:spacing w:line="240" w:lineRule="auto" w:before="6"/>
        <w:rPr>
          <w:rFonts w:ascii="宋体" w:hAnsi="宋体" w:cs="宋体" w:eastAsia="宋体" w:hint="default"/>
          <w:sz w:val="15"/>
          <w:szCs w:val="15"/>
        </w:rPr>
      </w:pPr>
    </w:p>
    <w:p>
      <w:pPr>
        <w:spacing w:line="408" w:lineRule="auto" w:before="0"/>
        <w:ind w:left="573" w:right="982" w:firstLine="2"/>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、兼具汽车和互联网两大前沿领域的跨界融合发展能力</w:t>
      </w:r>
      <w:r>
        <w:rPr>
          <w:rFonts w:ascii="宋体" w:hAnsi="宋体" w:cs="宋体" w:eastAsia="宋体" w:hint="default"/>
          <w:b/>
          <w:bCs/>
          <w:w w:val="99"/>
          <w:sz w:val="21"/>
          <w:szCs w:val="21"/>
        </w:rPr>
        <w:t> </w:t>
      </w:r>
      <w:r>
        <w:rPr>
          <w:rFonts w:ascii="宋体" w:hAnsi="宋体" w:cs="宋体" w:eastAsia="宋体" w:hint="default"/>
          <w:spacing w:val="-2"/>
          <w:sz w:val="21"/>
          <w:szCs w:val="21"/>
        </w:rPr>
        <w:t>公司在多年的与顶尖车厂、互联网高科技客户合作与共同开发中，一直秉承汽车行业严谨、高效、注</w:t>
      </w:r>
    </w:p>
    <w:p>
      <w:pPr>
        <w:pStyle w:val="Heading5"/>
        <w:spacing w:line="408" w:lineRule="auto"/>
        <w:ind w:right="1126" w:firstLine="0"/>
        <w:jc w:val="both"/>
        <w:rPr>
          <w:rFonts w:ascii="宋体" w:hAnsi="宋体" w:cs="宋体" w:eastAsia="宋体" w:hint="default"/>
        </w:rPr>
      </w:pPr>
      <w:r>
        <w:rPr>
          <w:spacing w:val="-2"/>
        </w:rPr>
        <w:t>重品质的理念与工作方式。它不仅使公司在车载前装领域持续多年保持市场领先地位，同时，面对互联网</w:t>
      </w:r>
      <w:r>
        <w:rPr>
          <w:spacing w:val="-44"/>
        </w:rPr>
        <w:t> </w:t>
      </w:r>
      <w:r>
        <w:rPr>
          <w:spacing w:val="-44"/>
        </w:rPr>
      </w:r>
      <w:r>
        <w:rPr>
          <w:spacing w:val="-2"/>
        </w:rPr>
        <w:t>领域日益激烈的市场环境，也使公司能够抓住市场机遇，与滴滴、腾讯、搜狗、华为、微软建立了良好的</w:t>
      </w:r>
      <w:r>
        <w:rPr>
          <w:spacing w:val="-42"/>
        </w:rPr>
        <w:t> </w:t>
      </w:r>
      <w:r>
        <w:rPr>
          <w:spacing w:val="-42"/>
        </w:rPr>
      </w:r>
      <w:r>
        <w:rPr/>
        <w:t>全面合作关系。</w:t>
      </w:r>
      <w:r>
        <w:rPr>
          <w:rFonts w:ascii="宋体" w:hAnsi="宋体" w:cs="宋体" w:eastAsia="宋体" w:hint="default"/>
        </w:rPr>
        <w:t> </w:t>
      </w:r>
    </w:p>
    <w:p>
      <w:pPr>
        <w:pStyle w:val="Heading5"/>
        <w:spacing w:line="408" w:lineRule="auto"/>
        <w:ind w:right="982"/>
        <w:jc w:val="left"/>
        <w:rPr>
          <w:rFonts w:ascii="宋体" w:hAnsi="宋体" w:cs="宋体" w:eastAsia="宋体" w:hint="default"/>
        </w:rPr>
      </w:pPr>
      <w:r>
        <w:rPr/>
        <w:t>公司拥有导航电子地图制作资质和互联网地图服务资质，并已通过 </w:t>
      </w:r>
      <w:r>
        <w:rPr>
          <w:rFonts w:ascii="宋体" w:hAnsi="宋体" w:cs="宋体" w:eastAsia="宋体" w:hint="default"/>
        </w:rPr>
        <w:t>International Automotive</w:t>
      </w:r>
      <w:r>
        <w:rPr>
          <w:rFonts w:ascii="宋体" w:hAnsi="宋体" w:cs="宋体" w:eastAsia="宋体" w:hint="default"/>
          <w:spacing w:val="-59"/>
        </w:rPr>
        <w:t> </w:t>
      </w:r>
      <w:r>
        <w:rPr>
          <w:rFonts w:ascii="宋体" w:hAnsi="宋体" w:cs="宋体" w:eastAsia="宋体" w:hint="default"/>
        </w:rPr>
        <w:t>Task</w:t>
      </w:r>
      <w:r>
        <w:rPr>
          <w:rFonts w:ascii="宋体" w:hAnsi="宋体" w:cs="宋体" w:eastAsia="宋体" w:hint="default"/>
          <w:w w:val="100"/>
        </w:rPr>
        <w:t> </w:t>
      </w:r>
      <w:r>
        <w:rPr>
          <w:rFonts w:ascii="宋体" w:hAnsi="宋体" w:cs="宋体" w:eastAsia="宋体" w:hint="default"/>
        </w:rPr>
        <w:t>Force 16949</w:t>
      </w:r>
      <w:r>
        <w:rPr/>
        <w:t>（国际汽车</w:t>
      </w:r>
      <w:hyperlink r:id="rId30">
        <w:r>
          <w:rPr/>
          <w:t>工作组</w:t>
        </w:r>
      </w:hyperlink>
      <w:r>
        <w:rPr/>
        <w:t>）认证审核和 </w:t>
      </w:r>
      <w:r>
        <w:rPr>
          <w:rFonts w:ascii="宋体" w:hAnsi="宋体" w:cs="宋体" w:eastAsia="宋体" w:hint="default"/>
        </w:rPr>
        <w:t>Automotive SPICE Maturity</w:t>
      </w:r>
      <w:r>
        <w:rPr>
          <w:rFonts w:ascii="宋体" w:hAnsi="宋体" w:cs="宋体" w:eastAsia="宋体" w:hint="default"/>
          <w:spacing w:val="-65"/>
        </w:rPr>
        <w:t> </w:t>
      </w:r>
      <w:r>
        <w:rPr>
          <w:rFonts w:ascii="宋体" w:hAnsi="宋体" w:cs="宋体" w:eastAsia="宋体" w:hint="default"/>
        </w:rPr>
        <w:t>Level3</w:t>
      </w:r>
      <w:r>
        <w:rPr/>
        <w:t>（汽车行业软件过程改</w:t>
      </w:r>
      <w:r>
        <w:rPr>
          <w:w w:val="100"/>
        </w:rPr>
        <w:t> </w:t>
      </w:r>
      <w:r>
        <w:rPr>
          <w:spacing w:val="-3"/>
        </w:rPr>
        <w:t>进和能力评估模型组织级成熟度三级）认证审核，是全球汽车</w:t>
      </w:r>
      <w:r>
        <w:rPr>
          <w:spacing w:val="-40"/>
        </w:rPr>
        <w:t> </w:t>
      </w:r>
      <w:r>
        <w:rPr>
          <w:rFonts w:ascii="宋体" w:hAnsi="宋体" w:cs="宋体" w:eastAsia="宋体" w:hint="default"/>
        </w:rPr>
        <w:t>GIS</w:t>
      </w:r>
      <w:r>
        <w:rPr>
          <w:rFonts w:ascii="宋体" w:hAnsi="宋体" w:cs="宋体" w:eastAsia="宋体" w:hint="default"/>
          <w:spacing w:val="-44"/>
        </w:rPr>
        <w:t> </w:t>
      </w:r>
      <w:r>
        <w:rPr/>
        <w:t>软件和数字地图行业中第一家同时具有</w:t>
      </w:r>
      <w:r>
        <w:rPr>
          <w:spacing w:val="-76"/>
        </w:rPr>
        <w:t> </w:t>
      </w:r>
      <w:r>
        <w:rPr>
          <w:spacing w:val="-76"/>
        </w:rPr>
      </w:r>
      <w:r>
        <w:rPr>
          <w:spacing w:val="-2"/>
        </w:rPr>
        <w:t>甲级测绘资质和汽车行业权威认证资格的企业。面向互联网信息服务和车联网服务，公司已经通过互联网</w:t>
      </w:r>
      <w:r>
        <w:rPr>
          <w:spacing w:val="-44"/>
        </w:rPr>
        <w:t> </w:t>
      </w:r>
      <w:r>
        <w:rPr>
          <w:spacing w:val="-44"/>
        </w:rPr>
      </w:r>
      <w:r>
        <w:rPr>
          <w:spacing w:val="-4"/>
        </w:rPr>
        <w:t>信息服务业务经营许可（简称 </w:t>
      </w:r>
      <w:r>
        <w:rPr>
          <w:rFonts w:ascii="宋体" w:hAnsi="宋体" w:cs="宋体" w:eastAsia="宋体" w:hint="default"/>
          <w:spacing w:val="-4"/>
        </w:rPr>
        <w:t>ICP</w:t>
      </w:r>
      <w:r>
        <w:rPr>
          <w:spacing w:val="-4"/>
        </w:rPr>
        <w:t>）续期认证和在线数据处理与交易处理业务经营许可（简称</w:t>
      </w:r>
      <w:r>
        <w:rPr>
          <w:spacing w:val="-26"/>
        </w:rPr>
        <w:t> </w:t>
      </w:r>
      <w:r>
        <w:rPr>
          <w:rFonts w:ascii="宋体" w:hAnsi="宋体" w:cs="宋体" w:eastAsia="宋体" w:hint="default"/>
          <w:spacing w:val="-7"/>
        </w:rPr>
        <w:t>EDI</w:t>
      </w:r>
      <w:r>
        <w:rPr>
          <w:spacing w:val="-7"/>
        </w:rPr>
        <w:t>）认证。</w:t>
      </w:r>
      <w:r>
        <w:rPr>
          <w:rFonts w:ascii="宋体" w:hAnsi="宋体" w:cs="宋体" w:eastAsia="宋体" w:hint="default"/>
        </w:rPr>
        <w:t> </w:t>
      </w:r>
    </w:p>
    <w:p>
      <w:pPr>
        <w:pStyle w:val="Heading5"/>
        <w:spacing w:line="408" w:lineRule="auto"/>
        <w:ind w:right="982"/>
        <w:jc w:val="left"/>
      </w:pPr>
      <w:r>
        <w:rPr>
          <w:spacing w:val="-5"/>
        </w:rPr>
        <w:t>利用服务于互联网客户的难得机遇，公司吸收互联网行业对产品快速迭代、以用户为依托的服务理念，</w:t>
      </w:r>
      <w:r>
        <w:rPr>
          <w:w w:val="100"/>
        </w:rPr>
        <w:t> </w:t>
      </w:r>
      <w:r>
        <w:rPr>
          <w:spacing w:val="-2"/>
        </w:rPr>
        <w:t>提升产品竞争力、改善生产工艺及流程，并且开发出专门应对互联网客户需求的产品及服务。同时，公司</w:t>
      </w:r>
    </w:p>
    <w:p>
      <w:pPr>
        <w:spacing w:after="0" w:line="408" w:lineRule="auto"/>
        <w:jc w:val="left"/>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pStyle w:val="Heading5"/>
        <w:spacing w:line="408" w:lineRule="auto" w:before="176"/>
        <w:ind w:right="1126" w:firstLine="0"/>
        <w:jc w:val="both"/>
        <w:rPr>
          <w:rFonts w:ascii="宋体" w:hAnsi="宋体" w:cs="宋体" w:eastAsia="宋体" w:hint="default"/>
        </w:rPr>
      </w:pPr>
      <w:r>
        <w:rPr>
          <w:spacing w:val="-2"/>
        </w:rPr>
        <w:t>本身也在加速转型，积累以位置为核心的多源动态海量数据，学习互联网巨头的最佳实践，进一步扩展行</w:t>
      </w:r>
      <w:r>
        <w:rPr>
          <w:spacing w:val="-44"/>
        </w:rPr>
        <w:t> </w:t>
      </w:r>
      <w:r>
        <w:rPr>
          <w:spacing w:val="-44"/>
        </w:rPr>
      </w:r>
      <w:r>
        <w:rPr>
          <w:spacing w:val="-7"/>
        </w:rPr>
        <w:t>业及周边生态，整合跨界资源，推动业务创新。公司在服务互联网客户过程中形成的产品升级换代与创新，</w:t>
      </w:r>
      <w:r>
        <w:rPr>
          <w:spacing w:val="-20"/>
        </w:rPr>
        <w:t> </w:t>
      </w:r>
      <w:r>
        <w:rPr>
          <w:spacing w:val="-20"/>
        </w:rPr>
      </w:r>
      <w:r>
        <w:rPr/>
        <w:t>同时也极大的提升了汽车领域客户的用户体验，形成了融合发展、持续提升的良性循环。</w:t>
      </w:r>
      <w:r>
        <w:rPr>
          <w:rFonts w:ascii="宋体" w:hAnsi="宋体" w:cs="宋体" w:eastAsia="宋体" w:hint="default"/>
        </w:rPr>
        <w:t> </w:t>
      </w:r>
    </w:p>
    <w:p>
      <w:pPr>
        <w:pStyle w:val="Heading5"/>
        <w:spacing w:line="408" w:lineRule="auto"/>
        <w:ind w:right="1126"/>
        <w:jc w:val="both"/>
        <w:rPr>
          <w:rFonts w:ascii="宋体" w:hAnsi="宋体" w:cs="宋体" w:eastAsia="宋体" w:hint="default"/>
        </w:rPr>
      </w:pPr>
      <w:r>
        <w:rPr>
          <w:rFonts w:ascii="宋体" w:hAnsi="宋体" w:cs="宋体" w:eastAsia="宋体" w:hint="default"/>
        </w:rPr>
        <w:t>2017</w:t>
      </w:r>
      <w:r>
        <w:rPr>
          <w:rFonts w:ascii="宋体" w:hAnsi="宋体" w:cs="宋体" w:eastAsia="宋体" w:hint="default"/>
          <w:spacing w:val="9"/>
        </w:rPr>
        <w:t> </w:t>
      </w:r>
      <w:r>
        <w:rPr>
          <w:spacing w:val="-4"/>
        </w:rPr>
        <w:t>年，公司通过对杰发科技公司的收购，加深了与汽车电子和智能芯片方面的人才及产业资源的联</w:t>
      </w:r>
      <w:r>
        <w:rPr>
          <w:w w:val="100"/>
        </w:rPr>
        <w:t> </w:t>
      </w:r>
      <w:r>
        <w:rPr>
          <w:spacing w:val="-3"/>
        </w:rPr>
        <w:t>系及协同合作。</w:t>
      </w:r>
      <w:r>
        <w:rPr>
          <w:rFonts w:ascii="宋体" w:hAnsi="宋体" w:cs="宋体" w:eastAsia="宋体" w:hint="default"/>
          <w:spacing w:val="-3"/>
        </w:rPr>
        <w:t>2018 </w:t>
      </w:r>
      <w:r>
        <w:rPr>
          <w:spacing w:val="-3"/>
        </w:rPr>
        <w:t>年，公司通过分拆融资、增资扩股等方式，在车联网领域引进在互联网行业和汽车行</w:t>
      </w:r>
      <w:r>
        <w:rPr>
          <w:spacing w:val="-92"/>
        </w:rPr>
        <w:t> </w:t>
      </w:r>
      <w:r>
        <w:rPr>
          <w:spacing w:val="-92"/>
        </w:rPr>
      </w:r>
      <w:r>
        <w:rPr>
          <w:spacing w:val="-2"/>
        </w:rPr>
        <w:t>业具有强大产业实力的头部企业作为战略投资者和股东，为推动公司乘用车车联网业务和商用车车联网业</w:t>
      </w:r>
      <w:r>
        <w:rPr>
          <w:spacing w:val="-43"/>
        </w:rPr>
        <w:t> </w:t>
      </w:r>
      <w:r>
        <w:rPr>
          <w:spacing w:val="-43"/>
        </w:rPr>
      </w:r>
      <w:r>
        <w:rPr>
          <w:spacing w:val="-2"/>
        </w:rPr>
        <w:t>务快速发展导入产业优势资源支持推奠定基础，公司兼具汽车和互联网两大前沿领域的跨界融合发展能力</w:t>
      </w:r>
      <w:r>
        <w:rPr>
          <w:spacing w:val="-43"/>
        </w:rPr>
        <w:t> </w:t>
      </w:r>
      <w:r>
        <w:rPr>
          <w:spacing w:val="-43"/>
        </w:rPr>
      </w:r>
      <w:r>
        <w:rPr/>
        <w:t>得到进一步提升。</w:t>
      </w:r>
      <w:r>
        <w:rPr>
          <w:rFonts w:ascii="宋体" w:hAnsi="宋体" w:cs="宋体" w:eastAsia="宋体" w:hint="default"/>
        </w:rPr>
        <w:t> </w:t>
      </w:r>
    </w:p>
    <w:p>
      <w:pPr>
        <w:spacing w:line="240" w:lineRule="auto" w:before="7"/>
        <w:rPr>
          <w:rFonts w:ascii="宋体" w:hAnsi="宋体" w:cs="宋体" w:eastAsia="宋体" w:hint="default"/>
          <w:sz w:val="15"/>
          <w:szCs w:val="15"/>
        </w:rPr>
      </w:pPr>
    </w:p>
    <w:p>
      <w:pPr>
        <w:spacing w:line="408" w:lineRule="auto" w:before="0"/>
        <w:ind w:left="573" w:right="0" w:firstLine="2"/>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、围绕长期稳定的优质客户、合作伙伴构建的行业生态</w:t>
      </w:r>
      <w:r>
        <w:rPr>
          <w:rFonts w:ascii="宋体" w:hAnsi="宋体" w:cs="宋体" w:eastAsia="宋体" w:hint="default"/>
          <w:b/>
          <w:bCs/>
          <w:w w:val="99"/>
          <w:sz w:val="21"/>
          <w:szCs w:val="21"/>
        </w:rPr>
        <w:t> </w:t>
      </w:r>
      <w:r>
        <w:rPr>
          <w:rFonts w:ascii="宋体" w:hAnsi="宋体" w:cs="宋体" w:eastAsia="宋体" w:hint="default"/>
          <w:spacing w:val="-2"/>
          <w:sz w:val="21"/>
          <w:szCs w:val="21"/>
        </w:rPr>
        <w:t>公司作为独立的第三方公司，致力于面向整个汽车行业及科技型企业提供关键资源的支持和产品服务。</w:t>
      </w:r>
    </w:p>
    <w:p>
      <w:pPr>
        <w:pStyle w:val="Heading5"/>
        <w:spacing w:line="408" w:lineRule="auto"/>
        <w:ind w:right="982" w:firstLine="0"/>
        <w:jc w:val="left"/>
        <w:rPr>
          <w:rFonts w:ascii="宋体" w:hAnsi="宋体" w:cs="宋体" w:eastAsia="宋体" w:hint="default"/>
        </w:rPr>
      </w:pPr>
      <w:r>
        <w:rPr>
          <w:spacing w:val="-2"/>
        </w:rPr>
        <w:t>公司基于自身的行业地位及资源优势，围绕智能驾驶及位置大数据平台搭建了业务孵化体系，对自动驾驶</w:t>
      </w:r>
      <w:r>
        <w:rPr>
          <w:spacing w:val="-44"/>
        </w:rPr>
        <w:t> </w:t>
      </w:r>
      <w:r>
        <w:rPr>
          <w:spacing w:val="-44"/>
        </w:rPr>
      </w:r>
      <w:r>
        <w:rPr>
          <w:spacing w:val="-2"/>
        </w:rPr>
        <w:t>相关的环境感知、人工智能（深度学习）、大数据分析等具有独特竞争优势和商业潜力的新兴业务进行资</w:t>
      </w:r>
      <w:r>
        <w:rPr>
          <w:spacing w:val="-44"/>
        </w:rPr>
        <w:t> </w:t>
      </w:r>
      <w:r>
        <w:rPr>
          <w:spacing w:val="-44"/>
        </w:rPr>
      </w:r>
      <w:r>
        <w:rPr>
          <w:spacing w:val="-2"/>
        </w:rPr>
        <w:t>源扶持，协助新兴业务参与市场竞争。公司积极打造可支持自身及行业生态发展的产业投资并购能力，与</w:t>
      </w:r>
      <w:r>
        <w:rPr>
          <w:spacing w:val="-42"/>
        </w:rPr>
        <w:t> </w:t>
      </w:r>
      <w:r>
        <w:rPr>
          <w:spacing w:val="-42"/>
        </w:rPr>
      </w:r>
      <w:r>
        <w:rPr>
          <w:spacing w:val="-2"/>
        </w:rPr>
        <w:t>国内重点地区在产业基金项目落地以及产业生态建设方面展开多方面合作，致力于与行业伙伴共同构建稳</w:t>
      </w:r>
      <w:r>
        <w:rPr>
          <w:spacing w:val="-43"/>
        </w:rPr>
        <w:t> </w:t>
      </w:r>
      <w:r>
        <w:rPr>
          <w:spacing w:val="-43"/>
        </w:rPr>
      </w:r>
      <w:r>
        <w:rPr/>
        <w:t>定的产业发展生态。公司面对高级辅助驾驶及自动驾驶领域的快速发展，对不同级别自动驾驶创业企业，</w:t>
      </w:r>
      <w:r>
        <w:rPr>
          <w:spacing w:val="-31"/>
        </w:rPr>
        <w:t> </w:t>
      </w:r>
      <w:r>
        <w:rPr>
          <w:spacing w:val="-31"/>
        </w:rPr>
      </w:r>
      <w:r>
        <w:rPr>
          <w:spacing w:val="-2"/>
        </w:rPr>
        <w:t>从产品和投资两个维度予以扶持或支持。公司通过子公司分拆融资、增资扩股等方式，进一步拓展了产业</w:t>
      </w:r>
      <w:r>
        <w:rPr>
          <w:spacing w:val="-45"/>
        </w:rPr>
        <w:t> </w:t>
      </w:r>
      <w:r>
        <w:rPr>
          <w:spacing w:val="-45"/>
        </w:rPr>
      </w:r>
      <w:r>
        <w:rPr/>
        <w:t>优势资源和研发资金支持渠道。经过连续多年的广泛关注和持续投入，公司在高精度地图、高精度定位、</w:t>
      </w:r>
      <w:r>
        <w:rPr>
          <w:spacing w:val="-31"/>
        </w:rPr>
        <w:t> </w:t>
      </w:r>
      <w:r>
        <w:rPr>
          <w:spacing w:val="-31"/>
        </w:rPr>
      </w:r>
      <w:r>
        <w:rPr>
          <w:spacing w:val="-2"/>
        </w:rPr>
        <w:t>自动驾驶整体解决方案等业务领域的竞争优势逐渐显现，协同建立的产业生态进一步发酵放大，为公司继</w:t>
      </w:r>
      <w:r>
        <w:rPr>
          <w:spacing w:val="-42"/>
        </w:rPr>
        <w:t> </w:t>
      </w:r>
      <w:r>
        <w:rPr>
          <w:spacing w:val="-42"/>
        </w:rPr>
      </w:r>
      <w:r>
        <w:rPr/>
        <w:t>续夯实行业地位，拓展市场发展空间和行业生态环境奠定基础。</w:t>
      </w:r>
      <w:r>
        <w:rPr>
          <w:rFonts w:ascii="宋体" w:hAnsi="宋体" w:cs="宋体" w:eastAsia="宋体" w:hint="default"/>
        </w:rPr>
        <w:t> </w:t>
      </w:r>
    </w:p>
    <w:p>
      <w:pPr>
        <w:pStyle w:val="Heading5"/>
        <w:spacing w:line="408" w:lineRule="auto"/>
        <w:ind w:right="982"/>
        <w:jc w:val="left"/>
        <w:rPr>
          <w:rFonts w:ascii="宋体" w:hAnsi="宋体" w:cs="宋体" w:eastAsia="宋体" w:hint="default"/>
        </w:rPr>
      </w:pPr>
      <w:r>
        <w:rPr/>
        <w:t>公司自</w:t>
      </w:r>
      <w:r>
        <w:rPr>
          <w:spacing w:val="-55"/>
        </w:rPr>
        <w:t> </w:t>
      </w:r>
      <w:r>
        <w:rPr>
          <w:rFonts w:ascii="宋体" w:hAnsi="宋体" w:cs="宋体" w:eastAsia="宋体" w:hint="default"/>
        </w:rPr>
        <w:t>2015</w:t>
      </w:r>
      <w:r>
        <w:rPr>
          <w:rFonts w:ascii="宋体" w:hAnsi="宋体" w:cs="宋体" w:eastAsia="宋体" w:hint="default"/>
          <w:spacing w:val="-55"/>
        </w:rPr>
        <w:t> </w:t>
      </w:r>
      <w:r>
        <w:rPr/>
        <w:t>年以来与滴滴保持深度且紧密的合作关系，双方基于公司在位置信息大数据方面的技术</w:t>
      </w:r>
      <w:r>
        <w:rPr>
          <w:w w:val="100"/>
        </w:rPr>
        <w:t> </w:t>
      </w:r>
      <w:r>
        <w:rPr>
          <w:spacing w:val="-2"/>
        </w:rPr>
        <w:t>和能力，以及滴滴公司的移动互联网优势，在基于位置信息的移动互联网服务领域进行合作研发和新科技</w:t>
      </w:r>
      <w:r>
        <w:rPr>
          <w:spacing w:val="-44"/>
        </w:rPr>
        <w:t> </w:t>
      </w:r>
      <w:r>
        <w:rPr>
          <w:spacing w:val="-44"/>
        </w:rPr>
      </w:r>
      <w:r>
        <w:rPr>
          <w:spacing w:val="-2"/>
        </w:rPr>
        <w:t>方向探索。公司与华为、</w:t>
      </w:r>
      <w:r>
        <w:rPr>
          <w:rFonts w:ascii="宋体" w:hAnsi="宋体" w:cs="宋体" w:eastAsia="宋体" w:hint="default"/>
          <w:spacing w:val="-2"/>
        </w:rPr>
        <w:t>Mobileye</w:t>
      </w:r>
      <w:r>
        <w:rPr>
          <w:spacing w:val="-2"/>
        </w:rPr>
        <w:t>、</w:t>
      </w:r>
      <w:r>
        <w:rPr>
          <w:rFonts w:ascii="宋体" w:hAnsi="宋体" w:cs="宋体" w:eastAsia="宋体" w:hint="default"/>
          <w:spacing w:val="-2"/>
        </w:rPr>
        <w:t>HERE</w:t>
      </w:r>
      <w:r>
        <w:rPr>
          <w:spacing w:val="-2"/>
        </w:rPr>
        <w:t>、清华大学、武汉大学、北京航空航天大学等国际领先企业及科</w:t>
      </w:r>
      <w:r>
        <w:rPr>
          <w:spacing w:val="-33"/>
        </w:rPr>
        <w:t> </w:t>
      </w:r>
      <w:r>
        <w:rPr>
          <w:spacing w:val="-33"/>
        </w:rPr>
      </w:r>
      <w:r>
        <w:rPr>
          <w:spacing w:val="-2"/>
        </w:rPr>
        <w:t>研院校建立深度的合作关系，在环境感知与认知、自动驾驶地图、高精度定位、智能导航与决策、位置大</w:t>
      </w:r>
      <w:r>
        <w:rPr>
          <w:spacing w:val="-43"/>
        </w:rPr>
        <w:t> </w:t>
      </w:r>
      <w:r>
        <w:rPr>
          <w:spacing w:val="-43"/>
        </w:rPr>
      </w:r>
      <w:r>
        <w:rPr>
          <w:spacing w:val="-2"/>
        </w:rPr>
        <w:t>数据、人工智能辅助、云平台、车路协同、车载计算与通讯、智能驾驶、车联网等关键领域开展技术合作</w:t>
      </w:r>
      <w:r>
        <w:rPr>
          <w:spacing w:val="-42"/>
        </w:rPr>
        <w:t> </w:t>
      </w:r>
      <w:r>
        <w:rPr>
          <w:spacing w:val="-42"/>
        </w:rPr>
      </w:r>
      <w:r>
        <w:rPr>
          <w:spacing w:val="-2"/>
        </w:rPr>
        <w:t>和探讨，共同推进技术创新或产品商业化落地。公司积极参与行业及产业共建，与工信部、自然资源部等</w:t>
      </w:r>
      <w:r>
        <w:rPr>
          <w:spacing w:val="-46"/>
        </w:rPr>
        <w:t> </w:t>
      </w:r>
      <w:r>
        <w:rPr>
          <w:spacing w:val="-46"/>
        </w:rPr>
      </w:r>
      <w:r>
        <w:rPr>
          <w:spacing w:val="-2"/>
        </w:rPr>
        <w:t>政府机构共同讨论和推进高精度地图数据采集、审核、加密处理，动态传感器数据采集回传等方面的相关</w:t>
      </w:r>
      <w:r>
        <w:rPr>
          <w:spacing w:val="-45"/>
        </w:rPr>
        <w:t> </w:t>
      </w:r>
      <w:r>
        <w:rPr>
          <w:spacing w:val="-45"/>
        </w:rPr>
      </w:r>
      <w:r>
        <w:rPr>
          <w:spacing w:val="-2"/>
        </w:rPr>
        <w:t>法律法规和流程建设。参与国家智能网联汽车产业生态创新体系建设，参股国汽智联公司，并获得董事席</w:t>
      </w:r>
      <w:r>
        <w:rPr>
          <w:spacing w:val="-44"/>
        </w:rPr>
        <w:t> </w:t>
      </w:r>
      <w:r>
        <w:rPr>
          <w:spacing w:val="-44"/>
        </w:rPr>
      </w:r>
      <w:r>
        <w:rPr/>
        <w:t>位。参加国家</w:t>
      </w:r>
      <w:r>
        <w:rPr>
          <w:spacing w:val="-55"/>
        </w:rPr>
        <w:t> </w:t>
      </w:r>
      <w:r>
        <w:rPr>
          <w:rFonts w:ascii="宋体" w:hAnsi="宋体" w:cs="宋体" w:eastAsia="宋体" w:hint="default"/>
        </w:rPr>
        <w:t>863</w:t>
      </w:r>
      <w:r>
        <w:rPr>
          <w:rFonts w:ascii="宋体" w:hAnsi="宋体" w:cs="宋体" w:eastAsia="宋体" w:hint="default"/>
          <w:spacing w:val="-56"/>
        </w:rPr>
        <w:t> </w:t>
      </w:r>
      <w:r>
        <w:rPr/>
        <w:t>高科技研究发展计划和航天科技公司科技创新项目，</w:t>
      </w:r>
      <w:r>
        <w:rPr>
          <w:rFonts w:ascii="宋体" w:hAnsi="宋体" w:cs="宋体" w:eastAsia="宋体" w:hint="default"/>
        </w:rPr>
        <w:t> </w:t>
      </w:r>
    </w:p>
    <w:p>
      <w:pPr>
        <w:spacing w:after="0" w:line="408" w:lineRule="auto"/>
        <w:jc w:val="left"/>
        <w:rPr>
          <w:rFonts w:ascii="宋体" w:hAnsi="宋体" w:cs="宋体" w:eastAsia="宋体" w:hint="default"/>
        </w:rPr>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pStyle w:val="Heading5"/>
        <w:spacing w:line="408" w:lineRule="auto" w:before="176"/>
        <w:ind w:right="982"/>
        <w:jc w:val="left"/>
        <w:rPr>
          <w:rFonts w:ascii="宋体" w:hAnsi="宋体" w:cs="宋体" w:eastAsia="宋体" w:hint="default"/>
        </w:rPr>
      </w:pPr>
      <w:r>
        <w:rPr/>
        <w:t>面向未来产品和市场的竞争将具备全球化的特点，公司积极筹措国际化发展布局。公司在美国硅谷、</w:t>
      </w:r>
      <w:r>
        <w:rPr>
          <w:w w:val="100"/>
        </w:rPr>
        <w:t> </w:t>
      </w:r>
      <w:r>
        <w:rPr>
          <w:spacing w:val="-2"/>
        </w:rPr>
        <w:t>荷兰、新加坡、日本东京等设立了全资子公司，深入跟踪自动驾驶等领域的前沿技术发展，也为公司在该</w:t>
      </w:r>
      <w:r>
        <w:rPr>
          <w:spacing w:val="-47"/>
        </w:rPr>
        <w:t> </w:t>
      </w:r>
      <w:r>
        <w:rPr>
          <w:spacing w:val="-47"/>
        </w:rPr>
      </w:r>
      <w:r>
        <w:rPr>
          <w:spacing w:val="-3"/>
        </w:rPr>
        <w:t>领域的业务拓展逐渐建立起广泛的产业联系，</w:t>
      </w:r>
      <w:r>
        <w:rPr>
          <w:rFonts w:ascii="宋体" w:hAnsi="宋体" w:cs="宋体" w:eastAsia="宋体" w:hint="default"/>
          <w:spacing w:val="-3"/>
        </w:rPr>
        <w:t>Minedata </w:t>
      </w:r>
      <w:r>
        <w:rPr>
          <w:spacing w:val="-4"/>
        </w:rPr>
        <w:t>大数据平台、商用车联网解决方案、实时交通等产</w:t>
      </w:r>
      <w:r>
        <w:rPr>
          <w:spacing w:val="-69"/>
        </w:rPr>
        <w:t> </w:t>
      </w:r>
      <w:r>
        <w:rPr>
          <w:spacing w:val="-69"/>
        </w:rPr>
      </w:r>
      <w:r>
        <w:rPr/>
        <w:t>品和服务已经在新加坡等国家和地区进行本地化部署和联测。公司与国际最大的图商</w:t>
      </w:r>
      <w:r>
        <w:rPr>
          <w:spacing w:val="-54"/>
        </w:rPr>
        <w:t> </w:t>
      </w:r>
      <w:r>
        <w:rPr>
          <w:rFonts w:ascii="宋体" w:hAnsi="宋体" w:cs="宋体" w:eastAsia="宋体" w:hint="default"/>
        </w:rPr>
        <w:t>HERE</w:t>
      </w:r>
      <w:r>
        <w:rPr>
          <w:rFonts w:ascii="宋体" w:hAnsi="宋体" w:cs="宋体" w:eastAsia="宋体" w:hint="default"/>
          <w:spacing w:val="-56"/>
        </w:rPr>
        <w:t> </w:t>
      </w:r>
      <w:r>
        <w:rPr/>
        <w:t>在中国成立合</w:t>
      </w:r>
      <w:r>
        <w:rPr>
          <w:w w:val="100"/>
        </w:rPr>
        <w:t> </w:t>
      </w:r>
      <w:r>
        <w:rPr/>
        <w:t>资公司北京图新瀚和科技有限公司，为使用 </w:t>
      </w:r>
      <w:r>
        <w:rPr>
          <w:rFonts w:ascii="宋体" w:hAnsi="宋体" w:cs="宋体" w:eastAsia="宋体" w:hint="default"/>
        </w:rPr>
        <w:t>HERE</w:t>
      </w:r>
      <w:r>
        <w:rPr>
          <w:rFonts w:ascii="宋体" w:hAnsi="宋体" w:cs="宋体" w:eastAsia="宋体" w:hint="default"/>
          <w:spacing w:val="-56"/>
        </w:rPr>
        <w:t> </w:t>
      </w:r>
      <w:r>
        <w:rPr/>
        <w:t>全球位置服务平台的客户提供包括中国地图数据及动态</w:t>
      </w:r>
      <w:r>
        <w:rPr>
          <w:w w:val="100"/>
        </w:rPr>
        <w:t> </w:t>
      </w:r>
      <w:r>
        <w:rPr>
          <w:spacing w:val="-2"/>
        </w:rPr>
        <w:t>信息在内的内容端和服务端的解决方案。公司在收购芯片业务之后，为了进一步增强汽车电子芯片领域国</w:t>
      </w:r>
      <w:r>
        <w:rPr>
          <w:spacing w:val="-43"/>
        </w:rPr>
        <w:t> </w:t>
      </w:r>
      <w:r>
        <w:rPr>
          <w:spacing w:val="-43"/>
        </w:rPr>
      </w:r>
      <w:r>
        <w:rPr>
          <w:spacing w:val="-2"/>
        </w:rPr>
        <w:t>际市场的竞争力，正在通过公司在欧洲和美国的分支机构加强同业联系，并积极寻求深度合作及并购的机</w:t>
      </w:r>
      <w:r>
        <w:rPr>
          <w:spacing w:val="-44"/>
        </w:rPr>
        <w:t> </w:t>
      </w:r>
      <w:r>
        <w:rPr>
          <w:spacing w:val="-44"/>
        </w:rPr>
      </w:r>
      <w:r>
        <w:rPr>
          <w:spacing w:val="-2"/>
        </w:rPr>
        <w:t>会。公司积极推进与微软的合作进展，双方将充分发挥各自的优势，共同推进在汽车领域的生态建设。公</w:t>
      </w:r>
      <w:r>
        <w:rPr>
          <w:spacing w:val="-47"/>
        </w:rPr>
        <w:t> </w:t>
      </w:r>
      <w:r>
        <w:rPr>
          <w:spacing w:val="-47"/>
        </w:rPr>
      </w:r>
      <w:r>
        <w:rPr/>
        <w:t>司不断加强与戴姆勒、宝马等国际车厂的业务合作关系，签订面向未来的新车型及量产车型合作订单。</w:t>
      </w:r>
      <w:r>
        <w:rPr>
          <w:rFonts w:ascii="宋体" w:hAnsi="宋体" w:cs="宋体" w:eastAsia="宋体" w:hint="default"/>
        </w:rPr>
        <w:t> </w:t>
      </w:r>
    </w:p>
    <w:p>
      <w:pPr>
        <w:spacing w:line="240" w:lineRule="auto" w:before="6"/>
        <w:rPr>
          <w:rFonts w:ascii="宋体" w:hAnsi="宋体" w:cs="宋体" w:eastAsia="宋体" w:hint="default"/>
          <w:sz w:val="15"/>
          <w:szCs w:val="15"/>
        </w:rPr>
      </w:pPr>
    </w:p>
    <w:p>
      <w:pPr>
        <w:spacing w:line="408" w:lineRule="auto" w:before="0"/>
        <w:ind w:left="573" w:right="982" w:firstLine="2"/>
        <w:jc w:val="left"/>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b/>
          <w:bCs/>
          <w:sz w:val="21"/>
          <w:szCs w:val="21"/>
        </w:rPr>
        <w:t>、长期耕耘专业领域所形成的行业人才竞争优势</w:t>
      </w:r>
      <w:r>
        <w:rPr>
          <w:rFonts w:ascii="宋体" w:hAnsi="宋体" w:cs="宋体" w:eastAsia="宋体" w:hint="default"/>
          <w:b/>
          <w:bCs/>
          <w:w w:val="99"/>
          <w:sz w:val="21"/>
          <w:szCs w:val="21"/>
        </w:rPr>
        <w:t> </w:t>
      </w:r>
      <w:r>
        <w:rPr>
          <w:rFonts w:ascii="宋体" w:hAnsi="宋体" w:cs="宋体" w:eastAsia="宋体" w:hint="default"/>
          <w:spacing w:val="-2"/>
          <w:sz w:val="21"/>
          <w:szCs w:val="21"/>
        </w:rPr>
        <w:t>公司拥有一支具有十余年导航电子地图、汽车和互联网领域技术研发经验的高学历、高素质、年轻化</w:t>
      </w:r>
    </w:p>
    <w:p>
      <w:pPr>
        <w:pStyle w:val="Heading5"/>
        <w:spacing w:line="408" w:lineRule="auto"/>
        <w:ind w:right="1127" w:firstLine="0"/>
        <w:jc w:val="both"/>
        <w:rPr>
          <w:rFonts w:ascii="宋体" w:hAnsi="宋体" w:cs="宋体" w:eastAsia="宋体" w:hint="default"/>
        </w:rPr>
      </w:pPr>
      <w:r>
        <w:rPr>
          <w:spacing w:val="-2"/>
        </w:rPr>
        <w:t>的专业技术团队，核心技术员工在汽车导航电子地图、测绘工程、计算机视觉、深度学习算法、芯片、微</w:t>
      </w:r>
      <w:r>
        <w:rPr>
          <w:spacing w:val="-42"/>
        </w:rPr>
        <w:t> </w:t>
      </w:r>
      <w:r>
        <w:rPr>
          <w:spacing w:val="-42"/>
        </w:rPr>
      </w:r>
      <w:r>
        <w:rPr/>
        <w:t>电子、半导体、大数据、汽车电子等领域具有丰富专业经验。</w:t>
      </w:r>
      <w:r>
        <w:rPr>
          <w:rFonts w:ascii="宋体" w:hAnsi="宋体" w:cs="宋体" w:eastAsia="宋体" w:hint="default"/>
        </w:rPr>
        <w:t> </w:t>
      </w:r>
    </w:p>
    <w:p>
      <w:pPr>
        <w:pStyle w:val="Heading5"/>
        <w:spacing w:line="408" w:lineRule="auto"/>
        <w:ind w:right="982"/>
        <w:jc w:val="left"/>
      </w:pPr>
      <w:r>
        <w:rPr/>
        <w:t>公司自创立以来，在发展自主知识产权技术的同时，与国际领先图商、车厂、系统商建立了密切的技</w:t>
      </w:r>
      <w:r>
        <w:rPr>
          <w:w w:val="100"/>
        </w:rPr>
        <w:t> </w:t>
      </w:r>
      <w:r>
        <w:rPr>
          <w:spacing w:val="-2"/>
        </w:rPr>
        <w:t>术合作关系，在导航电子地图生产和应用方面学习吸取国外先进的产品理念和技术经验，掌握了最先进的</w:t>
      </w:r>
      <w:r>
        <w:rPr>
          <w:spacing w:val="-44"/>
        </w:rPr>
        <w:t> </w:t>
      </w:r>
      <w:r>
        <w:rPr>
          <w:spacing w:val="-44"/>
        </w:rPr>
      </w:r>
      <w:r>
        <w:rPr>
          <w:spacing w:val="-2"/>
        </w:rPr>
        <w:t>高端导航电子地图核心生产技术和专业知识，设计出能与国际先进技术和标准接轨的数据和产品规格。在</w:t>
      </w:r>
      <w:r>
        <w:rPr>
          <w:spacing w:val="-43"/>
        </w:rPr>
        <w:t> </w:t>
      </w:r>
      <w:r>
        <w:rPr>
          <w:spacing w:val="-43"/>
        </w:rPr>
      </w:r>
      <w:r>
        <w:rPr>
          <w:spacing w:val="-5"/>
        </w:rPr>
        <w:t>底层技术积累和高新技术攻关等领域，公司与多所国内外顶尖高校、科研院所建立了良好的研发合作关系。</w:t>
      </w:r>
      <w:r>
        <w:rPr>
          <w:spacing w:val="-4"/>
        </w:rPr>
        <w:t> </w:t>
      </w:r>
      <w:r>
        <w:rPr>
          <w:spacing w:val="-4"/>
        </w:rPr>
      </w:r>
      <w:r>
        <w:rPr>
          <w:spacing w:val="-2"/>
        </w:rPr>
        <w:t>在海量数据管理、多源数据融合处理、实时交通信息的处理与发布、地图快速增量更新等前瞻性关键技术</w:t>
      </w:r>
      <w:r>
        <w:rPr>
          <w:spacing w:val="-44"/>
        </w:rPr>
        <w:t> </w:t>
      </w:r>
      <w:r>
        <w:rPr>
          <w:spacing w:val="-44"/>
        </w:rPr>
      </w:r>
      <w:r>
        <w:rPr>
          <w:spacing w:val="-2"/>
        </w:rPr>
        <w:t>课题方面，公司与国内外合作伙伴共同开展广泛而深入的联合研究和技术开发，并加速推进科研成果商业</w:t>
      </w:r>
      <w:r>
        <w:rPr>
          <w:spacing w:val="-42"/>
        </w:rPr>
        <w:t> </w:t>
      </w:r>
      <w:r>
        <w:rPr>
          <w:spacing w:val="-42"/>
        </w:rPr>
      </w:r>
      <w:r>
        <w:rPr>
          <w:spacing w:val="-5"/>
        </w:rPr>
        <w:t>化应用。在车联网及自动驾驶领域，公司通过对人才及产业资源的垂直深度整合和面向未来的培养和孵化， </w:t>
      </w:r>
      <w:r>
        <w:rPr>
          <w:spacing w:val="-5"/>
        </w:rPr>
      </w:r>
      <w:r>
        <w:rPr/>
        <w:t>持续打造可面向未来的软硬件一体化解决方案服务能力，并在架构、算法、应用、操作系统、车载硬件、</w:t>
      </w:r>
      <w:r>
        <w:rPr>
          <w:spacing w:val="-31"/>
        </w:rPr>
        <w:t> </w:t>
      </w:r>
      <w:r>
        <w:rPr>
          <w:spacing w:val="-31"/>
        </w:rPr>
      </w:r>
      <w:r>
        <w:rPr>
          <w:spacing w:val="-2"/>
        </w:rPr>
        <w:t>域控制器、云平台、仿真测试等领域进行持续优化和提升。在车身控制芯片、传感器芯片等领域，公司不</w:t>
      </w:r>
      <w:r>
        <w:rPr>
          <w:spacing w:val="-43"/>
        </w:rPr>
        <w:t> </w:t>
      </w:r>
      <w:r>
        <w:rPr>
          <w:spacing w:val="-43"/>
        </w:rPr>
      </w:r>
      <w:r>
        <w:rPr/>
        <w:t>断加大人才培养及技术积累，并面向工艺更加复杂的上下游领域进行拓展和布局。截止</w:t>
      </w:r>
      <w:r>
        <w:rPr>
          <w:spacing w:val="-58"/>
        </w:rPr>
        <w:t> </w:t>
      </w:r>
      <w:r>
        <w:rPr>
          <w:rFonts w:ascii="宋体" w:hAnsi="宋体" w:cs="宋体" w:eastAsia="宋体" w:hint="default"/>
        </w:rPr>
        <w:t>2018</w:t>
      </w:r>
      <w:r>
        <w:rPr>
          <w:rFonts w:ascii="宋体" w:hAnsi="宋体" w:cs="宋体" w:eastAsia="宋体" w:hint="default"/>
          <w:spacing w:val="-57"/>
        </w:rPr>
        <w:t> </w:t>
      </w:r>
      <w:r>
        <w:rPr/>
        <w:t>年底，公司</w:t>
      </w:r>
    </w:p>
    <w:p>
      <w:pPr>
        <w:pStyle w:val="Heading5"/>
        <w:spacing w:line="408" w:lineRule="auto"/>
        <w:ind w:left="573" w:right="982" w:hanging="421"/>
        <w:jc w:val="left"/>
      </w:pPr>
      <w:r>
        <w:rPr/>
        <w:t>累计获得国内外专利授权</w:t>
      </w:r>
      <w:r>
        <w:rPr>
          <w:spacing w:val="-55"/>
        </w:rPr>
        <w:t> </w:t>
      </w:r>
      <w:r>
        <w:rPr>
          <w:rFonts w:ascii="宋体" w:hAnsi="宋体" w:cs="宋体" w:eastAsia="宋体" w:hint="default"/>
        </w:rPr>
        <w:t>385</w:t>
      </w:r>
      <w:r>
        <w:rPr>
          <w:rFonts w:ascii="宋体" w:hAnsi="宋体" w:cs="宋体" w:eastAsia="宋体" w:hint="default"/>
          <w:spacing w:val="-53"/>
        </w:rPr>
        <w:t> </w:t>
      </w:r>
      <w:r>
        <w:rPr/>
        <w:t>个，著作权</w:t>
      </w:r>
      <w:r>
        <w:rPr>
          <w:spacing w:val="-55"/>
        </w:rPr>
        <w:t> </w:t>
      </w:r>
      <w:r>
        <w:rPr>
          <w:rFonts w:ascii="宋体" w:hAnsi="宋体" w:cs="宋体" w:eastAsia="宋体" w:hint="default"/>
        </w:rPr>
        <w:t>1139</w:t>
      </w:r>
      <w:r>
        <w:rPr>
          <w:rFonts w:ascii="宋体" w:hAnsi="宋体" w:cs="宋体" w:eastAsia="宋体" w:hint="default"/>
          <w:spacing w:val="-53"/>
        </w:rPr>
        <w:t> </w:t>
      </w:r>
      <w:r>
        <w:rPr>
          <w:spacing w:val="-3"/>
        </w:rPr>
        <w:t>个。</w:t>
      </w:r>
      <w:r>
        <w:rPr>
          <w:rFonts w:ascii="宋体" w:hAnsi="宋体" w:cs="宋体" w:eastAsia="宋体" w:hint="default"/>
          <w:w w:val="100"/>
        </w:rPr>
        <w:t> </w:t>
      </w:r>
      <w:r>
        <w:rPr>
          <w:spacing w:val="-2"/>
        </w:rPr>
        <w:t>公司在连续十多年的高速发展过程中，面对专业人才的引进、培养、使用、激励、优化，搭建了一整</w:t>
      </w:r>
    </w:p>
    <w:p>
      <w:pPr>
        <w:pStyle w:val="Heading5"/>
        <w:spacing w:line="408" w:lineRule="auto"/>
        <w:ind w:right="1126" w:firstLine="0"/>
        <w:jc w:val="both"/>
        <w:rPr>
          <w:rFonts w:ascii="宋体" w:hAnsi="宋体" w:cs="宋体" w:eastAsia="宋体" w:hint="default"/>
        </w:rPr>
      </w:pPr>
      <w:r>
        <w:rPr>
          <w:spacing w:val="-2"/>
        </w:rPr>
        <w:t>套完善的管理机制，通过合理有效的任职资格管理体系及培训机制，促进和推动员工的职业技能和能力提</w:t>
      </w:r>
      <w:r>
        <w:rPr>
          <w:spacing w:val="-43"/>
        </w:rPr>
        <w:t> </w:t>
      </w:r>
      <w:r>
        <w:rPr>
          <w:spacing w:val="-43"/>
        </w:rPr>
      </w:r>
      <w:r>
        <w:rPr>
          <w:spacing w:val="-2"/>
        </w:rPr>
        <w:t>升。公司在美国硅谷、荷兰、新加坡、日本东京设立了子公司，为公司进一步促进掌握全球最前沿科技的</w:t>
      </w:r>
      <w:r>
        <w:rPr>
          <w:spacing w:val="-43"/>
        </w:rPr>
        <w:t> </w:t>
      </w:r>
      <w:r>
        <w:rPr>
          <w:spacing w:val="-43"/>
        </w:rPr>
      </w:r>
      <w:r>
        <w:rPr>
          <w:spacing w:val="-2"/>
        </w:rPr>
        <w:t>专业人才交流与合作、占领人才高地奠定了基础；公司通过内部创业、业务拓展等方式，为专业人才提供</w:t>
      </w:r>
      <w:r>
        <w:rPr>
          <w:spacing w:val="-50"/>
        </w:rPr>
        <w:t> </w:t>
      </w:r>
      <w:r>
        <w:rPr>
          <w:spacing w:val="-50"/>
        </w:rPr>
      </w:r>
      <w:r>
        <w:rPr/>
        <w:t>更为广阔和有吸引力的实践平台和实战契机。</w:t>
      </w:r>
      <w:r>
        <w:rPr>
          <w:rFonts w:ascii="宋体" w:hAnsi="宋体" w:cs="宋体" w:eastAsia="宋体" w:hint="default"/>
          <w:color w:val="FF0000"/>
        </w:rPr>
        <w:t> </w:t>
      </w:r>
      <w:r>
        <w:rPr>
          <w:rFonts w:ascii="宋体" w:hAnsi="宋体" w:cs="宋体" w:eastAsia="宋体" w:hint="default"/>
        </w:rPr>
      </w:r>
    </w:p>
    <w:p>
      <w:pPr>
        <w:spacing w:after="0" w:line="408" w:lineRule="auto"/>
        <w:jc w:val="both"/>
        <w:rPr>
          <w:rFonts w:ascii="宋体" w:hAnsi="宋体" w:cs="宋体" w:eastAsia="宋体" w:hint="default"/>
        </w:rPr>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spacing w:line="408" w:lineRule="auto" w:before="176"/>
        <w:ind w:left="587" w:right="982" w:hanging="12"/>
        <w:jc w:val="left"/>
        <w:rPr>
          <w:rFonts w:ascii="宋体" w:hAnsi="宋体" w:cs="宋体" w:eastAsia="宋体" w:hint="default"/>
          <w:sz w:val="21"/>
          <w:szCs w:val="21"/>
        </w:rPr>
      </w:pPr>
      <w:r>
        <w:rPr>
          <w:rFonts w:ascii="宋体" w:hAnsi="宋体" w:cs="宋体" w:eastAsia="宋体" w:hint="default"/>
          <w:b/>
          <w:bCs/>
          <w:sz w:val="21"/>
          <w:szCs w:val="21"/>
        </w:rPr>
        <w:t>4</w:t>
      </w:r>
      <w:r>
        <w:rPr>
          <w:rFonts w:ascii="宋体" w:hAnsi="宋体" w:cs="宋体" w:eastAsia="宋体" w:hint="default"/>
          <w:b/>
          <w:bCs/>
          <w:sz w:val="21"/>
          <w:szCs w:val="21"/>
        </w:rPr>
        <w:t>、积极营造面向未来的创新理念和企业文化</w:t>
      </w:r>
      <w:r>
        <w:rPr>
          <w:rFonts w:ascii="宋体" w:hAnsi="宋体" w:cs="宋体" w:eastAsia="宋体" w:hint="default"/>
          <w:b/>
          <w:bCs/>
          <w:w w:val="99"/>
          <w:sz w:val="21"/>
          <w:szCs w:val="21"/>
        </w:rPr>
        <w:t> </w:t>
      </w:r>
      <w:r>
        <w:rPr>
          <w:rFonts w:ascii="宋体" w:hAnsi="宋体" w:cs="宋体" w:eastAsia="宋体" w:hint="default"/>
          <w:spacing w:val="-2"/>
          <w:sz w:val="21"/>
          <w:szCs w:val="21"/>
        </w:rPr>
        <w:t>公司聚焦创新（</w:t>
      </w:r>
      <w:r>
        <w:rPr>
          <w:rFonts w:ascii="宋体" w:hAnsi="宋体" w:cs="宋体" w:eastAsia="宋体" w:hint="default"/>
          <w:spacing w:val="-2"/>
          <w:sz w:val="21"/>
          <w:szCs w:val="21"/>
        </w:rPr>
        <w:t>Innovation</w:t>
      </w:r>
      <w:r>
        <w:rPr>
          <w:rFonts w:ascii="宋体" w:hAnsi="宋体" w:cs="宋体" w:eastAsia="宋体" w:hint="default"/>
          <w:spacing w:val="-2"/>
          <w:sz w:val="21"/>
          <w:szCs w:val="21"/>
        </w:rPr>
        <w:t>）和整合（</w:t>
      </w:r>
      <w:r>
        <w:rPr>
          <w:rFonts w:ascii="宋体" w:hAnsi="宋体" w:cs="宋体" w:eastAsia="宋体" w:hint="default"/>
          <w:spacing w:val="-2"/>
          <w:sz w:val="21"/>
          <w:szCs w:val="21"/>
        </w:rPr>
        <w:t>Integration</w:t>
      </w:r>
      <w:r>
        <w:rPr>
          <w:rFonts w:ascii="宋体" w:hAnsi="宋体" w:cs="宋体" w:eastAsia="宋体" w:hint="default"/>
          <w:spacing w:val="-2"/>
          <w:sz w:val="21"/>
          <w:szCs w:val="21"/>
        </w:rPr>
        <w:t>）能力建立组织的核心竞争力，其中“创新”包</w:t>
      </w:r>
    </w:p>
    <w:p>
      <w:pPr>
        <w:pStyle w:val="Heading5"/>
        <w:spacing w:line="408" w:lineRule="auto"/>
        <w:ind w:left="167" w:right="982" w:firstLine="0"/>
        <w:jc w:val="left"/>
        <w:rPr>
          <w:rFonts w:ascii="宋体" w:hAnsi="宋体" w:cs="宋体" w:eastAsia="宋体" w:hint="default"/>
        </w:rPr>
      </w:pPr>
      <w:r>
        <w:rPr>
          <w:spacing w:val="-3"/>
        </w:rPr>
        <w:t>括服务创新、盈利模式创新、技术创新和体制机制创新；“整合”包括产品研发能力整合、业务整合和资</w:t>
      </w:r>
      <w:r>
        <w:rPr>
          <w:spacing w:val="-14"/>
        </w:rPr>
        <w:t> </w:t>
      </w:r>
      <w:r>
        <w:rPr>
          <w:spacing w:val="-14"/>
        </w:rPr>
      </w:r>
      <w:r>
        <w:rPr/>
        <w:t>源整合。</w:t>
      </w:r>
      <w:r>
        <w:rPr>
          <w:rFonts w:ascii="宋体" w:hAnsi="宋体" w:cs="宋体" w:eastAsia="宋体" w:hint="default"/>
        </w:rPr>
        <w:t> </w:t>
      </w:r>
    </w:p>
    <w:p>
      <w:pPr>
        <w:pStyle w:val="Heading5"/>
        <w:spacing w:line="408" w:lineRule="auto"/>
        <w:ind w:left="167" w:right="982"/>
        <w:jc w:val="left"/>
        <w:rPr>
          <w:rFonts w:ascii="宋体" w:hAnsi="宋体" w:cs="宋体" w:eastAsia="宋体" w:hint="default"/>
        </w:rPr>
      </w:pPr>
      <w:r>
        <w:rPr>
          <w:spacing w:val="-3"/>
        </w:rPr>
        <w:t>公司以“热情、责任、创新、正直”的企业文化价值观为指引，完善面向未来有竞争力的组织架构和</w:t>
      </w:r>
      <w:r>
        <w:rPr>
          <w:w w:val="100"/>
        </w:rPr>
        <w:t> </w:t>
      </w:r>
      <w:r>
        <w:rPr>
          <w:spacing w:val="-7"/>
        </w:rPr>
        <w:t>人才体系，积极打造和谐进取的员工关系。面对日益严峻的科技和管理人才竞争形势，公司通过股权激励、</w:t>
      </w:r>
      <w:r>
        <w:rPr>
          <w:spacing w:val="-32"/>
        </w:rPr>
        <w:t> </w:t>
      </w:r>
      <w:r>
        <w:rPr>
          <w:spacing w:val="-32"/>
        </w:rPr>
      </w:r>
      <w:r>
        <w:rPr>
          <w:spacing w:val="-3"/>
        </w:rPr>
        <w:t>薪酬改革等多种手段，做好人才的选用育留工作。公司积极转变总部职能，强化支持服务理念，通过优化</w:t>
      </w:r>
      <w:r>
        <w:rPr>
          <w:spacing w:val="-12"/>
        </w:rPr>
        <w:t> </w:t>
      </w:r>
      <w:r>
        <w:rPr>
          <w:spacing w:val="-12"/>
        </w:rPr>
      </w:r>
      <w:r>
        <w:rPr>
          <w:spacing w:val="-3"/>
        </w:rPr>
        <w:t>工作环境、丰富多彩的员工活动和贴心细致的后勤保障服务，大幅提升员工满意度及归属感。公司积极参</w:t>
      </w:r>
      <w:r>
        <w:rPr>
          <w:spacing w:val="-11"/>
        </w:rPr>
        <w:t> </w:t>
      </w:r>
      <w:r>
        <w:rPr>
          <w:spacing w:val="-11"/>
        </w:rPr>
      </w:r>
      <w:r>
        <w:rPr>
          <w:spacing w:val="-3"/>
        </w:rPr>
        <w:t>与社会公益建设，践行企业社会责任，并始终坚持将其作为公司企业文化及品牌建设的重要组成部分。报</w:t>
      </w:r>
      <w:r>
        <w:rPr>
          <w:spacing w:val="-13"/>
        </w:rPr>
        <w:t> </w:t>
      </w:r>
      <w:r>
        <w:rPr>
          <w:spacing w:val="-13"/>
        </w:rPr>
      </w:r>
      <w:r>
        <w:rPr/>
        <w:t>告期内，公司第三所希望小学在江西建设落成，与青基会、自闭慈善机构共同推进的公益项目落地实施，</w:t>
      </w:r>
      <w:r>
        <w:rPr>
          <w:spacing w:val="-46"/>
        </w:rPr>
        <w:t> </w:t>
      </w:r>
      <w:r>
        <w:rPr>
          <w:spacing w:val="-46"/>
        </w:rPr>
      </w:r>
      <w:r>
        <w:rPr>
          <w:spacing w:val="-3"/>
        </w:rPr>
        <w:t>公司联手贵州省扶贫办共同推进“扶贫云”平台升级改造，为各级决策层和各级扶贫部门提供决策支持与</w:t>
      </w:r>
      <w:r>
        <w:rPr>
          <w:spacing w:val="-13"/>
        </w:rPr>
        <w:t> </w:t>
      </w:r>
      <w:r>
        <w:rPr>
          <w:spacing w:val="-13"/>
        </w:rPr>
      </w:r>
      <w:r>
        <w:rPr/>
        <w:t>资源协助。</w:t>
      </w:r>
      <w:r>
        <w:rPr>
          <w:rFonts w:ascii="宋体" w:hAnsi="宋体" w:cs="宋体" w:eastAsia="宋体" w:hint="default"/>
        </w:rPr>
        <w:t> </w:t>
      </w:r>
    </w:p>
    <w:p>
      <w:pPr>
        <w:pStyle w:val="Heading5"/>
        <w:spacing w:line="408" w:lineRule="auto"/>
        <w:ind w:left="167" w:right="1126"/>
        <w:jc w:val="both"/>
        <w:rPr>
          <w:rFonts w:ascii="宋体" w:hAnsi="宋体" w:cs="宋体" w:eastAsia="宋体" w:hint="default"/>
        </w:rPr>
      </w:pPr>
      <w:r>
        <w:rPr>
          <w:spacing w:val="-3"/>
        </w:rPr>
        <w:t>伴随公司国际化战略进一步发展，不同国籍、不同文化背景的高端及行业领军人才不断加入企业快速</w:t>
      </w:r>
      <w:r>
        <w:rPr>
          <w:w w:val="100"/>
        </w:rPr>
        <w:t> </w:t>
      </w:r>
      <w:r>
        <w:rPr>
          <w:spacing w:val="-7"/>
        </w:rPr>
        <w:t>发展当中。公司积极应对国际化融合所带来的地域及文化差异，不断探索和创新，积极推进以中国为核心，</w:t>
      </w:r>
      <w:r>
        <w:rPr>
          <w:spacing w:val="-32"/>
        </w:rPr>
        <w:t> </w:t>
      </w:r>
      <w:r>
        <w:rPr>
          <w:spacing w:val="-32"/>
        </w:rPr>
      </w:r>
      <w:r>
        <w:rPr/>
        <w:t>面向全球的更加开放、包容的企业氛围。</w:t>
      </w:r>
      <w:r>
        <w:rPr>
          <w:rFonts w:ascii="宋体" w:hAnsi="宋体" w:cs="宋体" w:eastAsia="宋体" w:hint="default"/>
        </w:rPr>
        <w:t> </w:t>
      </w:r>
    </w:p>
    <w:p>
      <w:pPr>
        <w:pStyle w:val="Heading5"/>
        <w:spacing w:line="240" w:lineRule="auto"/>
        <w:ind w:left="587" w:right="0" w:firstLine="0"/>
        <w:jc w:val="left"/>
        <w:rPr>
          <w:rFonts w:ascii="宋体" w:hAnsi="宋体" w:cs="宋体" w:eastAsia="宋体" w:hint="default"/>
        </w:rPr>
      </w:pPr>
      <w:r>
        <w:rPr>
          <w:rFonts w:ascii="宋体"/>
          <w:w w:val="100"/>
        </w:rPr>
        <w:t> </w:t>
      </w:r>
    </w:p>
    <w:p>
      <w:pPr>
        <w:spacing w:after="0" w:line="240" w:lineRule="auto"/>
        <w:jc w:val="left"/>
        <w:rPr>
          <w:rFonts w:ascii="宋体" w:hAnsi="宋体" w:cs="宋体" w:eastAsia="宋体" w:hint="default"/>
        </w:rPr>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left="2964" w:right="982"/>
        <w:jc w:val="left"/>
        <w:rPr>
          <w:b w:val="0"/>
          <w:bCs w:val="0"/>
        </w:rPr>
      </w:pPr>
      <w:bookmarkStart w:name="_bookmark3" w:id="4"/>
      <w:bookmarkEnd w:id="4"/>
      <w:r>
        <w:rPr>
          <w:b w:val="0"/>
          <w:bCs w:val="0"/>
        </w:rPr>
      </w:r>
      <w:r>
        <w:rPr/>
        <w:t>第四节</w:t>
      </w:r>
      <w:r>
        <w:rPr>
          <w:spacing w:val="-6"/>
        </w:rPr>
        <w:t> </w:t>
      </w:r>
      <w:r>
        <w:rPr/>
        <w:t>经营情况讨论与分析</w:t>
      </w:r>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7"/>
          <w:szCs w:val="17"/>
        </w:rPr>
      </w:pPr>
    </w:p>
    <w:p>
      <w:pPr>
        <w:pStyle w:val="Heading2"/>
        <w:spacing w:line="240" w:lineRule="auto" w:before="26"/>
        <w:ind w:right="982"/>
        <w:jc w:val="left"/>
        <w:rPr>
          <w:b w:val="0"/>
          <w:bCs w:val="0"/>
        </w:rPr>
      </w:pPr>
      <w:r>
        <w:rPr/>
        <w:t>一、</w:t>
      </w:r>
      <w:r>
        <w:rPr>
          <w:spacing w:val="-91"/>
        </w:rPr>
        <w:t> </w:t>
      </w:r>
      <w:r>
        <w:rPr>
          <w:rFonts w:ascii="宋体" w:hAnsi="宋体" w:cs="宋体" w:eastAsia="宋体" w:hint="default"/>
          <w:spacing w:val="-91"/>
        </w:rPr>
      </w:r>
      <w:r>
        <w:rPr/>
        <w:t>概述</w:t>
      </w:r>
      <w:r>
        <w:rPr>
          <w:b w:val="0"/>
          <w:bCs w:val="0"/>
        </w:rPr>
      </w:r>
    </w:p>
    <w:p>
      <w:pPr>
        <w:spacing w:line="240" w:lineRule="auto" w:before="8"/>
        <w:rPr>
          <w:rFonts w:ascii="宋体" w:hAnsi="宋体" w:cs="宋体" w:eastAsia="宋体" w:hint="default"/>
          <w:b/>
          <w:bCs/>
          <w:sz w:val="30"/>
          <w:szCs w:val="30"/>
        </w:rPr>
      </w:pPr>
    </w:p>
    <w:p>
      <w:pPr>
        <w:pStyle w:val="Heading5"/>
        <w:spacing w:line="408" w:lineRule="auto" w:before="0"/>
        <w:ind w:right="1123"/>
        <w:jc w:val="left"/>
        <w:rPr>
          <w:rFonts w:ascii="宋体" w:hAnsi="宋体" w:cs="宋体" w:eastAsia="宋体" w:hint="default"/>
        </w:rPr>
      </w:pPr>
      <w:r>
        <w:rPr>
          <w:rFonts w:ascii="宋体" w:hAnsi="宋体" w:cs="宋体" w:eastAsia="宋体" w:hint="default"/>
        </w:rPr>
        <w:t>2018</w:t>
      </w:r>
      <w:r>
        <w:rPr>
          <w:rFonts w:ascii="宋体" w:hAnsi="宋体" w:cs="宋体" w:eastAsia="宋体" w:hint="default"/>
          <w:spacing w:val="7"/>
        </w:rPr>
        <w:t> </w:t>
      </w:r>
      <w:r>
        <w:rPr>
          <w:spacing w:val="-4"/>
        </w:rPr>
        <w:t>年，公司积极应对汽车产销整体下滑等因素带来的影响，加大力度推进新业务及新产品的研发和</w:t>
      </w:r>
      <w:r>
        <w:rPr>
          <w:w w:val="100"/>
        </w:rPr>
        <w:t> </w:t>
      </w:r>
      <w:r>
        <w:rPr>
          <w:spacing w:val="-2"/>
        </w:rPr>
        <w:t>商业化落地，进一步落实“智能汽车大脑”发展战略。一方面，公司基于持续提升的生产及服务能力，以</w:t>
      </w:r>
      <w:r>
        <w:rPr>
          <w:spacing w:val="-42"/>
        </w:rPr>
        <w:t> </w:t>
      </w:r>
      <w:r>
        <w:rPr>
          <w:spacing w:val="-42"/>
        </w:rPr>
      </w:r>
      <w:r>
        <w:rPr>
          <w:spacing w:val="-2"/>
        </w:rPr>
        <w:t>及多年积累的良好的客户关系，全面拓展与车厂及互联网高科技企业的合作关系，进一步夯实导航电子地</w:t>
      </w:r>
      <w:r>
        <w:rPr>
          <w:spacing w:val="-42"/>
        </w:rPr>
        <w:t> </w:t>
      </w:r>
      <w:r>
        <w:rPr>
          <w:spacing w:val="-42"/>
        </w:rPr>
      </w:r>
      <w:r>
        <w:rPr>
          <w:spacing w:val="-2"/>
        </w:rPr>
        <w:t>图业务在市场及行业中的领先地位。另一方面，公司加大内外部资源投入力度，优化业务结构布局，积极</w:t>
      </w:r>
      <w:r>
        <w:rPr>
          <w:spacing w:val="-44"/>
        </w:rPr>
        <w:t> </w:t>
      </w:r>
      <w:r>
        <w:rPr>
          <w:spacing w:val="-44"/>
        </w:rPr>
      </w:r>
      <w:r>
        <w:rPr>
          <w:spacing w:val="-7"/>
        </w:rPr>
        <w:t>推进在新业务、新领域、新产品、新技术、新模式、新机制等方面的尝试和探索，加速打造公司在车联网、</w:t>
      </w:r>
      <w:r>
        <w:rPr>
          <w:spacing w:val="-23"/>
        </w:rPr>
        <w:t> </w:t>
      </w:r>
      <w:r>
        <w:rPr>
          <w:spacing w:val="-23"/>
        </w:rPr>
      </w:r>
      <w:r>
        <w:rPr/>
        <w:t>汽车电子芯片、高精度地图、高精度定位及自动驾驶领域的市场竞争优势和行业领先地位。截止</w:t>
      </w:r>
      <w:r>
        <w:rPr>
          <w:spacing w:val="-54"/>
        </w:rPr>
        <w:t> </w:t>
      </w:r>
      <w:r>
        <w:rPr>
          <w:rFonts w:ascii="宋体" w:hAnsi="宋体" w:cs="宋体" w:eastAsia="宋体" w:hint="default"/>
        </w:rPr>
        <w:t>2018</w:t>
      </w:r>
      <w:r>
        <w:rPr>
          <w:rFonts w:ascii="宋体" w:hAnsi="宋体" w:cs="宋体" w:eastAsia="宋体" w:hint="default"/>
          <w:spacing w:val="-57"/>
        </w:rPr>
        <w:t> </w:t>
      </w:r>
      <w:r>
        <w:rPr/>
        <w:t>年</w:t>
      </w:r>
      <w:r>
        <w:rPr>
          <w:w w:val="100"/>
        </w:rPr>
        <w:t> </w:t>
      </w:r>
      <w:r>
        <w:rPr>
          <w:rFonts w:ascii="宋体" w:hAnsi="宋体" w:cs="宋体" w:eastAsia="宋体" w:hint="default"/>
        </w:rPr>
        <w:t>12</w:t>
      </w:r>
      <w:r>
        <w:rPr>
          <w:rFonts w:ascii="宋体" w:hAnsi="宋体" w:cs="宋体" w:eastAsia="宋体" w:hint="default"/>
          <w:spacing w:val="-33"/>
        </w:rPr>
        <w:t> </w:t>
      </w:r>
      <w:r>
        <w:rPr>
          <w:spacing w:val="-4"/>
        </w:rPr>
        <w:t>月底，公司已经在手车互联前装市场份额、新能源汽车出行服务产品商业化闭环、国产化</w:t>
      </w:r>
      <w:r>
        <w:rPr>
          <w:spacing w:val="-33"/>
        </w:rPr>
        <w:t> </w:t>
      </w:r>
      <w:r>
        <w:rPr>
          <w:rFonts w:ascii="宋体" w:hAnsi="宋体" w:cs="宋体" w:eastAsia="宋体" w:hint="default"/>
        </w:rPr>
        <w:t>MCU</w:t>
      </w:r>
      <w:r>
        <w:rPr>
          <w:rFonts w:ascii="宋体" w:hAnsi="宋体" w:cs="宋体" w:eastAsia="宋体" w:hint="default"/>
          <w:spacing w:val="-34"/>
        </w:rPr>
        <w:t> </w:t>
      </w:r>
      <w:r>
        <w:rPr/>
        <w:t>芯片量产</w:t>
      </w:r>
      <w:r>
        <w:rPr>
          <w:spacing w:val="-96"/>
        </w:rPr>
        <w:t> </w:t>
      </w:r>
      <w:r>
        <w:rPr>
          <w:spacing w:val="-96"/>
        </w:rPr>
      </w:r>
      <w:r>
        <w:rPr/>
        <w:t>落地、高精度地图数据商用化、高精度定位部分省市组网、</w:t>
      </w:r>
      <w:r>
        <w:rPr>
          <w:rFonts w:ascii="宋体" w:hAnsi="宋体" w:cs="宋体" w:eastAsia="宋体" w:hint="default"/>
        </w:rPr>
        <w:t>L3</w:t>
      </w:r>
      <w:r>
        <w:rPr>
          <w:rFonts w:ascii="宋体" w:hAnsi="宋体" w:cs="宋体" w:eastAsia="宋体" w:hint="default"/>
          <w:spacing w:val="-56"/>
        </w:rPr>
        <w:t> </w:t>
      </w:r>
      <w:r>
        <w:rPr/>
        <w:t>级自动驾驶整体解决方案验证、</w:t>
      </w:r>
      <w:r>
        <w:rPr>
          <w:rFonts w:ascii="宋体" w:hAnsi="宋体" w:cs="宋体" w:eastAsia="宋体" w:hint="default"/>
        </w:rPr>
        <w:t>Minedata</w:t>
      </w:r>
      <w:r>
        <w:rPr>
          <w:rFonts w:ascii="宋体" w:hAnsi="宋体" w:cs="宋体" w:eastAsia="宋体" w:hint="default"/>
          <w:w w:val="100"/>
        </w:rPr>
        <w:t> </w:t>
      </w:r>
      <w:r>
        <w:rPr/>
        <w:t>位置大数据平台行业定制化及服务能力提升等领域取得重大突破。</w:t>
      </w:r>
      <w:r>
        <w:rPr>
          <w:rFonts w:ascii="宋体" w:hAnsi="宋体" w:cs="宋体" w:eastAsia="宋体" w:hint="default"/>
        </w:rPr>
        <w:t> </w:t>
      </w:r>
    </w:p>
    <w:p>
      <w:pPr>
        <w:pStyle w:val="Heading5"/>
        <w:spacing w:line="408" w:lineRule="auto"/>
        <w:ind w:right="982"/>
        <w:jc w:val="left"/>
        <w:rPr>
          <w:rFonts w:ascii="宋体" w:hAnsi="宋体" w:cs="宋体" w:eastAsia="宋体" w:hint="default"/>
        </w:rPr>
      </w:pPr>
      <w:r>
        <w:rPr/>
        <w:t>报告期内，公司营业总收入</w:t>
      </w:r>
      <w:r>
        <w:rPr>
          <w:spacing w:val="-53"/>
        </w:rPr>
        <w:t> </w:t>
      </w:r>
      <w:r>
        <w:rPr>
          <w:rFonts w:ascii="宋体" w:hAnsi="宋体" w:cs="宋体" w:eastAsia="宋体" w:hint="default"/>
        </w:rPr>
        <w:t>21.34</w:t>
      </w:r>
      <w:r>
        <w:rPr>
          <w:rFonts w:ascii="宋体" w:hAnsi="宋体" w:cs="宋体" w:eastAsia="宋体" w:hint="default"/>
          <w:spacing w:val="-54"/>
        </w:rPr>
        <w:t> </w:t>
      </w:r>
      <w:r>
        <w:rPr/>
        <w:t>亿元，同比下降</w:t>
      </w:r>
      <w:r>
        <w:rPr>
          <w:spacing w:val="-56"/>
        </w:rPr>
        <w:t> </w:t>
      </w:r>
      <w:r>
        <w:rPr>
          <w:rFonts w:ascii="宋体" w:hAnsi="宋体" w:cs="宋体" w:eastAsia="宋体" w:hint="default"/>
        </w:rPr>
        <w:t>1.06%</w:t>
      </w:r>
      <w:r>
        <w:rPr/>
        <w:t>；营业利润</w:t>
      </w:r>
      <w:r>
        <w:rPr>
          <w:spacing w:val="-54"/>
        </w:rPr>
        <w:t> </w:t>
      </w:r>
      <w:r>
        <w:rPr>
          <w:rFonts w:ascii="宋体" w:hAnsi="宋体" w:cs="宋体" w:eastAsia="宋体" w:hint="default"/>
        </w:rPr>
        <w:t>5.07</w:t>
      </w:r>
      <w:r>
        <w:rPr>
          <w:rFonts w:ascii="宋体" w:hAnsi="宋体" w:cs="宋体" w:eastAsia="宋体" w:hint="default"/>
          <w:spacing w:val="-54"/>
        </w:rPr>
        <w:t> </w:t>
      </w:r>
      <w:r>
        <w:rPr/>
        <w:t>亿元，同比增长</w:t>
      </w:r>
      <w:r>
        <w:rPr>
          <w:spacing w:val="-53"/>
        </w:rPr>
        <w:t> </w:t>
      </w:r>
      <w:r>
        <w:rPr>
          <w:rFonts w:ascii="宋体" w:hAnsi="宋体" w:cs="宋体" w:eastAsia="宋体" w:hint="default"/>
        </w:rPr>
        <w:t>88.43%</w:t>
      </w:r>
      <w:r>
        <w:rPr/>
        <w:t>；</w:t>
      </w:r>
      <w:r>
        <w:rPr>
          <w:w w:val="100"/>
        </w:rPr>
        <w:t> </w:t>
      </w:r>
      <w:r>
        <w:rPr/>
        <w:t>利润总额</w:t>
      </w:r>
      <w:r>
        <w:rPr>
          <w:spacing w:val="-54"/>
        </w:rPr>
        <w:t> </w:t>
      </w:r>
      <w:r>
        <w:rPr>
          <w:rFonts w:ascii="宋体" w:hAnsi="宋体" w:cs="宋体" w:eastAsia="宋体" w:hint="default"/>
        </w:rPr>
        <w:t>5.07</w:t>
      </w:r>
      <w:r>
        <w:rPr>
          <w:rFonts w:ascii="宋体" w:hAnsi="宋体" w:cs="宋体" w:eastAsia="宋体" w:hint="default"/>
          <w:spacing w:val="-57"/>
        </w:rPr>
        <w:t> </w:t>
      </w:r>
      <w:r>
        <w:rPr/>
        <w:t>亿元，同比增长</w:t>
      </w:r>
      <w:r>
        <w:rPr>
          <w:spacing w:val="-54"/>
        </w:rPr>
        <w:t> </w:t>
      </w:r>
      <w:r>
        <w:rPr>
          <w:rFonts w:ascii="宋体" w:hAnsi="宋体" w:cs="宋体" w:eastAsia="宋体" w:hint="default"/>
        </w:rPr>
        <w:t>88.06%</w:t>
      </w:r>
      <w:r>
        <w:rPr/>
        <w:t>；归属于上市公司股东的净利润</w:t>
      </w:r>
      <w:r>
        <w:rPr>
          <w:spacing w:val="-55"/>
        </w:rPr>
        <w:t> </w:t>
      </w:r>
      <w:r>
        <w:rPr>
          <w:rFonts w:ascii="宋体" w:hAnsi="宋体" w:cs="宋体" w:eastAsia="宋体" w:hint="default"/>
        </w:rPr>
        <w:t>4.79</w:t>
      </w:r>
      <w:r>
        <w:rPr>
          <w:rFonts w:ascii="宋体" w:hAnsi="宋体" w:cs="宋体" w:eastAsia="宋体" w:hint="default"/>
          <w:spacing w:val="-57"/>
        </w:rPr>
        <w:t> </w:t>
      </w:r>
      <w:r>
        <w:rPr/>
        <w:t>亿元，同比增长</w:t>
      </w:r>
      <w:r>
        <w:rPr>
          <w:spacing w:val="-54"/>
        </w:rPr>
        <w:t> </w:t>
      </w:r>
      <w:r>
        <w:rPr>
          <w:rFonts w:ascii="宋体" w:hAnsi="宋体" w:cs="宋体" w:eastAsia="宋体" w:hint="default"/>
        </w:rPr>
        <w:t>80.65%</w:t>
      </w:r>
      <w:r>
        <w:rPr/>
        <w:t>。在</w:t>
      </w:r>
      <w:r>
        <w:rPr>
          <w:spacing w:val="-3"/>
          <w:w w:val="100"/>
        </w:rPr>
        <w:t> </w:t>
      </w:r>
      <w:r>
        <w:rPr>
          <w:spacing w:val="-3"/>
        </w:rPr>
        <w:t>细分业务板块，车联网业务营业收入</w:t>
      </w:r>
      <w:r>
        <w:rPr>
          <w:spacing w:val="-38"/>
        </w:rPr>
        <w:t> </w:t>
      </w:r>
      <w:r>
        <w:rPr>
          <w:rFonts w:ascii="宋体" w:hAnsi="宋体" w:cs="宋体" w:eastAsia="宋体" w:hint="default"/>
        </w:rPr>
        <w:t>5.42</w:t>
      </w:r>
      <w:r>
        <w:rPr>
          <w:rFonts w:ascii="宋体" w:hAnsi="宋体" w:cs="宋体" w:eastAsia="宋体" w:hint="default"/>
          <w:spacing w:val="-40"/>
        </w:rPr>
        <w:t> </w:t>
      </w:r>
      <w:r>
        <w:rPr>
          <w:spacing w:val="-5"/>
        </w:rPr>
        <w:t>亿元，同比增长</w:t>
      </w:r>
      <w:r>
        <w:rPr>
          <w:spacing w:val="-40"/>
        </w:rPr>
        <w:t> </w:t>
      </w:r>
      <w:r>
        <w:rPr>
          <w:rFonts w:ascii="宋体" w:hAnsi="宋体" w:cs="宋体" w:eastAsia="宋体" w:hint="default"/>
          <w:spacing w:val="-3"/>
        </w:rPr>
        <w:t>14.26%</w:t>
      </w:r>
      <w:r>
        <w:rPr>
          <w:spacing w:val="-3"/>
        </w:rPr>
        <w:t>；芯片业务营业收入</w:t>
      </w:r>
      <w:r>
        <w:rPr>
          <w:spacing w:val="-40"/>
        </w:rPr>
        <w:t> </w:t>
      </w:r>
      <w:r>
        <w:rPr>
          <w:rFonts w:ascii="宋体" w:hAnsi="宋体" w:cs="宋体" w:eastAsia="宋体" w:hint="default"/>
        </w:rPr>
        <w:t>5.79</w:t>
      </w:r>
      <w:r>
        <w:rPr>
          <w:rFonts w:ascii="宋体" w:hAnsi="宋体" w:cs="宋体" w:eastAsia="宋体" w:hint="default"/>
          <w:spacing w:val="-42"/>
        </w:rPr>
        <w:t> </w:t>
      </w:r>
      <w:r>
        <w:rPr>
          <w:spacing w:val="-5"/>
        </w:rPr>
        <w:t>亿元，同比增</w:t>
      </w:r>
      <w:r>
        <w:rPr>
          <w:spacing w:val="-99"/>
        </w:rPr>
        <w:t> </w:t>
      </w:r>
      <w:r>
        <w:rPr>
          <w:spacing w:val="-99"/>
        </w:rPr>
      </w:r>
      <w:r>
        <w:rPr/>
        <w:t>长</w:t>
      </w:r>
      <w:r>
        <w:rPr>
          <w:spacing w:val="-54"/>
        </w:rPr>
        <w:t> </w:t>
      </w:r>
      <w:r>
        <w:rPr>
          <w:rFonts w:ascii="宋体" w:hAnsi="宋体" w:cs="宋体" w:eastAsia="宋体" w:hint="default"/>
        </w:rPr>
        <w:t>11.92%</w:t>
      </w:r>
      <w:r>
        <w:rPr/>
        <w:t>；高级辅助驾驶及自动驾驶业务营业收入</w:t>
      </w:r>
      <w:r>
        <w:rPr>
          <w:spacing w:val="-57"/>
        </w:rPr>
        <w:t> </w:t>
      </w:r>
      <w:r>
        <w:rPr>
          <w:rFonts w:ascii="宋体" w:hAnsi="宋体" w:cs="宋体" w:eastAsia="宋体" w:hint="default"/>
        </w:rPr>
        <w:t>5,292.81</w:t>
      </w:r>
      <w:r>
        <w:rPr>
          <w:rFonts w:ascii="宋体" w:hAnsi="宋体" w:cs="宋体" w:eastAsia="宋体" w:hint="default"/>
          <w:spacing w:val="-57"/>
        </w:rPr>
        <w:t> </w:t>
      </w:r>
      <w:r>
        <w:rPr/>
        <w:t>万元，同比增长</w:t>
      </w:r>
      <w:r>
        <w:rPr>
          <w:spacing w:val="-57"/>
        </w:rPr>
        <w:t> </w:t>
      </w:r>
      <w:r>
        <w:rPr>
          <w:rFonts w:ascii="宋体" w:hAnsi="宋体" w:cs="宋体" w:eastAsia="宋体" w:hint="default"/>
        </w:rPr>
        <w:t>24.14%</w:t>
      </w:r>
      <w:r>
        <w:rPr/>
        <w:t>。</w:t>
      </w:r>
      <w:r>
        <w:rPr>
          <w:rFonts w:ascii="宋体" w:hAnsi="宋体" w:cs="宋体" w:eastAsia="宋体" w:hint="default"/>
        </w:rPr>
        <w:t> </w:t>
      </w:r>
    </w:p>
    <w:p>
      <w:pPr>
        <w:spacing w:line="240" w:lineRule="auto" w:before="8"/>
        <w:rPr>
          <w:rFonts w:ascii="宋体" w:hAnsi="宋体" w:cs="宋体" w:eastAsia="宋体" w:hint="default"/>
          <w:sz w:val="18"/>
          <w:szCs w:val="18"/>
        </w:rPr>
      </w:pPr>
    </w:p>
    <w:p>
      <w:pPr>
        <w:pStyle w:val="Heading2"/>
        <w:spacing w:line="240" w:lineRule="auto"/>
        <w:ind w:right="982"/>
        <w:jc w:val="left"/>
        <w:rPr>
          <w:b w:val="0"/>
          <w:bCs w:val="0"/>
        </w:rPr>
      </w:pPr>
      <w:r>
        <w:rPr/>
        <w:t>二、主营业务分析</w:t>
      </w:r>
      <w:r>
        <w:rPr>
          <w:b w:val="0"/>
          <w:bCs w:val="0"/>
        </w:rPr>
      </w:r>
    </w:p>
    <w:p>
      <w:pPr>
        <w:spacing w:line="240" w:lineRule="auto" w:before="12"/>
        <w:rPr>
          <w:rFonts w:ascii="宋体" w:hAnsi="宋体" w:cs="宋体" w:eastAsia="宋体" w:hint="default"/>
          <w:b/>
          <w:bCs/>
          <w:sz w:val="24"/>
          <w:szCs w:val="24"/>
        </w:rPr>
      </w:pPr>
    </w:p>
    <w:p>
      <w:pPr>
        <w:spacing w:line="544" w:lineRule="auto" w:before="0"/>
        <w:ind w:left="152" w:right="6474"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、概述</w:t>
      </w:r>
      <w:r>
        <w:rPr>
          <w:rFonts w:ascii="宋体" w:hAnsi="宋体" w:cs="宋体" w:eastAsia="宋体" w:hint="default"/>
          <w:b/>
          <w:bCs/>
          <w:w w:val="100"/>
          <w:sz w:val="21"/>
          <w:szCs w:val="21"/>
        </w:rPr>
        <w:t> </w:t>
      </w:r>
      <w:r>
        <w:rPr>
          <w:rFonts w:ascii="宋体" w:hAnsi="宋体" w:cs="宋体" w:eastAsia="宋体" w:hint="default"/>
          <w:sz w:val="18"/>
          <w:szCs w:val="18"/>
        </w:rPr>
        <w:t>参见</w:t>
      </w:r>
      <w:r>
        <w:rPr>
          <w:rFonts w:ascii="Times New Roman" w:hAnsi="Times New Roman" w:cs="Times New Roman" w:eastAsia="Times New Roman" w:hint="default"/>
          <w:sz w:val="18"/>
          <w:szCs w:val="18"/>
        </w:rPr>
        <w:t>“</w:t>
      </w:r>
      <w:r>
        <w:rPr>
          <w:rFonts w:ascii="宋体" w:hAnsi="宋体" w:cs="宋体" w:eastAsia="宋体" w:hint="default"/>
          <w:sz w:val="18"/>
          <w:szCs w:val="18"/>
        </w:rPr>
        <w:t>经营情况讨论与分析</w:t>
      </w:r>
      <w:r>
        <w:rPr>
          <w:rFonts w:ascii="Times New Roman" w:hAnsi="Times New Roman" w:cs="Times New Roman" w:eastAsia="Times New Roman" w:hint="default"/>
          <w:sz w:val="18"/>
          <w:szCs w:val="18"/>
        </w:rPr>
        <w:t>”</w:t>
      </w:r>
      <w:r>
        <w:rPr>
          <w:rFonts w:ascii="宋体" w:hAnsi="宋体" w:cs="宋体" w:eastAsia="宋体" w:hint="default"/>
          <w:sz w:val="18"/>
          <w:szCs w:val="18"/>
        </w:rPr>
        <w:t>中的</w:t>
      </w:r>
      <w:r>
        <w:rPr>
          <w:rFonts w:ascii="Times New Roman" w:hAnsi="Times New Roman" w:cs="Times New Roman" w:eastAsia="Times New Roman" w:hint="default"/>
          <w:sz w:val="18"/>
          <w:szCs w:val="18"/>
        </w:rPr>
        <w:t>“</w:t>
      </w:r>
      <w:r>
        <w:rPr>
          <w:rFonts w:ascii="宋体" w:hAnsi="宋体" w:cs="宋体" w:eastAsia="宋体" w:hint="default"/>
          <w:sz w:val="18"/>
          <w:szCs w:val="18"/>
        </w:rPr>
        <w:t>一、概述</w:t>
      </w:r>
      <w:r>
        <w:rPr>
          <w:rFonts w:ascii="Times New Roman" w:hAnsi="Times New Roman" w:cs="Times New Roman" w:eastAsia="Times New Roman" w:hint="default"/>
          <w:sz w:val="18"/>
          <w:szCs w:val="18"/>
        </w:rPr>
        <w:t>”</w:t>
      </w:r>
      <w:r>
        <w:rPr>
          <w:rFonts w:ascii="宋体" w:hAnsi="宋体" w:cs="宋体" w:eastAsia="宋体" w:hint="default"/>
          <w:sz w:val="18"/>
          <w:szCs w:val="18"/>
        </w:rPr>
        <w:t>相关内容。 </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、收入与成本</w:t>
      </w:r>
      <w:r>
        <w:rPr>
          <w:rFonts w:ascii="宋体" w:hAnsi="宋体" w:cs="宋体" w:eastAsia="宋体" w:hint="default"/>
          <w:sz w:val="21"/>
          <w:szCs w:val="21"/>
        </w:rPr>
      </w:r>
    </w:p>
    <w:p>
      <w:pPr>
        <w:pStyle w:val="Heading4"/>
        <w:spacing w:line="240" w:lineRule="auto" w:before="29"/>
        <w:ind w:right="982"/>
        <w:jc w:val="left"/>
        <w:rPr>
          <w:b w:val="0"/>
          <w:bCs w:val="0"/>
        </w:rPr>
      </w:pPr>
      <w:r>
        <w:rPr/>
        <w:t>（</w:t>
      </w:r>
      <w:r>
        <w:rPr>
          <w:rFonts w:ascii="Times New Roman" w:hAnsi="Times New Roman" w:cs="Times New Roman" w:eastAsia="Times New Roman" w:hint="default"/>
        </w:rPr>
        <w:t>1</w:t>
      </w:r>
      <w:r>
        <w:rPr/>
        <w:t>）营业收入构成</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left="0" w:right="1131"/>
        <w:jc w:val="right"/>
      </w:pPr>
      <w:r>
        <w:rPr/>
        <w:t>单位：元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590"/>
        <w:gridCol w:w="1588"/>
        <w:gridCol w:w="1594"/>
        <w:gridCol w:w="1596"/>
        <w:gridCol w:w="1588"/>
        <w:gridCol w:w="1600"/>
      </w:tblGrid>
      <w:tr>
        <w:trPr>
          <w:trHeight w:val="206" w:hRule="exact"/>
        </w:trPr>
        <w:tc>
          <w:tcPr>
            <w:tcW w:w="1590" w:type="dxa"/>
            <w:tcBorders>
              <w:top w:val="single" w:sz="4" w:space="0" w:color="000000"/>
              <w:left w:val="single" w:sz="4" w:space="0" w:color="000000"/>
              <w:bottom w:val="nil" w:sz="6" w:space="0" w:color="auto"/>
              <w:right w:val="single" w:sz="4" w:space="0" w:color="000000"/>
            </w:tcBorders>
            <w:shd w:val="clear" w:color="auto" w:fill="D2D2D2"/>
          </w:tcPr>
          <w:p>
            <w:pPr/>
          </w:p>
        </w:tc>
        <w:tc>
          <w:tcPr>
            <w:tcW w:w="3182"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3183"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5"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600"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6" w:hRule="exact"/>
        </w:trPr>
        <w:tc>
          <w:tcPr>
            <w:tcW w:w="1590" w:type="dxa"/>
            <w:vMerge w:val="restart"/>
            <w:tcBorders>
              <w:top w:val="nil" w:sz="6" w:space="0" w:color="auto"/>
              <w:left w:val="single" w:sz="4" w:space="0" w:color="000000"/>
              <w:right w:val="single" w:sz="4" w:space="0" w:color="000000"/>
            </w:tcBorders>
            <w:shd w:val="clear" w:color="auto" w:fill="D2D2D2"/>
          </w:tcPr>
          <w:p>
            <w:pPr/>
          </w:p>
        </w:tc>
        <w:tc>
          <w:tcPr>
            <w:tcW w:w="3182" w:type="dxa"/>
            <w:gridSpan w:val="2"/>
            <w:vMerge/>
            <w:tcBorders>
              <w:left w:val="single" w:sz="4" w:space="0" w:color="000000"/>
              <w:bottom w:val="single" w:sz="4" w:space="0" w:color="000000"/>
              <w:right w:val="single" w:sz="4" w:space="0" w:color="000000"/>
            </w:tcBorders>
            <w:shd w:val="clear" w:color="auto" w:fill="D2D2D2"/>
          </w:tcPr>
          <w:p>
            <w:pPr/>
          </w:p>
        </w:tc>
        <w:tc>
          <w:tcPr>
            <w:tcW w:w="3183" w:type="dxa"/>
            <w:gridSpan w:val="2"/>
            <w:vMerge/>
            <w:tcBorders>
              <w:left w:val="single" w:sz="4" w:space="0" w:color="000000"/>
              <w:bottom w:val="single" w:sz="4" w:space="0" w:color="000000"/>
              <w:right w:val="single" w:sz="4" w:space="0" w:color="000000"/>
            </w:tcBorders>
            <w:shd w:val="clear" w:color="auto" w:fill="D2D2D2"/>
          </w:tcPr>
          <w:p>
            <w:pPr/>
          </w:p>
        </w:tc>
        <w:tc>
          <w:tcPr>
            <w:tcW w:w="160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438"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196" w:hRule="exact"/>
        </w:trPr>
        <w:tc>
          <w:tcPr>
            <w:tcW w:w="1590" w:type="dxa"/>
            <w:vMerge/>
            <w:tcBorders>
              <w:left w:val="single" w:sz="4" w:space="0" w:color="000000"/>
              <w:bottom w:val="nil" w:sz="6" w:space="0" w:color="auto"/>
              <w:right w:val="single" w:sz="4" w:space="0" w:color="000000"/>
            </w:tcBorders>
            <w:shd w:val="clear" w:color="auto" w:fill="D2D2D2"/>
          </w:tcPr>
          <w:p>
            <w:pPr/>
          </w:p>
        </w:tc>
        <w:tc>
          <w:tcPr>
            <w:tcW w:w="158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right="4"/>
              <w:jc w:val="center"/>
              <w:rPr>
                <w:rFonts w:ascii="宋体" w:hAnsi="宋体" w:cs="宋体" w:eastAsia="宋体" w:hint="default"/>
                <w:sz w:val="18"/>
                <w:szCs w:val="18"/>
              </w:rPr>
            </w:pPr>
            <w:r>
              <w:rPr>
                <w:rFonts w:ascii="宋体" w:hAnsi="宋体" w:cs="宋体" w:eastAsia="宋体" w:hint="default"/>
                <w:sz w:val="18"/>
                <w:szCs w:val="18"/>
              </w:rPr>
              <w:t>金额</w:t>
            </w: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left="163"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c>
          <w:tcPr>
            <w:tcW w:w="15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58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left="163"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c>
          <w:tcPr>
            <w:tcW w:w="1600" w:type="dxa"/>
            <w:vMerge/>
            <w:tcBorders>
              <w:left w:val="single" w:sz="4" w:space="0" w:color="000000"/>
              <w:bottom w:val="nil" w:sz="6" w:space="0" w:color="auto"/>
              <w:right w:val="single" w:sz="4" w:space="0" w:color="000000"/>
            </w:tcBorders>
            <w:shd w:val="clear" w:color="auto" w:fill="D2D2D2"/>
          </w:tcPr>
          <w:p>
            <w:pPr/>
          </w:p>
        </w:tc>
      </w:tr>
      <w:tr>
        <w:trPr>
          <w:trHeight w:val="206" w:hRule="exact"/>
        </w:trPr>
        <w:tc>
          <w:tcPr>
            <w:tcW w:w="1590" w:type="dxa"/>
            <w:tcBorders>
              <w:top w:val="nil" w:sz="6" w:space="0" w:color="auto"/>
              <w:left w:val="single" w:sz="4" w:space="0" w:color="000000"/>
              <w:bottom w:val="single" w:sz="4" w:space="0" w:color="000000"/>
              <w:right w:val="single" w:sz="4" w:space="0" w:color="000000"/>
            </w:tcBorders>
            <w:shd w:val="clear" w:color="auto" w:fill="D2D2D2"/>
          </w:tcPr>
          <w:p>
            <w:pPr/>
          </w:p>
        </w:tc>
        <w:tc>
          <w:tcPr>
            <w:tcW w:w="1588" w:type="dxa"/>
            <w:vMerge/>
            <w:tcBorders>
              <w:left w:val="single" w:sz="4" w:space="0" w:color="000000"/>
              <w:bottom w:val="single" w:sz="4" w:space="0" w:color="000000"/>
              <w:right w:val="single" w:sz="4" w:space="0" w:color="000000"/>
            </w:tcBorders>
            <w:shd w:val="clear" w:color="auto" w:fill="D2D2D2"/>
          </w:tcPr>
          <w:p>
            <w:pPr/>
          </w:p>
        </w:tc>
        <w:tc>
          <w:tcPr>
            <w:tcW w:w="1594" w:type="dxa"/>
            <w:vMerge/>
            <w:tcBorders>
              <w:left w:val="single" w:sz="4" w:space="0" w:color="000000"/>
              <w:bottom w:val="single" w:sz="4" w:space="0" w:color="000000"/>
              <w:right w:val="single" w:sz="4" w:space="0" w:color="000000"/>
            </w:tcBorders>
            <w:shd w:val="clear" w:color="auto" w:fill="D2D2D2"/>
          </w:tcPr>
          <w:p>
            <w:pPr/>
          </w:p>
        </w:tc>
        <w:tc>
          <w:tcPr>
            <w:tcW w:w="1596" w:type="dxa"/>
            <w:vMerge/>
            <w:tcBorders>
              <w:left w:val="single" w:sz="4" w:space="0" w:color="000000"/>
              <w:bottom w:val="single" w:sz="4" w:space="0" w:color="000000"/>
              <w:right w:val="single" w:sz="4" w:space="0" w:color="000000"/>
            </w:tcBorders>
            <w:shd w:val="clear" w:color="auto" w:fill="D2D2D2"/>
          </w:tcPr>
          <w:p>
            <w:pPr/>
          </w:p>
        </w:tc>
        <w:tc>
          <w:tcPr>
            <w:tcW w:w="1588" w:type="dxa"/>
            <w:vMerge/>
            <w:tcBorders>
              <w:left w:val="single" w:sz="4" w:space="0" w:color="000000"/>
              <w:bottom w:val="single" w:sz="4" w:space="0" w:color="000000"/>
              <w:right w:val="single" w:sz="4" w:space="0" w:color="000000"/>
            </w:tcBorders>
            <w:shd w:val="clear" w:color="auto" w:fill="D2D2D2"/>
          </w:tcPr>
          <w:p>
            <w:pPr/>
          </w:p>
        </w:tc>
        <w:tc>
          <w:tcPr>
            <w:tcW w:w="1600"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2" w:hRule="exact"/>
        </w:trPr>
        <w:tc>
          <w:tcPr>
            <w:tcW w:w="1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营业收入合计</w:t>
            </w:r>
          </w:p>
        </w:tc>
        <w:tc>
          <w:tcPr>
            <w:tcW w:w="1588"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2,133,659,113.98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5"/>
              <w:jc w:val="right"/>
              <w:rPr>
                <w:rFonts w:ascii="Times New Roman" w:hAnsi="Times New Roman" w:cs="Times New Roman" w:eastAsia="Times New Roman" w:hint="default"/>
                <w:sz w:val="18"/>
                <w:szCs w:val="18"/>
              </w:rPr>
            </w:pPr>
            <w:r>
              <w:rPr>
                <w:rFonts w:ascii="Times New Roman"/>
                <w:sz w:val="18"/>
              </w:rPr>
              <w:t>100%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2,156,487,774.85</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8"/>
              <w:jc w:val="right"/>
              <w:rPr>
                <w:rFonts w:ascii="Times New Roman" w:hAnsi="Times New Roman" w:cs="Times New Roman" w:eastAsia="Times New Roman" w:hint="default"/>
                <w:sz w:val="18"/>
                <w:szCs w:val="18"/>
              </w:rPr>
            </w:pPr>
            <w:r>
              <w:rPr>
                <w:rFonts w:ascii="Times New Roman"/>
                <w:sz w:val="18"/>
              </w:rPr>
              <w:t>100%</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-1.06%</w:t>
            </w:r>
          </w:p>
        </w:tc>
      </w:tr>
      <w:tr>
        <w:trPr>
          <w:trHeight w:val="402" w:hRule="exact"/>
        </w:trPr>
        <w:tc>
          <w:tcPr>
            <w:tcW w:w="9556"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403" w:hRule="exact"/>
        </w:trPr>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导航</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775,129,098.48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36.33%</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941,033,011.27</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
              <w:jc w:val="right"/>
              <w:rPr>
                <w:rFonts w:ascii="Times New Roman" w:hAnsi="Times New Roman" w:cs="Times New Roman" w:eastAsia="Times New Roman" w:hint="default"/>
                <w:sz w:val="18"/>
                <w:szCs w:val="18"/>
              </w:rPr>
            </w:pPr>
            <w:r>
              <w:rPr>
                <w:rFonts w:ascii="Times New Roman"/>
                <w:sz w:val="18"/>
              </w:rPr>
              <w:t>43.64%</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-17.63%</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596"/>
        <w:gridCol w:w="1594"/>
        <w:gridCol w:w="1594"/>
        <w:gridCol w:w="1596"/>
        <w:gridCol w:w="1594"/>
        <w:gridCol w:w="1594"/>
      </w:tblGrid>
      <w:tr>
        <w:trPr>
          <w:trHeight w:val="401"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车联网</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542,185,340.05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25.41%</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474,535,968.32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22.01%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14.26%</w:t>
            </w:r>
          </w:p>
        </w:tc>
      </w:tr>
      <w:tr>
        <w:trPr>
          <w:trHeight w:val="40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芯片</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578,993,690.64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27.14%</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517,313,846.94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23.99%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11.92%</w:t>
            </w:r>
          </w:p>
        </w:tc>
      </w:tr>
      <w:tr>
        <w:trPr>
          <w:trHeight w:val="71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20"/>
              <w:jc w:val="left"/>
              <w:rPr>
                <w:rFonts w:ascii="宋体" w:hAnsi="宋体" w:cs="宋体" w:eastAsia="宋体" w:hint="default"/>
                <w:sz w:val="18"/>
                <w:szCs w:val="18"/>
              </w:rPr>
            </w:pPr>
            <w:r>
              <w:rPr>
                <w:rFonts w:ascii="宋体" w:hAnsi="宋体" w:cs="宋体" w:eastAsia="宋体" w:hint="default"/>
                <w:sz w:val="18"/>
                <w:szCs w:val="18"/>
              </w:rPr>
              <w:t>高级辅助驾驶及自 动驾驶</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52,928,075.00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2.48%</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42,636,361.03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1.98%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24.14%</w:t>
            </w:r>
          </w:p>
        </w:tc>
      </w:tr>
      <w:tr>
        <w:trPr>
          <w:trHeight w:val="40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位置大数据服务</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175,724,887.90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8.24%</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177,330,693.56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8.22%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-0.91%</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其他业务收入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8,698,021.91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0.40%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3,637,893.73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0.17%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139.09%</w:t>
            </w:r>
          </w:p>
        </w:tc>
      </w:tr>
      <w:tr>
        <w:trPr>
          <w:trHeight w:val="402"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401"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导航</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775,129,098.48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36.33%</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941,033,011.27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43.64%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-17.63%</w:t>
            </w:r>
          </w:p>
        </w:tc>
      </w:tr>
      <w:tr>
        <w:trPr>
          <w:trHeight w:val="40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车联网</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542,185,340.05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25.41%</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474,535,968.32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22.01%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14.26%</w:t>
            </w:r>
          </w:p>
        </w:tc>
      </w:tr>
      <w:tr>
        <w:trPr>
          <w:trHeight w:val="401"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芯片</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578,993,690.64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27.14%</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517,313,846.94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23.99%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11.92%</w:t>
            </w:r>
          </w:p>
        </w:tc>
      </w:tr>
      <w:tr>
        <w:trPr>
          <w:trHeight w:val="715"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20"/>
              <w:jc w:val="left"/>
              <w:rPr>
                <w:rFonts w:ascii="宋体" w:hAnsi="宋体" w:cs="宋体" w:eastAsia="宋体" w:hint="default"/>
                <w:sz w:val="18"/>
                <w:szCs w:val="18"/>
              </w:rPr>
            </w:pPr>
            <w:r>
              <w:rPr>
                <w:rFonts w:ascii="宋体" w:hAnsi="宋体" w:cs="宋体" w:eastAsia="宋体" w:hint="default"/>
                <w:sz w:val="18"/>
                <w:szCs w:val="18"/>
              </w:rPr>
              <w:t>高级辅助驾驶及自 动驾驶</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52,928,075.00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2.48%</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42,636,361.03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1.98%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24.14%</w:t>
            </w:r>
          </w:p>
        </w:tc>
      </w:tr>
      <w:tr>
        <w:trPr>
          <w:trHeight w:val="401"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位置大数据服务</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175,724,887.90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8.24%</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177,330,693.56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8.22%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-0.91%</w:t>
            </w:r>
          </w:p>
        </w:tc>
      </w:tr>
      <w:tr>
        <w:trPr>
          <w:trHeight w:val="40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其他业务收入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8,698,021.91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z w:val="18"/>
              </w:rPr>
              <w:t>0.40%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3,637,893.73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0.17%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139.09%</w:t>
            </w:r>
          </w:p>
        </w:tc>
      </w:tr>
      <w:tr>
        <w:trPr>
          <w:trHeight w:val="401"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全部地区</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2,133,659,113.98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2,156,487,774.85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-1.06%</w:t>
            </w:r>
          </w:p>
        </w:tc>
      </w:tr>
    </w:tbl>
    <w:p>
      <w:pPr>
        <w:pStyle w:val="BodyText"/>
        <w:spacing w:line="240" w:lineRule="auto" w:before="49"/>
        <w:ind w:right="982"/>
        <w:jc w:val="left"/>
      </w:pPr>
      <w:r>
        <w:rPr/>
        <w:t>公司需遵守《深圳证券交易所行业信息披露指引第</w:t>
      </w:r>
      <w:r>
        <w:rPr>
          <w:spacing w:val="-45"/>
        </w:rPr>
        <w:t> </w:t>
      </w:r>
      <w:r>
        <w:rPr>
          <w:rFonts w:ascii="Times New Roman" w:hAnsi="Times New Roman" w:cs="Times New Roman" w:eastAsia="Times New Roman" w:hint="default"/>
        </w:rPr>
        <w:t>12 </w:t>
      </w:r>
      <w:r>
        <w:rPr/>
        <w:t>号</w:t>
      </w:r>
      <w:r>
        <w:rPr>
          <w:rFonts w:ascii="Times New Roman" w:hAnsi="Times New Roman" w:cs="Times New Roman" w:eastAsia="Times New Roman" w:hint="default"/>
        </w:rPr>
        <w:t>——</w:t>
      </w:r>
      <w:r>
        <w:rPr/>
        <w:t>上市公司从软件与信息技术服务业务》的披露要求</w:t>
      </w:r>
    </w:p>
    <w:p>
      <w:pPr>
        <w:pStyle w:val="BodyText"/>
        <w:spacing w:line="240" w:lineRule="auto" w:before="101"/>
        <w:ind w:left="0" w:right="1131"/>
        <w:jc w:val="right"/>
      </w:pPr>
      <w:r>
        <w:rPr/>
        <w:t>单位：元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496"/>
        <w:gridCol w:w="1020"/>
        <w:gridCol w:w="1009"/>
        <w:gridCol w:w="1013"/>
        <w:gridCol w:w="1011"/>
        <w:gridCol w:w="1003"/>
        <w:gridCol w:w="1006"/>
        <w:gridCol w:w="1001"/>
        <w:gridCol w:w="1003"/>
      </w:tblGrid>
      <w:tr>
        <w:trPr>
          <w:trHeight w:val="207" w:hRule="exact"/>
        </w:trPr>
        <w:tc>
          <w:tcPr>
            <w:tcW w:w="1496" w:type="dxa"/>
            <w:tcBorders>
              <w:top w:val="single" w:sz="4" w:space="0" w:color="000000"/>
              <w:left w:val="single" w:sz="4" w:space="0" w:color="000000"/>
              <w:bottom w:val="nil" w:sz="6" w:space="0" w:color="auto"/>
              <w:right w:val="single" w:sz="4" w:space="0" w:color="000000"/>
            </w:tcBorders>
            <w:shd w:val="clear" w:color="auto" w:fill="D2D2D2"/>
          </w:tcPr>
          <w:p>
            <w:pPr/>
          </w:p>
        </w:tc>
        <w:tc>
          <w:tcPr>
            <w:tcW w:w="4052" w:type="dxa"/>
            <w:gridSpan w:val="4"/>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c>
          <w:tcPr>
            <w:tcW w:w="4013" w:type="dxa"/>
            <w:gridSpan w:val="4"/>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r>
      <w:tr>
        <w:trPr>
          <w:trHeight w:val="192" w:hRule="exact"/>
        </w:trPr>
        <w:tc>
          <w:tcPr>
            <w:tcW w:w="1496" w:type="dxa"/>
            <w:vMerge w:val="restart"/>
            <w:tcBorders>
              <w:top w:val="nil" w:sz="6" w:space="0" w:color="auto"/>
              <w:left w:val="single" w:sz="4" w:space="0" w:color="000000"/>
              <w:right w:val="single" w:sz="4" w:space="0" w:color="000000"/>
            </w:tcBorders>
            <w:shd w:val="clear" w:color="auto" w:fill="D2D2D2"/>
          </w:tcPr>
          <w:p>
            <w:pPr/>
          </w:p>
        </w:tc>
        <w:tc>
          <w:tcPr>
            <w:tcW w:w="4052" w:type="dxa"/>
            <w:gridSpan w:val="4"/>
            <w:vMerge/>
            <w:tcBorders>
              <w:left w:val="single" w:sz="4" w:space="0" w:color="000000"/>
              <w:bottom w:val="single" w:sz="4" w:space="0" w:color="000000"/>
              <w:right w:val="single" w:sz="4" w:space="0" w:color="000000"/>
            </w:tcBorders>
            <w:shd w:val="clear" w:color="auto" w:fill="D2D2D2"/>
          </w:tcPr>
          <w:p>
            <w:pPr/>
          </w:p>
        </w:tc>
        <w:tc>
          <w:tcPr>
            <w:tcW w:w="4013" w:type="dxa"/>
            <w:gridSpan w:val="4"/>
            <w:vMerge/>
            <w:tcBorders>
              <w:left w:val="single" w:sz="4" w:space="0" w:color="000000"/>
              <w:bottom w:val="single" w:sz="4" w:space="0" w:color="000000"/>
              <w:right w:val="single" w:sz="4" w:space="0" w:color="000000"/>
            </w:tcBorders>
            <w:shd w:val="clear" w:color="auto" w:fill="D2D2D2"/>
          </w:tcPr>
          <w:p>
            <w:pPr/>
          </w:p>
        </w:tc>
      </w:tr>
      <w:tr>
        <w:trPr>
          <w:trHeight w:val="199" w:hRule="exact"/>
        </w:trPr>
        <w:tc>
          <w:tcPr>
            <w:tcW w:w="1496" w:type="dxa"/>
            <w:vMerge/>
            <w:tcBorders>
              <w:left w:val="single" w:sz="4" w:space="0" w:color="000000"/>
              <w:bottom w:val="nil" w:sz="6" w:space="0" w:color="auto"/>
              <w:right w:val="single" w:sz="4" w:space="0" w:color="000000"/>
            </w:tcBorders>
            <w:shd w:val="clear" w:color="auto" w:fill="D2D2D2"/>
          </w:tcPr>
          <w:p>
            <w:pPr/>
          </w:p>
        </w:tc>
        <w:tc>
          <w:tcPr>
            <w:tcW w:w="102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51" w:right="0"/>
              <w:jc w:val="left"/>
              <w:rPr>
                <w:rFonts w:ascii="宋体" w:hAnsi="宋体" w:cs="宋体" w:eastAsia="宋体" w:hint="default"/>
                <w:sz w:val="18"/>
                <w:szCs w:val="18"/>
              </w:rPr>
            </w:pPr>
            <w:r>
              <w:rPr>
                <w:rFonts w:ascii="宋体" w:hAnsi="宋体" w:cs="宋体" w:eastAsia="宋体" w:hint="default"/>
                <w:sz w:val="18"/>
                <w:szCs w:val="18"/>
              </w:rPr>
              <w:t>第一季度</w:t>
            </w:r>
          </w:p>
        </w:tc>
        <w:tc>
          <w:tcPr>
            <w:tcW w:w="100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39" w:right="0"/>
              <w:jc w:val="left"/>
              <w:rPr>
                <w:rFonts w:ascii="宋体" w:hAnsi="宋体" w:cs="宋体" w:eastAsia="宋体" w:hint="default"/>
                <w:sz w:val="18"/>
                <w:szCs w:val="18"/>
              </w:rPr>
            </w:pPr>
            <w:r>
              <w:rPr>
                <w:rFonts w:ascii="宋体" w:hAnsi="宋体" w:cs="宋体" w:eastAsia="宋体" w:hint="default"/>
                <w:sz w:val="18"/>
                <w:szCs w:val="18"/>
              </w:rPr>
              <w:t>第二季度</w:t>
            </w:r>
          </w:p>
        </w:tc>
        <w:tc>
          <w:tcPr>
            <w:tcW w:w="10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41" w:right="0"/>
              <w:jc w:val="left"/>
              <w:rPr>
                <w:rFonts w:ascii="宋体" w:hAnsi="宋体" w:cs="宋体" w:eastAsia="宋体" w:hint="default"/>
                <w:sz w:val="18"/>
                <w:szCs w:val="18"/>
              </w:rPr>
            </w:pPr>
            <w:r>
              <w:rPr>
                <w:rFonts w:ascii="宋体" w:hAnsi="宋体" w:cs="宋体" w:eastAsia="宋体" w:hint="default"/>
                <w:sz w:val="18"/>
                <w:szCs w:val="18"/>
              </w:rPr>
              <w:t>第三季度</w:t>
            </w:r>
          </w:p>
        </w:tc>
        <w:tc>
          <w:tcPr>
            <w:tcW w:w="101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41" w:right="0"/>
              <w:jc w:val="left"/>
              <w:rPr>
                <w:rFonts w:ascii="宋体" w:hAnsi="宋体" w:cs="宋体" w:eastAsia="宋体" w:hint="default"/>
                <w:sz w:val="18"/>
                <w:szCs w:val="18"/>
              </w:rPr>
            </w:pPr>
            <w:r>
              <w:rPr>
                <w:rFonts w:ascii="宋体" w:hAnsi="宋体" w:cs="宋体" w:eastAsia="宋体" w:hint="default"/>
                <w:sz w:val="18"/>
                <w:szCs w:val="18"/>
              </w:rPr>
              <w:t>第四季度</w:t>
            </w:r>
          </w:p>
        </w:tc>
        <w:tc>
          <w:tcPr>
            <w:tcW w:w="100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36" w:right="0"/>
              <w:jc w:val="left"/>
              <w:rPr>
                <w:rFonts w:ascii="宋体" w:hAnsi="宋体" w:cs="宋体" w:eastAsia="宋体" w:hint="default"/>
                <w:sz w:val="18"/>
                <w:szCs w:val="18"/>
              </w:rPr>
            </w:pPr>
            <w:r>
              <w:rPr>
                <w:rFonts w:ascii="宋体" w:hAnsi="宋体" w:cs="宋体" w:eastAsia="宋体" w:hint="default"/>
                <w:sz w:val="18"/>
                <w:szCs w:val="18"/>
              </w:rPr>
              <w:t>第一季度</w:t>
            </w:r>
          </w:p>
        </w:tc>
        <w:tc>
          <w:tcPr>
            <w:tcW w:w="100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36" w:right="0"/>
              <w:jc w:val="left"/>
              <w:rPr>
                <w:rFonts w:ascii="宋体" w:hAnsi="宋体" w:cs="宋体" w:eastAsia="宋体" w:hint="default"/>
                <w:sz w:val="18"/>
                <w:szCs w:val="18"/>
              </w:rPr>
            </w:pPr>
            <w:r>
              <w:rPr>
                <w:rFonts w:ascii="宋体" w:hAnsi="宋体" w:cs="宋体" w:eastAsia="宋体" w:hint="default"/>
                <w:sz w:val="18"/>
                <w:szCs w:val="18"/>
              </w:rPr>
              <w:t>第二季度</w:t>
            </w:r>
          </w:p>
        </w:tc>
        <w:tc>
          <w:tcPr>
            <w:tcW w:w="100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36" w:right="0"/>
              <w:jc w:val="left"/>
              <w:rPr>
                <w:rFonts w:ascii="宋体" w:hAnsi="宋体" w:cs="宋体" w:eastAsia="宋体" w:hint="default"/>
                <w:sz w:val="18"/>
                <w:szCs w:val="18"/>
              </w:rPr>
            </w:pPr>
            <w:r>
              <w:rPr>
                <w:rFonts w:ascii="宋体" w:hAnsi="宋体" w:cs="宋体" w:eastAsia="宋体" w:hint="default"/>
                <w:sz w:val="18"/>
                <w:szCs w:val="18"/>
              </w:rPr>
              <w:t>第三季度</w:t>
            </w:r>
          </w:p>
        </w:tc>
        <w:tc>
          <w:tcPr>
            <w:tcW w:w="100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36" w:right="0"/>
              <w:jc w:val="left"/>
              <w:rPr>
                <w:rFonts w:ascii="宋体" w:hAnsi="宋体" w:cs="宋体" w:eastAsia="宋体" w:hint="default"/>
                <w:sz w:val="18"/>
                <w:szCs w:val="18"/>
              </w:rPr>
            </w:pPr>
            <w:r>
              <w:rPr>
                <w:rFonts w:ascii="宋体" w:hAnsi="宋体" w:cs="宋体" w:eastAsia="宋体" w:hint="default"/>
                <w:sz w:val="18"/>
                <w:szCs w:val="18"/>
              </w:rPr>
              <w:t>第四季度</w:t>
            </w:r>
          </w:p>
        </w:tc>
      </w:tr>
      <w:tr>
        <w:trPr>
          <w:trHeight w:val="206" w:hRule="exact"/>
        </w:trPr>
        <w:tc>
          <w:tcPr>
            <w:tcW w:w="1496" w:type="dxa"/>
            <w:tcBorders>
              <w:top w:val="nil" w:sz="6" w:space="0" w:color="auto"/>
              <w:left w:val="single" w:sz="4" w:space="0" w:color="000000"/>
              <w:bottom w:val="single" w:sz="4" w:space="0" w:color="000000"/>
              <w:right w:val="single" w:sz="4" w:space="0" w:color="000000"/>
            </w:tcBorders>
            <w:shd w:val="clear" w:color="auto" w:fill="D2D2D2"/>
          </w:tcPr>
          <w:p>
            <w:pPr/>
          </w:p>
        </w:tc>
        <w:tc>
          <w:tcPr>
            <w:tcW w:w="1020" w:type="dxa"/>
            <w:vMerge/>
            <w:tcBorders>
              <w:left w:val="single" w:sz="4" w:space="0" w:color="000000"/>
              <w:bottom w:val="single" w:sz="4" w:space="0" w:color="000000"/>
              <w:right w:val="single" w:sz="4" w:space="0" w:color="000000"/>
            </w:tcBorders>
            <w:shd w:val="clear" w:color="auto" w:fill="D2D2D2"/>
          </w:tcPr>
          <w:p>
            <w:pPr/>
          </w:p>
        </w:tc>
        <w:tc>
          <w:tcPr>
            <w:tcW w:w="1009" w:type="dxa"/>
            <w:vMerge/>
            <w:tcBorders>
              <w:left w:val="single" w:sz="4" w:space="0" w:color="000000"/>
              <w:bottom w:val="single" w:sz="4" w:space="0" w:color="000000"/>
              <w:right w:val="single" w:sz="4" w:space="0" w:color="000000"/>
            </w:tcBorders>
            <w:shd w:val="clear" w:color="auto" w:fill="D2D2D2"/>
          </w:tcPr>
          <w:p>
            <w:pPr/>
          </w:p>
        </w:tc>
        <w:tc>
          <w:tcPr>
            <w:tcW w:w="1013" w:type="dxa"/>
            <w:vMerge/>
            <w:tcBorders>
              <w:left w:val="single" w:sz="4" w:space="0" w:color="000000"/>
              <w:bottom w:val="single" w:sz="4" w:space="0" w:color="000000"/>
              <w:right w:val="single" w:sz="4" w:space="0" w:color="000000"/>
            </w:tcBorders>
            <w:shd w:val="clear" w:color="auto" w:fill="D2D2D2"/>
          </w:tcPr>
          <w:p>
            <w:pPr/>
          </w:p>
        </w:tc>
        <w:tc>
          <w:tcPr>
            <w:tcW w:w="1011" w:type="dxa"/>
            <w:vMerge/>
            <w:tcBorders>
              <w:left w:val="single" w:sz="4" w:space="0" w:color="000000"/>
              <w:bottom w:val="single" w:sz="4" w:space="0" w:color="000000"/>
              <w:right w:val="single" w:sz="4" w:space="0" w:color="000000"/>
            </w:tcBorders>
            <w:shd w:val="clear" w:color="auto" w:fill="D2D2D2"/>
          </w:tcPr>
          <w:p>
            <w:pPr/>
          </w:p>
        </w:tc>
        <w:tc>
          <w:tcPr>
            <w:tcW w:w="1003" w:type="dxa"/>
            <w:vMerge/>
            <w:tcBorders>
              <w:left w:val="single" w:sz="4" w:space="0" w:color="000000"/>
              <w:bottom w:val="single" w:sz="4" w:space="0" w:color="000000"/>
              <w:right w:val="single" w:sz="4" w:space="0" w:color="000000"/>
            </w:tcBorders>
            <w:shd w:val="clear" w:color="auto" w:fill="D2D2D2"/>
          </w:tcPr>
          <w:p>
            <w:pPr/>
          </w:p>
        </w:tc>
        <w:tc>
          <w:tcPr>
            <w:tcW w:w="1006" w:type="dxa"/>
            <w:vMerge/>
            <w:tcBorders>
              <w:left w:val="single" w:sz="4" w:space="0" w:color="000000"/>
              <w:bottom w:val="single" w:sz="4" w:space="0" w:color="000000"/>
              <w:right w:val="single" w:sz="4" w:space="0" w:color="000000"/>
            </w:tcBorders>
            <w:shd w:val="clear" w:color="auto" w:fill="D2D2D2"/>
          </w:tcPr>
          <w:p>
            <w:pPr/>
          </w:p>
        </w:tc>
        <w:tc>
          <w:tcPr>
            <w:tcW w:w="1001" w:type="dxa"/>
            <w:vMerge/>
            <w:tcBorders>
              <w:left w:val="single" w:sz="4" w:space="0" w:color="000000"/>
              <w:bottom w:val="single" w:sz="4" w:space="0" w:color="000000"/>
              <w:right w:val="single" w:sz="4" w:space="0" w:color="000000"/>
            </w:tcBorders>
            <w:shd w:val="clear" w:color="auto" w:fill="D2D2D2"/>
          </w:tcPr>
          <w:p>
            <w:pPr/>
          </w:p>
        </w:tc>
        <w:tc>
          <w:tcPr>
            <w:tcW w:w="1003" w:type="dxa"/>
            <w:vMerge/>
            <w:tcBorders>
              <w:left w:val="single" w:sz="4" w:space="0" w:color="000000"/>
              <w:bottom w:val="single" w:sz="4" w:space="0" w:color="000000"/>
              <w:right w:val="single" w:sz="4" w:space="0" w:color="000000"/>
            </w:tcBorders>
            <w:shd w:val="clear" w:color="auto" w:fill="D2D2D2"/>
          </w:tcPr>
          <w:p>
            <w:pPr/>
          </w:p>
        </w:tc>
      </w:tr>
      <w:tr>
        <w:trPr>
          <w:trHeight w:val="161" w:hRule="exact"/>
        </w:trPr>
        <w:tc>
          <w:tcPr>
            <w:tcW w:w="1496" w:type="dxa"/>
            <w:tcBorders>
              <w:top w:val="single" w:sz="4" w:space="0" w:color="000000"/>
              <w:left w:val="single" w:sz="4" w:space="0" w:color="000000"/>
              <w:bottom w:val="nil" w:sz="6" w:space="0" w:color="auto"/>
              <w:right w:val="single" w:sz="4" w:space="0" w:color="000000"/>
            </w:tcBorders>
            <w:shd w:val="clear" w:color="auto" w:fill="D2D2D2"/>
          </w:tcPr>
          <w:p>
            <w:pPr/>
          </w:p>
        </w:tc>
        <w:tc>
          <w:tcPr>
            <w:tcW w:w="1020" w:type="dxa"/>
            <w:vMerge w:val="restart"/>
            <w:tcBorders>
              <w:top w:val="single" w:sz="4" w:space="0" w:color="000000"/>
              <w:left w:val="single" w:sz="10" w:space="0" w:color="D2D2D2"/>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452,855,903.</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44</w:t>
            </w:r>
          </w:p>
        </w:tc>
        <w:tc>
          <w:tcPr>
            <w:tcW w:w="1009"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537,487,265.</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33</w:t>
            </w:r>
          </w:p>
        </w:tc>
        <w:tc>
          <w:tcPr>
            <w:tcW w:w="1013"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533,108,853.</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58</w:t>
            </w:r>
          </w:p>
        </w:tc>
        <w:tc>
          <w:tcPr>
            <w:tcW w:w="1011"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610,207,091.</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63</w:t>
            </w:r>
          </w:p>
        </w:tc>
        <w:tc>
          <w:tcPr>
            <w:tcW w:w="1003" w:type="dxa"/>
            <w:vMerge w:val="restart"/>
            <w:tcBorders>
              <w:top w:val="single" w:sz="4" w:space="0" w:color="000000"/>
              <w:left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367,118,198.</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69</w:t>
            </w:r>
          </w:p>
        </w:tc>
        <w:tc>
          <w:tcPr>
            <w:tcW w:w="1006"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466,703,023.</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71</w:t>
            </w:r>
          </w:p>
        </w:tc>
        <w:tc>
          <w:tcPr>
            <w:tcW w:w="1001"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491,331,674.</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78</w:t>
            </w:r>
          </w:p>
        </w:tc>
        <w:tc>
          <w:tcPr>
            <w:tcW w:w="1003"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831,334,877.</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67</w:t>
            </w:r>
          </w:p>
        </w:tc>
      </w:tr>
      <w:tr>
        <w:trPr>
          <w:trHeight w:val="394" w:hRule="exact"/>
        </w:trPr>
        <w:tc>
          <w:tcPr>
            <w:tcW w:w="149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20" w:type="dxa"/>
            <w:vMerge/>
            <w:tcBorders>
              <w:left w:val="single" w:sz="10" w:space="0" w:color="D2D2D2"/>
              <w:right w:val="single" w:sz="4" w:space="0" w:color="000000"/>
            </w:tcBorders>
          </w:tcPr>
          <w:p>
            <w:pPr/>
          </w:p>
        </w:tc>
        <w:tc>
          <w:tcPr>
            <w:tcW w:w="1009" w:type="dxa"/>
            <w:vMerge/>
            <w:tcBorders>
              <w:left w:val="single" w:sz="4" w:space="0" w:color="000000"/>
              <w:right w:val="single" w:sz="4" w:space="0" w:color="000000"/>
            </w:tcBorders>
          </w:tcPr>
          <w:p>
            <w:pPr/>
          </w:p>
        </w:tc>
        <w:tc>
          <w:tcPr>
            <w:tcW w:w="1013" w:type="dxa"/>
            <w:vMerge/>
            <w:tcBorders>
              <w:left w:val="single" w:sz="4" w:space="0" w:color="000000"/>
              <w:right w:val="single" w:sz="4" w:space="0" w:color="000000"/>
            </w:tcBorders>
          </w:tcPr>
          <w:p>
            <w:pPr/>
          </w:p>
        </w:tc>
        <w:tc>
          <w:tcPr>
            <w:tcW w:w="1011" w:type="dxa"/>
            <w:vMerge/>
            <w:tcBorders>
              <w:left w:val="single" w:sz="4" w:space="0" w:color="000000"/>
              <w:right w:val="single" w:sz="4" w:space="0" w:color="000000"/>
            </w:tcBorders>
          </w:tcPr>
          <w:p>
            <w:pPr/>
          </w:p>
        </w:tc>
        <w:tc>
          <w:tcPr>
            <w:tcW w:w="1003" w:type="dxa"/>
            <w:vMerge/>
            <w:tcBorders>
              <w:left w:val="single" w:sz="4" w:space="0" w:color="000000"/>
              <w:right w:val="single" w:sz="4" w:space="0" w:color="000000"/>
            </w:tcBorders>
          </w:tcPr>
          <w:p>
            <w:pPr/>
          </w:p>
        </w:tc>
        <w:tc>
          <w:tcPr>
            <w:tcW w:w="1006" w:type="dxa"/>
            <w:vMerge/>
            <w:tcBorders>
              <w:left w:val="single" w:sz="4" w:space="0" w:color="000000"/>
              <w:right w:val="single" w:sz="4" w:space="0" w:color="000000"/>
            </w:tcBorders>
          </w:tcPr>
          <w:p>
            <w:pPr/>
          </w:p>
        </w:tc>
        <w:tc>
          <w:tcPr>
            <w:tcW w:w="1001" w:type="dxa"/>
            <w:vMerge/>
            <w:tcBorders>
              <w:left w:val="single" w:sz="4" w:space="0" w:color="000000"/>
              <w:right w:val="single" w:sz="4" w:space="0" w:color="000000"/>
            </w:tcBorders>
          </w:tcPr>
          <w:p>
            <w:pPr/>
          </w:p>
        </w:tc>
        <w:tc>
          <w:tcPr>
            <w:tcW w:w="1003" w:type="dxa"/>
            <w:vMerge/>
            <w:tcBorders>
              <w:left w:val="single" w:sz="4" w:space="0" w:color="000000"/>
              <w:right w:val="single" w:sz="4" w:space="0" w:color="000000"/>
            </w:tcBorders>
          </w:tcPr>
          <w:p>
            <w:pPr/>
          </w:p>
        </w:tc>
      </w:tr>
      <w:tr>
        <w:trPr>
          <w:trHeight w:val="161" w:hRule="exact"/>
        </w:trPr>
        <w:tc>
          <w:tcPr>
            <w:tcW w:w="1496" w:type="dxa"/>
            <w:tcBorders>
              <w:top w:val="nil" w:sz="6" w:space="0" w:color="auto"/>
              <w:left w:val="single" w:sz="4" w:space="0" w:color="000000"/>
              <w:bottom w:val="single" w:sz="4" w:space="0" w:color="000000"/>
              <w:right w:val="single" w:sz="4" w:space="0" w:color="000000"/>
            </w:tcBorders>
            <w:shd w:val="clear" w:color="auto" w:fill="D2D2D2"/>
          </w:tcPr>
          <w:p>
            <w:pPr/>
          </w:p>
        </w:tc>
        <w:tc>
          <w:tcPr>
            <w:tcW w:w="1020" w:type="dxa"/>
            <w:vMerge/>
            <w:tcBorders>
              <w:left w:val="single" w:sz="10" w:space="0" w:color="D2D2D2"/>
              <w:bottom w:val="single" w:sz="4" w:space="0" w:color="000000"/>
              <w:right w:val="single" w:sz="4" w:space="0" w:color="000000"/>
            </w:tcBorders>
          </w:tcPr>
          <w:p>
            <w:pPr/>
          </w:p>
        </w:tc>
        <w:tc>
          <w:tcPr>
            <w:tcW w:w="1009" w:type="dxa"/>
            <w:vMerge/>
            <w:tcBorders>
              <w:left w:val="single" w:sz="4" w:space="0" w:color="000000"/>
              <w:bottom w:val="single" w:sz="4" w:space="0" w:color="000000"/>
              <w:right w:val="single" w:sz="4" w:space="0" w:color="000000"/>
            </w:tcBorders>
          </w:tcPr>
          <w:p>
            <w:pPr/>
          </w:p>
        </w:tc>
        <w:tc>
          <w:tcPr>
            <w:tcW w:w="1013" w:type="dxa"/>
            <w:vMerge/>
            <w:tcBorders>
              <w:left w:val="single" w:sz="4" w:space="0" w:color="000000"/>
              <w:bottom w:val="single" w:sz="4" w:space="0" w:color="000000"/>
              <w:right w:val="single" w:sz="4" w:space="0" w:color="000000"/>
            </w:tcBorders>
          </w:tcPr>
          <w:p>
            <w:pPr/>
          </w:p>
        </w:tc>
        <w:tc>
          <w:tcPr>
            <w:tcW w:w="1011" w:type="dxa"/>
            <w:vMerge/>
            <w:tcBorders>
              <w:left w:val="single" w:sz="4" w:space="0" w:color="000000"/>
              <w:bottom w:val="single" w:sz="4" w:space="0" w:color="000000"/>
              <w:right w:val="single" w:sz="4" w:space="0" w:color="000000"/>
            </w:tcBorders>
          </w:tcPr>
          <w:p>
            <w:pPr/>
          </w:p>
        </w:tc>
        <w:tc>
          <w:tcPr>
            <w:tcW w:w="1003" w:type="dxa"/>
            <w:vMerge/>
            <w:tcBorders>
              <w:left w:val="single" w:sz="4" w:space="0" w:color="000000"/>
              <w:bottom w:val="single" w:sz="4" w:space="0" w:color="000000"/>
              <w:right w:val="single" w:sz="4" w:space="0" w:color="000000"/>
            </w:tcBorders>
          </w:tcPr>
          <w:p>
            <w:pPr/>
          </w:p>
        </w:tc>
        <w:tc>
          <w:tcPr>
            <w:tcW w:w="1006" w:type="dxa"/>
            <w:vMerge/>
            <w:tcBorders>
              <w:left w:val="single" w:sz="4" w:space="0" w:color="000000"/>
              <w:bottom w:val="single" w:sz="4" w:space="0" w:color="000000"/>
              <w:right w:val="single" w:sz="4" w:space="0" w:color="000000"/>
            </w:tcBorders>
          </w:tcPr>
          <w:p>
            <w:pPr/>
          </w:p>
        </w:tc>
        <w:tc>
          <w:tcPr>
            <w:tcW w:w="1001" w:type="dxa"/>
            <w:vMerge/>
            <w:tcBorders>
              <w:left w:val="single" w:sz="4" w:space="0" w:color="000000"/>
              <w:bottom w:val="single" w:sz="4" w:space="0" w:color="000000"/>
              <w:right w:val="single" w:sz="4" w:space="0" w:color="000000"/>
            </w:tcBorders>
          </w:tcPr>
          <w:p>
            <w:pPr/>
          </w:p>
        </w:tc>
        <w:tc>
          <w:tcPr>
            <w:tcW w:w="1003" w:type="dxa"/>
            <w:vMerge/>
            <w:tcBorders>
              <w:left w:val="single" w:sz="4" w:space="0" w:color="000000"/>
              <w:bottom w:val="single" w:sz="4" w:space="0" w:color="000000"/>
              <w:right w:val="single" w:sz="4" w:space="0" w:color="000000"/>
            </w:tcBorders>
          </w:tcPr>
          <w:p>
            <w:pPr/>
          </w:p>
        </w:tc>
      </w:tr>
      <w:tr>
        <w:trPr>
          <w:trHeight w:val="713" w:hRule="exact"/>
        </w:trPr>
        <w:tc>
          <w:tcPr>
            <w:tcW w:w="14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12" w:right="33"/>
              <w:jc w:val="left"/>
              <w:rPr>
                <w:rFonts w:ascii="宋体" w:hAnsi="宋体" w:cs="宋体" w:eastAsia="宋体" w:hint="default"/>
                <w:sz w:val="18"/>
                <w:szCs w:val="18"/>
              </w:rPr>
            </w:pPr>
            <w:r>
              <w:rPr>
                <w:rFonts w:ascii="宋体" w:hAnsi="宋体" w:cs="宋体" w:eastAsia="宋体" w:hint="default"/>
                <w:sz w:val="18"/>
                <w:szCs w:val="18"/>
              </w:rPr>
              <w:t>归属于上市公司股 东的净利润</w:t>
            </w:r>
          </w:p>
        </w:tc>
        <w:tc>
          <w:tcPr>
            <w:tcW w:w="102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73,318,809.7</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5</w:t>
            </w:r>
          </w:p>
        </w:tc>
        <w:tc>
          <w:tcPr>
            <w:tcW w:w="1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89,923,843.6</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8</w:t>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55,970,352.5</w:t>
            </w:r>
          </w:p>
          <w:p>
            <w:pPr>
              <w:pStyle w:val="TableParagraph"/>
              <w:spacing w:line="240" w:lineRule="auto" w:before="102"/>
              <w:ind w:right="23"/>
              <w:jc w:val="right"/>
              <w:rPr>
                <w:rFonts w:ascii="Times New Roman" w:hAnsi="Times New Roman" w:cs="Times New Roman" w:eastAsia="Times New Roman" w:hint="default"/>
                <w:sz w:val="18"/>
                <w:szCs w:val="18"/>
              </w:rPr>
            </w:pPr>
            <w:r>
              <w:rPr>
                <w:rFonts w:ascii="Times New Roman"/>
                <w:sz w:val="18"/>
              </w:rPr>
              <w:t>6</w:t>
            </w:r>
          </w:p>
        </w:tc>
        <w:tc>
          <w:tcPr>
            <w:tcW w:w="10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259,857,705.</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86</w:t>
            </w: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50,125,679.2</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6</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71,211,155.5</w:t>
            </w:r>
          </w:p>
          <w:p>
            <w:pPr>
              <w:pStyle w:val="TableParagraph"/>
              <w:spacing w:line="240" w:lineRule="auto" w:before="102"/>
              <w:ind w:right="23"/>
              <w:jc w:val="right"/>
              <w:rPr>
                <w:rFonts w:ascii="Times New Roman" w:hAnsi="Times New Roman" w:cs="Times New Roman" w:eastAsia="Times New Roman" w:hint="default"/>
                <w:sz w:val="18"/>
                <w:szCs w:val="18"/>
              </w:rPr>
            </w:pPr>
            <w:r>
              <w:rPr>
                <w:rFonts w:ascii="Times New Roman"/>
                <w:sz w:val="18"/>
              </w:rPr>
              <w:t>1</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37,073,420.0</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6</w:t>
            </w: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106,789,355.</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47</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t>（</w:t>
      </w:r>
      <w:r>
        <w:rPr>
          <w:rFonts w:ascii="Times New Roman" w:hAnsi="Times New Roman" w:cs="Times New Roman" w:eastAsia="Times New Roman" w:hint="default"/>
        </w:rPr>
        <w:t>2</w:t>
      </w:r>
      <w:r>
        <w:rPr/>
        <w:t>）占公司营业收入或营业利润</w:t>
      </w:r>
      <w:r>
        <w:rPr>
          <w:spacing w:val="-53"/>
        </w:rPr>
        <w:t> </w:t>
      </w:r>
      <w:r>
        <w:rPr>
          <w:rFonts w:ascii="Times New Roman" w:hAnsi="Times New Roman" w:cs="Times New Roman" w:eastAsia="Times New Roman" w:hint="default"/>
        </w:rPr>
        <w:t>10%</w:t>
      </w:r>
      <w:r>
        <w:rPr/>
        <w:t>以上的行业、产品或地区情况</w:t>
      </w:r>
      <w:r>
        <w:rPr>
          <w:b w:val="0"/>
          <w:bCs w:val="0"/>
        </w:rPr>
      </w:r>
    </w:p>
    <w:p>
      <w:pPr>
        <w:spacing w:line="240" w:lineRule="auto" w:before="12"/>
        <w:rPr>
          <w:rFonts w:ascii="宋体" w:hAnsi="宋体" w:cs="宋体" w:eastAsia="宋体" w:hint="default"/>
          <w:b/>
          <w:bCs/>
          <w:sz w:val="22"/>
          <w:szCs w:val="22"/>
        </w:rPr>
      </w:pPr>
    </w:p>
    <w:p>
      <w:pPr>
        <w:spacing w:after="0" w:line="240" w:lineRule="auto"/>
        <w:rPr>
          <w:rFonts w:ascii="宋体" w:hAnsi="宋体" w:cs="宋体" w:eastAsia="宋体" w:hint="default"/>
          <w:sz w:val="22"/>
          <w:szCs w:val="22"/>
        </w:rPr>
        <w:sectPr>
          <w:pgSz w:w="11910" w:h="16840"/>
          <w:pgMar w:header="745" w:footer="979" w:top="1060" w:bottom="1160" w:left="980" w:right="0"/>
        </w:sectPr>
      </w:pPr>
    </w:p>
    <w:p>
      <w:pPr>
        <w:pStyle w:val="BodyText"/>
        <w:spacing w:line="348" w:lineRule="auto" w:before="44"/>
        <w:ind w:right="58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2"/>
        </w:rPr>
        <w:t> </w:t>
      </w:r>
      <w:r>
        <w:rPr/>
        <w:t>不适用 公司是否需要遵守特殊行业的披露要求 是</w:t>
      </w:r>
    </w:p>
    <w:p>
      <w:pPr>
        <w:pStyle w:val="BodyText"/>
        <w:spacing w:line="240" w:lineRule="auto" w:before="36"/>
        <w:ind w:right="5833"/>
        <w:jc w:val="left"/>
      </w:pPr>
      <w:r>
        <w:rPr/>
        <w:t>软件与信息技术服务业</w:t>
      </w:r>
    </w:p>
    <w:p>
      <w:pPr>
        <w:pStyle w:val="BodyText"/>
        <w:spacing w:line="240" w:lineRule="auto" w:before="117"/>
        <w:ind w:right="-17"/>
        <w:jc w:val="left"/>
      </w:pPr>
      <w:r>
        <w:rPr/>
        <w:t>公司需遵守《深圳证券交易所行业信息披露指引第</w:t>
      </w:r>
      <w:r>
        <w:rPr>
          <w:spacing w:val="-45"/>
        </w:rPr>
        <w:t> </w:t>
      </w:r>
      <w:r>
        <w:rPr>
          <w:rFonts w:ascii="Times New Roman" w:hAnsi="Times New Roman" w:cs="Times New Roman" w:eastAsia="Times New Roman" w:hint="default"/>
        </w:rPr>
        <w:t>12 </w:t>
      </w:r>
      <w:r>
        <w:rPr/>
        <w:t>号</w:t>
      </w:r>
      <w:r>
        <w:rPr>
          <w:rFonts w:ascii="Times New Roman" w:hAnsi="Times New Roman" w:cs="Times New Roman" w:eastAsia="Times New Roman" w:hint="default"/>
        </w:rPr>
        <w:t>——</w:t>
      </w:r>
      <w:r>
        <w:rPr/>
        <w:t>上市公司从事软件与信息技术服务业务》的披露要求</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BodyText"/>
        <w:spacing w:line="240" w:lineRule="auto" w:before="155"/>
        <w:ind w:left="-32" w:right="0"/>
        <w:jc w:val="left"/>
      </w:pPr>
      <w:r>
        <w:rPr/>
        <w:t>单位：元</w:t>
      </w:r>
    </w:p>
    <w:p>
      <w:pPr>
        <w:spacing w:after="0" w:line="240" w:lineRule="auto"/>
        <w:jc w:val="left"/>
        <w:sectPr>
          <w:type w:val="continuous"/>
          <w:pgSz w:w="11910" w:h="16840"/>
          <w:pgMar w:top="1060" w:bottom="1160" w:left="980" w:right="0"/>
          <w:cols w:num="2" w:equalWidth="0">
            <w:col w:w="9066" w:space="40"/>
            <w:col w:w="1824"/>
          </w:cols>
        </w:sectPr>
      </w:pP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7"/>
        <w:gridCol w:w="1366"/>
        <w:gridCol w:w="1366"/>
        <w:gridCol w:w="1368"/>
        <w:gridCol w:w="1366"/>
        <w:gridCol w:w="1369"/>
        <w:gridCol w:w="1370"/>
      </w:tblGrid>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07" w:right="0"/>
              <w:jc w:val="left"/>
              <w:rPr>
                <w:rFonts w:ascii="宋体" w:hAnsi="宋体" w:cs="宋体" w:eastAsia="宋体" w:hint="default"/>
                <w:sz w:val="18"/>
                <w:szCs w:val="18"/>
              </w:rPr>
            </w:pPr>
            <w:r>
              <w:rPr>
                <w:rFonts w:ascii="宋体" w:hAnsi="宋体" w:cs="宋体" w:eastAsia="宋体" w:hint="default"/>
                <w:sz w:val="18"/>
                <w:szCs w:val="18"/>
              </w:rPr>
              <w:t>毛利率</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319" w:right="47" w:hanging="272"/>
              <w:jc w:val="left"/>
              <w:rPr>
                <w:rFonts w:ascii="宋体" w:hAnsi="宋体" w:cs="宋体" w:eastAsia="宋体" w:hint="default"/>
                <w:sz w:val="18"/>
                <w:szCs w:val="18"/>
              </w:rPr>
            </w:pPr>
            <w:r>
              <w:rPr>
                <w:rFonts w:ascii="宋体" w:hAnsi="宋体" w:cs="宋体" w:eastAsia="宋体" w:hint="default"/>
                <w:sz w:val="18"/>
                <w:szCs w:val="18"/>
              </w:rPr>
              <w:t>营业收入比上年 同期增减</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319" w:right="50" w:hanging="272"/>
              <w:jc w:val="left"/>
              <w:rPr>
                <w:rFonts w:ascii="宋体" w:hAnsi="宋体" w:cs="宋体" w:eastAsia="宋体" w:hint="default"/>
                <w:sz w:val="18"/>
                <w:szCs w:val="18"/>
              </w:rPr>
            </w:pPr>
            <w:r>
              <w:rPr>
                <w:rFonts w:ascii="宋体" w:hAnsi="宋体" w:cs="宋体" w:eastAsia="宋体" w:hint="default"/>
                <w:sz w:val="18"/>
                <w:szCs w:val="18"/>
              </w:rPr>
              <w:t>营业成本比上年 同期增减</w:t>
            </w:r>
          </w:p>
        </w:tc>
        <w:tc>
          <w:tcPr>
            <w:tcW w:w="13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410" w:right="48" w:hanging="360"/>
              <w:jc w:val="left"/>
              <w:rPr>
                <w:rFonts w:ascii="宋体" w:hAnsi="宋体" w:cs="宋体" w:eastAsia="宋体" w:hint="default"/>
                <w:sz w:val="18"/>
                <w:szCs w:val="18"/>
              </w:rPr>
            </w:pPr>
            <w:r>
              <w:rPr>
                <w:rFonts w:ascii="宋体" w:hAnsi="宋体" w:cs="宋体" w:eastAsia="宋体" w:hint="default"/>
                <w:sz w:val="18"/>
                <w:szCs w:val="18"/>
              </w:rPr>
              <w:t>毛利率比上年同 期增减</w:t>
            </w:r>
          </w:p>
        </w:tc>
      </w:tr>
      <w:tr>
        <w:trPr>
          <w:trHeight w:val="402" w:hRule="exact"/>
        </w:trPr>
        <w:tc>
          <w:tcPr>
            <w:tcW w:w="9572"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分客户所处行业</w:t>
            </w:r>
          </w:p>
        </w:tc>
      </w:tr>
      <w:tr>
        <w:trPr>
          <w:trHeight w:val="401"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导航</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8" w:right="0"/>
              <w:jc w:val="left"/>
              <w:rPr>
                <w:rFonts w:ascii="Times New Roman" w:hAnsi="Times New Roman" w:cs="Times New Roman" w:eastAsia="Times New Roman" w:hint="default"/>
                <w:sz w:val="18"/>
                <w:szCs w:val="18"/>
              </w:rPr>
            </w:pPr>
            <w:r>
              <w:rPr>
                <w:rFonts w:ascii="Times New Roman"/>
                <w:sz w:val="18"/>
              </w:rPr>
              <w:t>775,129,098.48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00" w:right="0"/>
              <w:jc w:val="left"/>
              <w:rPr>
                <w:rFonts w:ascii="Times New Roman" w:hAnsi="Times New Roman" w:cs="Times New Roman" w:eastAsia="Times New Roman" w:hint="default"/>
                <w:sz w:val="18"/>
                <w:szCs w:val="18"/>
              </w:rPr>
            </w:pPr>
            <w:r>
              <w:rPr>
                <w:rFonts w:ascii="Times New Roman"/>
                <w:sz w:val="18"/>
              </w:rPr>
              <w:t>67,459,089.52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79" w:right="0"/>
              <w:jc w:val="left"/>
              <w:rPr>
                <w:rFonts w:ascii="Times New Roman" w:hAnsi="Times New Roman" w:cs="Times New Roman" w:eastAsia="Times New Roman" w:hint="default"/>
                <w:sz w:val="18"/>
                <w:szCs w:val="18"/>
              </w:rPr>
            </w:pPr>
            <w:r>
              <w:rPr>
                <w:rFonts w:ascii="Times New Roman"/>
                <w:sz w:val="18"/>
              </w:rPr>
              <w:t>91.30%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19" w:right="0"/>
              <w:jc w:val="left"/>
              <w:rPr>
                <w:rFonts w:ascii="Times New Roman" w:hAnsi="Times New Roman" w:cs="Times New Roman" w:eastAsia="Times New Roman" w:hint="default"/>
                <w:sz w:val="18"/>
                <w:szCs w:val="18"/>
              </w:rPr>
            </w:pPr>
            <w:r>
              <w:rPr>
                <w:rFonts w:ascii="Times New Roman"/>
                <w:sz w:val="18"/>
              </w:rPr>
              <w:t>-17.63%</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79" w:right="0"/>
              <w:jc w:val="left"/>
              <w:rPr>
                <w:rFonts w:ascii="Times New Roman" w:hAnsi="Times New Roman" w:cs="Times New Roman" w:eastAsia="Times New Roman" w:hint="default"/>
                <w:sz w:val="18"/>
                <w:szCs w:val="18"/>
              </w:rPr>
            </w:pPr>
            <w:r>
              <w:rPr>
                <w:rFonts w:ascii="Times New Roman"/>
                <w:sz w:val="18"/>
              </w:rPr>
              <w:t>58.15%</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13" w:right="0"/>
              <w:jc w:val="left"/>
              <w:rPr>
                <w:rFonts w:ascii="Times New Roman" w:hAnsi="Times New Roman" w:cs="Times New Roman" w:eastAsia="Times New Roman" w:hint="default"/>
                <w:sz w:val="18"/>
                <w:szCs w:val="18"/>
              </w:rPr>
            </w:pPr>
            <w:r>
              <w:rPr>
                <w:rFonts w:ascii="Times New Roman"/>
                <w:sz w:val="18"/>
              </w:rPr>
              <w:t>-4.17%</w:t>
            </w:r>
          </w:p>
        </w:tc>
      </w:tr>
    </w:tbl>
    <w:p>
      <w:pPr>
        <w:spacing w:after="0" w:line="240" w:lineRule="auto"/>
        <w:jc w:val="left"/>
        <w:rPr>
          <w:rFonts w:ascii="Times New Roman" w:hAnsi="Times New Roman" w:cs="Times New Roman" w:eastAsia="Times New Roman" w:hint="default"/>
          <w:sz w:val="18"/>
          <w:szCs w:val="18"/>
        </w:rPr>
        <w:sectPr>
          <w:type w:val="continuous"/>
          <w:pgSz w:w="11910" w:h="16840"/>
          <w:pgMar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368"/>
        <w:gridCol w:w="1366"/>
        <w:gridCol w:w="1366"/>
        <w:gridCol w:w="1368"/>
        <w:gridCol w:w="1366"/>
        <w:gridCol w:w="1369"/>
        <w:gridCol w:w="1370"/>
      </w:tblGrid>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车联网</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542,185,340.05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251,921,568.00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53.54%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14.26%</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12.98%</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0.53%</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芯片</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578,993,690.64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264,267,205.69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54.36%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11.92%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18.97%</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-2.70%</w:t>
            </w:r>
          </w:p>
        </w:tc>
      </w:tr>
      <w:tr>
        <w:trPr>
          <w:trHeight w:val="401" w:hRule="exact"/>
        </w:trPr>
        <w:tc>
          <w:tcPr>
            <w:tcW w:w="9573"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导航</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775,129,098.48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67,459,089.52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91.30%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-17.63%</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58.15%</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-4.17%</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车联网</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542,185,340.05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251,921,568.00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53.54%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14.26%</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12.98%</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0.53%</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芯片</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578,993,690.64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264,267,205.69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54.36%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11.92%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18.97%</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-2.70%</w:t>
            </w:r>
          </w:p>
        </w:tc>
      </w:tr>
      <w:tr>
        <w:trPr>
          <w:trHeight w:val="401" w:hRule="exact"/>
        </w:trPr>
        <w:tc>
          <w:tcPr>
            <w:tcW w:w="9573"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全部地区</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1,896,308,129.17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583,647,863.21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69.22%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-1.89%</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19.66%</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-5.54%</w:t>
            </w:r>
          </w:p>
        </w:tc>
      </w:tr>
    </w:tbl>
    <w:p>
      <w:pPr>
        <w:pStyle w:val="BodyText"/>
        <w:spacing w:line="240" w:lineRule="auto" w:before="49"/>
        <w:ind w:right="982"/>
        <w:jc w:val="left"/>
      </w:pPr>
      <w:r>
        <w:rPr/>
        <w:t>公司主营业务数据统计口径在报告期发生调整的情况下，公司最近</w:t>
      </w:r>
      <w:r>
        <w:rPr>
          <w:spacing w:val="-46"/>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年按报告期末口径调整后的主营业务数据</w:t>
      </w:r>
    </w:p>
    <w:p>
      <w:pPr>
        <w:pStyle w:val="BodyText"/>
        <w:spacing w:line="340" w:lineRule="auto" w:before="102"/>
        <w:ind w:right="9145"/>
        <w:jc w:val="left"/>
        <w:rPr>
          <w:rFonts w:ascii="宋体" w:hAnsi="宋体" w:cs="宋体" w:eastAsia="宋体" w:hint="default"/>
        </w:rPr>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说明</w:t>
      </w:r>
      <w:r>
        <w:rPr>
          <w:rFonts w:ascii="宋体" w:hAnsi="宋体" w:cs="宋体" w:eastAsia="宋体" w:hint="default"/>
        </w:rPr>
        <w:t> </w:t>
      </w:r>
    </w:p>
    <w:p>
      <w:pPr>
        <w:pStyle w:val="BodyText"/>
        <w:spacing w:line="240" w:lineRule="auto" w:before="41"/>
        <w:ind w:right="982"/>
        <w:jc w:val="left"/>
      </w:pPr>
      <w:r>
        <w:rPr>
          <w:rFonts w:ascii="Times New Roman" w:hAnsi="Times New Roman" w:cs="Times New Roman" w:eastAsia="Times New Roman" w:hint="default"/>
        </w:rPr>
        <w:t>1</w:t>
      </w:r>
      <w:r>
        <w:rPr/>
        <w:t>）导航产品成本同比大幅增加，主要系地图编译成本增加所致。</w:t>
      </w:r>
    </w:p>
    <w:p>
      <w:pPr>
        <w:spacing w:line="240" w:lineRule="auto" w:before="13"/>
        <w:rPr>
          <w:rFonts w:ascii="宋体" w:hAnsi="宋体" w:cs="宋体" w:eastAsia="宋体" w:hint="default"/>
          <w:sz w:val="25"/>
          <w:szCs w:val="25"/>
        </w:rPr>
      </w:pPr>
    </w:p>
    <w:p>
      <w:pPr>
        <w:pStyle w:val="Heading4"/>
        <w:spacing w:line="240" w:lineRule="auto"/>
        <w:ind w:right="982"/>
        <w:jc w:val="left"/>
        <w:rPr>
          <w:b w:val="0"/>
          <w:bCs w:val="0"/>
        </w:rPr>
      </w:pPr>
      <w:r>
        <w:rPr/>
        <w:t>（</w:t>
      </w:r>
      <w:r>
        <w:rPr>
          <w:rFonts w:ascii="Times New Roman" w:hAnsi="Times New Roman" w:cs="Times New Roman" w:eastAsia="Times New Roman" w:hint="default"/>
        </w:rPr>
        <w:t>3</w:t>
      </w:r>
      <w:r>
        <w:rPr/>
        <w:t>）公司实物销售收入是否大于劳务收入</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spacing w:line="240" w:lineRule="auto" w:before="2"/>
        <w:rPr>
          <w:rFonts w:ascii="宋体" w:hAnsi="宋体" w:cs="宋体" w:eastAsia="宋体" w:hint="default"/>
          <w:sz w:val="26"/>
          <w:szCs w:val="26"/>
        </w:rPr>
      </w:pPr>
    </w:p>
    <w:p>
      <w:pPr>
        <w:pStyle w:val="Heading4"/>
        <w:spacing w:line="240" w:lineRule="auto"/>
        <w:ind w:right="982"/>
        <w:jc w:val="left"/>
        <w:rPr>
          <w:b w:val="0"/>
          <w:bCs w:val="0"/>
        </w:rPr>
      </w:pPr>
      <w:r>
        <w:rPr/>
        <w:t>（</w:t>
      </w:r>
      <w:r>
        <w:rPr>
          <w:rFonts w:ascii="Times New Roman" w:hAnsi="Times New Roman" w:cs="Times New Roman" w:eastAsia="Times New Roman" w:hint="default"/>
        </w:rPr>
        <w:t>4</w:t>
      </w:r>
      <w:r>
        <w:rPr/>
        <w:t>）公司已签订的重大销售合同截至本报告期的履行情况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2"/>
        <w:rPr>
          <w:rFonts w:ascii="宋体" w:hAnsi="宋体" w:cs="宋体" w:eastAsia="宋体" w:hint="default"/>
          <w:sz w:val="26"/>
          <w:szCs w:val="26"/>
        </w:rPr>
      </w:pPr>
    </w:p>
    <w:p>
      <w:pPr>
        <w:pStyle w:val="Heading4"/>
        <w:spacing w:line="240" w:lineRule="auto"/>
        <w:ind w:right="982"/>
        <w:jc w:val="left"/>
        <w:rPr>
          <w:b w:val="0"/>
          <w:bCs w:val="0"/>
        </w:rPr>
      </w:pPr>
      <w:r>
        <w:rPr/>
        <w:t>（</w:t>
      </w:r>
      <w:r>
        <w:rPr>
          <w:rFonts w:ascii="Times New Roman" w:hAnsi="Times New Roman" w:cs="Times New Roman" w:eastAsia="Times New Roman" w:hint="default"/>
        </w:rPr>
        <w:t>5</w:t>
      </w:r>
      <w:r>
        <w:rPr/>
        <w:t>）营业成本构成</w:t>
      </w:r>
      <w:r>
        <w:rPr>
          <w:b w:val="0"/>
          <w:bCs w:val="0"/>
        </w:rPr>
      </w:r>
    </w:p>
    <w:p>
      <w:pPr>
        <w:spacing w:line="240" w:lineRule="auto" w:before="2"/>
        <w:rPr>
          <w:rFonts w:ascii="宋体" w:hAnsi="宋体" w:cs="宋体" w:eastAsia="宋体" w:hint="default"/>
          <w:b/>
          <w:bCs/>
          <w:sz w:val="26"/>
          <w:szCs w:val="26"/>
        </w:rPr>
      </w:pPr>
    </w:p>
    <w:p>
      <w:pPr>
        <w:pStyle w:val="BodyText"/>
        <w:spacing w:line="340" w:lineRule="auto"/>
        <w:ind w:right="1844"/>
        <w:jc w:val="left"/>
      </w:pPr>
      <w:r>
        <w:rPr/>
        <w:t>公司需遵守《深圳证券交易所行业信息披露指引第</w:t>
      </w:r>
      <w:r>
        <w:rPr>
          <w:spacing w:val="-45"/>
        </w:rPr>
        <w:t> </w:t>
      </w:r>
      <w:r>
        <w:rPr>
          <w:rFonts w:ascii="Times New Roman" w:hAnsi="Times New Roman" w:cs="Times New Roman" w:eastAsia="Times New Roman" w:hint="default"/>
        </w:rPr>
        <w:t>12 </w:t>
      </w:r>
      <w:r>
        <w:rPr/>
        <w:t>号</w:t>
      </w:r>
      <w:r>
        <w:rPr>
          <w:rFonts w:ascii="Times New Roman" w:hAnsi="Times New Roman" w:cs="Times New Roman" w:eastAsia="Times New Roman" w:hint="default"/>
        </w:rPr>
        <w:t>——</w:t>
      </w:r>
      <w:r>
        <w:rPr/>
        <w:t>上市公司从事软件与信息技术服务业务》的披露要求 主营业务成本构成</w:t>
      </w:r>
    </w:p>
    <w:p>
      <w:pPr>
        <w:spacing w:line="240" w:lineRule="auto" w:before="7"/>
        <w:rPr>
          <w:rFonts w:ascii="宋体" w:hAnsi="宋体" w:cs="宋体" w:eastAsia="宋体" w:hint="default"/>
          <w:sz w:val="2"/>
          <w:szCs w:val="2"/>
        </w:rPr>
      </w:pPr>
    </w:p>
    <w:tbl>
      <w:tblPr>
        <w:tblW w:w="0" w:type="auto"/>
        <w:jc w:val="left"/>
        <w:tblInd w:w="148" w:type="dxa"/>
        <w:tblLayout w:type="fixed"/>
        <w:tblCellMar>
          <w:top w:w="0" w:type="dxa"/>
          <w:left w:w="0" w:type="dxa"/>
          <w:bottom w:w="0" w:type="dxa"/>
          <w:right w:w="0" w:type="dxa"/>
        </w:tblCellMar>
        <w:tblLook w:val="01E0"/>
      </w:tblPr>
      <w:tblGrid>
        <w:gridCol w:w="1596"/>
        <w:gridCol w:w="1594"/>
        <w:gridCol w:w="1594"/>
        <w:gridCol w:w="1596"/>
        <w:gridCol w:w="1594"/>
        <w:gridCol w:w="1594"/>
      </w:tblGrid>
      <w:tr>
        <w:trPr>
          <w:trHeight w:val="401" w:hRule="exact"/>
        </w:trPr>
        <w:tc>
          <w:tcPr>
            <w:tcW w:w="15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34" w:right="0"/>
              <w:jc w:val="left"/>
              <w:rPr>
                <w:rFonts w:ascii="宋体" w:hAnsi="宋体" w:cs="宋体" w:eastAsia="宋体" w:hint="default"/>
                <w:sz w:val="18"/>
                <w:szCs w:val="18"/>
              </w:rPr>
            </w:pPr>
            <w:r>
              <w:rPr>
                <w:rFonts w:ascii="宋体" w:hAnsi="宋体" w:cs="宋体" w:eastAsia="宋体" w:hint="default"/>
                <w:sz w:val="18"/>
                <w:szCs w:val="18"/>
              </w:rPr>
              <w:t>成本构成</w:t>
            </w:r>
          </w:p>
        </w:tc>
        <w:tc>
          <w:tcPr>
            <w:tcW w:w="318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本报告期</w:t>
            </w:r>
          </w:p>
        </w:tc>
        <w:tc>
          <w:tcPr>
            <w:tcW w:w="319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上年同期</w:t>
            </w: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3" w:hRule="exact"/>
        </w:trPr>
        <w:tc>
          <w:tcPr>
            <w:tcW w:w="1596" w:type="dxa"/>
            <w:vMerge/>
            <w:tcBorders>
              <w:left w:val="single" w:sz="4" w:space="0" w:color="000000"/>
              <w:bottom w:val="single" w:sz="4" w:space="0" w:color="000000"/>
              <w:right w:val="single" w:sz="4" w:space="0" w:color="000000"/>
            </w:tcBorders>
            <w:shd w:val="clear" w:color="auto" w:fill="D2D2D2"/>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63" w:right="0"/>
              <w:jc w:val="left"/>
              <w:rPr>
                <w:rFonts w:ascii="宋体" w:hAnsi="宋体" w:cs="宋体" w:eastAsia="宋体" w:hint="default"/>
                <w:sz w:val="18"/>
                <w:szCs w:val="18"/>
              </w:rPr>
            </w:pPr>
            <w:r>
              <w:rPr>
                <w:rFonts w:ascii="宋体" w:hAnsi="宋体" w:cs="宋体" w:eastAsia="宋体" w:hint="default"/>
                <w:sz w:val="18"/>
                <w:szCs w:val="18"/>
              </w:rPr>
              <w:t>占营业成本比重</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63" w:right="0"/>
              <w:jc w:val="left"/>
              <w:rPr>
                <w:rFonts w:ascii="宋体" w:hAnsi="宋体" w:cs="宋体" w:eastAsia="宋体" w:hint="default"/>
                <w:sz w:val="18"/>
                <w:szCs w:val="18"/>
              </w:rPr>
            </w:pPr>
            <w:r>
              <w:rPr>
                <w:rFonts w:ascii="宋体" w:hAnsi="宋体" w:cs="宋体" w:eastAsia="宋体" w:hint="default"/>
                <w:sz w:val="18"/>
                <w:szCs w:val="18"/>
              </w:rPr>
              <w:t>占营业成本比重</w:t>
            </w:r>
          </w:p>
        </w:tc>
        <w:tc>
          <w:tcPr>
            <w:tcW w:w="1594"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数据加工成本</w:t>
            </w:r>
            <w:r>
              <w:rPr>
                <w:rFonts w:ascii="宋体" w:hAnsi="宋体" w:cs="宋体" w:eastAsia="宋体" w:hint="default"/>
                <w:sz w:val="18"/>
                <w:szCs w:val="18"/>
              </w:rPr>
              <w:t> </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236,321,801.93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37.98%</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186,483,123.98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35.20%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26.73%</w:t>
            </w:r>
          </w:p>
        </w:tc>
      </w:tr>
      <w:tr>
        <w:trPr>
          <w:trHeight w:val="40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物料成本</w:t>
            </w:r>
            <w:r>
              <w:rPr>
                <w:rFonts w:ascii="宋体" w:hAnsi="宋体" w:cs="宋体" w:eastAsia="宋体" w:hint="default"/>
                <w:sz w:val="18"/>
                <w:szCs w:val="18"/>
              </w:rPr>
              <w:t> </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347,149,495.38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55.79%</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300,054,463.12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56.64%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15.70%</w:t>
            </w:r>
          </w:p>
        </w:tc>
      </w:tr>
      <w:tr>
        <w:trPr>
          <w:trHeight w:val="401"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人工</w:t>
            </w:r>
            <w:r>
              <w:rPr>
                <w:rFonts w:ascii="宋体" w:hAnsi="宋体" w:cs="宋体" w:eastAsia="宋体" w:hint="default"/>
                <w:sz w:val="18"/>
                <w:szCs w:val="18"/>
              </w:rPr>
              <w:t> </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29,854,609.58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4.80%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34,103,931.31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6.44%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-12.46%</w:t>
            </w:r>
          </w:p>
        </w:tc>
      </w:tr>
      <w:tr>
        <w:trPr>
          <w:trHeight w:val="40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折旧</w:t>
            </w:r>
            <w:r>
              <w:rPr>
                <w:rFonts w:ascii="宋体" w:hAnsi="宋体" w:cs="宋体" w:eastAsia="宋体" w:hint="default"/>
                <w:sz w:val="18"/>
                <w:szCs w:val="18"/>
              </w:rPr>
              <w:t> </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7,669,145.93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1.23%</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7,710,415.56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1.46%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-0.54%</w:t>
            </w:r>
          </w:p>
        </w:tc>
      </w:tr>
      <w:tr>
        <w:trPr>
          <w:trHeight w:val="401"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r>
              <w:rPr>
                <w:rFonts w:ascii="宋体" w:hAnsi="宋体" w:cs="宋体" w:eastAsia="宋体" w:hint="default"/>
                <w:sz w:val="18"/>
                <w:szCs w:val="18"/>
              </w:rPr>
              <w:t> </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1,279,233.95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0.21%</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1,406,465.38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0.27%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-9.05%</w:t>
            </w:r>
          </w:p>
        </w:tc>
      </w:tr>
    </w:tbl>
    <w:p>
      <w:pPr>
        <w:spacing w:line="240" w:lineRule="auto" w:before="4"/>
        <w:rPr>
          <w:rFonts w:ascii="宋体" w:hAnsi="宋体" w:cs="宋体" w:eastAsia="宋体" w:hint="default"/>
          <w:sz w:val="27"/>
          <w:szCs w:val="27"/>
        </w:rPr>
      </w:pPr>
    </w:p>
    <w:p>
      <w:pPr>
        <w:pStyle w:val="BodyText"/>
        <w:spacing w:line="240" w:lineRule="auto" w:before="44"/>
        <w:ind w:right="982"/>
        <w:jc w:val="left"/>
      </w:pPr>
      <w:r>
        <w:rPr/>
        <w:t>行业分类</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368"/>
        <w:gridCol w:w="1368"/>
        <w:gridCol w:w="1369"/>
        <w:gridCol w:w="1366"/>
        <w:gridCol w:w="1368"/>
        <w:gridCol w:w="1366"/>
        <w:gridCol w:w="1368"/>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行业分类</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73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1"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6"/>
              <w:jc w:val="right"/>
              <w:rPr>
                <w:rFonts w:ascii="宋体" w:hAnsi="宋体" w:cs="宋体" w:eastAsia="宋体" w:hint="default"/>
                <w:sz w:val="18"/>
                <w:szCs w:val="18"/>
              </w:rPr>
            </w:pPr>
            <w:r>
              <w:rPr>
                <w:rFonts w:ascii="宋体" w:hAnsi="宋体" w:cs="宋体" w:eastAsia="宋体" w:hint="default"/>
                <w:sz w:val="18"/>
                <w:szCs w:val="18"/>
              </w:rPr>
              <w:t>占营业成本比重</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6"/>
              <w:jc w:val="right"/>
              <w:rPr>
                <w:rFonts w:ascii="宋体" w:hAnsi="宋体" w:cs="宋体" w:eastAsia="宋体" w:hint="default"/>
                <w:sz w:val="18"/>
                <w:szCs w:val="18"/>
              </w:rPr>
            </w:pPr>
            <w:r>
              <w:rPr>
                <w:rFonts w:ascii="宋体" w:hAnsi="宋体" w:cs="宋体" w:eastAsia="宋体" w:hint="default"/>
                <w:sz w:val="18"/>
                <w:szCs w:val="18"/>
              </w:rPr>
              <w:t>占营业成本比重</w:t>
            </w:r>
          </w:p>
        </w:tc>
        <w:tc>
          <w:tcPr>
            <w:tcW w:w="1368"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1368" w:type="dxa"/>
            <w:vMerge w:val="restart"/>
            <w:tcBorders>
              <w:top w:val="single" w:sz="4" w:space="0" w:color="000000"/>
              <w:left w:val="single" w:sz="4" w:space="0" w:color="000000"/>
              <w:right w:val="single" w:sz="4" w:space="0" w:color="000000"/>
            </w:tcBorders>
          </w:tcPr>
          <w:p>
            <w:pPr>
              <w:pStyle w:val="TableParagraph"/>
              <w:spacing w:line="240" w:lineRule="auto" w:before="75"/>
              <w:ind w:left="24" w:right="0"/>
              <w:jc w:val="left"/>
              <w:rPr>
                <w:rFonts w:ascii="宋体" w:hAnsi="宋体" w:cs="宋体" w:eastAsia="宋体" w:hint="default"/>
                <w:sz w:val="18"/>
                <w:szCs w:val="18"/>
              </w:rPr>
            </w:pPr>
            <w:r>
              <w:rPr>
                <w:rFonts w:ascii="宋体" w:hAnsi="宋体" w:cs="宋体" w:eastAsia="宋体" w:hint="default"/>
                <w:sz w:val="18"/>
                <w:szCs w:val="18"/>
              </w:rPr>
              <w:t>导航</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数据加工成本</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58,455,971.46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86.65%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33,201,708.47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z w:val="18"/>
              </w:rPr>
              <w:t>77.84%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z w:val="18"/>
              </w:rPr>
              <w:t>76.06%</w:t>
            </w:r>
          </w:p>
        </w:tc>
      </w:tr>
      <w:tr>
        <w:trPr>
          <w:trHeight w:val="403" w:hRule="exact"/>
        </w:trPr>
        <w:tc>
          <w:tcPr>
            <w:tcW w:w="1368" w:type="dxa"/>
            <w:vMerge/>
            <w:tcBorders>
              <w:left w:val="single" w:sz="4" w:space="0" w:color="000000"/>
              <w:bottom w:val="nil" w:sz="6" w:space="0" w:color="auto"/>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物料成本</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9,003,118.06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13.35%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9,453,718.30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22.16%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-4.77%</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368"/>
        <w:gridCol w:w="1368"/>
        <w:gridCol w:w="1369"/>
        <w:gridCol w:w="1366"/>
        <w:gridCol w:w="1368"/>
        <w:gridCol w:w="1366"/>
        <w:gridCol w:w="1368"/>
      </w:tblGrid>
      <w:tr>
        <w:trPr>
          <w:trHeight w:val="401" w:hRule="exact"/>
        </w:trPr>
        <w:tc>
          <w:tcPr>
            <w:tcW w:w="1368" w:type="dxa"/>
            <w:tcBorders>
              <w:top w:val="nil" w:sz="6" w:space="0" w:color="auto"/>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67,459,089.52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42,655,426.77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58.15%</w:t>
            </w:r>
          </w:p>
        </w:tc>
      </w:tr>
      <w:tr>
        <w:trPr>
          <w:trHeight w:val="403" w:hRule="exact"/>
        </w:trPr>
        <w:tc>
          <w:tcPr>
            <w:tcW w:w="136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8"/>
              <w:ind w:left="24" w:right="0"/>
              <w:jc w:val="left"/>
              <w:rPr>
                <w:rFonts w:ascii="宋体" w:hAnsi="宋体" w:cs="宋体" w:eastAsia="宋体" w:hint="default"/>
                <w:sz w:val="18"/>
                <w:szCs w:val="18"/>
              </w:rPr>
            </w:pPr>
            <w:r>
              <w:rPr>
                <w:rFonts w:ascii="宋体" w:hAnsi="宋体" w:cs="宋体" w:eastAsia="宋体" w:hint="default"/>
                <w:sz w:val="18"/>
                <w:szCs w:val="18"/>
              </w:rPr>
              <w:t>车联网</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数据加工成本</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152,803,176.48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60.66%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128,530,903.20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z w:val="18"/>
              </w:rPr>
              <w:t>57.64%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z w:val="18"/>
              </w:rPr>
              <w:t>18.88%</w:t>
            </w:r>
          </w:p>
        </w:tc>
      </w:tr>
      <w:tr>
        <w:trPr>
          <w:trHeight w:val="401" w:hRule="exact"/>
        </w:trPr>
        <w:tc>
          <w:tcPr>
            <w:tcW w:w="1368" w:type="dxa"/>
            <w:vMerge/>
            <w:tcBorders>
              <w:left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物料成本</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70,874,103.52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28.13%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61,767,142.45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27.70%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14.74%</w:t>
            </w:r>
          </w:p>
        </w:tc>
      </w:tr>
      <w:tr>
        <w:trPr>
          <w:trHeight w:val="403" w:hRule="exact"/>
        </w:trPr>
        <w:tc>
          <w:tcPr>
            <w:tcW w:w="1368" w:type="dxa"/>
            <w:vMerge/>
            <w:tcBorders>
              <w:left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人工</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20,575,142.07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8.17%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24,973,898.56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11.20%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z w:val="18"/>
              </w:rPr>
              <w:t>-17.61%</w:t>
            </w:r>
          </w:p>
        </w:tc>
      </w:tr>
      <w:tr>
        <w:trPr>
          <w:trHeight w:val="401" w:hRule="exact"/>
        </w:trPr>
        <w:tc>
          <w:tcPr>
            <w:tcW w:w="1368" w:type="dxa"/>
            <w:vMerge/>
            <w:tcBorders>
              <w:left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折旧</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7,669,145.93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3.04%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7,710,415.56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3.46%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-0.54%</w:t>
            </w:r>
          </w:p>
        </w:tc>
      </w:tr>
      <w:tr>
        <w:trPr>
          <w:trHeight w:val="403" w:hRule="exact"/>
        </w:trPr>
        <w:tc>
          <w:tcPr>
            <w:tcW w:w="1368" w:type="dxa"/>
            <w:vMerge/>
            <w:tcBorders>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251,921,568.00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222,982,359.77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z w:val="18"/>
              </w:rPr>
              <w:t>12.98%</w:t>
            </w:r>
          </w:p>
        </w:tc>
      </w:tr>
      <w:tr>
        <w:trPr>
          <w:trHeight w:val="401" w:hRule="exact"/>
        </w:trPr>
        <w:tc>
          <w:tcPr>
            <w:tcW w:w="1368" w:type="dxa"/>
            <w:vMerge w:val="restart"/>
            <w:tcBorders>
              <w:top w:val="single" w:sz="4" w:space="0" w:color="000000"/>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芯片</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物料成本</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264,267,205.69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222,131,458.05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18.97%</w:t>
            </w:r>
          </w:p>
        </w:tc>
      </w:tr>
      <w:tr>
        <w:trPr>
          <w:trHeight w:val="403" w:hRule="exact"/>
        </w:trPr>
        <w:tc>
          <w:tcPr>
            <w:tcW w:w="1368" w:type="dxa"/>
            <w:vMerge/>
            <w:tcBorders>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264,267,205.69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222,131,458.05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z w:val="18"/>
              </w:rPr>
              <w:t>18.97%</w:t>
            </w:r>
          </w:p>
        </w:tc>
      </w:tr>
      <w:tr>
        <w:trPr>
          <w:trHeight w:val="401" w:hRule="exact"/>
        </w:trPr>
        <w:tc>
          <w:tcPr>
            <w:tcW w:w="136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7"/>
              <w:ind w:left="24" w:right="0"/>
              <w:jc w:val="left"/>
              <w:rPr>
                <w:rFonts w:ascii="宋体" w:hAnsi="宋体" w:cs="宋体" w:eastAsia="宋体" w:hint="default"/>
                <w:sz w:val="18"/>
                <w:szCs w:val="18"/>
              </w:rPr>
            </w:pPr>
            <w:r>
              <w:rPr>
                <w:rFonts w:ascii="宋体" w:hAnsi="宋体" w:cs="宋体" w:eastAsia="宋体" w:hint="default"/>
                <w:sz w:val="18"/>
                <w:szCs w:val="18"/>
              </w:rPr>
              <w:t>位置大数据服务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数据加工成本</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25,062,653.99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64.88%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24,750,512.31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58.95%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1.26%</w:t>
            </w:r>
          </w:p>
        </w:tc>
      </w:tr>
      <w:tr>
        <w:trPr>
          <w:trHeight w:val="404" w:hRule="exact"/>
        </w:trPr>
        <w:tc>
          <w:tcPr>
            <w:tcW w:w="1368" w:type="dxa"/>
            <w:vMerge/>
            <w:tcBorders>
              <w:left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6" w:right="0"/>
              <w:jc w:val="left"/>
              <w:rPr>
                <w:rFonts w:ascii="宋体" w:hAnsi="宋体" w:cs="宋体" w:eastAsia="宋体" w:hint="default"/>
                <w:sz w:val="18"/>
                <w:szCs w:val="18"/>
              </w:rPr>
            </w:pPr>
            <w:r>
              <w:rPr>
                <w:rFonts w:ascii="宋体" w:hAnsi="宋体" w:cs="宋体" w:eastAsia="宋体" w:hint="default"/>
                <w:sz w:val="18"/>
                <w:szCs w:val="18"/>
              </w:rPr>
              <w:t>物料成本</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18"/>
                <w:szCs w:val="18"/>
              </w:rPr>
            </w:pPr>
            <w:r>
              <w:rPr>
                <w:rFonts w:ascii="Times New Roman"/>
                <w:spacing w:val="-1"/>
                <w:sz w:val="18"/>
              </w:rPr>
              <w:t>3,005,068.11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z w:val="18"/>
              </w:rPr>
              <w:t>7.78%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18"/>
                <w:szCs w:val="18"/>
              </w:rPr>
            </w:pPr>
            <w:r>
              <w:rPr>
                <w:rFonts w:ascii="Times New Roman"/>
                <w:spacing w:val="-1"/>
                <w:sz w:val="18"/>
              </w:rPr>
              <w:t>6,702,144.32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7"/>
              <w:jc w:val="right"/>
              <w:rPr>
                <w:rFonts w:ascii="Times New Roman" w:hAnsi="Times New Roman" w:cs="Times New Roman" w:eastAsia="Times New Roman" w:hint="default"/>
                <w:sz w:val="18"/>
                <w:szCs w:val="18"/>
              </w:rPr>
            </w:pPr>
            <w:r>
              <w:rPr>
                <w:rFonts w:ascii="Times New Roman"/>
                <w:sz w:val="18"/>
              </w:rPr>
              <w:t>15.96%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8"/>
              <w:jc w:val="right"/>
              <w:rPr>
                <w:rFonts w:ascii="Times New Roman" w:hAnsi="Times New Roman" w:cs="Times New Roman" w:eastAsia="Times New Roman" w:hint="default"/>
                <w:sz w:val="18"/>
                <w:szCs w:val="18"/>
              </w:rPr>
            </w:pPr>
            <w:r>
              <w:rPr>
                <w:rFonts w:ascii="Times New Roman"/>
                <w:sz w:val="18"/>
              </w:rPr>
              <w:t>-55.16%</w:t>
            </w:r>
          </w:p>
        </w:tc>
      </w:tr>
      <w:tr>
        <w:trPr>
          <w:trHeight w:val="401" w:hRule="exact"/>
        </w:trPr>
        <w:tc>
          <w:tcPr>
            <w:tcW w:w="1368" w:type="dxa"/>
            <w:vMerge/>
            <w:tcBorders>
              <w:left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人工</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9,279,467.51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24.02%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9,130,032.75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21.74%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1.64%</w:t>
            </w:r>
          </w:p>
        </w:tc>
      </w:tr>
      <w:tr>
        <w:trPr>
          <w:trHeight w:val="403" w:hRule="exact"/>
        </w:trPr>
        <w:tc>
          <w:tcPr>
            <w:tcW w:w="1368" w:type="dxa"/>
            <w:vMerge/>
            <w:tcBorders>
              <w:left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1,279,233.95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3.31%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1,406,465.38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3.35%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-9.05%</w:t>
            </w:r>
          </w:p>
        </w:tc>
      </w:tr>
      <w:tr>
        <w:trPr>
          <w:trHeight w:val="403" w:hRule="exact"/>
        </w:trPr>
        <w:tc>
          <w:tcPr>
            <w:tcW w:w="1368" w:type="dxa"/>
            <w:vMerge/>
            <w:tcBorders>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38,626,423.56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41,989,154.76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-8.01%</w:t>
            </w:r>
          </w:p>
        </w:tc>
      </w:tr>
    </w:tbl>
    <w:p>
      <w:pPr>
        <w:pStyle w:val="BodyText"/>
        <w:spacing w:line="240" w:lineRule="auto" w:before="49"/>
        <w:ind w:right="982"/>
        <w:jc w:val="left"/>
      </w:pPr>
      <w:r>
        <w:rPr/>
        <w:t>说明</w:t>
      </w:r>
    </w:p>
    <w:p>
      <w:pPr>
        <w:pStyle w:val="BodyText"/>
        <w:spacing w:line="240" w:lineRule="auto" w:before="115"/>
        <w:ind w:right="982"/>
        <w:jc w:val="left"/>
        <w:rPr>
          <w:rFonts w:ascii="宋体" w:hAnsi="宋体" w:cs="宋体" w:eastAsia="宋体" w:hint="default"/>
        </w:rPr>
      </w:pPr>
      <w:r>
        <w:rPr>
          <w:rFonts w:ascii="Times New Roman" w:hAnsi="Times New Roman" w:cs="Times New Roman" w:eastAsia="Times New Roman" w:hint="default"/>
        </w:rPr>
        <w:t>1</w:t>
      </w:r>
      <w:r>
        <w:rPr/>
        <w:t>）导航产品成本同比大幅增加，主要系地图编译成本增加所致。</w:t>
      </w:r>
      <w:r>
        <w:rPr>
          <w:rFonts w:ascii="宋体" w:hAnsi="宋体" w:cs="宋体" w:eastAsia="宋体" w:hint="default"/>
        </w:rPr>
        <w:t> </w:t>
      </w:r>
    </w:p>
    <w:p>
      <w:pPr>
        <w:pStyle w:val="BodyText"/>
        <w:spacing w:line="240" w:lineRule="auto" w:before="63"/>
        <w:ind w:right="982"/>
        <w:jc w:val="left"/>
        <w:rPr>
          <w:rFonts w:ascii="宋体" w:hAnsi="宋体" w:cs="宋体" w:eastAsia="宋体" w:hint="default"/>
        </w:rPr>
      </w:pPr>
      <w:r>
        <w:rPr>
          <w:rFonts w:ascii="Times New Roman" w:hAnsi="Times New Roman" w:cs="Times New Roman" w:eastAsia="Times New Roman" w:hint="default"/>
        </w:rPr>
        <w:t>2</w:t>
      </w:r>
      <w:r>
        <w:rPr/>
        <w:t>）位置大数据服务物料成本同比大幅减少，主要系项目硬件成本减少所致。</w:t>
      </w:r>
      <w:r>
        <w:rPr>
          <w:rFonts w:ascii="宋体" w:hAnsi="宋体" w:cs="宋体" w:eastAsia="宋体" w:hint="default"/>
        </w:rPr>
        <w:t>   </w:t>
      </w:r>
    </w:p>
    <w:p>
      <w:pPr>
        <w:spacing w:line="240" w:lineRule="auto" w:before="2"/>
        <w:rPr>
          <w:rFonts w:ascii="宋体" w:hAnsi="宋体" w:cs="宋体" w:eastAsia="宋体" w:hint="default"/>
          <w:sz w:val="26"/>
          <w:szCs w:val="26"/>
        </w:rPr>
      </w:pPr>
    </w:p>
    <w:p>
      <w:pPr>
        <w:pStyle w:val="Heading4"/>
        <w:spacing w:line="240" w:lineRule="auto"/>
        <w:ind w:right="982"/>
        <w:jc w:val="left"/>
        <w:rPr>
          <w:b w:val="0"/>
          <w:bCs w:val="0"/>
        </w:rPr>
      </w:pPr>
      <w:r>
        <w:rPr/>
        <w:t>（</w:t>
      </w:r>
      <w:r>
        <w:rPr>
          <w:rFonts w:ascii="Times New Roman" w:hAnsi="Times New Roman" w:cs="Times New Roman" w:eastAsia="Times New Roman" w:hint="default"/>
        </w:rPr>
        <w:t>6</w:t>
      </w:r>
      <w:r>
        <w:rPr/>
        <w:t>）报告期内合并范围是否发生变动</w:t>
      </w:r>
      <w:r>
        <w:rPr>
          <w:b w:val="0"/>
          <w:bCs w:val="0"/>
        </w:rPr>
      </w:r>
    </w:p>
    <w:p>
      <w:pPr>
        <w:spacing w:line="240" w:lineRule="auto" w:before="5"/>
        <w:rPr>
          <w:rFonts w:ascii="宋体" w:hAnsi="宋体" w:cs="宋体" w:eastAsia="宋体" w:hint="default"/>
          <w:b/>
          <w:bCs/>
          <w:sz w:val="26"/>
          <w:szCs w:val="26"/>
        </w:rPr>
      </w:pPr>
    </w:p>
    <w:p>
      <w:pPr>
        <w:pStyle w:val="BodyText"/>
        <w:spacing w:line="338" w:lineRule="auto"/>
        <w:ind w:right="5174"/>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2"/>
        </w:rPr>
        <w:t> </w:t>
      </w:r>
      <w:r>
        <w:rPr/>
        <w:t>否 本期因投资设立增加北京六分科技有限公司和四维图新日本有限公司。</w:t>
      </w:r>
    </w:p>
    <w:p>
      <w:pPr>
        <w:pStyle w:val="BodyText"/>
        <w:spacing w:line="300" w:lineRule="auto" w:before="2"/>
        <w:ind w:right="2920"/>
        <w:jc w:val="left"/>
      </w:pPr>
      <w:r>
        <w:rPr/>
        <w:t>本期因第三方增资导致本公司失去对</w:t>
      </w:r>
      <w:r>
        <w:rPr>
          <w:rFonts w:ascii="Times New Roman" w:hAnsi="Times New Roman" w:cs="Times New Roman" w:eastAsia="Times New Roman" w:hint="default"/>
        </w:rPr>
        <w:t>Mapbar Technology</w:t>
      </w:r>
      <w:r>
        <w:rPr>
          <w:rFonts w:ascii="Times New Roman" w:hAnsi="Times New Roman" w:cs="Times New Roman" w:eastAsia="Times New Roman" w:hint="default"/>
          <w:spacing w:val="-5"/>
        </w:rPr>
        <w:t> </w:t>
      </w:r>
      <w:r>
        <w:rPr>
          <w:rFonts w:ascii="Times New Roman" w:hAnsi="Times New Roman" w:cs="Times New Roman" w:eastAsia="Times New Roman" w:hint="default"/>
        </w:rPr>
        <w:t>Limited</w:t>
      </w:r>
      <w:r>
        <w:rPr/>
        <w:t>的控制权，不再将其纳入合并范围。 本期因处置减少北京图新智盛信息技术有限公司。</w:t>
      </w:r>
    </w:p>
    <w:p>
      <w:pPr>
        <w:pStyle w:val="BodyText"/>
        <w:spacing w:line="240" w:lineRule="auto" w:before="31"/>
        <w:ind w:right="982"/>
        <w:jc w:val="left"/>
      </w:pPr>
      <w:r>
        <w:rPr/>
        <w:t>本期因注销减少西安四维图新实业有限公司。</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t>（</w:t>
      </w:r>
      <w:r>
        <w:rPr>
          <w:rFonts w:ascii="Times New Roman" w:hAnsi="Times New Roman" w:cs="Times New Roman" w:eastAsia="Times New Roman" w:hint="default"/>
        </w:rPr>
        <w:t>7</w:t>
      </w:r>
      <w:r>
        <w:rPr/>
        <w:t>）公司报告期内业务、产品或服务发生重大变化或调整有关情况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13"/>
        <w:rPr>
          <w:rFonts w:ascii="宋体" w:hAnsi="宋体" w:cs="宋体" w:eastAsia="宋体" w:hint="default"/>
          <w:sz w:val="25"/>
          <w:szCs w:val="25"/>
        </w:rPr>
      </w:pPr>
    </w:p>
    <w:p>
      <w:pPr>
        <w:pStyle w:val="Heading4"/>
        <w:spacing w:line="240" w:lineRule="auto"/>
        <w:ind w:right="982"/>
        <w:jc w:val="left"/>
        <w:rPr>
          <w:b w:val="0"/>
          <w:bCs w:val="0"/>
        </w:rPr>
      </w:pPr>
      <w:r>
        <w:rPr/>
        <w:t>（</w:t>
      </w:r>
      <w:r>
        <w:rPr>
          <w:rFonts w:ascii="Times New Roman" w:hAnsi="Times New Roman" w:cs="Times New Roman" w:eastAsia="Times New Roman" w:hint="default"/>
        </w:rPr>
        <w:t>8</w:t>
      </w:r>
      <w:r>
        <w:rPr/>
        <w:t>）主要销售客户和主要供应商情况</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right="982"/>
        <w:jc w:val="left"/>
      </w:pPr>
      <w:r>
        <w:rPr/>
        <w:t>公司主要销售客户情况</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257"/>
        <w:gridCol w:w="5312"/>
      </w:tblGrid>
      <w:tr>
        <w:trPr>
          <w:trHeight w:val="402" w:hRule="exact"/>
        </w:trPr>
        <w:tc>
          <w:tcPr>
            <w:tcW w:w="4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前五名客户合计销售金额（元）</w:t>
            </w:r>
          </w:p>
        </w:tc>
        <w:tc>
          <w:tcPr>
            <w:tcW w:w="5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754,567,687.91</w:t>
            </w:r>
          </w:p>
        </w:tc>
      </w:tr>
      <w:tr>
        <w:trPr>
          <w:trHeight w:val="402" w:hRule="exact"/>
        </w:trPr>
        <w:tc>
          <w:tcPr>
            <w:tcW w:w="4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前五名客户合计销售金额占年度销售总额比例</w:t>
            </w:r>
          </w:p>
        </w:tc>
        <w:tc>
          <w:tcPr>
            <w:tcW w:w="5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z w:val="18"/>
              </w:rPr>
              <w:t>35.36%</w:t>
            </w:r>
          </w:p>
        </w:tc>
      </w:tr>
      <w:tr>
        <w:trPr>
          <w:trHeight w:val="715" w:hRule="exact"/>
        </w:trPr>
        <w:tc>
          <w:tcPr>
            <w:tcW w:w="4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84"/>
              <w:jc w:val="left"/>
              <w:rPr>
                <w:rFonts w:ascii="宋体" w:hAnsi="宋体" w:cs="宋体" w:eastAsia="宋体" w:hint="default"/>
                <w:sz w:val="18"/>
                <w:szCs w:val="18"/>
              </w:rPr>
            </w:pPr>
            <w:r>
              <w:rPr>
                <w:rFonts w:ascii="宋体" w:hAnsi="宋体" w:cs="宋体" w:eastAsia="宋体" w:hint="default"/>
                <w:sz w:val="18"/>
                <w:szCs w:val="18"/>
              </w:rPr>
              <w:t>前五名客户销售额中关联方销售额占年度销售总额比 例</w:t>
            </w:r>
          </w:p>
        </w:tc>
        <w:tc>
          <w:tcPr>
            <w:tcW w:w="5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8.25%</w:t>
            </w:r>
          </w:p>
        </w:tc>
      </w:tr>
    </w:tbl>
    <w:p>
      <w:pPr>
        <w:pStyle w:val="BodyText"/>
        <w:spacing w:line="240" w:lineRule="auto" w:before="49"/>
        <w:ind w:right="982"/>
        <w:jc w:val="left"/>
      </w:pPr>
      <w:r>
        <w:rPr/>
        <w:t>公司前</w:t>
      </w:r>
      <w:r>
        <w:rPr>
          <w:spacing w:val="-44"/>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大客户资料</w:t>
      </w:r>
    </w:p>
    <w:p>
      <w:pPr>
        <w:spacing w:line="240" w:lineRule="auto" w:before="1"/>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801"/>
        <w:gridCol w:w="3303"/>
        <w:gridCol w:w="2321"/>
        <w:gridCol w:w="3132"/>
      </w:tblGrid>
      <w:tr>
        <w:trPr>
          <w:trHeight w:val="402" w:hRule="exact"/>
        </w:trPr>
        <w:tc>
          <w:tcPr>
            <w:tcW w:w="8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15"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23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16" w:right="0"/>
              <w:jc w:val="left"/>
              <w:rPr>
                <w:rFonts w:ascii="宋体" w:hAnsi="宋体" w:cs="宋体" w:eastAsia="宋体" w:hint="default"/>
                <w:sz w:val="18"/>
                <w:szCs w:val="18"/>
              </w:rPr>
            </w:pPr>
            <w:r>
              <w:rPr>
                <w:rFonts w:ascii="宋体" w:hAnsi="宋体" w:cs="宋体" w:eastAsia="宋体" w:hint="default"/>
                <w:sz w:val="18"/>
                <w:szCs w:val="18"/>
              </w:rPr>
              <w:t>销售额（元）</w:t>
            </w:r>
          </w:p>
        </w:tc>
        <w:tc>
          <w:tcPr>
            <w:tcW w:w="31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55" w:right="0"/>
              <w:jc w:val="left"/>
              <w:rPr>
                <w:rFonts w:ascii="宋体" w:hAnsi="宋体" w:cs="宋体" w:eastAsia="宋体" w:hint="default"/>
                <w:sz w:val="18"/>
                <w:szCs w:val="18"/>
              </w:rPr>
            </w:pPr>
            <w:r>
              <w:rPr>
                <w:rFonts w:ascii="宋体" w:hAnsi="宋体" w:cs="宋体" w:eastAsia="宋体" w:hint="default"/>
                <w:sz w:val="18"/>
                <w:szCs w:val="18"/>
              </w:rPr>
              <w:t>占年度销售总额比例</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779"/>
        <w:gridCol w:w="3314"/>
        <w:gridCol w:w="2321"/>
        <w:gridCol w:w="3145"/>
      </w:tblGrid>
      <w:tr>
        <w:trPr>
          <w:trHeight w:val="401" w:hRule="exact"/>
        </w:trPr>
        <w:tc>
          <w:tcPr>
            <w:tcW w:w="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2" w:right="0"/>
              <w:jc w:val="left"/>
              <w:rPr>
                <w:rFonts w:ascii="Times New Roman" w:hAnsi="Times New Roman" w:cs="Times New Roman" w:eastAsia="Times New Roman" w:hint="default"/>
                <w:sz w:val="18"/>
                <w:szCs w:val="18"/>
              </w:rPr>
            </w:pPr>
            <w:r>
              <w:rPr>
                <w:rFonts w:ascii="Times New Roman"/>
                <w:sz w:val="18"/>
              </w:rPr>
              <w:t>1</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240,192,975.86</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11.26%</w:t>
            </w:r>
          </w:p>
        </w:tc>
      </w:tr>
      <w:tr>
        <w:trPr>
          <w:trHeight w:val="403" w:hRule="exact"/>
        </w:trPr>
        <w:tc>
          <w:tcPr>
            <w:tcW w:w="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left="12" w:right="0"/>
              <w:jc w:val="left"/>
              <w:rPr>
                <w:rFonts w:ascii="Times New Roman" w:hAnsi="Times New Roman" w:cs="Times New Roman" w:eastAsia="Times New Roman" w:hint="default"/>
                <w:sz w:val="18"/>
                <w:szCs w:val="18"/>
              </w:rPr>
            </w:pPr>
            <w:r>
              <w:rPr>
                <w:rFonts w:ascii="Times New Roman"/>
                <w:sz w:val="18"/>
              </w:rPr>
              <w:t>2</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left="2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176,065,469.17</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8.25%</w:t>
            </w:r>
          </w:p>
        </w:tc>
      </w:tr>
      <w:tr>
        <w:trPr>
          <w:trHeight w:val="401" w:hRule="exact"/>
        </w:trPr>
        <w:tc>
          <w:tcPr>
            <w:tcW w:w="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2" w:right="0"/>
              <w:jc w:val="left"/>
              <w:rPr>
                <w:rFonts w:ascii="Times New Roman" w:hAnsi="Times New Roman" w:cs="Times New Roman" w:eastAsia="Times New Roman" w:hint="default"/>
                <w:sz w:val="18"/>
                <w:szCs w:val="18"/>
              </w:rPr>
            </w:pPr>
            <w:r>
              <w:rPr>
                <w:rFonts w:ascii="Times New Roman"/>
                <w:sz w:val="18"/>
              </w:rPr>
              <w:t>3</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153,981,824.57</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7.22%</w:t>
            </w:r>
          </w:p>
        </w:tc>
      </w:tr>
      <w:tr>
        <w:trPr>
          <w:trHeight w:val="403" w:hRule="exact"/>
        </w:trPr>
        <w:tc>
          <w:tcPr>
            <w:tcW w:w="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left="12" w:right="0"/>
              <w:jc w:val="left"/>
              <w:rPr>
                <w:rFonts w:ascii="Times New Roman" w:hAnsi="Times New Roman" w:cs="Times New Roman" w:eastAsia="Times New Roman" w:hint="default"/>
                <w:sz w:val="18"/>
                <w:szCs w:val="18"/>
              </w:rPr>
            </w:pPr>
            <w:r>
              <w:rPr>
                <w:rFonts w:ascii="Times New Roman"/>
                <w:sz w:val="18"/>
              </w:rPr>
              <w:t>4</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left="2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118,561,569.96</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5.55%</w:t>
            </w:r>
          </w:p>
        </w:tc>
      </w:tr>
      <w:tr>
        <w:trPr>
          <w:trHeight w:val="401" w:hRule="exact"/>
        </w:trPr>
        <w:tc>
          <w:tcPr>
            <w:tcW w:w="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2" w:right="0"/>
              <w:jc w:val="left"/>
              <w:rPr>
                <w:rFonts w:ascii="Times New Roman" w:hAnsi="Times New Roman" w:cs="Times New Roman" w:eastAsia="Times New Roman" w:hint="default"/>
                <w:sz w:val="18"/>
                <w:szCs w:val="18"/>
              </w:rPr>
            </w:pPr>
            <w:r>
              <w:rPr>
                <w:rFonts w:ascii="Times New Roman"/>
                <w:sz w:val="18"/>
              </w:rPr>
              <w:t>5</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65,765,848.35</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3.08%</w:t>
            </w:r>
          </w:p>
        </w:tc>
      </w:tr>
      <w:tr>
        <w:trPr>
          <w:trHeight w:val="403" w:hRule="exact"/>
        </w:trPr>
        <w:tc>
          <w:tcPr>
            <w:tcW w:w="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left="10" w:right="0"/>
              <w:jc w:val="center"/>
              <w:rPr>
                <w:rFonts w:ascii="Times New Roman" w:hAnsi="Times New Roman" w:cs="Times New Roman" w:eastAsia="Times New Roman" w:hint="default"/>
                <w:sz w:val="18"/>
                <w:szCs w:val="18"/>
              </w:rPr>
            </w:pPr>
            <w:r>
              <w:rPr>
                <w:rFonts w:ascii="Times New Roman"/>
                <w:sz w:val="18"/>
              </w:rPr>
              <w:t>--</w:t>
            </w:r>
          </w:p>
        </w:tc>
        <w:tc>
          <w:tcPr>
            <w:tcW w:w="232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754,567,687.91</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z w:val="18"/>
              </w:rPr>
              <w:t>35.36%</w:t>
            </w:r>
          </w:p>
        </w:tc>
      </w:tr>
    </w:tbl>
    <w:p>
      <w:pPr>
        <w:pStyle w:val="BodyText"/>
        <w:spacing w:line="240" w:lineRule="auto" w:before="49"/>
        <w:ind w:right="982"/>
        <w:jc w:val="left"/>
      </w:pPr>
      <w:r>
        <w:rPr/>
        <w:t>主要客户其他情况说明</w:t>
      </w:r>
    </w:p>
    <w:p>
      <w:pPr>
        <w:pStyle w:val="BodyText"/>
        <w:spacing w:line="340" w:lineRule="auto" w:before="115"/>
        <w:ind w:right="9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公司主要供应商情况</w:t>
      </w:r>
    </w:p>
    <w:p>
      <w:pPr>
        <w:spacing w:line="240" w:lineRule="auto" w:before="7"/>
        <w:rPr>
          <w:rFonts w:ascii="宋体" w:hAnsi="宋体" w:cs="宋体" w:eastAsia="宋体" w:hint="default"/>
          <w:sz w:val="2"/>
          <w:szCs w:val="2"/>
        </w:rPr>
      </w:pPr>
    </w:p>
    <w:tbl>
      <w:tblPr>
        <w:tblW w:w="0" w:type="auto"/>
        <w:jc w:val="left"/>
        <w:tblInd w:w="149" w:type="dxa"/>
        <w:tblLayout w:type="fixed"/>
        <w:tblCellMar>
          <w:top w:w="0" w:type="dxa"/>
          <w:left w:w="0" w:type="dxa"/>
          <w:bottom w:w="0" w:type="dxa"/>
          <w:right w:w="0" w:type="dxa"/>
        </w:tblCellMar>
        <w:tblLook w:val="01E0"/>
      </w:tblPr>
      <w:tblGrid>
        <w:gridCol w:w="4257"/>
        <w:gridCol w:w="5312"/>
      </w:tblGrid>
      <w:tr>
        <w:trPr>
          <w:trHeight w:val="401" w:hRule="exact"/>
        </w:trPr>
        <w:tc>
          <w:tcPr>
            <w:tcW w:w="4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前五名供应商合计采购金额（元）</w:t>
            </w:r>
          </w:p>
        </w:tc>
        <w:tc>
          <w:tcPr>
            <w:tcW w:w="5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257,358,437.45</w:t>
            </w:r>
          </w:p>
        </w:tc>
      </w:tr>
      <w:tr>
        <w:trPr>
          <w:trHeight w:val="403" w:hRule="exact"/>
        </w:trPr>
        <w:tc>
          <w:tcPr>
            <w:tcW w:w="4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前五名供应商合计采购金额占年度采购总额比例</w:t>
            </w:r>
          </w:p>
        </w:tc>
        <w:tc>
          <w:tcPr>
            <w:tcW w:w="5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49.57%</w:t>
            </w:r>
          </w:p>
        </w:tc>
      </w:tr>
      <w:tr>
        <w:trPr>
          <w:trHeight w:val="713" w:hRule="exact"/>
        </w:trPr>
        <w:tc>
          <w:tcPr>
            <w:tcW w:w="4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84"/>
              <w:jc w:val="left"/>
              <w:rPr>
                <w:rFonts w:ascii="宋体" w:hAnsi="宋体" w:cs="宋体" w:eastAsia="宋体" w:hint="default"/>
                <w:sz w:val="18"/>
                <w:szCs w:val="18"/>
              </w:rPr>
            </w:pPr>
            <w:r>
              <w:rPr>
                <w:rFonts w:ascii="宋体" w:hAnsi="宋体" w:cs="宋体" w:eastAsia="宋体" w:hint="default"/>
                <w:sz w:val="18"/>
                <w:szCs w:val="18"/>
              </w:rPr>
              <w:t>前五名供应商采购额中关联方采购额占年度采购总额 比例</w:t>
            </w:r>
          </w:p>
        </w:tc>
        <w:tc>
          <w:tcPr>
            <w:tcW w:w="5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r>
    </w:tbl>
    <w:p>
      <w:pPr>
        <w:pStyle w:val="BodyText"/>
        <w:spacing w:line="240" w:lineRule="auto" w:before="49"/>
        <w:ind w:right="982"/>
        <w:jc w:val="left"/>
      </w:pPr>
      <w:r>
        <w:rPr/>
        <w:t>公司前</w:t>
      </w:r>
      <w:r>
        <w:rPr>
          <w:spacing w:val="-44"/>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名供应商资料</w:t>
      </w:r>
    </w:p>
    <w:p>
      <w:pPr>
        <w:spacing w:line="240" w:lineRule="auto" w:before="4"/>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912"/>
        <w:gridCol w:w="3181"/>
        <w:gridCol w:w="2321"/>
        <w:gridCol w:w="3145"/>
      </w:tblGrid>
      <w:tr>
        <w:trPr>
          <w:trHeight w:val="401"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71"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31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3" w:right="0"/>
              <w:jc w:val="center"/>
              <w:rPr>
                <w:rFonts w:ascii="宋体" w:hAnsi="宋体" w:cs="宋体" w:eastAsia="宋体" w:hint="default"/>
                <w:sz w:val="18"/>
                <w:szCs w:val="18"/>
              </w:rPr>
            </w:pPr>
            <w:r>
              <w:rPr>
                <w:rFonts w:ascii="宋体" w:hAnsi="宋体" w:cs="宋体" w:eastAsia="宋体" w:hint="default"/>
                <w:sz w:val="18"/>
                <w:szCs w:val="18"/>
              </w:rPr>
              <w:t>供应商名称</w:t>
            </w:r>
          </w:p>
        </w:tc>
        <w:tc>
          <w:tcPr>
            <w:tcW w:w="23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16" w:right="0"/>
              <w:jc w:val="left"/>
              <w:rPr>
                <w:rFonts w:ascii="宋体" w:hAnsi="宋体" w:cs="宋体" w:eastAsia="宋体" w:hint="default"/>
                <w:sz w:val="18"/>
                <w:szCs w:val="18"/>
              </w:rPr>
            </w:pPr>
            <w:r>
              <w:rPr>
                <w:rFonts w:ascii="宋体" w:hAnsi="宋体" w:cs="宋体" w:eastAsia="宋体" w:hint="default"/>
                <w:sz w:val="18"/>
                <w:szCs w:val="18"/>
              </w:rPr>
              <w:t>采购额（元）</w:t>
            </w:r>
          </w:p>
        </w:tc>
        <w:tc>
          <w:tcPr>
            <w:tcW w:w="31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55" w:right="0"/>
              <w:jc w:val="left"/>
              <w:rPr>
                <w:rFonts w:ascii="宋体" w:hAnsi="宋体" w:cs="宋体" w:eastAsia="宋体" w:hint="default"/>
                <w:sz w:val="18"/>
                <w:szCs w:val="18"/>
              </w:rPr>
            </w:pPr>
            <w:r>
              <w:rPr>
                <w:rFonts w:ascii="宋体" w:hAnsi="宋体" w:cs="宋体" w:eastAsia="宋体" w:hint="default"/>
                <w:sz w:val="18"/>
                <w:szCs w:val="18"/>
              </w:rPr>
              <w:t>占年度采购总额比例</w:t>
            </w:r>
          </w:p>
        </w:tc>
      </w:tr>
      <w:tr>
        <w:trPr>
          <w:trHeight w:val="403"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2" w:right="0"/>
              <w:jc w:val="left"/>
              <w:rPr>
                <w:rFonts w:ascii="Times New Roman" w:hAnsi="Times New Roman" w:cs="Times New Roman" w:eastAsia="Times New Roman" w:hint="default"/>
                <w:sz w:val="18"/>
                <w:szCs w:val="18"/>
              </w:rPr>
            </w:pPr>
            <w:r>
              <w:rPr>
                <w:rFonts w:ascii="Times New Roman"/>
                <w:sz w:val="18"/>
              </w:rPr>
              <w:t>1</w:t>
            </w:r>
          </w:p>
        </w:tc>
        <w:tc>
          <w:tcPr>
            <w:tcW w:w="318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69,634,923.31</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13.41%</w:t>
            </w:r>
          </w:p>
        </w:tc>
      </w:tr>
      <w:tr>
        <w:trPr>
          <w:trHeight w:val="401"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2" w:right="0"/>
              <w:jc w:val="left"/>
              <w:rPr>
                <w:rFonts w:ascii="Times New Roman" w:hAnsi="Times New Roman" w:cs="Times New Roman" w:eastAsia="Times New Roman" w:hint="default"/>
                <w:sz w:val="18"/>
                <w:szCs w:val="18"/>
              </w:rPr>
            </w:pPr>
            <w:r>
              <w:rPr>
                <w:rFonts w:ascii="Times New Roman"/>
                <w:sz w:val="18"/>
              </w:rPr>
              <w:t>2</w:t>
            </w:r>
          </w:p>
        </w:tc>
        <w:tc>
          <w:tcPr>
            <w:tcW w:w="318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66,672,154.52</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12.84%</w:t>
            </w:r>
          </w:p>
        </w:tc>
      </w:tr>
      <w:tr>
        <w:trPr>
          <w:trHeight w:val="403"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2" w:right="0"/>
              <w:jc w:val="left"/>
              <w:rPr>
                <w:rFonts w:ascii="Times New Roman" w:hAnsi="Times New Roman" w:cs="Times New Roman" w:eastAsia="Times New Roman" w:hint="default"/>
                <w:sz w:val="18"/>
                <w:szCs w:val="18"/>
              </w:rPr>
            </w:pPr>
            <w:r>
              <w:rPr>
                <w:rFonts w:ascii="Times New Roman"/>
                <w:sz w:val="18"/>
              </w:rPr>
              <w:t>3</w:t>
            </w:r>
          </w:p>
        </w:tc>
        <w:tc>
          <w:tcPr>
            <w:tcW w:w="318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49,741,797.36</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9.58%</w:t>
            </w:r>
          </w:p>
        </w:tc>
      </w:tr>
      <w:tr>
        <w:trPr>
          <w:trHeight w:val="401"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2" w:right="0"/>
              <w:jc w:val="left"/>
              <w:rPr>
                <w:rFonts w:ascii="Times New Roman" w:hAnsi="Times New Roman" w:cs="Times New Roman" w:eastAsia="Times New Roman" w:hint="default"/>
                <w:sz w:val="18"/>
                <w:szCs w:val="18"/>
              </w:rPr>
            </w:pPr>
            <w:r>
              <w:rPr>
                <w:rFonts w:ascii="Times New Roman"/>
                <w:sz w:val="18"/>
              </w:rPr>
              <w:t>4</w:t>
            </w:r>
          </w:p>
        </w:tc>
        <w:tc>
          <w:tcPr>
            <w:tcW w:w="318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40,936,695.46</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7.89%</w:t>
            </w:r>
          </w:p>
        </w:tc>
      </w:tr>
      <w:tr>
        <w:trPr>
          <w:trHeight w:val="403"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2" w:right="0"/>
              <w:jc w:val="left"/>
              <w:rPr>
                <w:rFonts w:ascii="Times New Roman" w:hAnsi="Times New Roman" w:cs="Times New Roman" w:eastAsia="Times New Roman" w:hint="default"/>
                <w:sz w:val="18"/>
                <w:szCs w:val="18"/>
              </w:rPr>
            </w:pPr>
            <w:r>
              <w:rPr>
                <w:rFonts w:ascii="Times New Roman"/>
                <w:sz w:val="18"/>
              </w:rPr>
              <w:t>5</w:t>
            </w:r>
          </w:p>
        </w:tc>
        <w:tc>
          <w:tcPr>
            <w:tcW w:w="318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30,372,866.80</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5.85%</w:t>
            </w:r>
          </w:p>
        </w:tc>
      </w:tr>
      <w:tr>
        <w:trPr>
          <w:trHeight w:val="401"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center"/>
              <w:rPr>
                <w:rFonts w:ascii="Times New Roman" w:hAnsi="Times New Roman" w:cs="Times New Roman" w:eastAsia="Times New Roman" w:hint="default"/>
                <w:sz w:val="18"/>
                <w:szCs w:val="18"/>
              </w:rPr>
            </w:pPr>
            <w:r>
              <w:rPr>
                <w:rFonts w:ascii="Times New Roman"/>
                <w:sz w:val="18"/>
              </w:rPr>
              <w:t>--</w:t>
            </w:r>
          </w:p>
        </w:tc>
        <w:tc>
          <w:tcPr>
            <w:tcW w:w="232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257,358,437.45</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49.57%</w:t>
            </w:r>
          </w:p>
        </w:tc>
      </w:tr>
    </w:tbl>
    <w:p>
      <w:pPr>
        <w:pStyle w:val="BodyText"/>
        <w:spacing w:line="240" w:lineRule="auto" w:before="49"/>
        <w:ind w:right="982"/>
        <w:jc w:val="left"/>
      </w:pPr>
      <w:r>
        <w:rPr/>
        <w:t>主要供应商其他情况说明</w:t>
      </w:r>
    </w:p>
    <w:p>
      <w:pPr>
        <w:pStyle w:val="BodyText"/>
        <w:spacing w:line="240" w:lineRule="auto" w:before="117"/>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13"/>
        <w:rPr>
          <w:rFonts w:ascii="宋体" w:hAnsi="宋体" w:cs="宋体" w:eastAsia="宋体" w:hint="default"/>
          <w:sz w:val="25"/>
          <w:szCs w:val="25"/>
        </w:rPr>
      </w:pPr>
    </w:p>
    <w:p>
      <w:pPr>
        <w:pStyle w:val="Heading4"/>
        <w:spacing w:line="240" w:lineRule="auto"/>
        <w:ind w:right="982"/>
        <w:jc w:val="left"/>
        <w:rPr>
          <w:b w:val="0"/>
          <w:bCs w:val="0"/>
        </w:rPr>
      </w:pPr>
      <w:r>
        <w:rPr>
          <w:rFonts w:ascii="Times New Roman" w:hAnsi="Times New Roman" w:cs="Times New Roman" w:eastAsia="Times New Roman" w:hint="default"/>
        </w:rPr>
        <w:t>3</w:t>
      </w:r>
      <w:r>
        <w:rPr/>
        <w:t>、费用</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893"/>
        <w:gridCol w:w="1648"/>
        <w:gridCol w:w="1637"/>
        <w:gridCol w:w="1462"/>
        <w:gridCol w:w="2919"/>
      </w:tblGrid>
      <w:tr>
        <w:trPr>
          <w:trHeight w:val="404" w:hRule="exact"/>
        </w:trPr>
        <w:tc>
          <w:tcPr>
            <w:tcW w:w="189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6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3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4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65" w:right="0"/>
              <w:jc w:val="left"/>
              <w:rPr>
                <w:rFonts w:ascii="宋体" w:hAnsi="宋体" w:cs="宋体" w:eastAsia="宋体" w:hint="default"/>
                <w:sz w:val="18"/>
                <w:szCs w:val="18"/>
              </w:rPr>
            </w:pPr>
            <w:r>
              <w:rPr>
                <w:rFonts w:ascii="宋体" w:hAnsi="宋体" w:cs="宋体" w:eastAsia="宋体" w:hint="default"/>
                <w:sz w:val="18"/>
                <w:szCs w:val="18"/>
              </w:rPr>
              <w:t>同比增减</w:t>
            </w:r>
          </w:p>
        </w:tc>
        <w:tc>
          <w:tcPr>
            <w:tcW w:w="29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401" w:hRule="exact"/>
        </w:trPr>
        <w:tc>
          <w:tcPr>
            <w:tcW w:w="18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648"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left="479" w:right="0"/>
              <w:jc w:val="left"/>
              <w:rPr>
                <w:rFonts w:ascii="Times New Roman" w:hAnsi="Times New Roman" w:cs="Times New Roman" w:eastAsia="Times New Roman" w:hint="default"/>
                <w:sz w:val="18"/>
                <w:szCs w:val="18"/>
              </w:rPr>
            </w:pPr>
            <w:r>
              <w:rPr>
                <w:rFonts w:ascii="Times New Roman"/>
                <w:sz w:val="18"/>
              </w:rPr>
              <w:t>131,558,133.01</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79" w:right="0"/>
              <w:jc w:val="left"/>
              <w:rPr>
                <w:rFonts w:ascii="Times New Roman" w:hAnsi="Times New Roman" w:cs="Times New Roman" w:eastAsia="Times New Roman" w:hint="default"/>
                <w:sz w:val="18"/>
                <w:szCs w:val="18"/>
              </w:rPr>
            </w:pPr>
            <w:r>
              <w:rPr>
                <w:rFonts w:ascii="Times New Roman"/>
                <w:sz w:val="18"/>
              </w:rPr>
              <w:t>146,123,416.19</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-9.97%</w:t>
            </w:r>
          </w:p>
        </w:tc>
        <w:tc>
          <w:tcPr>
            <w:tcW w:w="291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8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648"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left="479" w:right="0"/>
              <w:jc w:val="left"/>
              <w:rPr>
                <w:rFonts w:ascii="Times New Roman" w:hAnsi="Times New Roman" w:cs="Times New Roman" w:eastAsia="Times New Roman" w:hint="default"/>
                <w:sz w:val="18"/>
                <w:szCs w:val="18"/>
              </w:rPr>
            </w:pPr>
            <w:r>
              <w:rPr>
                <w:rFonts w:ascii="Times New Roman"/>
                <w:sz w:val="18"/>
              </w:rPr>
              <w:t>478,157,042.00</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79" w:right="0"/>
              <w:jc w:val="left"/>
              <w:rPr>
                <w:rFonts w:ascii="Times New Roman" w:hAnsi="Times New Roman" w:cs="Times New Roman" w:eastAsia="Times New Roman" w:hint="default"/>
                <w:sz w:val="18"/>
                <w:szCs w:val="18"/>
              </w:rPr>
            </w:pPr>
            <w:r>
              <w:rPr>
                <w:rFonts w:ascii="Times New Roman"/>
                <w:sz w:val="18"/>
              </w:rPr>
              <w:t>440,751,131.82</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8.49%</w:t>
            </w:r>
          </w:p>
        </w:tc>
        <w:tc>
          <w:tcPr>
            <w:tcW w:w="291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8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648"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left="511" w:right="0"/>
              <w:jc w:val="left"/>
              <w:rPr>
                <w:rFonts w:ascii="Times New Roman" w:hAnsi="Times New Roman" w:cs="Times New Roman" w:eastAsia="Times New Roman" w:hint="default"/>
                <w:sz w:val="18"/>
                <w:szCs w:val="18"/>
              </w:rPr>
            </w:pPr>
            <w:r>
              <w:rPr>
                <w:rFonts w:ascii="Times New Roman"/>
                <w:sz w:val="18"/>
              </w:rPr>
              <w:t>-30,548,999.89</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11" w:right="0"/>
              <w:jc w:val="left"/>
              <w:rPr>
                <w:rFonts w:ascii="Times New Roman" w:hAnsi="Times New Roman" w:cs="Times New Roman" w:eastAsia="Times New Roman" w:hint="default"/>
                <w:sz w:val="18"/>
                <w:szCs w:val="18"/>
              </w:rPr>
            </w:pPr>
            <w:r>
              <w:rPr>
                <w:rFonts w:ascii="Times New Roman"/>
                <w:sz w:val="18"/>
              </w:rPr>
              <w:t>-58,836,896.72</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48.08%</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8" w:right="0"/>
              <w:jc w:val="center"/>
              <w:rPr>
                <w:rFonts w:ascii="宋体" w:hAnsi="宋体" w:cs="宋体" w:eastAsia="宋体" w:hint="default"/>
                <w:sz w:val="18"/>
                <w:szCs w:val="18"/>
              </w:rPr>
            </w:pPr>
            <w:r>
              <w:rPr>
                <w:rFonts w:ascii="宋体" w:hAnsi="宋体" w:cs="宋体" w:eastAsia="宋体" w:hint="default"/>
                <w:sz w:val="18"/>
                <w:szCs w:val="18"/>
              </w:rPr>
              <w:t>主要原因是本期利息支出增加所致；</w:t>
            </w:r>
          </w:p>
        </w:tc>
      </w:tr>
      <w:tr>
        <w:trPr>
          <w:trHeight w:val="161" w:hRule="exact"/>
        </w:trPr>
        <w:tc>
          <w:tcPr>
            <w:tcW w:w="1893" w:type="dxa"/>
            <w:tcBorders>
              <w:top w:val="single" w:sz="4" w:space="0" w:color="000000"/>
              <w:left w:val="single" w:sz="4" w:space="0" w:color="000000"/>
              <w:bottom w:val="nil" w:sz="6" w:space="0" w:color="auto"/>
              <w:right w:val="single" w:sz="4" w:space="0" w:color="000000"/>
            </w:tcBorders>
            <w:shd w:val="clear" w:color="auto" w:fill="D2D2D2"/>
          </w:tcPr>
          <w:p>
            <w:pPr/>
          </w:p>
        </w:tc>
        <w:tc>
          <w:tcPr>
            <w:tcW w:w="1648" w:type="dxa"/>
            <w:vMerge w:val="restart"/>
            <w:tcBorders>
              <w:top w:val="single" w:sz="4" w:space="0" w:color="000000"/>
              <w:left w:val="single" w:sz="9" w:space="0" w:color="D2D2D2"/>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47" w:right="0"/>
              <w:jc w:val="left"/>
              <w:rPr>
                <w:rFonts w:ascii="Times New Roman" w:hAnsi="Times New Roman" w:cs="Times New Roman" w:eastAsia="Times New Roman" w:hint="default"/>
                <w:sz w:val="18"/>
                <w:szCs w:val="18"/>
              </w:rPr>
            </w:pPr>
            <w:r>
              <w:rPr>
                <w:rFonts w:ascii="Times New Roman"/>
                <w:sz w:val="18"/>
              </w:rPr>
              <w:t>1,276,435,895.41</w:t>
            </w:r>
          </w:p>
        </w:tc>
        <w:tc>
          <w:tcPr>
            <w:tcW w:w="163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79" w:right="0"/>
              <w:jc w:val="left"/>
              <w:rPr>
                <w:rFonts w:ascii="Times New Roman" w:hAnsi="Times New Roman" w:cs="Times New Roman" w:eastAsia="Times New Roman" w:hint="default"/>
                <w:sz w:val="18"/>
                <w:szCs w:val="18"/>
              </w:rPr>
            </w:pPr>
            <w:r>
              <w:rPr>
                <w:rFonts w:ascii="Times New Roman"/>
                <w:sz w:val="18"/>
              </w:rPr>
              <w:t>873,497,606.59</w:t>
            </w:r>
          </w:p>
        </w:tc>
        <w:tc>
          <w:tcPr>
            <w:tcW w:w="14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73" w:right="0"/>
              <w:jc w:val="left"/>
              <w:rPr>
                <w:rFonts w:ascii="Times New Roman" w:hAnsi="Times New Roman" w:cs="Times New Roman" w:eastAsia="Times New Roman" w:hint="default"/>
                <w:sz w:val="18"/>
                <w:szCs w:val="18"/>
              </w:rPr>
            </w:pPr>
            <w:r>
              <w:rPr>
                <w:rFonts w:ascii="Times New Roman"/>
                <w:sz w:val="18"/>
              </w:rPr>
              <w:t>46.13%</w:t>
            </w:r>
          </w:p>
        </w:tc>
        <w:tc>
          <w:tcPr>
            <w:tcW w:w="2919" w:type="dxa"/>
            <w:vMerge w:val="restart"/>
            <w:tcBorders>
              <w:top w:val="single" w:sz="4" w:space="0" w:color="000000"/>
              <w:left w:val="single" w:sz="4" w:space="0" w:color="000000"/>
              <w:right w:val="single" w:sz="4" w:space="0" w:color="000000"/>
            </w:tcBorders>
          </w:tcPr>
          <w:p>
            <w:pPr>
              <w:pStyle w:val="TableParagraph"/>
              <w:spacing w:line="316" w:lineRule="auto" w:before="49"/>
              <w:ind w:left="23" w:right="183"/>
              <w:jc w:val="left"/>
              <w:rPr>
                <w:rFonts w:ascii="宋体" w:hAnsi="宋体" w:cs="宋体" w:eastAsia="宋体" w:hint="default"/>
                <w:sz w:val="18"/>
                <w:szCs w:val="18"/>
              </w:rPr>
            </w:pPr>
            <w:r>
              <w:rPr>
                <w:rFonts w:ascii="宋体" w:hAnsi="宋体" w:cs="宋体" w:eastAsia="宋体" w:hint="default"/>
                <w:sz w:val="18"/>
                <w:szCs w:val="18"/>
              </w:rPr>
              <w:t>主要原因是本期加大高精度地图和 自动驾驶投入力度所致。</w:t>
            </w:r>
          </w:p>
        </w:tc>
      </w:tr>
      <w:tr>
        <w:trPr>
          <w:trHeight w:val="394" w:hRule="exact"/>
        </w:trPr>
        <w:tc>
          <w:tcPr>
            <w:tcW w:w="189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1648" w:type="dxa"/>
            <w:vMerge/>
            <w:tcBorders>
              <w:left w:val="single" w:sz="9" w:space="0" w:color="D2D2D2"/>
              <w:right w:val="single" w:sz="4" w:space="0" w:color="000000"/>
            </w:tcBorders>
          </w:tcPr>
          <w:p>
            <w:pPr/>
          </w:p>
        </w:tc>
        <w:tc>
          <w:tcPr>
            <w:tcW w:w="1637" w:type="dxa"/>
            <w:vMerge/>
            <w:tcBorders>
              <w:left w:val="single" w:sz="4" w:space="0" w:color="000000"/>
              <w:right w:val="single" w:sz="4" w:space="0" w:color="000000"/>
            </w:tcBorders>
          </w:tcPr>
          <w:p>
            <w:pPr/>
          </w:p>
        </w:tc>
        <w:tc>
          <w:tcPr>
            <w:tcW w:w="1462" w:type="dxa"/>
            <w:vMerge/>
            <w:tcBorders>
              <w:left w:val="single" w:sz="4" w:space="0" w:color="000000"/>
              <w:right w:val="single" w:sz="4" w:space="0" w:color="000000"/>
            </w:tcBorders>
          </w:tcPr>
          <w:p>
            <w:pPr/>
          </w:p>
        </w:tc>
        <w:tc>
          <w:tcPr>
            <w:tcW w:w="2919" w:type="dxa"/>
            <w:vMerge/>
            <w:tcBorders>
              <w:left w:val="single" w:sz="4" w:space="0" w:color="000000"/>
              <w:right w:val="single" w:sz="4" w:space="0" w:color="000000"/>
            </w:tcBorders>
          </w:tcPr>
          <w:p>
            <w:pPr/>
          </w:p>
        </w:tc>
      </w:tr>
      <w:tr>
        <w:trPr>
          <w:trHeight w:val="161" w:hRule="exact"/>
        </w:trPr>
        <w:tc>
          <w:tcPr>
            <w:tcW w:w="1893" w:type="dxa"/>
            <w:tcBorders>
              <w:top w:val="nil" w:sz="6" w:space="0" w:color="auto"/>
              <w:left w:val="single" w:sz="4" w:space="0" w:color="000000"/>
              <w:bottom w:val="single" w:sz="4" w:space="0" w:color="000000"/>
              <w:right w:val="single" w:sz="4" w:space="0" w:color="000000"/>
            </w:tcBorders>
            <w:shd w:val="clear" w:color="auto" w:fill="D2D2D2"/>
          </w:tcPr>
          <w:p>
            <w:pPr/>
          </w:p>
        </w:tc>
        <w:tc>
          <w:tcPr>
            <w:tcW w:w="1648" w:type="dxa"/>
            <w:vMerge/>
            <w:tcBorders>
              <w:left w:val="single" w:sz="9" w:space="0" w:color="D2D2D2"/>
              <w:bottom w:val="single" w:sz="4" w:space="0" w:color="000000"/>
              <w:right w:val="single" w:sz="4" w:space="0" w:color="000000"/>
            </w:tcBorders>
          </w:tcPr>
          <w:p>
            <w:pPr/>
          </w:p>
        </w:tc>
        <w:tc>
          <w:tcPr>
            <w:tcW w:w="1637" w:type="dxa"/>
            <w:vMerge/>
            <w:tcBorders>
              <w:left w:val="single" w:sz="4" w:space="0" w:color="000000"/>
              <w:bottom w:val="single" w:sz="4" w:space="0" w:color="000000"/>
              <w:right w:val="single" w:sz="4" w:space="0" w:color="000000"/>
            </w:tcBorders>
          </w:tcPr>
          <w:p>
            <w:pPr/>
          </w:p>
        </w:tc>
        <w:tc>
          <w:tcPr>
            <w:tcW w:w="1462" w:type="dxa"/>
            <w:vMerge/>
            <w:tcBorders>
              <w:left w:val="single" w:sz="4" w:space="0" w:color="000000"/>
              <w:bottom w:val="single" w:sz="4" w:space="0" w:color="000000"/>
              <w:right w:val="single" w:sz="4" w:space="0" w:color="000000"/>
            </w:tcBorders>
          </w:tcPr>
          <w:p>
            <w:pPr/>
          </w:p>
        </w:tc>
        <w:tc>
          <w:tcPr>
            <w:tcW w:w="2919" w:type="dxa"/>
            <w:vMerge/>
            <w:tcBorders>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rFonts w:ascii="Times New Roman" w:hAnsi="Times New Roman" w:cs="Times New Roman" w:eastAsia="Times New Roman" w:hint="default"/>
        </w:rPr>
        <w:t>4</w:t>
      </w:r>
      <w:r>
        <w:rPr/>
        <w:t>、研发投入</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after="0" w:line="240" w:lineRule="auto"/>
        <w:jc w:val="left"/>
        <w:sectPr>
          <w:pgSz w:w="11910" w:h="16840"/>
          <w:pgMar w:header="745" w:footer="979" w:top="1060" w:bottom="1160" w:left="980" w:right="0"/>
        </w:sectPr>
      </w:pPr>
    </w:p>
    <w:p>
      <w:pPr>
        <w:spacing w:line="240" w:lineRule="auto" w:before="9"/>
        <w:rPr>
          <w:rFonts w:ascii="宋体" w:hAnsi="宋体" w:cs="宋体" w:eastAsia="宋体" w:hint="default"/>
          <w:sz w:val="25"/>
          <w:szCs w:val="25"/>
        </w:rPr>
      </w:pPr>
    </w:p>
    <w:p>
      <w:pPr>
        <w:pStyle w:val="BodyText"/>
        <w:spacing w:line="240" w:lineRule="auto" w:before="44"/>
        <w:ind w:right="982"/>
        <w:jc w:val="left"/>
      </w:pPr>
      <w:r>
        <w:rPr/>
        <w:t>公司研发投入情况</w:t>
      </w:r>
    </w:p>
    <w:p>
      <w:pPr>
        <w:spacing w:line="240" w:lineRule="auto" w:before="5"/>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369"/>
        <w:gridCol w:w="2403"/>
        <w:gridCol w:w="2393"/>
        <w:gridCol w:w="2393"/>
      </w:tblGrid>
      <w:tr>
        <w:trPr>
          <w:trHeight w:val="401"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变动比例</w:t>
            </w:r>
          </w:p>
        </w:tc>
      </w:tr>
      <w:tr>
        <w:trPr>
          <w:trHeight w:val="403"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研发人员数量（人）</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2,408</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2,691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-10.52%</w:t>
            </w:r>
          </w:p>
        </w:tc>
      </w:tr>
      <w:tr>
        <w:trPr>
          <w:trHeight w:val="401"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研发人员数量占比</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56.51%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56.51%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r>
      <w:tr>
        <w:trPr>
          <w:trHeight w:val="403"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研发投入金额（元）</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1,166,094,706.39</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913,419,572.75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27.66%</w:t>
            </w:r>
          </w:p>
        </w:tc>
      </w:tr>
      <w:tr>
        <w:trPr>
          <w:trHeight w:val="401"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研发投入占营业收入比例</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54.65%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42.36%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12.29%</w:t>
            </w:r>
          </w:p>
        </w:tc>
      </w:tr>
      <w:tr>
        <w:trPr>
          <w:trHeight w:val="403"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研发投入资本化的金额（元）</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74,515,422.62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205,487,581.41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-63.74%</w:t>
            </w:r>
          </w:p>
        </w:tc>
      </w:tr>
      <w:tr>
        <w:trPr>
          <w:trHeight w:val="713"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12" w:right="185"/>
              <w:jc w:val="left"/>
              <w:rPr>
                <w:rFonts w:ascii="宋体" w:hAnsi="宋体" w:cs="宋体" w:eastAsia="宋体" w:hint="default"/>
                <w:sz w:val="18"/>
                <w:szCs w:val="18"/>
              </w:rPr>
            </w:pPr>
            <w:r>
              <w:rPr>
                <w:rFonts w:ascii="宋体" w:hAnsi="宋体" w:cs="宋体" w:eastAsia="宋体" w:hint="default"/>
                <w:sz w:val="18"/>
                <w:szCs w:val="18"/>
              </w:rPr>
              <w:t>资本化研发投入占研发投入 的比例</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6.39%</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22.50%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-16.11%</w:t>
            </w:r>
          </w:p>
        </w:tc>
      </w:tr>
    </w:tbl>
    <w:p>
      <w:pPr>
        <w:pStyle w:val="BodyText"/>
        <w:spacing w:line="316" w:lineRule="auto" w:before="49"/>
        <w:ind w:right="982" w:firstLine="360"/>
        <w:jc w:val="left"/>
      </w:pPr>
      <w:r>
        <w:rPr>
          <w:spacing w:val="-2"/>
        </w:rPr>
        <w:t>研发费用包含本期发生的费用化研发投入和以前年度资本化的研发投入在本期摊销的金额。研发投入包含本期发生的费</w:t>
      </w:r>
      <w:r>
        <w:rPr/>
        <w:t> 用化研发投入和本期发生的资本化研发投入。</w:t>
      </w:r>
    </w:p>
    <w:p>
      <w:pPr>
        <w:spacing w:after="0" w:line="316" w:lineRule="auto"/>
        <w:jc w:val="left"/>
        <w:sectPr>
          <w:pgSz w:w="11910" w:h="16840"/>
          <w:pgMar w:header="745" w:footer="979" w:top="1060" w:bottom="1160" w:left="980" w:right="0"/>
        </w:sectPr>
      </w:pPr>
    </w:p>
    <w:p>
      <w:pPr>
        <w:pStyle w:val="BodyText"/>
        <w:spacing w:line="240" w:lineRule="auto" w:before="139"/>
        <w:ind w:right="-17"/>
        <w:jc w:val="left"/>
      </w:pPr>
      <w:r>
        <w:rPr/>
        <w:t>研发投入总额占营业收入的比重较上年发生显著变化的原因</w:t>
      </w:r>
    </w:p>
    <w:p>
      <w:pPr>
        <w:pStyle w:val="BodyText"/>
        <w:spacing w:line="338" w:lineRule="auto" w:before="117"/>
        <w:ind w:right="49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研发投入资本化率大幅变动的原因及其合理性说明</w:t>
      </w:r>
    </w:p>
    <w:p>
      <w:pPr>
        <w:pStyle w:val="BodyText"/>
        <w:spacing w:line="348" w:lineRule="auto" w:before="43"/>
        <w:ind w:right="-17"/>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2"/>
        </w:rPr>
        <w:t> </w:t>
      </w:r>
      <w:r>
        <w:rPr/>
        <w:t>不适用 本期研发投入资本化率大幅减少主要系部分研发项目完成转入无形资产，项目后续的持续投入费用化所致。 公司需遵守《深圳证券交易所行业信息披露指引第</w:t>
      </w:r>
      <w:r>
        <w:rPr>
          <w:spacing w:val="-45"/>
        </w:rPr>
        <w:t> </w:t>
      </w:r>
      <w:r>
        <w:rPr>
          <w:rFonts w:ascii="Times New Roman" w:hAnsi="Times New Roman" w:cs="Times New Roman" w:eastAsia="Times New Roman" w:hint="default"/>
        </w:rPr>
        <w:t>12 </w:t>
      </w:r>
      <w:r>
        <w:rPr/>
        <w:t>号</w:t>
      </w:r>
      <w:r>
        <w:rPr>
          <w:rFonts w:ascii="Times New Roman" w:hAnsi="Times New Roman" w:cs="Times New Roman" w:eastAsia="Times New Roman" w:hint="default"/>
        </w:rPr>
        <w:t>——</w:t>
      </w:r>
      <w:r>
        <w:rPr/>
        <w:t>上市公司从事软件与信息技术服务业务》的披露要求</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BodyText"/>
        <w:spacing w:line="240" w:lineRule="auto" w:before="131"/>
        <w:ind w:left="-32" w:right="0"/>
        <w:jc w:val="left"/>
      </w:pPr>
      <w:r>
        <w:rPr/>
        <w:t>单位：元</w:t>
      </w:r>
    </w:p>
    <w:p>
      <w:pPr>
        <w:spacing w:after="0" w:line="240" w:lineRule="auto"/>
        <w:jc w:val="left"/>
        <w:sectPr>
          <w:type w:val="continuous"/>
          <w:pgSz w:w="11910" w:h="16840"/>
          <w:pgMar w:top="1060" w:bottom="1160" w:left="980" w:right="0"/>
          <w:cols w:num="2" w:equalWidth="0">
            <w:col w:w="9066" w:space="40"/>
            <w:col w:w="1824"/>
          </w:cols>
        </w:sectPr>
      </w:pP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985"/>
        <w:gridCol w:w="1419"/>
        <w:gridCol w:w="4536"/>
        <w:gridCol w:w="1630"/>
      </w:tblGrid>
      <w:tr>
        <w:trPr>
          <w:trHeight w:val="401" w:hRule="exact"/>
        </w:trPr>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29"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14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74"/>
              <w:jc w:val="right"/>
              <w:rPr>
                <w:rFonts w:ascii="宋体" w:hAnsi="宋体" w:cs="宋体" w:eastAsia="宋体" w:hint="default"/>
                <w:sz w:val="18"/>
                <w:szCs w:val="18"/>
              </w:rPr>
            </w:pPr>
            <w:r>
              <w:rPr>
                <w:rFonts w:ascii="宋体" w:hAnsi="宋体" w:cs="宋体" w:eastAsia="宋体" w:hint="default"/>
                <w:sz w:val="18"/>
                <w:szCs w:val="18"/>
              </w:rPr>
              <w:t>研发资本化金额</w:t>
            </w:r>
          </w:p>
        </w:tc>
        <w:tc>
          <w:tcPr>
            <w:tcW w:w="45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454" w:right="0"/>
              <w:jc w:val="left"/>
              <w:rPr>
                <w:rFonts w:ascii="宋体" w:hAnsi="宋体" w:cs="宋体" w:eastAsia="宋体" w:hint="default"/>
                <w:sz w:val="18"/>
                <w:szCs w:val="18"/>
              </w:rPr>
            </w:pPr>
            <w:r>
              <w:rPr>
                <w:rFonts w:ascii="宋体" w:hAnsi="宋体" w:cs="宋体" w:eastAsia="宋体" w:hint="default"/>
                <w:sz w:val="18"/>
                <w:szCs w:val="18"/>
              </w:rPr>
              <w:t>相关项目的基本情况</w:t>
            </w:r>
          </w:p>
        </w:tc>
        <w:tc>
          <w:tcPr>
            <w:tcW w:w="16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51" w:right="0"/>
              <w:jc w:val="left"/>
              <w:rPr>
                <w:rFonts w:ascii="宋体" w:hAnsi="宋体" w:cs="宋体" w:eastAsia="宋体" w:hint="default"/>
                <w:sz w:val="18"/>
                <w:szCs w:val="18"/>
              </w:rPr>
            </w:pPr>
            <w:r>
              <w:rPr>
                <w:rFonts w:ascii="宋体" w:hAnsi="宋体" w:cs="宋体" w:eastAsia="宋体" w:hint="default"/>
                <w:sz w:val="18"/>
                <w:szCs w:val="18"/>
              </w:rPr>
              <w:t>实施进度</w:t>
            </w:r>
          </w:p>
        </w:tc>
      </w:tr>
      <w:tr>
        <w:trPr>
          <w:trHeight w:val="3212"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00" w:lineRule="auto" w:before="119"/>
              <w:ind w:left="24" w:right="115"/>
              <w:jc w:val="left"/>
              <w:rPr>
                <w:rFonts w:ascii="宋体" w:hAnsi="宋体" w:cs="宋体" w:eastAsia="宋体" w:hint="default"/>
                <w:sz w:val="18"/>
                <w:szCs w:val="18"/>
              </w:rPr>
            </w:pPr>
            <w:r>
              <w:rPr>
                <w:rFonts w:ascii="Times New Roman" w:hAnsi="Times New Roman" w:cs="Times New Roman" w:eastAsia="Times New Roman" w:hint="default"/>
                <w:sz w:val="18"/>
                <w:szCs w:val="18"/>
              </w:rPr>
              <w:t>WELINK</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趣驾互联项目 产品</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4"/>
                <w:szCs w:val="2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24,187,219.32</w:t>
            </w:r>
          </w:p>
        </w:tc>
        <w:tc>
          <w:tcPr>
            <w:tcW w:w="453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0"/>
              <w:jc w:val="both"/>
              <w:rPr>
                <w:rFonts w:ascii="宋体" w:hAnsi="宋体" w:cs="宋体" w:eastAsia="宋体" w:hint="default"/>
                <w:sz w:val="18"/>
                <w:szCs w:val="18"/>
              </w:rPr>
            </w:pPr>
            <w:r>
              <w:rPr>
                <w:rFonts w:ascii="宋体" w:hAnsi="宋体" w:cs="宋体" w:eastAsia="宋体" w:hint="default"/>
                <w:sz w:val="18"/>
                <w:szCs w:val="18"/>
              </w:rPr>
              <w:t>本项目建设的是智能车联网生态服务平台，要求具备车载 终端设备动态感知交通动静态感知能力，并根据不同的功 能需求对所有车辆的运行状态提供交通驾驶、安全防护、 信息娱乐、维修保养、车辆诊断、智能导航、地图服务、 内容服务、垂直电商、语音助手、诊断专家、个性化推荐 等服务能力，并为运营管理车联网的角色提供运营管理支 撑服务后台，包括客户服务、运营分析、专家服务等等。 智慧车联网平台融合与车相关的各生态环境横跨交通、社 交、娱乐、金融、电商、汽车、保险、图商等领域的优质 服务为车主提供智能、便捷的服务。</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研发已完成</w:t>
            </w:r>
          </w:p>
        </w:tc>
      </w:tr>
      <w:tr>
        <w:trPr>
          <w:trHeight w:val="2273"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4" w:lineRule="auto" w:before="123"/>
              <w:ind w:left="24" w:right="149"/>
              <w:jc w:val="left"/>
              <w:rPr>
                <w:rFonts w:ascii="宋体" w:hAnsi="宋体" w:cs="宋体" w:eastAsia="宋体" w:hint="default"/>
                <w:sz w:val="18"/>
                <w:szCs w:val="18"/>
              </w:rPr>
            </w:pPr>
            <w:r>
              <w:rPr>
                <w:rFonts w:ascii="宋体" w:hAnsi="宋体" w:cs="宋体" w:eastAsia="宋体" w:hint="default"/>
                <w:sz w:val="18"/>
                <w:szCs w:val="18"/>
              </w:rPr>
              <w:t>高精度智能驾驶电子地 图开发项目</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1"/>
                <w:sz w:val="18"/>
              </w:rPr>
              <w:t>16,134,154.66</w:t>
            </w:r>
          </w:p>
        </w:tc>
        <w:tc>
          <w:tcPr>
            <w:tcW w:w="4536"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49"/>
              <w:ind w:left="23" w:right="0"/>
              <w:jc w:val="both"/>
              <w:rPr>
                <w:rFonts w:ascii="宋体" w:hAnsi="宋体" w:cs="宋体" w:eastAsia="宋体" w:hint="default"/>
                <w:sz w:val="18"/>
                <w:szCs w:val="18"/>
              </w:rPr>
            </w:pPr>
            <w:r>
              <w:rPr>
                <w:rFonts w:ascii="宋体" w:hAnsi="宋体" w:cs="宋体" w:eastAsia="宋体" w:hint="default"/>
                <w:spacing w:val="6"/>
                <w:sz w:val="18"/>
                <w:szCs w:val="18"/>
              </w:rPr>
              <w:t>本项目建设的面向智能驾驶的信息服务平台是下一代智</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能驾驶地理信息服务平台，实现基于</w:t>
            </w:r>
            <w:r>
              <w:rPr>
                <w:rFonts w:ascii="宋体" w:hAnsi="宋体" w:cs="宋体" w:eastAsia="宋体" w:hint="default"/>
                <w:spacing w:val="33"/>
                <w:sz w:val="18"/>
                <w:szCs w:val="18"/>
              </w:rPr>
              <w:t> </w:t>
            </w:r>
            <w:r>
              <w:rPr>
                <w:rFonts w:ascii="Times New Roman" w:hAnsi="Times New Roman" w:cs="Times New Roman" w:eastAsia="Times New Roman" w:hint="default"/>
                <w:sz w:val="18"/>
                <w:szCs w:val="18"/>
              </w:rPr>
              <w:t>GPS/</w:t>
            </w:r>
            <w:r>
              <w:rPr>
                <w:rFonts w:ascii="宋体" w:hAnsi="宋体" w:cs="宋体" w:eastAsia="宋体" w:hint="default"/>
                <w:sz w:val="18"/>
                <w:szCs w:val="18"/>
              </w:rPr>
              <w:t>北斗卫星系统</w:t>
            </w:r>
            <w:r>
              <w:rPr>
                <w:rFonts w:ascii="宋体" w:hAnsi="宋体" w:cs="宋体" w:eastAsia="宋体" w:hint="default"/>
                <w:spacing w:val="-79"/>
                <w:sz w:val="18"/>
                <w:szCs w:val="18"/>
              </w:rPr>
              <w:t> </w:t>
            </w:r>
            <w:r>
              <w:rPr>
                <w:rFonts w:ascii="宋体" w:hAnsi="宋体" w:cs="宋体" w:eastAsia="宋体" w:hint="default"/>
                <w:sz w:val="18"/>
                <w:szCs w:val="18"/>
              </w:rPr>
              <w:t>及其相关的广域增强系统、地基</w:t>
            </w:r>
            <w:r>
              <w:rPr>
                <w:rFonts w:ascii="宋体" w:hAnsi="宋体" w:cs="宋体" w:eastAsia="宋体" w:hint="default"/>
                <w:spacing w:val="20"/>
                <w:sz w:val="18"/>
                <w:szCs w:val="18"/>
              </w:rPr>
              <w:t> </w:t>
            </w:r>
            <w:r>
              <w:rPr>
                <w:rFonts w:ascii="Times New Roman" w:hAnsi="Times New Roman" w:cs="Times New Roman" w:eastAsia="Times New Roman" w:hint="default"/>
                <w:sz w:val="18"/>
                <w:szCs w:val="18"/>
              </w:rPr>
              <w:t>CORS</w:t>
            </w:r>
            <w:r>
              <w:rPr>
                <w:rFonts w:ascii="Times New Roman" w:hAnsi="Times New Roman" w:cs="Times New Roman" w:eastAsia="Times New Roman" w:hint="default"/>
                <w:spacing w:val="16"/>
                <w:sz w:val="18"/>
                <w:szCs w:val="18"/>
              </w:rPr>
              <w:t> </w:t>
            </w:r>
            <w:r>
              <w:rPr>
                <w:rFonts w:ascii="宋体" w:hAnsi="宋体" w:cs="宋体" w:eastAsia="宋体" w:hint="default"/>
                <w:sz w:val="18"/>
                <w:szCs w:val="18"/>
              </w:rPr>
              <w:t>增强系统的厘米</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级数据采集系统，快速、准确、全面地获取厘米级位置信</w:t>
            </w:r>
            <w:r>
              <w:rPr>
                <w:rFonts w:ascii="宋体" w:hAnsi="宋体" w:cs="宋体" w:eastAsia="宋体" w:hint="default"/>
                <w:sz w:val="18"/>
                <w:szCs w:val="18"/>
              </w:rPr>
              <w:t> 息，建立智能驾驶信息数据库、服务平台和服务体系，结 合已建成的位置信息服务平台为驾驶出行提供无人驾驶、 安全提醒、语音互动、生活秘书等全方位服务。</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研发已完成</w:t>
            </w:r>
          </w:p>
        </w:tc>
      </w:tr>
      <w:tr>
        <w:trPr>
          <w:trHeight w:val="1298"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6"/>
                <w:szCs w:val="26"/>
              </w:rPr>
            </w:pPr>
          </w:p>
          <w:p>
            <w:pPr>
              <w:pStyle w:val="TableParagraph"/>
              <w:spacing w:line="316" w:lineRule="auto"/>
              <w:ind w:left="24" w:right="149"/>
              <w:jc w:val="left"/>
              <w:rPr>
                <w:rFonts w:ascii="宋体" w:hAnsi="宋体" w:cs="宋体" w:eastAsia="宋体" w:hint="default"/>
                <w:sz w:val="18"/>
                <w:szCs w:val="18"/>
              </w:rPr>
            </w:pPr>
            <w:r>
              <w:rPr>
                <w:rFonts w:ascii="宋体" w:hAnsi="宋体" w:cs="宋体" w:eastAsia="宋体" w:hint="default"/>
                <w:sz w:val="18"/>
                <w:szCs w:val="18"/>
              </w:rPr>
              <w:t>可追溯商用车高效物流 服务平台</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18,768,504.66</w:t>
            </w:r>
          </w:p>
        </w:tc>
        <w:tc>
          <w:tcPr>
            <w:tcW w:w="453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0"/>
              <w:jc w:val="both"/>
              <w:rPr>
                <w:rFonts w:ascii="宋体" w:hAnsi="宋体" w:cs="宋体" w:eastAsia="宋体" w:hint="default"/>
                <w:sz w:val="18"/>
                <w:szCs w:val="18"/>
              </w:rPr>
            </w:pPr>
            <w:r>
              <w:rPr>
                <w:rFonts w:ascii="宋体" w:hAnsi="宋体" w:cs="宋体" w:eastAsia="宋体" w:hint="default"/>
                <w:sz w:val="18"/>
                <w:szCs w:val="18"/>
              </w:rPr>
              <w:t>搭建可追溯商用车高效物流服务平台，基于北斗和云计算 技术，重点开展物流车辆数据高效采集和安全远程控制、 物流商用车联网云计算、物流商用车辆驾驶经济性评价及 性能提升、物流电子地图及精准导航等技术研究，实现商</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0"/>
                <w:szCs w:val="20"/>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研发已完成</w:t>
            </w:r>
          </w:p>
        </w:tc>
      </w:tr>
    </w:tbl>
    <w:p>
      <w:pPr>
        <w:spacing w:after="0" w:line="240" w:lineRule="auto"/>
        <w:jc w:val="left"/>
        <w:rPr>
          <w:rFonts w:ascii="宋体" w:hAnsi="宋体" w:cs="宋体" w:eastAsia="宋体" w:hint="default"/>
          <w:sz w:val="18"/>
          <w:szCs w:val="18"/>
        </w:rPr>
        <w:sectPr>
          <w:type w:val="continuous"/>
          <w:pgSz w:w="11910" w:h="16840"/>
          <w:pgMar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985"/>
        <w:gridCol w:w="1419"/>
        <w:gridCol w:w="4536"/>
        <w:gridCol w:w="1630"/>
      </w:tblGrid>
      <w:tr>
        <w:trPr>
          <w:trHeight w:val="987" w:hRule="exact"/>
        </w:trPr>
        <w:tc>
          <w:tcPr>
            <w:tcW w:w="1985"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453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8"/>
              <w:ind w:left="23" w:right="20"/>
              <w:jc w:val="both"/>
              <w:rPr>
                <w:rFonts w:ascii="宋体" w:hAnsi="宋体" w:cs="宋体" w:eastAsia="宋体" w:hint="default"/>
                <w:sz w:val="18"/>
                <w:szCs w:val="18"/>
              </w:rPr>
            </w:pPr>
            <w:r>
              <w:rPr>
                <w:rFonts w:ascii="宋体" w:hAnsi="宋体" w:cs="宋体" w:eastAsia="宋体" w:hint="default"/>
                <w:spacing w:val="-1"/>
                <w:sz w:val="18"/>
                <w:szCs w:val="18"/>
              </w:rPr>
              <w:t>用车全程物流可溯源及物流高效化，并在商用车厂重卡物</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1"/>
                <w:sz w:val="18"/>
                <w:szCs w:val="18"/>
              </w:rPr>
              <w:t>流车应用实现突破的基础上，拓展至其他商用卡车厂和物</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流企业。</w:t>
            </w: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2897"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316" w:lineRule="auto"/>
              <w:ind w:left="24" w:right="149"/>
              <w:jc w:val="left"/>
              <w:rPr>
                <w:rFonts w:ascii="宋体" w:hAnsi="宋体" w:cs="宋体" w:eastAsia="宋体" w:hint="default"/>
                <w:sz w:val="18"/>
                <w:szCs w:val="18"/>
              </w:rPr>
            </w:pPr>
            <w:r>
              <w:rPr>
                <w:rFonts w:ascii="宋体" w:hAnsi="宋体" w:cs="宋体" w:eastAsia="宋体" w:hint="default"/>
                <w:sz w:val="18"/>
                <w:szCs w:val="18"/>
              </w:rPr>
              <w:t>交通信息处理与发布子 系统</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61"/>
              <w:ind w:left="350" w:right="0"/>
              <w:jc w:val="left"/>
              <w:rPr>
                <w:rFonts w:ascii="Times New Roman" w:hAnsi="Times New Roman" w:cs="Times New Roman" w:eastAsia="Times New Roman" w:hint="default"/>
                <w:sz w:val="18"/>
                <w:szCs w:val="18"/>
              </w:rPr>
            </w:pPr>
            <w:r>
              <w:rPr>
                <w:rFonts w:ascii="Times New Roman"/>
                <w:sz w:val="18"/>
              </w:rPr>
              <w:t>15,425,543.98</w:t>
            </w:r>
          </w:p>
        </w:tc>
        <w:tc>
          <w:tcPr>
            <w:tcW w:w="453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0"/>
              <w:jc w:val="both"/>
              <w:rPr>
                <w:rFonts w:ascii="宋体" w:hAnsi="宋体" w:cs="宋体" w:eastAsia="宋体" w:hint="default"/>
                <w:sz w:val="18"/>
                <w:szCs w:val="18"/>
              </w:rPr>
            </w:pPr>
            <w:r>
              <w:rPr>
                <w:rFonts w:ascii="宋体" w:hAnsi="宋体" w:cs="宋体" w:eastAsia="宋体" w:hint="default"/>
                <w:spacing w:val="6"/>
                <w:sz w:val="18"/>
                <w:szCs w:val="18"/>
              </w:rPr>
              <w:t>交通信息处理及大数据平台发布子系统是处理交通信息</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的相关平台，着重针对路况品质、事件量进行改善提升；</w:t>
            </w:r>
            <w:r>
              <w:rPr>
                <w:rFonts w:ascii="宋体" w:hAnsi="宋体" w:cs="宋体" w:eastAsia="宋体" w:hint="default"/>
                <w:sz w:val="18"/>
                <w:szCs w:val="18"/>
              </w:rPr>
              <w:t> 对未来高精度地图支持高精度路况发布；同时辅助管理城 市交通，治理交通拥堵的大数据平台，旨在提升城市道路 通行效率，节省交通出行者的出行时间，最终实现交通安 全、有序、畅通的愿景。为交警指挥中心、秩序处用户提 供交通运行感知、管控、优化、调度、评价五位一体的解 决方案，有效治理城市交通拥堵，调控交通需求，服务公 众出行。</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316" w:lineRule="auto"/>
              <w:ind w:left="23" w:right="-24"/>
              <w:jc w:val="both"/>
              <w:rPr>
                <w:rFonts w:ascii="宋体" w:hAnsi="宋体" w:cs="宋体" w:eastAsia="宋体" w:hint="default"/>
                <w:sz w:val="18"/>
                <w:szCs w:val="18"/>
              </w:rPr>
            </w:pPr>
            <w:r>
              <w:rPr>
                <w:rFonts w:ascii="宋体" w:hAnsi="宋体" w:cs="宋体" w:eastAsia="宋体" w:hint="default"/>
                <w:sz w:val="18"/>
                <w:szCs w:val="18"/>
              </w:rPr>
              <w:t>主要模块已经完成， </w:t>
            </w:r>
            <w:r>
              <w:rPr>
                <w:rFonts w:ascii="宋体" w:hAnsi="宋体" w:cs="宋体" w:eastAsia="宋体" w:hint="default"/>
                <w:spacing w:val="16"/>
                <w:sz w:val="18"/>
                <w:szCs w:val="18"/>
              </w:rPr>
              <w:t>个别子系统还在研</w:t>
            </w:r>
            <w:r>
              <w:rPr>
                <w:rFonts w:ascii="宋体" w:hAnsi="宋体" w:cs="宋体" w:eastAsia="宋体" w:hint="default"/>
                <w:spacing w:val="-86"/>
                <w:sz w:val="18"/>
                <w:szCs w:val="18"/>
              </w:rPr>
              <w:t> </w:t>
            </w:r>
            <w:r>
              <w:rPr>
                <w:rFonts w:ascii="宋体" w:hAnsi="宋体" w:cs="宋体" w:eastAsia="宋体" w:hint="default"/>
                <w:sz w:val="18"/>
                <w:szCs w:val="18"/>
              </w:rPr>
              <w:t>发中</w:t>
            </w:r>
          </w:p>
        </w:tc>
      </w:tr>
    </w:tbl>
    <w:p>
      <w:pPr>
        <w:pStyle w:val="BodyText"/>
        <w:spacing w:line="360" w:lineRule="auto" w:before="49"/>
        <w:ind w:right="1133"/>
        <w:jc w:val="both"/>
      </w:pPr>
      <w:r>
        <w:rPr/>
        <w:t>研发投入资本化的依据及相关内控制度的内容和执行情况 公司将内部研究开发项目的支出，区分为研究阶段支出和开发阶段支出。研究阶段的支出，于发生时计入当期损益。</w:t>
      </w:r>
    </w:p>
    <w:p>
      <w:pPr>
        <w:pStyle w:val="BodyText"/>
        <w:spacing w:line="316" w:lineRule="auto" w:before="25"/>
        <w:ind w:right="1129"/>
        <w:jc w:val="both"/>
      </w:pPr>
      <w:r>
        <w:rPr>
          <w:spacing w:val="-5"/>
        </w:rPr>
        <w:t>开发阶段的支出，同时满足下列条件的，才能予以资本化，即：完成该无形资产以使其能够使用或出售在技术上具有可行性；</w:t>
      </w:r>
      <w:r>
        <w:rPr>
          <w:spacing w:val="-78"/>
        </w:rPr>
        <w:t> </w:t>
      </w:r>
      <w:r>
        <w:rPr>
          <w:spacing w:val="-78"/>
        </w:rPr>
      </w:r>
      <w:r>
        <w:rPr>
          <w:spacing w:val="-2"/>
        </w:rPr>
        <w:t>具有完成该无形资产并使用或出售的意图；无形资产产生经济利益的方式，包括能够证明运用该无形资产生产的产品存在市</w:t>
      </w:r>
      <w:r>
        <w:rPr>
          <w:spacing w:val="-64"/>
        </w:rPr>
        <w:t> </w:t>
      </w:r>
      <w:r>
        <w:rPr>
          <w:spacing w:val="-64"/>
        </w:rPr>
      </w:r>
      <w:r>
        <w:rPr>
          <w:spacing w:val="-2"/>
        </w:rPr>
        <w:t>场或无形资产自身存在市场，无形资产将在内部使用的，能够证明其有用性；有足够的技术、财务资源和其他资源支持，以</w:t>
      </w:r>
      <w:r>
        <w:rPr>
          <w:spacing w:val="-67"/>
        </w:rPr>
        <w:t> </w:t>
      </w:r>
      <w:r>
        <w:rPr>
          <w:spacing w:val="-67"/>
        </w:rPr>
      </w:r>
      <w:r>
        <w:rPr>
          <w:spacing w:val="-2"/>
        </w:rPr>
        <w:t>完成该无形资产的开发，并有能力使用或出售该无形资产；归属于该无形资产开发阶段的支出能够可靠地计量。不满足上述</w:t>
      </w:r>
      <w:r>
        <w:rPr>
          <w:spacing w:val="-62"/>
        </w:rPr>
        <w:t> </w:t>
      </w:r>
      <w:r>
        <w:rPr>
          <w:spacing w:val="-62"/>
        </w:rPr>
      </w:r>
      <w:r>
        <w:rPr/>
        <w:t>条件的开发支出计入当期损益。</w:t>
      </w:r>
    </w:p>
    <w:p>
      <w:pPr>
        <w:pStyle w:val="BodyText"/>
        <w:spacing w:line="316" w:lineRule="auto" w:before="59"/>
        <w:ind w:right="1131"/>
        <w:jc w:val="both"/>
      </w:pPr>
      <w:r>
        <w:rPr/>
        <w:t>公司研究开发项目在满足上述条件，通过技术可行性分析，形成项目立项后，进入开发阶段。</w:t>
      </w:r>
      <w:r>
        <w:rPr>
          <w:spacing w:val="8"/>
        </w:rPr>
        <w:t> </w:t>
      </w:r>
      <w:r>
        <w:rPr/>
        <w:t>公司制定了《研发项目管理</w:t>
      </w:r>
      <w:r>
        <w:rPr/>
        <w:t> </w:t>
      </w:r>
      <w:r>
        <w:rPr>
          <w:spacing w:val="-3"/>
        </w:rPr>
        <w:t>办法》，依据管理办法执行，对研究开发项目单独归集核算，确保资本化的准确。</w:t>
      </w:r>
    </w:p>
    <w:p>
      <w:pPr>
        <w:spacing w:line="240" w:lineRule="auto" w:before="11"/>
        <w:rPr>
          <w:rFonts w:ascii="宋体" w:hAnsi="宋体" w:cs="宋体" w:eastAsia="宋体" w:hint="default"/>
          <w:sz w:val="22"/>
          <w:szCs w:val="22"/>
        </w:rPr>
      </w:pPr>
    </w:p>
    <w:p>
      <w:pPr>
        <w:pStyle w:val="Heading4"/>
        <w:spacing w:line="240" w:lineRule="auto"/>
        <w:ind w:right="0"/>
        <w:jc w:val="both"/>
        <w:rPr>
          <w:b w:val="0"/>
          <w:bCs w:val="0"/>
        </w:rPr>
      </w:pPr>
      <w:r>
        <w:rPr>
          <w:rFonts w:ascii="Times New Roman" w:hAnsi="Times New Roman" w:cs="Times New Roman" w:eastAsia="Times New Roman" w:hint="default"/>
        </w:rPr>
        <w:t>5</w:t>
      </w:r>
      <w:r>
        <w:rPr/>
        <w:t>、现金流</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0" w:right="1131"/>
        <w:jc w:val="right"/>
      </w:pPr>
      <w:r>
        <w:rPr/>
        <w:t>单位：元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369"/>
        <w:gridCol w:w="2403"/>
        <w:gridCol w:w="2393"/>
        <w:gridCol w:w="2393"/>
      </w:tblGrid>
      <w:tr>
        <w:trPr>
          <w:trHeight w:val="403"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4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1"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2,687,607,922.76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2,205,663,723.79</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21.85%</w:t>
            </w:r>
          </w:p>
        </w:tc>
      </w:tr>
      <w:tr>
        <w:trPr>
          <w:trHeight w:val="403"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2,316,858,252.17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1,815,349,650.21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z w:val="18"/>
              </w:rPr>
              <w:t>27.63%</w:t>
            </w:r>
          </w:p>
        </w:tc>
      </w:tr>
      <w:tr>
        <w:trPr>
          <w:trHeight w:val="713"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85"/>
              <w:jc w:val="left"/>
              <w:rPr>
                <w:rFonts w:ascii="宋体" w:hAnsi="宋体" w:cs="宋体" w:eastAsia="宋体" w:hint="default"/>
                <w:sz w:val="18"/>
                <w:szCs w:val="18"/>
              </w:rPr>
            </w:pPr>
            <w:r>
              <w:rPr>
                <w:rFonts w:ascii="宋体" w:hAnsi="宋体" w:cs="宋体" w:eastAsia="宋体" w:hint="default"/>
                <w:sz w:val="18"/>
                <w:szCs w:val="18"/>
              </w:rPr>
              <w:t>经营活动产生的现金流量净 额</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370,749,670.59</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390,314,073.58</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-5.01%</w:t>
            </w:r>
          </w:p>
        </w:tc>
      </w:tr>
      <w:tr>
        <w:trPr>
          <w:trHeight w:val="403"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2,650,886,856.07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1,055,040,354.88</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151.26%</w:t>
            </w:r>
          </w:p>
        </w:tc>
      </w:tr>
      <w:tr>
        <w:trPr>
          <w:trHeight w:val="401"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3,583,112,384.89</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4,331,957,039.24</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-17.29%</w:t>
            </w:r>
          </w:p>
        </w:tc>
      </w:tr>
      <w:tr>
        <w:trPr>
          <w:trHeight w:val="715"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185"/>
              <w:jc w:val="left"/>
              <w:rPr>
                <w:rFonts w:ascii="宋体" w:hAnsi="宋体" w:cs="宋体" w:eastAsia="宋体" w:hint="default"/>
                <w:sz w:val="18"/>
                <w:szCs w:val="18"/>
              </w:rPr>
            </w:pPr>
            <w:r>
              <w:rPr>
                <w:rFonts w:ascii="宋体" w:hAnsi="宋体" w:cs="宋体" w:eastAsia="宋体" w:hint="default"/>
                <w:sz w:val="18"/>
                <w:szCs w:val="18"/>
              </w:rPr>
              <w:t>投资活动产生的现金流量净 额</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-932,225,528.82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-3,276,916,684.36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71.55%</w:t>
            </w:r>
          </w:p>
        </w:tc>
      </w:tr>
      <w:tr>
        <w:trPr>
          <w:trHeight w:val="401"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1,097,354,394.43</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4,031,377,683.53</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-72.78%</w:t>
            </w:r>
          </w:p>
        </w:tc>
      </w:tr>
      <w:tr>
        <w:trPr>
          <w:trHeight w:val="403"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181,458,108.60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821,078,936.96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z w:val="18"/>
              </w:rPr>
              <w:t>-77.90%</w:t>
            </w:r>
          </w:p>
        </w:tc>
      </w:tr>
      <w:tr>
        <w:trPr>
          <w:trHeight w:val="713"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85"/>
              <w:jc w:val="left"/>
              <w:rPr>
                <w:rFonts w:ascii="宋体" w:hAnsi="宋体" w:cs="宋体" w:eastAsia="宋体" w:hint="default"/>
                <w:sz w:val="18"/>
                <w:szCs w:val="18"/>
              </w:rPr>
            </w:pPr>
            <w:r>
              <w:rPr>
                <w:rFonts w:ascii="宋体" w:hAnsi="宋体" w:cs="宋体" w:eastAsia="宋体" w:hint="default"/>
                <w:sz w:val="18"/>
                <w:szCs w:val="18"/>
              </w:rPr>
              <w:t>筹资活动产生的现金流量净 额</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915,896,285.83</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3,210,298,746.57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-71.47%</w:t>
            </w:r>
          </w:p>
        </w:tc>
      </w:tr>
      <w:tr>
        <w:trPr>
          <w:trHeight w:val="403"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391,824,242.49</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326,011,205.50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20.19%</w:t>
            </w:r>
          </w:p>
        </w:tc>
      </w:tr>
    </w:tbl>
    <w:p>
      <w:pPr>
        <w:pStyle w:val="BodyText"/>
        <w:spacing w:line="240" w:lineRule="auto" w:before="49"/>
        <w:ind w:right="982"/>
        <w:jc w:val="left"/>
      </w:pPr>
      <w:r>
        <w:rPr/>
        <w:t>相关数据同比发生重大变动的主要影响因素说明</w:t>
      </w:r>
    </w:p>
    <w:p>
      <w:pPr>
        <w:spacing w:after="0" w:line="240" w:lineRule="auto"/>
        <w:jc w:val="left"/>
        <w:sectPr>
          <w:pgSz w:w="11910" w:h="16840"/>
          <w:pgMar w:header="745" w:footer="979" w:top="1060" w:bottom="1160" w:left="980" w:right="0"/>
        </w:sectPr>
      </w:pPr>
    </w:p>
    <w:p>
      <w:pPr>
        <w:spacing w:line="240" w:lineRule="auto" w:before="9"/>
        <w:rPr>
          <w:rFonts w:ascii="宋体" w:hAnsi="宋体" w:cs="宋体" w:eastAsia="宋体" w:hint="default"/>
          <w:sz w:val="25"/>
          <w:szCs w:val="25"/>
        </w:rPr>
      </w:pPr>
    </w:p>
    <w:p>
      <w:pPr>
        <w:pStyle w:val="BodyText"/>
        <w:spacing w:line="324" w:lineRule="auto" w:before="44"/>
        <w:ind w:right="337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2"/>
        </w:rPr>
        <w:t> </w:t>
      </w:r>
      <w:r>
        <w:rPr/>
        <w:t>不适用 投资活动现金流入小计同比增加，主要影响因素是本期定期存款到期收回所致； 投资活动产生的现金流量净额同比增加，主要影响因素是本期定期存款到期收回所致； 筹资活动现金流入小计同比下降，主要影响因素是上期公司收到定向增发股票款所致； 筹资活动现金流出小计同比下降，主要影响因素是上期子公司支付回购股份款所致；</w:t>
      </w:r>
    </w:p>
    <w:p>
      <w:pPr>
        <w:pStyle w:val="BodyText"/>
        <w:spacing w:line="360" w:lineRule="auto" w:before="13"/>
        <w:ind w:right="3374"/>
        <w:jc w:val="left"/>
      </w:pPr>
      <w:r>
        <w:rPr/>
        <w:t>筹资活动产生的现金流量净额同比下降，主要影响因素是上期公司收到定向增发股票款所致。 报告期内公司经营活动产生的现金净流量与本年度净利润存在重大差异的原因说明</w:t>
      </w:r>
    </w:p>
    <w:p>
      <w:pPr>
        <w:pStyle w:val="BodyText"/>
        <w:spacing w:line="240" w:lineRule="auto" w:before="25"/>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3"/>
        <w:rPr>
          <w:rFonts w:ascii="宋体" w:hAnsi="宋体" w:cs="宋体" w:eastAsia="宋体" w:hint="default"/>
          <w:sz w:val="24"/>
          <w:szCs w:val="24"/>
        </w:rPr>
      </w:pPr>
    </w:p>
    <w:p>
      <w:pPr>
        <w:pStyle w:val="Heading2"/>
        <w:spacing w:line="240" w:lineRule="auto"/>
        <w:ind w:right="982"/>
        <w:jc w:val="left"/>
        <w:rPr>
          <w:b w:val="0"/>
          <w:bCs w:val="0"/>
        </w:rPr>
      </w:pPr>
      <w:r>
        <w:rPr/>
        <w:t>三、非主营业务分析</w:t>
      </w:r>
      <w:r>
        <w:rPr>
          <w:b w:val="0"/>
          <w:bCs w:val="0"/>
        </w:rPr>
      </w:r>
    </w:p>
    <w:p>
      <w:pPr>
        <w:spacing w:line="240" w:lineRule="auto" w:before="2"/>
        <w:rPr>
          <w:rFonts w:ascii="宋体" w:hAnsi="宋体" w:cs="宋体" w:eastAsia="宋体" w:hint="default"/>
          <w:b/>
          <w:bCs/>
          <w:sz w:val="23"/>
          <w:szCs w:val="23"/>
        </w:rPr>
      </w:pPr>
    </w:p>
    <w:p>
      <w:pPr>
        <w:pStyle w:val="BodyText"/>
        <w:spacing w:line="240" w:lineRule="auto" w:before="44"/>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240" w:lineRule="auto" w:before="101"/>
        <w:ind w:left="0" w:right="1131"/>
        <w:jc w:val="right"/>
      </w:pPr>
      <w:r>
        <w:rPr/>
        <w:t>单位：元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512"/>
        <w:gridCol w:w="1916"/>
        <w:gridCol w:w="1622"/>
        <w:gridCol w:w="2254"/>
        <w:gridCol w:w="2254"/>
      </w:tblGrid>
      <w:tr>
        <w:trPr>
          <w:trHeight w:val="401" w:hRule="exact"/>
        </w:trPr>
        <w:tc>
          <w:tcPr>
            <w:tcW w:w="15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77" w:right="0"/>
              <w:jc w:val="left"/>
              <w:rPr>
                <w:rFonts w:ascii="宋体" w:hAnsi="宋体" w:cs="宋体" w:eastAsia="宋体" w:hint="default"/>
                <w:sz w:val="18"/>
                <w:szCs w:val="18"/>
              </w:rPr>
            </w:pPr>
            <w:r>
              <w:rPr>
                <w:rFonts w:ascii="宋体" w:hAnsi="宋体" w:cs="宋体" w:eastAsia="宋体" w:hint="default"/>
                <w:sz w:val="18"/>
                <w:szCs w:val="18"/>
              </w:rPr>
              <w:t>占利润总额比例</w:t>
            </w:r>
          </w:p>
        </w:tc>
        <w:tc>
          <w:tcPr>
            <w:tcW w:w="2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81" w:right="0"/>
              <w:jc w:val="left"/>
              <w:rPr>
                <w:rFonts w:ascii="宋体" w:hAnsi="宋体" w:cs="宋体" w:eastAsia="宋体" w:hint="default"/>
                <w:sz w:val="18"/>
                <w:szCs w:val="18"/>
              </w:rPr>
            </w:pPr>
            <w:r>
              <w:rPr>
                <w:rFonts w:ascii="宋体" w:hAnsi="宋体" w:cs="宋体" w:eastAsia="宋体" w:hint="default"/>
                <w:sz w:val="18"/>
                <w:szCs w:val="18"/>
              </w:rPr>
              <w:t>形成原因说明</w:t>
            </w:r>
          </w:p>
        </w:tc>
        <w:tc>
          <w:tcPr>
            <w:tcW w:w="2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03" w:right="0"/>
              <w:jc w:val="left"/>
              <w:rPr>
                <w:rFonts w:ascii="宋体" w:hAnsi="宋体" w:cs="宋体" w:eastAsia="宋体" w:hint="default"/>
                <w:sz w:val="18"/>
                <w:szCs w:val="18"/>
              </w:rPr>
            </w:pPr>
            <w:r>
              <w:rPr>
                <w:rFonts w:ascii="宋体" w:hAnsi="宋体" w:cs="宋体" w:eastAsia="宋体" w:hint="default"/>
                <w:sz w:val="18"/>
                <w:szCs w:val="18"/>
              </w:rPr>
              <w:t>是否具有可持续性</w:t>
            </w:r>
          </w:p>
        </w:tc>
      </w:tr>
      <w:tr>
        <w:trPr>
          <w:trHeight w:val="475" w:hRule="exact"/>
        </w:trPr>
        <w:tc>
          <w:tcPr>
            <w:tcW w:w="1512" w:type="dxa"/>
            <w:tcBorders>
              <w:top w:val="single" w:sz="4" w:space="0" w:color="000000"/>
              <w:left w:val="single" w:sz="4" w:space="0" w:color="000000"/>
              <w:bottom w:val="nil" w:sz="6" w:space="0" w:color="auto"/>
              <w:right w:val="single" w:sz="4" w:space="0" w:color="000000"/>
            </w:tcBorders>
            <w:shd w:val="clear" w:color="auto" w:fill="D2D2D2"/>
          </w:tcPr>
          <w:p>
            <w:pPr/>
          </w:p>
        </w:tc>
        <w:tc>
          <w:tcPr>
            <w:tcW w:w="1916" w:type="dxa"/>
            <w:vMerge w:val="restart"/>
            <w:tcBorders>
              <w:top w:val="single" w:sz="4" w:space="0" w:color="000000"/>
              <w:left w:val="single" w:sz="10"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616" w:right="0"/>
              <w:jc w:val="left"/>
              <w:rPr>
                <w:rFonts w:ascii="Times New Roman" w:hAnsi="Times New Roman" w:cs="Times New Roman" w:eastAsia="Times New Roman" w:hint="default"/>
                <w:sz w:val="18"/>
                <w:szCs w:val="18"/>
              </w:rPr>
            </w:pPr>
            <w:r>
              <w:rPr>
                <w:rFonts w:ascii="Times New Roman"/>
                <w:sz w:val="18"/>
              </w:rPr>
              <w:t>1,710,565,659.61</w:t>
            </w:r>
          </w:p>
        </w:tc>
        <w:tc>
          <w:tcPr>
            <w:tcW w:w="162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945" w:right="0"/>
              <w:jc w:val="left"/>
              <w:rPr>
                <w:rFonts w:ascii="Times New Roman" w:hAnsi="Times New Roman" w:cs="Times New Roman" w:eastAsia="Times New Roman" w:hint="default"/>
                <w:sz w:val="18"/>
                <w:szCs w:val="18"/>
              </w:rPr>
            </w:pPr>
            <w:r>
              <w:rPr>
                <w:rFonts w:ascii="Times New Roman"/>
                <w:sz w:val="18"/>
              </w:rPr>
              <w:t>337.59%</w:t>
            </w:r>
          </w:p>
        </w:tc>
        <w:tc>
          <w:tcPr>
            <w:tcW w:w="2254"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4" w:right="25"/>
              <w:jc w:val="both"/>
              <w:rPr>
                <w:rFonts w:ascii="宋体" w:hAnsi="宋体" w:cs="宋体" w:eastAsia="宋体" w:hint="default"/>
                <w:sz w:val="18"/>
                <w:szCs w:val="18"/>
              </w:rPr>
            </w:pPr>
            <w:r>
              <w:rPr>
                <w:rFonts w:ascii="宋体" w:hAnsi="宋体" w:cs="宋体" w:eastAsia="宋体" w:hint="default"/>
                <w:spacing w:val="2"/>
                <w:sz w:val="18"/>
                <w:szCs w:val="18"/>
              </w:rPr>
              <w:t>主要为处置股权投资取得的</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2"/>
                <w:sz w:val="18"/>
                <w:szCs w:val="18"/>
              </w:rPr>
              <w:t>投资收益、杰发科技业绩补</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偿和银行理财收益</w:t>
            </w:r>
          </w:p>
        </w:tc>
        <w:tc>
          <w:tcPr>
            <w:tcW w:w="2254" w:type="dxa"/>
            <w:vMerge w:val="restart"/>
            <w:tcBorders>
              <w:top w:val="single" w:sz="4" w:space="0" w:color="000000"/>
              <w:left w:val="single" w:sz="4" w:space="0" w:color="000000"/>
              <w:right w:val="single" w:sz="4" w:space="0" w:color="000000"/>
            </w:tcBorders>
          </w:tcPr>
          <w:p>
            <w:pPr>
              <w:pStyle w:val="TableParagraph"/>
              <w:spacing w:line="316" w:lineRule="auto" w:before="51"/>
              <w:ind w:left="23" w:right="19"/>
              <w:jc w:val="both"/>
              <w:rPr>
                <w:rFonts w:ascii="宋体" w:hAnsi="宋体" w:cs="宋体" w:eastAsia="宋体" w:hint="default"/>
                <w:sz w:val="18"/>
                <w:szCs w:val="18"/>
              </w:rPr>
            </w:pPr>
            <w:r>
              <w:rPr>
                <w:rFonts w:ascii="宋体" w:hAnsi="宋体" w:cs="宋体" w:eastAsia="宋体" w:hint="default"/>
                <w:spacing w:val="2"/>
                <w:sz w:val="18"/>
                <w:szCs w:val="18"/>
              </w:rPr>
              <w:t>处置股权投资取得的投资收</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2"/>
                <w:sz w:val="18"/>
                <w:szCs w:val="18"/>
              </w:rPr>
              <w:t>益、杰发科技业绩补偿不具</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2"/>
                <w:sz w:val="18"/>
                <w:szCs w:val="18"/>
              </w:rPr>
              <w:t>有持续性，银行理财收益具</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有持续性</w:t>
            </w:r>
          </w:p>
        </w:tc>
      </w:tr>
      <w:tr>
        <w:trPr>
          <w:trHeight w:val="391" w:hRule="exact"/>
        </w:trPr>
        <w:tc>
          <w:tcPr>
            <w:tcW w:w="15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投资收益</w:t>
            </w:r>
          </w:p>
        </w:tc>
        <w:tc>
          <w:tcPr>
            <w:tcW w:w="1916" w:type="dxa"/>
            <w:vMerge/>
            <w:tcBorders>
              <w:left w:val="single" w:sz="10" w:space="0" w:color="D2D2D2"/>
              <w:right w:val="single" w:sz="4" w:space="0" w:color="000000"/>
            </w:tcBorders>
          </w:tcPr>
          <w:p>
            <w:pPr/>
          </w:p>
        </w:tc>
        <w:tc>
          <w:tcPr>
            <w:tcW w:w="1622" w:type="dxa"/>
            <w:vMerge/>
            <w:tcBorders>
              <w:left w:val="single" w:sz="4" w:space="0" w:color="000000"/>
              <w:right w:val="single" w:sz="4" w:space="0" w:color="000000"/>
            </w:tcBorders>
          </w:tcPr>
          <w:p>
            <w:pPr/>
          </w:p>
        </w:tc>
        <w:tc>
          <w:tcPr>
            <w:tcW w:w="2254" w:type="dxa"/>
            <w:vMerge/>
            <w:tcBorders>
              <w:left w:val="single" w:sz="4" w:space="0" w:color="000000"/>
              <w:right w:val="single" w:sz="4" w:space="0" w:color="000000"/>
            </w:tcBorders>
          </w:tcPr>
          <w:p>
            <w:pPr/>
          </w:p>
        </w:tc>
        <w:tc>
          <w:tcPr>
            <w:tcW w:w="2254" w:type="dxa"/>
            <w:vMerge/>
            <w:tcBorders>
              <w:left w:val="single" w:sz="4" w:space="0" w:color="000000"/>
              <w:right w:val="single" w:sz="4" w:space="0" w:color="000000"/>
            </w:tcBorders>
          </w:tcPr>
          <w:p>
            <w:pPr/>
          </w:p>
        </w:tc>
      </w:tr>
      <w:tr>
        <w:trPr>
          <w:trHeight w:val="473" w:hRule="exact"/>
        </w:trPr>
        <w:tc>
          <w:tcPr>
            <w:tcW w:w="1512"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6" w:type="dxa"/>
            <w:vMerge/>
            <w:tcBorders>
              <w:left w:val="single" w:sz="10" w:space="0" w:color="D2D2D2"/>
              <w:bottom w:val="single" w:sz="4" w:space="0" w:color="000000"/>
              <w:right w:val="single" w:sz="4" w:space="0" w:color="000000"/>
            </w:tcBorders>
          </w:tcPr>
          <w:p>
            <w:pPr/>
          </w:p>
        </w:tc>
        <w:tc>
          <w:tcPr>
            <w:tcW w:w="1622" w:type="dxa"/>
            <w:vMerge/>
            <w:tcBorders>
              <w:left w:val="single" w:sz="4" w:space="0" w:color="000000"/>
              <w:bottom w:val="single" w:sz="4" w:space="0" w:color="000000"/>
              <w:right w:val="single" w:sz="4" w:space="0" w:color="000000"/>
            </w:tcBorders>
          </w:tcPr>
          <w:p>
            <w:pPr/>
          </w:p>
        </w:tc>
        <w:tc>
          <w:tcPr>
            <w:tcW w:w="2254" w:type="dxa"/>
            <w:vMerge/>
            <w:tcBorders>
              <w:left w:val="single" w:sz="4" w:space="0" w:color="000000"/>
              <w:bottom w:val="single" w:sz="4" w:space="0" w:color="000000"/>
              <w:right w:val="single" w:sz="4" w:space="0" w:color="000000"/>
            </w:tcBorders>
          </w:tcPr>
          <w:p>
            <w:pPr/>
          </w:p>
        </w:tc>
        <w:tc>
          <w:tcPr>
            <w:tcW w:w="2254" w:type="dxa"/>
            <w:vMerge/>
            <w:tcBorders>
              <w:left w:val="single" w:sz="4" w:space="0" w:color="000000"/>
              <w:bottom w:val="single" w:sz="4" w:space="0" w:color="000000"/>
              <w:right w:val="single" w:sz="4" w:space="0" w:color="000000"/>
            </w:tcBorders>
          </w:tcPr>
          <w:p>
            <w:pPr/>
          </w:p>
        </w:tc>
      </w:tr>
      <w:tr>
        <w:trPr>
          <w:trHeight w:val="317" w:hRule="exact"/>
        </w:trPr>
        <w:tc>
          <w:tcPr>
            <w:tcW w:w="1512" w:type="dxa"/>
            <w:tcBorders>
              <w:top w:val="single" w:sz="4" w:space="0" w:color="000000"/>
              <w:left w:val="single" w:sz="4" w:space="0" w:color="000000"/>
              <w:bottom w:val="nil" w:sz="6" w:space="0" w:color="auto"/>
              <w:right w:val="single" w:sz="4" w:space="0" w:color="000000"/>
            </w:tcBorders>
            <w:shd w:val="clear" w:color="auto" w:fill="D2D2D2"/>
          </w:tcPr>
          <w:p>
            <w:pPr/>
          </w:p>
        </w:tc>
        <w:tc>
          <w:tcPr>
            <w:tcW w:w="1916" w:type="dxa"/>
            <w:vMerge w:val="restart"/>
            <w:tcBorders>
              <w:top w:val="single" w:sz="4" w:space="0" w:color="000000"/>
              <w:left w:val="single" w:sz="10"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751" w:right="0"/>
              <w:jc w:val="left"/>
              <w:rPr>
                <w:rFonts w:ascii="Times New Roman" w:hAnsi="Times New Roman" w:cs="Times New Roman" w:eastAsia="Times New Roman" w:hint="default"/>
                <w:sz w:val="18"/>
                <w:szCs w:val="18"/>
              </w:rPr>
            </w:pPr>
            <w:r>
              <w:rPr>
                <w:rFonts w:ascii="Times New Roman"/>
                <w:sz w:val="18"/>
              </w:rPr>
              <w:t>945,892,718.64</w:t>
            </w:r>
          </w:p>
        </w:tc>
        <w:tc>
          <w:tcPr>
            <w:tcW w:w="162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945" w:right="0"/>
              <w:jc w:val="left"/>
              <w:rPr>
                <w:rFonts w:ascii="Times New Roman" w:hAnsi="Times New Roman" w:cs="Times New Roman" w:eastAsia="Times New Roman" w:hint="default"/>
                <w:sz w:val="18"/>
                <w:szCs w:val="18"/>
              </w:rPr>
            </w:pPr>
            <w:r>
              <w:rPr>
                <w:rFonts w:ascii="Times New Roman"/>
                <w:sz w:val="18"/>
              </w:rPr>
              <w:t>186.68%</w:t>
            </w:r>
          </w:p>
        </w:tc>
        <w:tc>
          <w:tcPr>
            <w:tcW w:w="2254"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4" w:right="27"/>
              <w:jc w:val="left"/>
              <w:rPr>
                <w:rFonts w:ascii="宋体" w:hAnsi="宋体" w:cs="宋体" w:eastAsia="宋体" w:hint="default"/>
                <w:sz w:val="18"/>
                <w:szCs w:val="18"/>
              </w:rPr>
            </w:pPr>
            <w:r>
              <w:rPr>
                <w:rFonts w:ascii="宋体" w:hAnsi="宋体" w:cs="宋体" w:eastAsia="宋体" w:hint="default"/>
                <w:spacing w:val="2"/>
                <w:sz w:val="18"/>
                <w:szCs w:val="18"/>
              </w:rPr>
              <w:t>主要为计提的坏账损失和商</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誉减值损失</w:t>
            </w:r>
          </w:p>
        </w:tc>
        <w:tc>
          <w:tcPr>
            <w:tcW w:w="2254" w:type="dxa"/>
            <w:vMerge w:val="restart"/>
            <w:tcBorders>
              <w:top w:val="single" w:sz="4" w:space="0" w:color="000000"/>
              <w:left w:val="single" w:sz="4" w:space="0" w:color="000000"/>
              <w:right w:val="single" w:sz="4" w:space="0" w:color="000000"/>
            </w:tcBorders>
          </w:tcPr>
          <w:p>
            <w:pPr>
              <w:pStyle w:val="TableParagraph"/>
              <w:spacing w:line="316" w:lineRule="auto" w:before="49"/>
              <w:ind w:left="23" w:right="22"/>
              <w:jc w:val="both"/>
              <w:rPr>
                <w:rFonts w:ascii="宋体" w:hAnsi="宋体" w:cs="宋体" w:eastAsia="宋体" w:hint="default"/>
                <w:sz w:val="18"/>
                <w:szCs w:val="18"/>
              </w:rPr>
            </w:pPr>
            <w:r>
              <w:rPr>
                <w:rFonts w:ascii="宋体" w:hAnsi="宋体" w:cs="宋体" w:eastAsia="宋体" w:hint="default"/>
                <w:spacing w:val="2"/>
                <w:sz w:val="18"/>
                <w:szCs w:val="18"/>
              </w:rPr>
              <w:t>计提坏账损失具有持续性，</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2"/>
                <w:sz w:val="18"/>
                <w:szCs w:val="18"/>
              </w:rPr>
              <w:t>计提商誉减值损失不具有持</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续性</w:t>
            </w:r>
          </w:p>
        </w:tc>
      </w:tr>
      <w:tr>
        <w:trPr>
          <w:trHeight w:val="391" w:hRule="exact"/>
        </w:trPr>
        <w:tc>
          <w:tcPr>
            <w:tcW w:w="15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资产减值</w:t>
            </w:r>
          </w:p>
        </w:tc>
        <w:tc>
          <w:tcPr>
            <w:tcW w:w="1916" w:type="dxa"/>
            <w:vMerge/>
            <w:tcBorders>
              <w:left w:val="single" w:sz="10" w:space="0" w:color="D2D2D2"/>
              <w:right w:val="single" w:sz="4" w:space="0" w:color="000000"/>
            </w:tcBorders>
          </w:tcPr>
          <w:p>
            <w:pPr/>
          </w:p>
        </w:tc>
        <w:tc>
          <w:tcPr>
            <w:tcW w:w="1622" w:type="dxa"/>
            <w:vMerge/>
            <w:tcBorders>
              <w:left w:val="single" w:sz="4" w:space="0" w:color="000000"/>
              <w:right w:val="single" w:sz="4" w:space="0" w:color="000000"/>
            </w:tcBorders>
          </w:tcPr>
          <w:p>
            <w:pPr/>
          </w:p>
        </w:tc>
        <w:tc>
          <w:tcPr>
            <w:tcW w:w="2254" w:type="dxa"/>
            <w:vMerge/>
            <w:tcBorders>
              <w:left w:val="single" w:sz="4" w:space="0" w:color="000000"/>
              <w:right w:val="single" w:sz="4" w:space="0" w:color="000000"/>
            </w:tcBorders>
          </w:tcPr>
          <w:p>
            <w:pPr/>
          </w:p>
        </w:tc>
        <w:tc>
          <w:tcPr>
            <w:tcW w:w="2254" w:type="dxa"/>
            <w:vMerge/>
            <w:tcBorders>
              <w:left w:val="single" w:sz="4" w:space="0" w:color="000000"/>
              <w:right w:val="single" w:sz="4" w:space="0" w:color="000000"/>
            </w:tcBorders>
          </w:tcPr>
          <w:p>
            <w:pPr/>
          </w:p>
        </w:tc>
      </w:tr>
      <w:tr>
        <w:trPr>
          <w:trHeight w:val="317" w:hRule="exact"/>
        </w:trPr>
        <w:tc>
          <w:tcPr>
            <w:tcW w:w="1512"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6" w:type="dxa"/>
            <w:vMerge/>
            <w:tcBorders>
              <w:left w:val="single" w:sz="10" w:space="0" w:color="D2D2D2"/>
              <w:bottom w:val="single" w:sz="4" w:space="0" w:color="000000"/>
              <w:right w:val="single" w:sz="4" w:space="0" w:color="000000"/>
            </w:tcBorders>
          </w:tcPr>
          <w:p>
            <w:pPr/>
          </w:p>
        </w:tc>
        <w:tc>
          <w:tcPr>
            <w:tcW w:w="1622" w:type="dxa"/>
            <w:vMerge/>
            <w:tcBorders>
              <w:left w:val="single" w:sz="4" w:space="0" w:color="000000"/>
              <w:bottom w:val="single" w:sz="4" w:space="0" w:color="000000"/>
              <w:right w:val="single" w:sz="4" w:space="0" w:color="000000"/>
            </w:tcBorders>
          </w:tcPr>
          <w:p>
            <w:pPr/>
          </w:p>
        </w:tc>
        <w:tc>
          <w:tcPr>
            <w:tcW w:w="2254" w:type="dxa"/>
            <w:vMerge/>
            <w:tcBorders>
              <w:left w:val="single" w:sz="4" w:space="0" w:color="000000"/>
              <w:bottom w:val="single" w:sz="4" w:space="0" w:color="000000"/>
              <w:right w:val="single" w:sz="4" w:space="0" w:color="000000"/>
            </w:tcBorders>
          </w:tcPr>
          <w:p>
            <w:pPr/>
          </w:p>
        </w:tc>
        <w:tc>
          <w:tcPr>
            <w:tcW w:w="2254" w:type="dxa"/>
            <w:vMerge/>
            <w:tcBorders>
              <w:left w:val="single" w:sz="4" w:space="0" w:color="000000"/>
              <w:bottom w:val="single" w:sz="4" w:space="0" w:color="000000"/>
              <w:right w:val="single" w:sz="4" w:space="0" w:color="000000"/>
            </w:tcBorders>
          </w:tcPr>
          <w:p>
            <w:pPr/>
          </w:p>
        </w:tc>
      </w:tr>
      <w:tr>
        <w:trPr>
          <w:trHeight w:val="163" w:hRule="exact"/>
        </w:trPr>
        <w:tc>
          <w:tcPr>
            <w:tcW w:w="1512" w:type="dxa"/>
            <w:tcBorders>
              <w:top w:val="single" w:sz="4" w:space="0" w:color="000000"/>
              <w:left w:val="single" w:sz="4" w:space="0" w:color="000000"/>
              <w:bottom w:val="nil" w:sz="6" w:space="0" w:color="auto"/>
              <w:right w:val="single" w:sz="4" w:space="0" w:color="000000"/>
            </w:tcBorders>
            <w:shd w:val="clear" w:color="auto" w:fill="D2D2D2"/>
          </w:tcPr>
          <w:p>
            <w:pPr/>
          </w:p>
        </w:tc>
        <w:tc>
          <w:tcPr>
            <w:tcW w:w="1916" w:type="dxa"/>
            <w:vMerge w:val="restart"/>
            <w:tcBorders>
              <w:top w:val="single" w:sz="4" w:space="0" w:color="000000"/>
              <w:left w:val="single" w:sz="10" w:space="0" w:color="D2D2D2"/>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931" w:right="0"/>
              <w:jc w:val="left"/>
              <w:rPr>
                <w:rFonts w:ascii="Times New Roman" w:hAnsi="Times New Roman" w:cs="Times New Roman" w:eastAsia="Times New Roman" w:hint="default"/>
                <w:sz w:val="18"/>
                <w:szCs w:val="18"/>
              </w:rPr>
            </w:pPr>
            <w:r>
              <w:rPr>
                <w:rFonts w:ascii="Times New Roman"/>
                <w:sz w:val="18"/>
              </w:rPr>
              <w:t>1,326,345.08</w:t>
            </w:r>
          </w:p>
        </w:tc>
        <w:tc>
          <w:tcPr>
            <w:tcW w:w="1622"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0.26%</w:t>
            </w:r>
          </w:p>
        </w:tc>
        <w:tc>
          <w:tcPr>
            <w:tcW w:w="2254" w:type="dxa"/>
            <w:vMerge w:val="restart"/>
            <w:tcBorders>
              <w:top w:val="single" w:sz="4" w:space="0" w:color="000000"/>
              <w:left w:val="single" w:sz="4" w:space="0" w:color="000000"/>
              <w:right w:val="single" w:sz="4" w:space="0" w:color="000000"/>
            </w:tcBorders>
          </w:tcPr>
          <w:p>
            <w:pPr>
              <w:pStyle w:val="TableParagraph"/>
              <w:spacing w:line="314" w:lineRule="auto" w:before="51"/>
              <w:ind w:left="24" w:right="27"/>
              <w:jc w:val="left"/>
              <w:rPr>
                <w:rFonts w:ascii="宋体" w:hAnsi="宋体" w:cs="宋体" w:eastAsia="宋体" w:hint="default"/>
                <w:sz w:val="18"/>
                <w:szCs w:val="18"/>
              </w:rPr>
            </w:pPr>
            <w:r>
              <w:rPr>
                <w:rFonts w:ascii="宋体" w:hAnsi="宋体" w:cs="宋体" w:eastAsia="宋体" w:hint="default"/>
                <w:spacing w:val="2"/>
                <w:sz w:val="18"/>
                <w:szCs w:val="18"/>
              </w:rPr>
              <w:t>主要为与日常活动不相关的</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政府补助收入</w:t>
            </w:r>
          </w:p>
        </w:tc>
        <w:tc>
          <w:tcPr>
            <w:tcW w:w="2254"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具有持续性</w:t>
            </w:r>
          </w:p>
        </w:tc>
      </w:tr>
      <w:tr>
        <w:trPr>
          <w:trHeight w:val="392" w:hRule="exact"/>
        </w:trPr>
        <w:tc>
          <w:tcPr>
            <w:tcW w:w="15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1916" w:type="dxa"/>
            <w:vMerge/>
            <w:tcBorders>
              <w:left w:val="single" w:sz="10" w:space="0" w:color="D2D2D2"/>
              <w:right w:val="single" w:sz="4" w:space="0" w:color="000000"/>
            </w:tcBorders>
          </w:tcPr>
          <w:p>
            <w:pPr/>
          </w:p>
        </w:tc>
        <w:tc>
          <w:tcPr>
            <w:tcW w:w="1622" w:type="dxa"/>
            <w:vMerge/>
            <w:tcBorders>
              <w:left w:val="single" w:sz="4" w:space="0" w:color="000000"/>
              <w:right w:val="single" w:sz="4" w:space="0" w:color="000000"/>
            </w:tcBorders>
          </w:tcPr>
          <w:p>
            <w:pPr/>
          </w:p>
        </w:tc>
        <w:tc>
          <w:tcPr>
            <w:tcW w:w="2254" w:type="dxa"/>
            <w:vMerge/>
            <w:tcBorders>
              <w:left w:val="single" w:sz="4" w:space="0" w:color="000000"/>
              <w:right w:val="single" w:sz="4" w:space="0" w:color="000000"/>
            </w:tcBorders>
          </w:tcPr>
          <w:p>
            <w:pPr/>
          </w:p>
        </w:tc>
        <w:tc>
          <w:tcPr>
            <w:tcW w:w="2254" w:type="dxa"/>
            <w:vMerge/>
            <w:tcBorders>
              <w:left w:val="single" w:sz="4" w:space="0" w:color="000000"/>
              <w:right w:val="single" w:sz="4" w:space="0" w:color="000000"/>
            </w:tcBorders>
          </w:tcPr>
          <w:p>
            <w:pPr/>
          </w:p>
        </w:tc>
      </w:tr>
      <w:tr>
        <w:trPr>
          <w:trHeight w:val="161" w:hRule="exact"/>
        </w:trPr>
        <w:tc>
          <w:tcPr>
            <w:tcW w:w="1512"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6" w:type="dxa"/>
            <w:vMerge/>
            <w:tcBorders>
              <w:left w:val="single" w:sz="10" w:space="0" w:color="D2D2D2"/>
              <w:bottom w:val="single" w:sz="4" w:space="0" w:color="000000"/>
              <w:right w:val="single" w:sz="4" w:space="0" w:color="000000"/>
            </w:tcBorders>
          </w:tcPr>
          <w:p>
            <w:pPr/>
          </w:p>
        </w:tc>
        <w:tc>
          <w:tcPr>
            <w:tcW w:w="1622" w:type="dxa"/>
            <w:vMerge/>
            <w:tcBorders>
              <w:left w:val="single" w:sz="4" w:space="0" w:color="000000"/>
              <w:bottom w:val="single" w:sz="4" w:space="0" w:color="000000"/>
              <w:right w:val="single" w:sz="4" w:space="0" w:color="000000"/>
            </w:tcBorders>
          </w:tcPr>
          <w:p>
            <w:pPr/>
          </w:p>
        </w:tc>
        <w:tc>
          <w:tcPr>
            <w:tcW w:w="2254" w:type="dxa"/>
            <w:vMerge/>
            <w:tcBorders>
              <w:left w:val="single" w:sz="4" w:space="0" w:color="000000"/>
              <w:bottom w:val="single" w:sz="4" w:space="0" w:color="000000"/>
              <w:right w:val="single" w:sz="4" w:space="0" w:color="000000"/>
            </w:tcBorders>
          </w:tcPr>
          <w:p>
            <w:pPr/>
          </w:p>
        </w:tc>
        <w:tc>
          <w:tcPr>
            <w:tcW w:w="2254" w:type="dxa"/>
            <w:vMerge/>
            <w:tcBorders>
              <w:left w:val="single" w:sz="4" w:space="0" w:color="000000"/>
              <w:bottom w:val="single" w:sz="4" w:space="0" w:color="000000"/>
              <w:right w:val="single" w:sz="4" w:space="0" w:color="000000"/>
            </w:tcBorders>
          </w:tcPr>
          <w:p>
            <w:pPr/>
          </w:p>
        </w:tc>
      </w:tr>
      <w:tr>
        <w:trPr>
          <w:trHeight w:val="401" w:hRule="exact"/>
        </w:trPr>
        <w:tc>
          <w:tcPr>
            <w:tcW w:w="15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营业外支出</w:t>
            </w:r>
          </w:p>
        </w:tc>
        <w:tc>
          <w:tcPr>
            <w:tcW w:w="1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1,298,138.01</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0.26%</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主要为对外捐赠支出</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不具有持续性</w:t>
            </w:r>
          </w:p>
        </w:tc>
      </w:tr>
      <w:tr>
        <w:trPr>
          <w:trHeight w:val="319" w:hRule="exact"/>
        </w:trPr>
        <w:tc>
          <w:tcPr>
            <w:tcW w:w="1512" w:type="dxa"/>
            <w:tcBorders>
              <w:top w:val="single" w:sz="4" w:space="0" w:color="000000"/>
              <w:left w:val="single" w:sz="4" w:space="0" w:color="000000"/>
              <w:bottom w:val="nil" w:sz="6" w:space="0" w:color="auto"/>
              <w:right w:val="single" w:sz="4" w:space="0" w:color="000000"/>
            </w:tcBorders>
            <w:shd w:val="clear" w:color="auto" w:fill="D2D2D2"/>
          </w:tcPr>
          <w:p>
            <w:pPr/>
          </w:p>
        </w:tc>
        <w:tc>
          <w:tcPr>
            <w:tcW w:w="1916" w:type="dxa"/>
            <w:vMerge w:val="restart"/>
            <w:tcBorders>
              <w:top w:val="single" w:sz="4" w:space="0" w:color="000000"/>
              <w:left w:val="single" w:sz="10"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765" w:right="0"/>
              <w:jc w:val="left"/>
              <w:rPr>
                <w:rFonts w:ascii="Times New Roman" w:hAnsi="Times New Roman" w:cs="Times New Roman" w:eastAsia="Times New Roman" w:hint="default"/>
                <w:sz w:val="18"/>
                <w:szCs w:val="18"/>
              </w:rPr>
            </w:pPr>
            <w:r>
              <w:rPr>
                <w:rFonts w:ascii="Times New Roman"/>
                <w:sz w:val="18"/>
              </w:rPr>
              <w:t>111,150,667.02</w:t>
            </w:r>
          </w:p>
        </w:tc>
        <w:tc>
          <w:tcPr>
            <w:tcW w:w="162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1036" w:right="0"/>
              <w:jc w:val="left"/>
              <w:rPr>
                <w:rFonts w:ascii="Times New Roman" w:hAnsi="Times New Roman" w:cs="Times New Roman" w:eastAsia="Times New Roman" w:hint="default"/>
                <w:sz w:val="18"/>
                <w:szCs w:val="18"/>
              </w:rPr>
            </w:pPr>
            <w:r>
              <w:rPr>
                <w:rFonts w:ascii="Times New Roman"/>
                <w:sz w:val="18"/>
              </w:rPr>
              <w:t>21.94%</w:t>
            </w:r>
          </w:p>
        </w:tc>
        <w:tc>
          <w:tcPr>
            <w:tcW w:w="2254" w:type="dxa"/>
            <w:vMerge w:val="restart"/>
            <w:tcBorders>
              <w:top w:val="single" w:sz="4" w:space="0" w:color="000000"/>
              <w:left w:val="single" w:sz="4" w:space="0" w:color="000000"/>
              <w:right w:val="single" w:sz="4" w:space="0" w:color="000000"/>
            </w:tcBorders>
          </w:tcPr>
          <w:p>
            <w:pPr>
              <w:pStyle w:val="TableParagraph"/>
              <w:spacing w:line="316" w:lineRule="auto" w:before="51"/>
              <w:ind w:left="24" w:right="27"/>
              <w:jc w:val="both"/>
              <w:rPr>
                <w:rFonts w:ascii="宋体" w:hAnsi="宋体" w:cs="宋体" w:eastAsia="宋体" w:hint="default"/>
                <w:sz w:val="18"/>
                <w:szCs w:val="18"/>
              </w:rPr>
            </w:pPr>
            <w:r>
              <w:rPr>
                <w:rFonts w:ascii="宋体" w:hAnsi="宋体" w:cs="宋体" w:eastAsia="宋体" w:hint="default"/>
                <w:spacing w:val="2"/>
                <w:sz w:val="18"/>
                <w:szCs w:val="18"/>
              </w:rPr>
              <w:t>主要为软件产品增值税即征</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2"/>
                <w:sz w:val="18"/>
                <w:szCs w:val="18"/>
              </w:rPr>
              <w:t>即退收入和与日常活动相关</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的政府补助收入</w:t>
            </w:r>
          </w:p>
        </w:tc>
        <w:tc>
          <w:tcPr>
            <w:tcW w:w="225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具有持续性</w:t>
            </w:r>
          </w:p>
        </w:tc>
      </w:tr>
      <w:tr>
        <w:trPr>
          <w:trHeight w:val="391" w:hRule="exact"/>
        </w:trPr>
        <w:tc>
          <w:tcPr>
            <w:tcW w:w="15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6" w:type="dxa"/>
            <w:vMerge/>
            <w:tcBorders>
              <w:left w:val="single" w:sz="10" w:space="0" w:color="D2D2D2"/>
              <w:right w:val="single" w:sz="4" w:space="0" w:color="000000"/>
            </w:tcBorders>
          </w:tcPr>
          <w:p>
            <w:pPr/>
          </w:p>
        </w:tc>
        <w:tc>
          <w:tcPr>
            <w:tcW w:w="1622" w:type="dxa"/>
            <w:vMerge/>
            <w:tcBorders>
              <w:left w:val="single" w:sz="4" w:space="0" w:color="000000"/>
              <w:right w:val="single" w:sz="4" w:space="0" w:color="000000"/>
            </w:tcBorders>
          </w:tcPr>
          <w:p>
            <w:pPr/>
          </w:p>
        </w:tc>
        <w:tc>
          <w:tcPr>
            <w:tcW w:w="2254" w:type="dxa"/>
            <w:vMerge/>
            <w:tcBorders>
              <w:left w:val="single" w:sz="4" w:space="0" w:color="000000"/>
              <w:right w:val="single" w:sz="4" w:space="0" w:color="000000"/>
            </w:tcBorders>
          </w:tcPr>
          <w:p>
            <w:pPr/>
          </w:p>
        </w:tc>
        <w:tc>
          <w:tcPr>
            <w:tcW w:w="2254" w:type="dxa"/>
            <w:vMerge/>
            <w:tcBorders>
              <w:left w:val="single" w:sz="4" w:space="0" w:color="000000"/>
              <w:right w:val="single" w:sz="4" w:space="0" w:color="000000"/>
            </w:tcBorders>
          </w:tcPr>
          <w:p>
            <w:pPr/>
          </w:p>
        </w:tc>
      </w:tr>
      <w:tr>
        <w:trPr>
          <w:trHeight w:val="317" w:hRule="exact"/>
        </w:trPr>
        <w:tc>
          <w:tcPr>
            <w:tcW w:w="1512"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6" w:type="dxa"/>
            <w:vMerge/>
            <w:tcBorders>
              <w:left w:val="single" w:sz="10" w:space="0" w:color="D2D2D2"/>
              <w:bottom w:val="single" w:sz="4" w:space="0" w:color="000000"/>
              <w:right w:val="single" w:sz="4" w:space="0" w:color="000000"/>
            </w:tcBorders>
          </w:tcPr>
          <w:p>
            <w:pPr/>
          </w:p>
        </w:tc>
        <w:tc>
          <w:tcPr>
            <w:tcW w:w="1622" w:type="dxa"/>
            <w:vMerge/>
            <w:tcBorders>
              <w:left w:val="single" w:sz="4" w:space="0" w:color="000000"/>
              <w:bottom w:val="single" w:sz="4" w:space="0" w:color="000000"/>
              <w:right w:val="single" w:sz="4" w:space="0" w:color="000000"/>
            </w:tcBorders>
          </w:tcPr>
          <w:p>
            <w:pPr/>
          </w:p>
        </w:tc>
        <w:tc>
          <w:tcPr>
            <w:tcW w:w="2254" w:type="dxa"/>
            <w:vMerge/>
            <w:tcBorders>
              <w:left w:val="single" w:sz="4" w:space="0" w:color="000000"/>
              <w:bottom w:val="single" w:sz="4" w:space="0" w:color="000000"/>
              <w:right w:val="single" w:sz="4" w:space="0" w:color="000000"/>
            </w:tcBorders>
          </w:tcPr>
          <w:p>
            <w:pPr/>
          </w:p>
        </w:tc>
        <w:tc>
          <w:tcPr>
            <w:tcW w:w="2254" w:type="dxa"/>
            <w:vMerge/>
            <w:tcBorders>
              <w:left w:val="single" w:sz="4" w:space="0" w:color="000000"/>
              <w:bottom w:val="single" w:sz="4" w:space="0" w:color="000000"/>
              <w:right w:val="single" w:sz="4" w:space="0" w:color="000000"/>
            </w:tcBorders>
          </w:tcPr>
          <w:p>
            <w:pPr/>
          </w:p>
        </w:tc>
      </w:tr>
      <w:tr>
        <w:trPr>
          <w:trHeight w:val="403" w:hRule="exact"/>
        </w:trPr>
        <w:tc>
          <w:tcPr>
            <w:tcW w:w="15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资产处置收益</w:t>
            </w:r>
          </w:p>
        </w:tc>
        <w:tc>
          <w:tcPr>
            <w:tcW w:w="1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-317,546.55</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-0.06%</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主要为固定资产处置损失</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不具有持续性</w:t>
            </w:r>
          </w:p>
        </w:tc>
      </w:tr>
    </w:tbl>
    <w:p>
      <w:pPr>
        <w:spacing w:line="240" w:lineRule="auto" w:before="1"/>
        <w:rPr>
          <w:rFonts w:ascii="宋体" w:hAnsi="宋体" w:cs="宋体" w:eastAsia="宋体" w:hint="default"/>
          <w:sz w:val="18"/>
          <w:szCs w:val="18"/>
        </w:rPr>
      </w:pPr>
    </w:p>
    <w:p>
      <w:pPr>
        <w:pStyle w:val="Heading2"/>
        <w:spacing w:line="240" w:lineRule="auto" w:before="26"/>
        <w:ind w:right="982"/>
        <w:jc w:val="left"/>
        <w:rPr>
          <w:b w:val="0"/>
          <w:bCs w:val="0"/>
        </w:rPr>
      </w:pPr>
      <w:r>
        <w:rPr/>
        <w:t>四、资产及负债状况分析</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2"/>
        <w:jc w:val="left"/>
        <w:rPr>
          <w:b w:val="0"/>
          <w:bCs w:val="0"/>
        </w:rPr>
      </w:pPr>
      <w:r>
        <w:rPr>
          <w:rFonts w:ascii="Times New Roman" w:hAnsi="Times New Roman" w:cs="Times New Roman" w:eastAsia="Times New Roman" w:hint="default"/>
        </w:rPr>
        <w:t>1</w:t>
      </w:r>
      <w:r>
        <w:rPr/>
        <w:t>、资产构成重大变动情况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358"/>
        <w:gridCol w:w="1163"/>
        <w:gridCol w:w="1064"/>
        <w:gridCol w:w="1195"/>
        <w:gridCol w:w="1064"/>
        <w:gridCol w:w="797"/>
        <w:gridCol w:w="2919"/>
      </w:tblGrid>
      <w:tr>
        <w:trPr>
          <w:trHeight w:val="380" w:hRule="exact"/>
        </w:trPr>
        <w:tc>
          <w:tcPr>
            <w:tcW w:w="1358" w:type="dxa"/>
            <w:tcBorders>
              <w:top w:val="single" w:sz="4" w:space="0" w:color="000000"/>
              <w:left w:val="single" w:sz="4" w:space="0" w:color="000000"/>
              <w:bottom w:val="single" w:sz="14" w:space="0" w:color="FFFFFF"/>
              <w:right w:val="single" w:sz="4" w:space="0" w:color="000000"/>
            </w:tcBorders>
            <w:shd w:val="clear" w:color="auto" w:fill="D2D2D2"/>
          </w:tcPr>
          <w:p>
            <w:pPr/>
          </w:p>
        </w:tc>
        <w:tc>
          <w:tcPr>
            <w:tcW w:w="2227" w:type="dxa"/>
            <w:gridSpan w:val="2"/>
            <w:tcBorders>
              <w:top w:val="single" w:sz="4" w:space="0" w:color="000000"/>
              <w:left w:val="single" w:sz="4" w:space="0" w:color="000000"/>
              <w:bottom w:val="single" w:sz="14" w:space="0" w:color="FFFFFF"/>
              <w:right w:val="single" w:sz="4" w:space="0" w:color="000000"/>
            </w:tcBorders>
            <w:shd w:val="clear" w:color="auto" w:fill="D2D2D2"/>
          </w:tcPr>
          <w:p>
            <w:pPr>
              <w:pStyle w:val="TableParagraph"/>
              <w:spacing w:line="240" w:lineRule="auto" w:before="49"/>
              <w:ind w:left="72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年末</w:t>
            </w:r>
          </w:p>
        </w:tc>
        <w:tc>
          <w:tcPr>
            <w:tcW w:w="2259" w:type="dxa"/>
            <w:gridSpan w:val="2"/>
            <w:tcBorders>
              <w:top w:val="single" w:sz="4" w:space="0" w:color="000000"/>
              <w:left w:val="single" w:sz="4" w:space="0" w:color="000000"/>
              <w:bottom w:val="single" w:sz="14" w:space="0" w:color="FFFFFF"/>
              <w:right w:val="single" w:sz="4" w:space="0" w:color="000000"/>
            </w:tcBorders>
            <w:shd w:val="clear" w:color="auto" w:fill="D2D2D2"/>
          </w:tcPr>
          <w:p>
            <w:pPr>
              <w:pStyle w:val="TableParagraph"/>
              <w:spacing w:line="240" w:lineRule="auto" w:before="49"/>
              <w:ind w:left="74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年末</w:t>
            </w:r>
          </w:p>
        </w:tc>
        <w:tc>
          <w:tcPr>
            <w:tcW w:w="797" w:type="dxa"/>
            <w:tcBorders>
              <w:top w:val="single" w:sz="4" w:space="0" w:color="000000"/>
              <w:left w:val="single" w:sz="4" w:space="0" w:color="000000"/>
              <w:bottom w:val="single" w:sz="14" w:space="0" w:color="FFFFFF"/>
              <w:right w:val="single" w:sz="4" w:space="0" w:color="000000"/>
            </w:tcBorders>
            <w:shd w:val="clear" w:color="auto" w:fill="D2D2D2"/>
          </w:tcPr>
          <w:p>
            <w:pPr/>
          </w:p>
        </w:tc>
        <w:tc>
          <w:tcPr>
            <w:tcW w:w="2919" w:type="dxa"/>
            <w:tcBorders>
              <w:top w:val="single" w:sz="4" w:space="0" w:color="000000"/>
              <w:left w:val="single" w:sz="4" w:space="0" w:color="000000"/>
              <w:bottom w:val="single" w:sz="14" w:space="0" w:color="FFFFFF"/>
              <w:right w:val="single" w:sz="4" w:space="0" w:color="000000"/>
            </w:tcBorders>
            <w:shd w:val="clear" w:color="auto" w:fill="D2D2D2"/>
          </w:tcPr>
          <w:p>
            <w:pPr/>
          </w:p>
        </w:tc>
      </w:tr>
      <w:tr>
        <w:trPr>
          <w:trHeight w:val="184" w:hRule="exact"/>
        </w:trPr>
        <w:tc>
          <w:tcPr>
            <w:tcW w:w="1358" w:type="dxa"/>
            <w:vMerge w:val="restart"/>
            <w:tcBorders>
              <w:top w:val="single" w:sz="14" w:space="0" w:color="FFFFFF"/>
              <w:left w:val="single" w:sz="4" w:space="0" w:color="000000"/>
              <w:right w:val="single" w:sz="4" w:space="0" w:color="000000"/>
            </w:tcBorders>
            <w:shd w:val="clear" w:color="auto" w:fill="D2D2D2"/>
          </w:tcPr>
          <w:p>
            <w:pPr/>
          </w:p>
        </w:tc>
        <w:tc>
          <w:tcPr>
            <w:tcW w:w="1163" w:type="dxa"/>
            <w:tcBorders>
              <w:top w:val="single" w:sz="14" w:space="0" w:color="FFFFFF"/>
              <w:left w:val="single" w:sz="4" w:space="0" w:color="000000"/>
              <w:bottom w:val="nil" w:sz="6" w:space="0" w:color="auto"/>
              <w:right w:val="single" w:sz="4" w:space="0" w:color="000000"/>
            </w:tcBorders>
            <w:shd w:val="clear" w:color="auto" w:fill="D2D2D2"/>
          </w:tcPr>
          <w:p>
            <w:pPr/>
          </w:p>
        </w:tc>
        <w:tc>
          <w:tcPr>
            <w:tcW w:w="1064" w:type="dxa"/>
            <w:vMerge w:val="restart"/>
            <w:tcBorders>
              <w:top w:val="single" w:sz="14" w:space="0" w:color="FFFFFF"/>
              <w:left w:val="single" w:sz="4" w:space="0" w:color="000000"/>
              <w:right w:val="single" w:sz="4" w:space="0" w:color="000000"/>
            </w:tcBorders>
            <w:shd w:val="clear" w:color="auto" w:fill="D2D2D2"/>
          </w:tcPr>
          <w:p>
            <w:pPr>
              <w:pStyle w:val="TableParagraph"/>
              <w:spacing w:line="316" w:lineRule="auto" w:before="58"/>
              <w:ind w:left="437" w:right="75" w:hanging="361"/>
              <w:jc w:val="left"/>
              <w:rPr>
                <w:rFonts w:ascii="宋体" w:hAnsi="宋体" w:cs="宋体" w:eastAsia="宋体" w:hint="default"/>
                <w:sz w:val="18"/>
                <w:szCs w:val="18"/>
              </w:rPr>
            </w:pPr>
            <w:r>
              <w:rPr>
                <w:rFonts w:ascii="宋体" w:hAnsi="宋体" w:cs="宋体" w:eastAsia="宋体" w:hint="default"/>
                <w:sz w:val="18"/>
                <w:szCs w:val="18"/>
              </w:rPr>
              <w:t>占总资产比 例</w:t>
            </w:r>
          </w:p>
        </w:tc>
        <w:tc>
          <w:tcPr>
            <w:tcW w:w="1195" w:type="dxa"/>
            <w:tcBorders>
              <w:top w:val="single" w:sz="14" w:space="0" w:color="FFFFFF"/>
              <w:left w:val="single" w:sz="4" w:space="0" w:color="000000"/>
              <w:bottom w:val="nil" w:sz="6" w:space="0" w:color="auto"/>
              <w:right w:val="single" w:sz="4" w:space="0" w:color="000000"/>
            </w:tcBorders>
            <w:shd w:val="clear" w:color="auto" w:fill="D2D2D2"/>
          </w:tcPr>
          <w:p>
            <w:pPr/>
          </w:p>
        </w:tc>
        <w:tc>
          <w:tcPr>
            <w:tcW w:w="1064" w:type="dxa"/>
            <w:vMerge w:val="restart"/>
            <w:tcBorders>
              <w:top w:val="single" w:sz="14" w:space="0" w:color="FFFFFF"/>
              <w:left w:val="single" w:sz="4" w:space="0" w:color="000000"/>
              <w:right w:val="single" w:sz="4" w:space="0" w:color="000000"/>
            </w:tcBorders>
            <w:shd w:val="clear" w:color="auto" w:fill="D2D2D2"/>
          </w:tcPr>
          <w:p>
            <w:pPr>
              <w:pStyle w:val="TableParagraph"/>
              <w:spacing w:line="316" w:lineRule="auto" w:before="58"/>
              <w:ind w:left="436" w:right="75" w:hanging="360"/>
              <w:jc w:val="left"/>
              <w:rPr>
                <w:rFonts w:ascii="宋体" w:hAnsi="宋体" w:cs="宋体" w:eastAsia="宋体" w:hint="default"/>
                <w:sz w:val="18"/>
                <w:szCs w:val="18"/>
              </w:rPr>
            </w:pPr>
            <w:r>
              <w:rPr>
                <w:rFonts w:ascii="宋体" w:hAnsi="宋体" w:cs="宋体" w:eastAsia="宋体" w:hint="default"/>
                <w:sz w:val="18"/>
                <w:szCs w:val="18"/>
              </w:rPr>
              <w:t>占总资产比 例</w:t>
            </w:r>
          </w:p>
        </w:tc>
        <w:tc>
          <w:tcPr>
            <w:tcW w:w="797" w:type="dxa"/>
            <w:vMerge w:val="restart"/>
            <w:tcBorders>
              <w:top w:val="single" w:sz="14" w:space="0" w:color="FFFFFF"/>
              <w:left w:val="single" w:sz="4" w:space="0" w:color="000000"/>
              <w:right w:val="single" w:sz="4" w:space="0" w:color="000000"/>
            </w:tcBorders>
            <w:shd w:val="clear" w:color="auto" w:fill="D2D2D2"/>
          </w:tcPr>
          <w:p>
            <w:pPr>
              <w:pStyle w:val="TableParagraph"/>
              <w:spacing w:line="240" w:lineRule="auto" w:before="13"/>
              <w:ind w:left="33" w:right="0"/>
              <w:jc w:val="left"/>
              <w:rPr>
                <w:rFonts w:ascii="宋体" w:hAnsi="宋体" w:cs="宋体" w:eastAsia="宋体" w:hint="default"/>
                <w:sz w:val="18"/>
                <w:szCs w:val="18"/>
              </w:rPr>
            </w:pPr>
            <w:r>
              <w:rPr>
                <w:rFonts w:ascii="宋体" w:hAnsi="宋体" w:cs="宋体" w:eastAsia="宋体" w:hint="default"/>
                <w:sz w:val="18"/>
                <w:szCs w:val="18"/>
              </w:rPr>
              <w:t>比重增减</w:t>
            </w:r>
          </w:p>
        </w:tc>
        <w:tc>
          <w:tcPr>
            <w:tcW w:w="2919" w:type="dxa"/>
            <w:vMerge w:val="restart"/>
            <w:tcBorders>
              <w:top w:val="single" w:sz="14" w:space="0" w:color="FFFFFF"/>
              <w:left w:val="single" w:sz="4" w:space="0" w:color="000000"/>
              <w:right w:val="single" w:sz="4" w:space="0" w:color="000000"/>
            </w:tcBorders>
            <w:shd w:val="clear" w:color="auto" w:fill="D2D2D2"/>
          </w:tcPr>
          <w:p>
            <w:pPr>
              <w:pStyle w:val="TableParagraph"/>
              <w:spacing w:line="240" w:lineRule="auto" w:before="13"/>
              <w:ind w:left="914" w:right="0"/>
              <w:jc w:val="left"/>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192" w:hRule="exact"/>
        </w:trPr>
        <w:tc>
          <w:tcPr>
            <w:tcW w:w="1358" w:type="dxa"/>
            <w:vMerge/>
            <w:tcBorders>
              <w:left w:val="single" w:sz="4" w:space="0" w:color="000000"/>
              <w:bottom w:val="nil" w:sz="6" w:space="0" w:color="auto"/>
              <w:right w:val="single" w:sz="4" w:space="0" w:color="000000"/>
            </w:tcBorders>
            <w:shd w:val="clear" w:color="auto" w:fill="D2D2D2"/>
          </w:tcPr>
          <w:p>
            <w:pPr/>
          </w:p>
        </w:tc>
        <w:tc>
          <w:tcPr>
            <w:tcW w:w="116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064" w:type="dxa"/>
            <w:vMerge/>
            <w:tcBorders>
              <w:left w:val="single" w:sz="4" w:space="0" w:color="000000"/>
              <w:right w:val="single" w:sz="4" w:space="0" w:color="000000"/>
            </w:tcBorders>
            <w:shd w:val="clear" w:color="auto" w:fill="D2D2D2"/>
          </w:tcPr>
          <w:p>
            <w:pPr/>
          </w:p>
        </w:tc>
        <w:tc>
          <w:tcPr>
            <w:tcW w:w="119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064" w:type="dxa"/>
            <w:vMerge/>
            <w:tcBorders>
              <w:left w:val="single" w:sz="4" w:space="0" w:color="000000"/>
              <w:right w:val="single" w:sz="4" w:space="0" w:color="000000"/>
            </w:tcBorders>
            <w:shd w:val="clear" w:color="auto" w:fill="D2D2D2"/>
          </w:tcPr>
          <w:p>
            <w:pPr/>
          </w:p>
        </w:tc>
        <w:tc>
          <w:tcPr>
            <w:tcW w:w="797" w:type="dxa"/>
            <w:vMerge/>
            <w:tcBorders>
              <w:left w:val="single" w:sz="4" w:space="0" w:color="000000"/>
              <w:bottom w:val="nil" w:sz="6" w:space="0" w:color="auto"/>
              <w:right w:val="single" w:sz="4" w:space="0" w:color="000000"/>
            </w:tcBorders>
            <w:shd w:val="clear" w:color="auto" w:fill="D2D2D2"/>
          </w:tcPr>
          <w:p>
            <w:pPr/>
          </w:p>
        </w:tc>
        <w:tc>
          <w:tcPr>
            <w:tcW w:w="2919" w:type="dxa"/>
            <w:vMerge/>
            <w:tcBorders>
              <w:left w:val="single" w:sz="4" w:space="0" w:color="000000"/>
              <w:bottom w:val="nil" w:sz="6" w:space="0" w:color="auto"/>
              <w:right w:val="single" w:sz="4" w:space="0" w:color="000000"/>
            </w:tcBorders>
            <w:shd w:val="clear" w:color="auto" w:fill="D2D2D2"/>
          </w:tcPr>
          <w:p>
            <w:pPr/>
          </w:p>
        </w:tc>
      </w:tr>
      <w:tr>
        <w:trPr>
          <w:trHeight w:val="199" w:hRule="exact"/>
        </w:trPr>
        <w:tc>
          <w:tcPr>
            <w:tcW w:w="1358" w:type="dxa"/>
            <w:vMerge w:val="restart"/>
            <w:tcBorders>
              <w:top w:val="nil" w:sz="6" w:space="0" w:color="auto"/>
              <w:left w:val="single" w:sz="4" w:space="0" w:color="000000"/>
              <w:right w:val="single" w:sz="4" w:space="0" w:color="000000"/>
            </w:tcBorders>
            <w:shd w:val="clear" w:color="auto" w:fill="D2D2D2"/>
          </w:tcPr>
          <w:p>
            <w:pPr/>
          </w:p>
        </w:tc>
        <w:tc>
          <w:tcPr>
            <w:tcW w:w="1163" w:type="dxa"/>
            <w:vMerge/>
            <w:tcBorders>
              <w:left w:val="single" w:sz="4" w:space="0" w:color="000000"/>
              <w:bottom w:val="nil" w:sz="6" w:space="0" w:color="auto"/>
              <w:right w:val="single" w:sz="4" w:space="0" w:color="000000"/>
            </w:tcBorders>
            <w:shd w:val="clear" w:color="auto" w:fill="D2D2D2"/>
          </w:tcPr>
          <w:p>
            <w:pPr/>
          </w:p>
        </w:tc>
        <w:tc>
          <w:tcPr>
            <w:tcW w:w="1064" w:type="dxa"/>
            <w:vMerge/>
            <w:tcBorders>
              <w:left w:val="single" w:sz="4" w:space="0" w:color="000000"/>
              <w:right w:val="single" w:sz="4" w:space="0" w:color="000000"/>
            </w:tcBorders>
            <w:shd w:val="clear" w:color="auto" w:fill="D2D2D2"/>
          </w:tcPr>
          <w:p>
            <w:pPr/>
          </w:p>
        </w:tc>
        <w:tc>
          <w:tcPr>
            <w:tcW w:w="1195" w:type="dxa"/>
            <w:vMerge/>
            <w:tcBorders>
              <w:left w:val="single" w:sz="4" w:space="0" w:color="000000"/>
              <w:bottom w:val="nil" w:sz="6" w:space="0" w:color="auto"/>
              <w:right w:val="single" w:sz="4" w:space="0" w:color="000000"/>
            </w:tcBorders>
            <w:shd w:val="clear" w:color="auto" w:fill="D2D2D2"/>
          </w:tcPr>
          <w:p>
            <w:pPr/>
          </w:p>
        </w:tc>
        <w:tc>
          <w:tcPr>
            <w:tcW w:w="1064" w:type="dxa"/>
            <w:vMerge/>
            <w:tcBorders>
              <w:left w:val="single" w:sz="4" w:space="0" w:color="000000"/>
              <w:right w:val="single" w:sz="4" w:space="0" w:color="000000"/>
            </w:tcBorders>
            <w:shd w:val="clear" w:color="auto" w:fill="D2D2D2"/>
          </w:tcPr>
          <w:p>
            <w:pPr/>
          </w:p>
        </w:tc>
        <w:tc>
          <w:tcPr>
            <w:tcW w:w="797" w:type="dxa"/>
            <w:vMerge w:val="restart"/>
            <w:tcBorders>
              <w:top w:val="nil" w:sz="6" w:space="0" w:color="auto"/>
              <w:left w:val="single" w:sz="4" w:space="0" w:color="000000"/>
              <w:right w:val="single" w:sz="4" w:space="0" w:color="000000"/>
            </w:tcBorders>
            <w:shd w:val="clear" w:color="auto" w:fill="D2D2D2"/>
          </w:tcPr>
          <w:p>
            <w:pPr/>
          </w:p>
        </w:tc>
        <w:tc>
          <w:tcPr>
            <w:tcW w:w="2919"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358" w:type="dxa"/>
            <w:vMerge/>
            <w:tcBorders>
              <w:left w:val="single" w:sz="4" w:space="0" w:color="000000"/>
              <w:bottom w:val="single" w:sz="4" w:space="0" w:color="000000"/>
              <w:right w:val="single" w:sz="4" w:space="0" w:color="000000"/>
            </w:tcBorders>
            <w:shd w:val="clear" w:color="auto" w:fill="D2D2D2"/>
          </w:tcPr>
          <w:p>
            <w:pPr/>
          </w:p>
        </w:tc>
        <w:tc>
          <w:tcPr>
            <w:tcW w:w="1163" w:type="dxa"/>
            <w:tcBorders>
              <w:top w:val="nil" w:sz="6" w:space="0" w:color="auto"/>
              <w:left w:val="single" w:sz="4" w:space="0" w:color="000000"/>
              <w:bottom w:val="single" w:sz="4" w:space="0" w:color="000000"/>
              <w:right w:val="single" w:sz="4" w:space="0" w:color="000000"/>
            </w:tcBorders>
            <w:shd w:val="clear" w:color="auto" w:fill="D2D2D2"/>
          </w:tcPr>
          <w:p>
            <w:pPr/>
          </w:p>
        </w:tc>
        <w:tc>
          <w:tcPr>
            <w:tcW w:w="1064" w:type="dxa"/>
            <w:vMerge/>
            <w:tcBorders>
              <w:left w:val="single" w:sz="4" w:space="0" w:color="000000"/>
              <w:bottom w:val="single" w:sz="4" w:space="0" w:color="000000"/>
              <w:right w:val="single" w:sz="4" w:space="0" w:color="000000"/>
            </w:tcBorders>
            <w:shd w:val="clear" w:color="auto" w:fill="D2D2D2"/>
          </w:tcPr>
          <w:p>
            <w:pPr/>
          </w:p>
        </w:tc>
        <w:tc>
          <w:tcPr>
            <w:tcW w:w="1195" w:type="dxa"/>
            <w:tcBorders>
              <w:top w:val="nil" w:sz="6" w:space="0" w:color="auto"/>
              <w:left w:val="single" w:sz="4" w:space="0" w:color="000000"/>
              <w:bottom w:val="single" w:sz="4" w:space="0" w:color="000000"/>
              <w:right w:val="single" w:sz="4" w:space="0" w:color="000000"/>
            </w:tcBorders>
            <w:shd w:val="clear" w:color="auto" w:fill="D2D2D2"/>
          </w:tcPr>
          <w:p>
            <w:pPr/>
          </w:p>
        </w:tc>
        <w:tc>
          <w:tcPr>
            <w:tcW w:w="1064"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2919" w:type="dxa"/>
            <w:vMerge/>
            <w:tcBorders>
              <w:left w:val="single" w:sz="4" w:space="0" w:color="000000"/>
              <w:bottom w:val="single" w:sz="4" w:space="0" w:color="000000"/>
              <w:right w:val="single" w:sz="4" w:space="0" w:color="000000"/>
            </w:tcBorders>
            <w:shd w:val="clear" w:color="auto" w:fill="D2D2D2"/>
          </w:tcPr>
          <w:p>
            <w:pPr/>
          </w:p>
        </w:tc>
      </w:tr>
      <w:tr>
        <w:trPr>
          <w:trHeight w:val="161" w:hRule="exact"/>
        </w:trPr>
        <w:tc>
          <w:tcPr>
            <w:tcW w:w="1358" w:type="dxa"/>
            <w:tcBorders>
              <w:top w:val="single" w:sz="4" w:space="0" w:color="000000"/>
              <w:left w:val="single" w:sz="4" w:space="0" w:color="000000"/>
              <w:bottom w:val="nil" w:sz="6" w:space="0" w:color="auto"/>
              <w:right w:val="single" w:sz="4" w:space="0" w:color="000000"/>
            </w:tcBorders>
            <w:shd w:val="clear" w:color="auto" w:fill="D2D2D2"/>
          </w:tcPr>
          <w:p>
            <w:pPr/>
          </w:p>
        </w:tc>
        <w:tc>
          <w:tcPr>
            <w:tcW w:w="1163" w:type="dxa"/>
            <w:vMerge w:val="restart"/>
            <w:tcBorders>
              <w:top w:val="single" w:sz="4" w:space="0" w:color="000000"/>
              <w:left w:val="single" w:sz="9" w:space="0" w:color="D2D2D2"/>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2,304,457,914.</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01</w:t>
            </w:r>
          </w:p>
        </w:tc>
        <w:tc>
          <w:tcPr>
            <w:tcW w:w="106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78" w:right="0"/>
              <w:jc w:val="left"/>
              <w:rPr>
                <w:rFonts w:ascii="Times New Roman" w:hAnsi="Times New Roman" w:cs="Times New Roman" w:eastAsia="Times New Roman" w:hint="default"/>
                <w:sz w:val="18"/>
                <w:szCs w:val="18"/>
              </w:rPr>
            </w:pPr>
            <w:r>
              <w:rPr>
                <w:rFonts w:ascii="Times New Roman"/>
                <w:sz w:val="18"/>
              </w:rPr>
              <w:t>25.01%</w:t>
            </w:r>
          </w:p>
        </w:tc>
        <w:tc>
          <w:tcPr>
            <w:tcW w:w="1195"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3,443,447,257.</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54</w:t>
            </w:r>
          </w:p>
        </w:tc>
        <w:tc>
          <w:tcPr>
            <w:tcW w:w="106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77" w:right="0"/>
              <w:jc w:val="left"/>
              <w:rPr>
                <w:rFonts w:ascii="Times New Roman" w:hAnsi="Times New Roman" w:cs="Times New Roman" w:eastAsia="Times New Roman" w:hint="default"/>
                <w:sz w:val="18"/>
                <w:szCs w:val="18"/>
              </w:rPr>
            </w:pPr>
            <w:r>
              <w:rPr>
                <w:rFonts w:ascii="Times New Roman"/>
                <w:sz w:val="18"/>
              </w:rPr>
              <w:t>35.14%</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1" w:right="0"/>
              <w:jc w:val="left"/>
              <w:rPr>
                <w:rFonts w:ascii="Times New Roman" w:hAnsi="Times New Roman" w:cs="Times New Roman" w:eastAsia="Times New Roman" w:hint="default"/>
                <w:sz w:val="18"/>
                <w:szCs w:val="18"/>
              </w:rPr>
            </w:pPr>
            <w:r>
              <w:rPr>
                <w:rFonts w:ascii="Times New Roman"/>
                <w:sz w:val="18"/>
              </w:rPr>
              <w:t>-10.13%</w:t>
            </w:r>
          </w:p>
        </w:tc>
        <w:tc>
          <w:tcPr>
            <w:tcW w:w="2919" w:type="dxa"/>
            <w:vMerge w:val="restart"/>
            <w:tcBorders>
              <w:top w:val="single" w:sz="4" w:space="0" w:color="000000"/>
              <w:left w:val="single" w:sz="4" w:space="0" w:color="000000"/>
              <w:right w:val="single" w:sz="4" w:space="0" w:color="000000"/>
            </w:tcBorders>
          </w:tcPr>
          <w:p>
            <w:pPr>
              <w:pStyle w:val="TableParagraph"/>
              <w:spacing w:line="316" w:lineRule="auto" w:before="49"/>
              <w:ind w:left="23" w:right="183"/>
              <w:jc w:val="left"/>
              <w:rPr>
                <w:rFonts w:ascii="宋体" w:hAnsi="宋体" w:cs="宋体" w:eastAsia="宋体" w:hint="default"/>
                <w:sz w:val="18"/>
                <w:szCs w:val="18"/>
              </w:rPr>
            </w:pPr>
            <w:r>
              <w:rPr>
                <w:rFonts w:ascii="宋体" w:hAnsi="宋体" w:cs="宋体" w:eastAsia="宋体" w:hint="default"/>
                <w:sz w:val="18"/>
                <w:szCs w:val="18"/>
              </w:rPr>
              <w:t>主要原因是支付收购杰发科技股权 款项及购买理财产品所致；</w:t>
            </w:r>
            <w:r>
              <w:rPr>
                <w:rFonts w:ascii="宋体" w:hAnsi="宋体" w:cs="宋体" w:eastAsia="宋体" w:hint="default"/>
                <w:sz w:val="18"/>
                <w:szCs w:val="18"/>
              </w:rPr>
              <w:t> </w:t>
            </w:r>
          </w:p>
        </w:tc>
      </w:tr>
      <w:tr>
        <w:trPr>
          <w:trHeight w:val="394" w:hRule="exact"/>
        </w:trPr>
        <w:tc>
          <w:tcPr>
            <w:tcW w:w="135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163" w:type="dxa"/>
            <w:vMerge/>
            <w:tcBorders>
              <w:left w:val="single" w:sz="9" w:space="0" w:color="D2D2D2"/>
              <w:right w:val="single" w:sz="4" w:space="0" w:color="000000"/>
            </w:tcBorders>
          </w:tcPr>
          <w:p>
            <w:pPr/>
          </w:p>
        </w:tc>
        <w:tc>
          <w:tcPr>
            <w:tcW w:w="1064" w:type="dxa"/>
            <w:vMerge/>
            <w:tcBorders>
              <w:left w:val="single" w:sz="4" w:space="0" w:color="000000"/>
              <w:right w:val="single" w:sz="4" w:space="0" w:color="000000"/>
            </w:tcBorders>
          </w:tcPr>
          <w:p>
            <w:pPr/>
          </w:p>
        </w:tc>
        <w:tc>
          <w:tcPr>
            <w:tcW w:w="1195" w:type="dxa"/>
            <w:vMerge/>
            <w:tcBorders>
              <w:left w:val="single" w:sz="4" w:space="0" w:color="000000"/>
              <w:right w:val="single" w:sz="4" w:space="0" w:color="000000"/>
            </w:tcBorders>
          </w:tcPr>
          <w:p>
            <w:pPr/>
          </w:p>
        </w:tc>
        <w:tc>
          <w:tcPr>
            <w:tcW w:w="1064"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2919" w:type="dxa"/>
            <w:vMerge/>
            <w:tcBorders>
              <w:left w:val="single" w:sz="4" w:space="0" w:color="000000"/>
              <w:right w:val="single" w:sz="4" w:space="0" w:color="000000"/>
            </w:tcBorders>
          </w:tcPr>
          <w:p>
            <w:pPr/>
          </w:p>
        </w:tc>
      </w:tr>
      <w:tr>
        <w:trPr>
          <w:trHeight w:val="161" w:hRule="exact"/>
        </w:trPr>
        <w:tc>
          <w:tcPr>
            <w:tcW w:w="1358" w:type="dxa"/>
            <w:tcBorders>
              <w:top w:val="nil" w:sz="6" w:space="0" w:color="auto"/>
              <w:left w:val="single" w:sz="4" w:space="0" w:color="000000"/>
              <w:bottom w:val="single" w:sz="4" w:space="0" w:color="000000"/>
              <w:right w:val="single" w:sz="4" w:space="0" w:color="000000"/>
            </w:tcBorders>
            <w:shd w:val="clear" w:color="auto" w:fill="D2D2D2"/>
          </w:tcPr>
          <w:p>
            <w:pPr/>
          </w:p>
        </w:tc>
        <w:tc>
          <w:tcPr>
            <w:tcW w:w="1163" w:type="dxa"/>
            <w:vMerge/>
            <w:tcBorders>
              <w:left w:val="single" w:sz="9" w:space="0" w:color="D2D2D2"/>
              <w:bottom w:val="single" w:sz="4" w:space="0" w:color="000000"/>
              <w:right w:val="single" w:sz="4" w:space="0" w:color="000000"/>
            </w:tcBorders>
          </w:tcPr>
          <w:p>
            <w:pPr/>
          </w:p>
        </w:tc>
        <w:tc>
          <w:tcPr>
            <w:tcW w:w="1064" w:type="dxa"/>
            <w:vMerge/>
            <w:tcBorders>
              <w:left w:val="single" w:sz="4" w:space="0" w:color="000000"/>
              <w:bottom w:val="single" w:sz="4" w:space="0" w:color="000000"/>
              <w:right w:val="single" w:sz="4" w:space="0" w:color="000000"/>
            </w:tcBorders>
          </w:tcPr>
          <w:p>
            <w:pPr/>
          </w:p>
        </w:tc>
        <w:tc>
          <w:tcPr>
            <w:tcW w:w="1195" w:type="dxa"/>
            <w:vMerge/>
            <w:tcBorders>
              <w:left w:val="single" w:sz="4" w:space="0" w:color="000000"/>
              <w:bottom w:val="single" w:sz="4" w:space="0" w:color="000000"/>
              <w:right w:val="single" w:sz="4" w:space="0" w:color="000000"/>
            </w:tcBorders>
          </w:tcPr>
          <w:p>
            <w:pPr/>
          </w:p>
        </w:tc>
        <w:tc>
          <w:tcPr>
            <w:tcW w:w="1064"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2919" w:type="dxa"/>
            <w:vMerge/>
            <w:tcBorders>
              <w:left w:val="single" w:sz="4" w:space="0" w:color="000000"/>
              <w:bottom w:val="single" w:sz="4" w:space="0" w:color="000000"/>
              <w:right w:val="single" w:sz="4" w:space="0" w:color="000000"/>
            </w:tcBorders>
          </w:tcPr>
          <w:p>
            <w:pPr/>
          </w:p>
        </w:tc>
      </w:tr>
      <w:tr>
        <w:trPr>
          <w:trHeight w:val="401" w:hRule="exact"/>
        </w:trPr>
        <w:tc>
          <w:tcPr>
            <w:tcW w:w="13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16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10"/>
              <w:ind w:left="86" w:right="0"/>
              <w:jc w:val="left"/>
              <w:rPr>
                <w:rFonts w:ascii="Times New Roman" w:hAnsi="Times New Roman" w:cs="Times New Roman" w:eastAsia="Times New Roman" w:hint="default"/>
                <w:sz w:val="18"/>
                <w:szCs w:val="18"/>
              </w:rPr>
            </w:pPr>
            <w:r>
              <w:rPr>
                <w:rFonts w:ascii="Times New Roman"/>
                <w:sz w:val="18"/>
              </w:rPr>
              <w:t>437,586,998.6</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66" w:right="0"/>
              <w:jc w:val="left"/>
              <w:rPr>
                <w:rFonts w:ascii="Times New Roman" w:hAnsi="Times New Roman" w:cs="Times New Roman" w:eastAsia="Times New Roman" w:hint="default"/>
                <w:sz w:val="18"/>
                <w:szCs w:val="18"/>
              </w:rPr>
            </w:pPr>
            <w:r>
              <w:rPr>
                <w:rFonts w:ascii="Times New Roman"/>
                <w:sz w:val="18"/>
              </w:rPr>
              <w:t>4.75%</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8" w:right="0"/>
              <w:jc w:val="left"/>
              <w:rPr>
                <w:rFonts w:ascii="Times New Roman" w:hAnsi="Times New Roman" w:cs="Times New Roman" w:eastAsia="Times New Roman" w:hint="default"/>
                <w:sz w:val="18"/>
                <w:szCs w:val="18"/>
              </w:rPr>
            </w:pPr>
            <w:r>
              <w:rPr>
                <w:rFonts w:ascii="Times New Roman"/>
                <w:sz w:val="18"/>
              </w:rPr>
              <w:t>626,954,316.42</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66" w:right="0"/>
              <w:jc w:val="left"/>
              <w:rPr>
                <w:rFonts w:ascii="Times New Roman" w:hAnsi="Times New Roman" w:cs="Times New Roman" w:eastAsia="Times New Roman" w:hint="default"/>
                <w:sz w:val="18"/>
                <w:szCs w:val="18"/>
              </w:rPr>
            </w:pPr>
            <w:r>
              <w:rPr>
                <w:rFonts w:ascii="Times New Roman"/>
                <w:sz w:val="18"/>
              </w:rPr>
              <w:t>6.40%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0" w:right="0"/>
              <w:jc w:val="left"/>
              <w:rPr>
                <w:rFonts w:ascii="Times New Roman" w:hAnsi="Times New Roman" w:cs="Times New Roman" w:eastAsia="Times New Roman" w:hint="default"/>
                <w:sz w:val="18"/>
                <w:szCs w:val="18"/>
              </w:rPr>
            </w:pPr>
            <w:r>
              <w:rPr>
                <w:rFonts w:ascii="Times New Roman"/>
                <w:sz w:val="18"/>
              </w:rPr>
              <w:t>-1.65%</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主要原因是应收销售款减少所致；</w:t>
            </w:r>
            <w:r>
              <w:rPr>
                <w:rFonts w:ascii="宋体" w:hAnsi="宋体" w:cs="宋体" w:eastAsia="宋体" w:hint="default"/>
                <w:sz w:val="18"/>
                <w:szCs w:val="18"/>
              </w:rPr>
              <w:t> </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0"/>
        <w:rPr>
          <w:rFonts w:ascii="宋体" w:hAnsi="宋体" w:cs="宋体" w:eastAsia="宋体" w:hint="default"/>
          <w:sz w:val="20"/>
          <w:szCs w:val="20"/>
        </w:rPr>
      </w:pPr>
      <w:r>
        <w:rPr/>
        <w:pict>
          <v:shape style="position:absolute;margin-left:56.459999pt;margin-top:71.999985pt;width:479.2pt;height:692.5pt;mso-position-horizontal-relative:page;mso-position-vertical-relative:page;z-index:114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367"/>
                    <w:gridCol w:w="1164"/>
                    <w:gridCol w:w="1064"/>
                    <w:gridCol w:w="1195"/>
                    <w:gridCol w:w="1064"/>
                    <w:gridCol w:w="797"/>
                    <w:gridCol w:w="2919"/>
                  </w:tblGrid>
                  <w:tr>
                    <w:trPr>
                      <w:trHeight w:val="363"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7</w:t>
                        </w:r>
                      </w:p>
                    </w:tc>
                    <w:tc>
                      <w:tcPr>
                        <w:tcW w:w="1064"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291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77,313,983.10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0.84%</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79,888,388.01</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0.82%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0.02%</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sz w:val="18"/>
                          </w:rPr>
                          <w:t> </w:t>
                        </w:r>
                      </w:p>
                    </w:tc>
                  </w:tr>
                  <w:tr>
                    <w:trPr>
                      <w:trHeight w:val="1027"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2"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1,298,278,056.</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79</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14.09%</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82,766,100.44</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0.84%</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13.25%</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3" w:right="92"/>
                          <w:jc w:val="left"/>
                          <w:rPr>
                            <w:rFonts w:ascii="宋体" w:hAnsi="宋体" w:cs="宋体" w:eastAsia="宋体" w:hint="default"/>
                            <w:sz w:val="18"/>
                            <w:szCs w:val="18"/>
                          </w:rPr>
                        </w:pPr>
                        <w:r>
                          <w:rPr>
                            <w:rFonts w:ascii="宋体" w:hAnsi="宋体" w:cs="宋体" w:eastAsia="宋体" w:hint="default"/>
                            <w:sz w:val="18"/>
                            <w:szCs w:val="18"/>
                          </w:rPr>
                          <w:t>本期增加系子公司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Mapbar Technology Limited</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引入第三方增资 由子公司转为参股公司核算所致；</w:t>
                        </w:r>
                        <w:r>
                          <w:rPr>
                            <w:rFonts w:ascii="宋体" w:hAnsi="宋体" w:cs="宋体" w:eastAsia="宋体" w:hint="default"/>
                            <w:sz w:val="18"/>
                            <w:szCs w:val="18"/>
                          </w:rPr>
                          <w:t> </w:t>
                        </w:r>
                      </w:p>
                    </w:tc>
                  </w:tr>
                  <w:tr>
                    <w:trPr>
                      <w:trHeight w:val="713"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654,356,353.5</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7.10%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647,443,991.80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6.61%</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0.49%</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sz w:val="18"/>
                          </w:rPr>
                          <w:t> </w:t>
                        </w:r>
                      </w:p>
                    </w:tc>
                  </w:tr>
                  <w:tr>
                    <w:trPr>
                      <w:trHeight w:val="1027"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33,043,567.95</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0.36%</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89,675,256.65</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0.92%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-0.56%</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83"/>
                          <w:jc w:val="both"/>
                          <w:rPr>
                            <w:rFonts w:ascii="宋体" w:hAnsi="宋体" w:cs="宋体" w:eastAsia="宋体" w:hint="default"/>
                            <w:sz w:val="18"/>
                            <w:szCs w:val="18"/>
                          </w:rPr>
                        </w:pPr>
                        <w:r>
                          <w:rPr>
                            <w:rFonts w:ascii="宋体" w:hAnsi="宋体" w:cs="宋体" w:eastAsia="宋体" w:hint="default"/>
                            <w:sz w:val="18"/>
                            <w:szCs w:val="18"/>
                          </w:rPr>
                          <w:t>主要原因是本期应收定期存款利息 减少以及收到上海安吉四维信息技 术有限公司分红款所致；</w:t>
                        </w:r>
                        <w:r>
                          <w:rPr>
                            <w:rFonts w:ascii="宋体" w:hAnsi="宋体" w:cs="宋体" w:eastAsia="宋体" w:hint="default"/>
                            <w:sz w:val="18"/>
                            <w:szCs w:val="18"/>
                          </w:rPr>
                          <w:t> </w:t>
                        </w:r>
                      </w:p>
                    </w:tc>
                  </w:tr>
                  <w:tr>
                    <w:trPr>
                      <w:trHeight w:val="401"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持有待售资产</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4,000,000.00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0.04%</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0.04%</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主要原因是公司转让股权投资所致；</w:t>
                        </w:r>
                      </w:p>
                    </w:tc>
                  </w:tr>
                  <w:tr>
                    <w:trPr>
                      <w:trHeight w:val="715"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462,164,724.0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5.02%</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137,556,506.25</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1.40%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3.62%</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83"/>
                          <w:jc w:val="left"/>
                          <w:rPr>
                            <w:rFonts w:ascii="宋体" w:hAnsi="宋体" w:cs="宋体" w:eastAsia="宋体" w:hint="default"/>
                            <w:sz w:val="18"/>
                            <w:szCs w:val="18"/>
                          </w:rPr>
                        </w:pPr>
                        <w:r>
                          <w:rPr>
                            <w:rFonts w:ascii="宋体" w:hAnsi="宋体" w:cs="宋体" w:eastAsia="宋体" w:hint="default"/>
                            <w:sz w:val="18"/>
                            <w:szCs w:val="18"/>
                          </w:rPr>
                          <w:t>主要原因是本期购买银行理财产品 所致；</w:t>
                        </w:r>
                        <w:r>
                          <w:rPr>
                            <w:rFonts w:ascii="宋体" w:hAnsi="宋体" w:cs="宋体" w:eastAsia="宋体" w:hint="default"/>
                            <w:sz w:val="18"/>
                            <w:szCs w:val="18"/>
                          </w:rPr>
                          <w:t> </w:t>
                        </w:r>
                      </w:p>
                    </w:tc>
                  </w:tr>
                  <w:tr>
                    <w:trPr>
                      <w:trHeight w:val="713"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22" w:right="72"/>
                          <w:jc w:val="left"/>
                          <w:rPr>
                            <w:rFonts w:ascii="宋体" w:hAnsi="宋体" w:cs="宋体" w:eastAsia="宋体" w:hint="default"/>
                            <w:sz w:val="18"/>
                            <w:szCs w:val="18"/>
                          </w:rPr>
                        </w:pPr>
                        <w:r>
                          <w:rPr>
                            <w:rFonts w:ascii="宋体" w:hAnsi="宋体" w:cs="宋体" w:eastAsia="宋体" w:hint="default"/>
                            <w:sz w:val="18"/>
                            <w:szCs w:val="18"/>
                          </w:rPr>
                          <w:t>可供出售金融资 产</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306,514,819.3</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2</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3.33%</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224,685,199.66</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2.29%</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1.04%</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83"/>
                          <w:jc w:val="left"/>
                          <w:rPr>
                            <w:rFonts w:ascii="宋体" w:hAnsi="宋体" w:cs="宋体" w:eastAsia="宋体" w:hint="default"/>
                            <w:sz w:val="18"/>
                            <w:szCs w:val="18"/>
                          </w:rPr>
                        </w:pPr>
                        <w:r>
                          <w:rPr>
                            <w:rFonts w:ascii="宋体" w:hAnsi="宋体" w:cs="宋体" w:eastAsia="宋体" w:hint="default"/>
                            <w:sz w:val="18"/>
                            <w:szCs w:val="18"/>
                          </w:rPr>
                          <w:t>主要原因是本期新增投资中国大地 财产保险股份有限公司等所致；</w:t>
                        </w:r>
                        <w:r>
                          <w:rPr>
                            <w:rFonts w:ascii="宋体" w:hAnsi="宋体" w:cs="宋体" w:eastAsia="宋体" w:hint="default"/>
                            <w:sz w:val="18"/>
                            <w:szCs w:val="18"/>
                          </w:rPr>
                          <w:t> </w:t>
                        </w:r>
                      </w:p>
                    </w:tc>
                  </w:tr>
                  <w:tr>
                    <w:trPr>
                      <w:trHeight w:val="715"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1,074,905,506.</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96</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11.66%</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597,060,326.99</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6.09%</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5.57%</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83"/>
                          <w:jc w:val="left"/>
                          <w:rPr>
                            <w:rFonts w:ascii="宋体" w:hAnsi="宋体" w:cs="宋体" w:eastAsia="宋体" w:hint="default"/>
                            <w:sz w:val="18"/>
                            <w:szCs w:val="18"/>
                          </w:rPr>
                        </w:pPr>
                        <w:r>
                          <w:rPr>
                            <w:rFonts w:ascii="宋体" w:hAnsi="宋体" w:cs="宋体" w:eastAsia="宋体" w:hint="default"/>
                            <w:sz w:val="18"/>
                            <w:szCs w:val="18"/>
                          </w:rPr>
                          <w:t>主要原因是永丰基地土地投入增加 所致；</w:t>
                        </w:r>
                        <w:r>
                          <w:rPr>
                            <w:rFonts w:ascii="宋体" w:hAnsi="宋体" w:cs="宋体" w:eastAsia="宋体" w:hint="default"/>
                            <w:sz w:val="18"/>
                            <w:szCs w:val="18"/>
                          </w:rPr>
                          <w:t> </w:t>
                        </w:r>
                      </w:p>
                    </w:tc>
                  </w:tr>
                  <w:tr>
                    <w:trPr>
                      <w:trHeight w:val="1337"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33,821,738.51</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0.37%</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307,251,268.16</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3.14%</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-2.77%</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49"/>
                          <w:ind w:left="23" w:right="115"/>
                          <w:jc w:val="left"/>
                          <w:rPr>
                            <w:rFonts w:ascii="宋体" w:hAnsi="宋体" w:cs="宋体" w:eastAsia="宋体" w:hint="default"/>
                            <w:sz w:val="18"/>
                            <w:szCs w:val="18"/>
                          </w:rPr>
                        </w:pPr>
                        <w:r>
                          <w:rPr>
                            <w:rFonts w:ascii="宋体" w:hAnsi="宋体" w:cs="宋体" w:eastAsia="宋体" w:hint="default"/>
                            <w:sz w:val="18"/>
                            <w:szCs w:val="18"/>
                          </w:rPr>
                          <w:t>主要原因是本期部分研发项目完成 转入无形资产以及子公司</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Mapbar Technology Limited</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不再纳入合并范 围所致；</w:t>
                        </w:r>
                        <w:r>
                          <w:rPr>
                            <w:rFonts w:ascii="宋体" w:hAnsi="宋体" w:cs="宋体" w:eastAsia="宋体" w:hint="default"/>
                            <w:sz w:val="18"/>
                            <w:szCs w:val="18"/>
                          </w:rPr>
                          <w:t> </w:t>
                        </w:r>
                      </w:p>
                    </w:tc>
                  </w:tr>
                  <w:tr>
                    <w:trPr>
                      <w:trHeight w:val="715"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2,232,221,726.</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47</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24.22%</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3,324,579,146.</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37</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33.93%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-9.71%</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83"/>
                          <w:jc w:val="left"/>
                          <w:rPr>
                            <w:rFonts w:ascii="宋体" w:hAnsi="宋体" w:cs="宋体" w:eastAsia="宋体" w:hint="default"/>
                            <w:sz w:val="18"/>
                            <w:szCs w:val="18"/>
                          </w:rPr>
                        </w:pPr>
                        <w:r>
                          <w:rPr>
                            <w:rFonts w:ascii="宋体" w:hAnsi="宋体" w:cs="宋体" w:eastAsia="宋体" w:hint="default"/>
                            <w:sz w:val="18"/>
                            <w:szCs w:val="18"/>
                          </w:rPr>
                          <w:t>主要原因是本期计提商誉减值准备 所致；</w:t>
                        </w:r>
                        <w:r>
                          <w:rPr>
                            <w:rFonts w:ascii="宋体" w:hAnsi="宋体" w:cs="宋体" w:eastAsia="宋体" w:hint="default"/>
                            <w:sz w:val="18"/>
                            <w:szCs w:val="18"/>
                          </w:rPr>
                          <w:t> </w:t>
                        </w:r>
                      </w:p>
                    </w:tc>
                  </w:tr>
                  <w:tr>
                    <w:trPr>
                      <w:trHeight w:val="713"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2"/>
                            <w:sz w:val="18"/>
                          </w:rPr>
                          <w:t>111,798,510.8</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1.21%</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30,617,659.26</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0.31%</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0.90%</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3" w:right="115"/>
                          <w:jc w:val="left"/>
                          <w:rPr>
                            <w:rFonts w:ascii="宋体" w:hAnsi="宋体" w:cs="宋体" w:eastAsia="宋体" w:hint="default"/>
                            <w:sz w:val="18"/>
                            <w:szCs w:val="18"/>
                          </w:rPr>
                        </w:pPr>
                        <w:r>
                          <w:rPr>
                            <w:rFonts w:ascii="宋体" w:hAnsi="宋体" w:cs="宋体" w:eastAsia="宋体" w:hint="default"/>
                            <w:sz w:val="18"/>
                            <w:szCs w:val="18"/>
                          </w:rPr>
                          <w:t>主要原因是本期支付</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Mapbar Technology Limited</w:t>
                        </w:r>
                        <w:r>
                          <w:rPr>
                            <w:rFonts w:ascii="Times New Roman" w:hAnsi="Times New Roman" w:cs="Times New Roman" w:eastAsia="Times New Roman" w:hint="default"/>
                            <w:spacing w:val="-17"/>
                            <w:sz w:val="18"/>
                            <w:szCs w:val="18"/>
                          </w:rPr>
                          <w:t> </w:t>
                        </w:r>
                        <w:r>
                          <w:rPr>
                            <w:rFonts w:ascii="宋体" w:hAnsi="宋体" w:cs="宋体" w:eastAsia="宋体" w:hint="default"/>
                            <w:sz w:val="18"/>
                            <w:szCs w:val="18"/>
                          </w:rPr>
                          <w:t>投资意向金所致</w:t>
                        </w:r>
                      </w:p>
                    </w:tc>
                  </w:tr>
                  <w:tr>
                    <w:trPr>
                      <w:trHeight w:val="1339"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22" w:right="72"/>
                          <w:jc w:val="both"/>
                          <w:rPr>
                            <w:rFonts w:ascii="宋体" w:hAnsi="宋体" w:cs="宋体" w:eastAsia="宋体" w:hint="default"/>
                            <w:sz w:val="18"/>
                            <w:szCs w:val="18"/>
                          </w:rPr>
                        </w:pPr>
                        <w:r>
                          <w:rPr>
                            <w:rFonts w:ascii="宋体" w:hAnsi="宋体" w:cs="宋体" w:eastAsia="宋体" w:hint="default"/>
                            <w:sz w:val="18"/>
                            <w:szCs w:val="18"/>
                          </w:rPr>
                          <w:t>以公允价值计量 且其变动计入当 期损益的金融负 债</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29,928,239.11</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0.32%</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0.32%</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3" w:right="20"/>
                          <w:jc w:val="left"/>
                          <w:rPr>
                            <w:rFonts w:ascii="宋体" w:hAnsi="宋体" w:cs="宋体" w:eastAsia="宋体" w:hint="default"/>
                            <w:sz w:val="18"/>
                            <w:szCs w:val="18"/>
                          </w:rPr>
                        </w:pPr>
                        <w:r>
                          <w:rPr>
                            <w:rFonts w:ascii="宋体" w:hAnsi="宋体" w:cs="宋体" w:eastAsia="宋体" w:hint="default"/>
                            <w:spacing w:val="-2"/>
                            <w:sz w:val="18"/>
                            <w:szCs w:val="18"/>
                          </w:rPr>
                          <w:t>主要原因是根据协议，确认应支付的</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股权转让对价所致；</w:t>
                        </w:r>
                        <w:r>
                          <w:rPr>
                            <w:rFonts w:ascii="宋体" w:hAnsi="宋体" w:cs="宋体" w:eastAsia="宋体" w:hint="default"/>
                            <w:sz w:val="18"/>
                            <w:szCs w:val="18"/>
                          </w:rPr>
                          <w:t> </w:t>
                        </w:r>
                      </w:p>
                    </w:tc>
                  </w:tr>
                  <w:tr>
                    <w:trPr>
                      <w:trHeight w:val="713"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116,520,154.9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2</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1.26%</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73,607,218.16</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0.75%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0.51%</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3" w:right="183"/>
                          <w:jc w:val="left"/>
                          <w:rPr>
                            <w:rFonts w:ascii="宋体" w:hAnsi="宋体" w:cs="宋体" w:eastAsia="宋体" w:hint="default"/>
                            <w:sz w:val="18"/>
                            <w:szCs w:val="18"/>
                          </w:rPr>
                        </w:pPr>
                        <w:r>
                          <w:rPr>
                            <w:rFonts w:ascii="宋体" w:hAnsi="宋体" w:cs="宋体" w:eastAsia="宋体" w:hint="default"/>
                            <w:sz w:val="18"/>
                            <w:szCs w:val="18"/>
                          </w:rPr>
                          <w:t>主要原因是本期应交企业所得税增 加所致；</w:t>
                        </w:r>
                        <w:r>
                          <w:rPr>
                            <w:rFonts w:ascii="宋体" w:hAnsi="宋体" w:cs="宋体" w:eastAsia="宋体" w:hint="default"/>
                            <w:sz w:val="18"/>
                            <w:szCs w:val="18"/>
                          </w:rPr>
                          <w:t> </w:t>
                        </w:r>
                      </w:p>
                    </w:tc>
                  </w:tr>
                  <w:tr>
                    <w:trPr>
                      <w:trHeight w:val="715"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1,014,734,213.</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72</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11.01%</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2,241,319,244.</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99</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22.87%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-11.86%</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83"/>
                          <w:jc w:val="left"/>
                          <w:rPr>
                            <w:rFonts w:ascii="宋体" w:hAnsi="宋体" w:cs="宋体" w:eastAsia="宋体" w:hint="default"/>
                            <w:sz w:val="18"/>
                            <w:szCs w:val="18"/>
                          </w:rPr>
                        </w:pPr>
                        <w:r>
                          <w:rPr>
                            <w:rFonts w:ascii="宋体" w:hAnsi="宋体" w:cs="宋体" w:eastAsia="宋体" w:hint="default"/>
                            <w:sz w:val="18"/>
                            <w:szCs w:val="18"/>
                          </w:rPr>
                          <w:t>主要原因是本期股权转让款减少所 致；</w:t>
                        </w:r>
                        <w:r>
                          <w:rPr>
                            <w:rFonts w:ascii="宋体" w:hAnsi="宋体" w:cs="宋体" w:eastAsia="宋体" w:hint="default"/>
                            <w:sz w:val="18"/>
                            <w:szCs w:val="18"/>
                          </w:rPr>
                          <w:t> </w:t>
                        </w:r>
                      </w:p>
                    </w:tc>
                  </w:tr>
                  <w:tr>
                    <w:trPr>
                      <w:trHeight w:val="713"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30,997,377.49</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0.34%</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46,099,808.20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0.47%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-0.13%</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83"/>
                          <w:jc w:val="left"/>
                          <w:rPr>
                            <w:rFonts w:ascii="宋体" w:hAnsi="宋体" w:cs="宋体" w:eastAsia="宋体" w:hint="default"/>
                            <w:sz w:val="18"/>
                            <w:szCs w:val="18"/>
                          </w:rPr>
                        </w:pPr>
                        <w:r>
                          <w:rPr>
                            <w:rFonts w:ascii="宋体" w:hAnsi="宋体" w:cs="宋体" w:eastAsia="宋体" w:hint="default"/>
                            <w:sz w:val="18"/>
                            <w:szCs w:val="18"/>
                          </w:rPr>
                          <w:t>主要原因是本期政府补助结转至损 益所致；</w:t>
                        </w:r>
                        <w:r>
                          <w:rPr>
                            <w:rFonts w:ascii="宋体" w:hAnsi="宋体" w:cs="宋体" w:eastAsia="宋体" w:hint="default"/>
                            <w:sz w:val="18"/>
                            <w:szCs w:val="18"/>
                          </w:rPr>
                          <w:t> </w:t>
                        </w:r>
                      </w:p>
                    </w:tc>
                  </w:tr>
                  <w:tr>
                    <w:trPr>
                      <w:trHeight w:val="715"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库存股</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359,752,548.8</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9</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3.90%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77,973,177.02</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0.80%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3.10%</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83"/>
                          <w:jc w:val="left"/>
                          <w:rPr>
                            <w:rFonts w:ascii="宋体" w:hAnsi="宋体" w:cs="宋体" w:eastAsia="宋体" w:hint="default"/>
                            <w:sz w:val="18"/>
                            <w:szCs w:val="18"/>
                          </w:rPr>
                        </w:pPr>
                        <w:r>
                          <w:rPr>
                            <w:rFonts w:ascii="宋体" w:hAnsi="宋体" w:cs="宋体" w:eastAsia="宋体" w:hint="default"/>
                            <w:sz w:val="18"/>
                            <w:szCs w:val="18"/>
                          </w:rPr>
                          <w:t>主要原因是本期发行限制性股票所 致；</w:t>
                        </w:r>
                        <w:r>
                          <w:rPr>
                            <w:rFonts w:ascii="宋体" w:hAnsi="宋体" w:cs="宋体" w:eastAsia="宋体" w:hint="default"/>
                            <w:sz w:val="18"/>
                            <w:szCs w:val="18"/>
                          </w:rPr>
                          <w:t> </w:t>
                        </w:r>
                      </w:p>
                    </w:tc>
                  </w:tr>
                  <w:tr>
                    <w:trPr>
                      <w:trHeight w:val="401"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13,581,178.21</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0.15%</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5,933,809.71</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0.09%</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主要原因是外币报表折算差额所致；</w:t>
                        </w:r>
                      </w:p>
                    </w:tc>
                  </w:tr>
                  <w:tr>
                    <w:trPr>
                      <w:trHeight w:val="403"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19"/>
                          <w:jc w:val="right"/>
                          <w:rPr>
                            <w:rFonts w:ascii="Times New Roman" w:hAnsi="Times New Roman" w:cs="Times New Roman" w:eastAsia="Times New Roman" w:hint="default"/>
                            <w:sz w:val="18"/>
                            <w:szCs w:val="18"/>
                          </w:rPr>
                        </w:pPr>
                        <w:r>
                          <w:rPr>
                            <w:rFonts w:ascii="Times New Roman"/>
                            <w:spacing w:val="-1"/>
                            <w:sz w:val="18"/>
                          </w:rPr>
                          <w:t>1,535,012,703.</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16.66%</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19"/>
                          <w:jc w:val="right"/>
                          <w:rPr>
                            <w:rFonts w:ascii="Times New Roman" w:hAnsi="Times New Roman" w:cs="Times New Roman" w:eastAsia="Times New Roman" w:hint="default"/>
                            <w:sz w:val="18"/>
                            <w:szCs w:val="18"/>
                          </w:rPr>
                        </w:pPr>
                        <w:r>
                          <w:rPr>
                            <w:rFonts w:ascii="Times New Roman"/>
                            <w:spacing w:val="-1"/>
                            <w:sz w:val="18"/>
                          </w:rPr>
                          <w:t>1,110,939,772.</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11.34%</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5.32%</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主要原因为本期利润增长所致。</w:t>
                        </w:r>
                        <w:r>
                          <w:rPr>
                            <w:rFonts w:ascii="宋体" w:hAnsi="宋体" w:cs="宋体" w:eastAsia="宋体" w:hint="default"/>
                            <w:sz w:val="18"/>
                            <w:szCs w:val="18"/>
                          </w:rPr>
                          <w:t> </w:t>
                        </w:r>
                      </w:p>
                    </w:tc>
                  </w:tr>
                </w:tbl>
                <w:p>
                  <w:pPr/>
                </w:p>
              </w:txbxContent>
            </v:textbox>
            <w10:wrap type="none"/>
          </v:shape>
        </w:pic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BodyText"/>
        <w:spacing w:line="240" w:lineRule="auto"/>
        <w:ind w:left="0" w:right="1143"/>
        <w:jc w:val="right"/>
      </w:pP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1"/>
          <w:szCs w:val="21"/>
        </w:rPr>
      </w:pPr>
    </w:p>
    <w:p>
      <w:pPr>
        <w:pStyle w:val="BodyText"/>
        <w:spacing w:line="240" w:lineRule="auto" w:before="44"/>
        <w:ind w:left="0" w:right="1143"/>
        <w:jc w:val="right"/>
      </w:pPr>
      <w:r>
        <w:rPr/>
        <w:t>；</w:t>
      </w:r>
    </w:p>
    <w:p>
      <w:pPr>
        <w:spacing w:after="0" w:line="240" w:lineRule="auto"/>
        <w:jc w:val="right"/>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367"/>
        <w:gridCol w:w="1164"/>
        <w:gridCol w:w="1064"/>
        <w:gridCol w:w="1195"/>
        <w:gridCol w:w="1064"/>
        <w:gridCol w:w="797"/>
        <w:gridCol w:w="2919"/>
      </w:tblGrid>
      <w:tr>
        <w:trPr>
          <w:trHeight w:val="363"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7"/>
              <w:jc w:val="right"/>
              <w:rPr>
                <w:rFonts w:ascii="Times New Roman" w:hAnsi="Times New Roman" w:cs="Times New Roman" w:eastAsia="Times New Roman" w:hint="default"/>
                <w:sz w:val="18"/>
                <w:szCs w:val="18"/>
              </w:rPr>
            </w:pPr>
            <w:r>
              <w:rPr>
                <w:rFonts w:ascii="Times New Roman"/>
                <w:sz w:val="18"/>
              </w:rPr>
              <w:t>46</w:t>
            </w:r>
          </w:p>
        </w:tc>
        <w:tc>
          <w:tcPr>
            <w:tcW w:w="1064"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7"/>
              <w:jc w:val="right"/>
              <w:rPr>
                <w:rFonts w:ascii="Times New Roman" w:hAnsi="Times New Roman" w:cs="Times New Roman" w:eastAsia="Times New Roman" w:hint="default"/>
                <w:sz w:val="18"/>
                <w:szCs w:val="18"/>
              </w:rPr>
            </w:pPr>
            <w:r>
              <w:rPr>
                <w:rFonts w:ascii="Times New Roman"/>
                <w:sz w:val="18"/>
              </w:rPr>
              <w:t>85</w:t>
            </w:r>
          </w:p>
        </w:tc>
        <w:tc>
          <w:tcPr>
            <w:tcW w:w="1064"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2919"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rFonts w:ascii="Times New Roman" w:hAnsi="Times New Roman" w:cs="Times New Roman" w:eastAsia="Times New Roman" w:hint="default"/>
        </w:rPr>
        <w:t>2</w:t>
      </w:r>
      <w:r>
        <w:rPr/>
        <w:t>、以公允价值计量的资产和负债</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13"/>
        <w:rPr>
          <w:rFonts w:ascii="宋体" w:hAnsi="宋体" w:cs="宋体" w:eastAsia="宋体" w:hint="default"/>
          <w:sz w:val="25"/>
          <w:szCs w:val="25"/>
        </w:rPr>
      </w:pPr>
    </w:p>
    <w:p>
      <w:pPr>
        <w:pStyle w:val="Heading4"/>
        <w:spacing w:line="240" w:lineRule="auto"/>
        <w:ind w:right="982"/>
        <w:jc w:val="left"/>
        <w:rPr>
          <w:b w:val="0"/>
          <w:bCs w:val="0"/>
        </w:rPr>
      </w:pPr>
      <w:r>
        <w:rPr>
          <w:rFonts w:ascii="Times New Roman" w:hAnsi="Times New Roman" w:cs="Times New Roman" w:eastAsia="Times New Roman" w:hint="default"/>
        </w:rPr>
        <w:t>3</w:t>
      </w:r>
      <w:r>
        <w:rPr/>
        <w:t>、截至报告期末的资产权利受限情况</w:t>
      </w:r>
      <w:r>
        <w:rPr>
          <w:b w:val="0"/>
          <w:bCs w:val="0"/>
        </w:rPr>
      </w:r>
    </w:p>
    <w:p>
      <w:pPr>
        <w:spacing w:line="240" w:lineRule="auto" w:before="4"/>
        <w:rPr>
          <w:rFonts w:ascii="宋体" w:hAnsi="宋体" w:cs="宋体" w:eastAsia="宋体" w:hint="default"/>
          <w:b/>
          <w:bCs/>
          <w:sz w:val="26"/>
          <w:szCs w:val="26"/>
        </w:rPr>
      </w:pPr>
    </w:p>
    <w:p>
      <w:pPr>
        <w:pStyle w:val="BodyText"/>
        <w:spacing w:line="300" w:lineRule="auto"/>
        <w:ind w:right="1124"/>
        <w:jc w:val="left"/>
      </w:pPr>
      <w:r>
        <w:rPr/>
        <w:t>截至报告期末，使用受限资金为</w:t>
      </w:r>
      <w:r>
        <w:rPr>
          <w:rFonts w:ascii="Times New Roman" w:hAnsi="Times New Roman" w:cs="Times New Roman" w:eastAsia="Times New Roman" w:hint="default"/>
        </w:rPr>
        <w:t>3</w:t>
      </w:r>
      <w:r>
        <w:rPr/>
        <w:t>个月以上定期存款</w:t>
      </w:r>
      <w:r>
        <w:rPr>
          <w:rFonts w:ascii="Times New Roman" w:hAnsi="Times New Roman" w:cs="Times New Roman" w:eastAsia="Times New Roman" w:hint="default"/>
        </w:rPr>
        <w:t>195,135,610.25</w:t>
      </w:r>
      <w:r>
        <w:rPr/>
        <w:t>元，应付票据保证金及履约保函保证金</w:t>
      </w:r>
      <w:r>
        <w:rPr>
          <w:rFonts w:ascii="Times New Roman" w:hAnsi="Times New Roman" w:cs="Times New Roman" w:eastAsia="Times New Roman" w:hint="default"/>
        </w:rPr>
        <w:t>27,522,551.31</w:t>
      </w:r>
      <w:r>
        <w:rPr/>
        <w:t>元。 截至报告期末，已质押的应收银行承兑汇票</w:t>
      </w:r>
      <w:r>
        <w:rPr>
          <w:rFonts w:ascii="Times New Roman" w:hAnsi="Times New Roman" w:cs="Times New Roman" w:eastAsia="Times New Roman" w:hint="default"/>
        </w:rPr>
        <w:t>17,230,964.80</w:t>
      </w:r>
      <w:r>
        <w:rPr/>
        <w:t>元，作为开出应付票据的保证金。</w:t>
      </w:r>
    </w:p>
    <w:p>
      <w:pPr>
        <w:spacing w:line="240" w:lineRule="auto" w:before="5"/>
        <w:rPr>
          <w:rFonts w:ascii="宋体" w:hAnsi="宋体" w:cs="宋体" w:eastAsia="宋体" w:hint="default"/>
          <w:sz w:val="20"/>
          <w:szCs w:val="20"/>
        </w:rPr>
      </w:pPr>
    </w:p>
    <w:p>
      <w:pPr>
        <w:pStyle w:val="Heading2"/>
        <w:spacing w:line="240" w:lineRule="auto"/>
        <w:ind w:right="982"/>
        <w:jc w:val="left"/>
        <w:rPr>
          <w:b w:val="0"/>
          <w:bCs w:val="0"/>
        </w:rPr>
      </w:pPr>
      <w:r>
        <w:rPr/>
        <w:t>五、投资状况分析</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982"/>
        <w:jc w:val="left"/>
        <w:rPr>
          <w:b w:val="0"/>
          <w:bCs w:val="0"/>
        </w:rPr>
      </w:pPr>
      <w:r>
        <w:rPr>
          <w:rFonts w:ascii="Times New Roman" w:hAnsi="Times New Roman" w:cs="Times New Roman" w:eastAsia="Times New Roman" w:hint="default"/>
        </w:rPr>
        <w:t>1</w:t>
      </w:r>
      <w:r>
        <w:rPr/>
        <w:t>、总体情况</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4"/>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80" w:right="0"/>
              <w:jc w:val="left"/>
              <w:rPr>
                <w:rFonts w:ascii="宋体" w:hAnsi="宋体" w:cs="宋体" w:eastAsia="宋体" w:hint="default"/>
                <w:sz w:val="18"/>
                <w:szCs w:val="18"/>
              </w:rPr>
            </w:pPr>
            <w:r>
              <w:rPr>
                <w:rFonts w:ascii="宋体" w:hAnsi="宋体" w:cs="宋体" w:eastAsia="宋体" w:hint="default"/>
                <w:sz w:val="18"/>
                <w:szCs w:val="18"/>
              </w:rPr>
              <w:t>报告期投资额（元）</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91" w:right="0"/>
              <w:jc w:val="left"/>
              <w:rPr>
                <w:rFonts w:ascii="宋体" w:hAnsi="宋体" w:cs="宋体" w:eastAsia="宋体" w:hint="default"/>
                <w:sz w:val="18"/>
                <w:szCs w:val="18"/>
              </w:rPr>
            </w:pPr>
            <w:r>
              <w:rPr>
                <w:rFonts w:ascii="宋体" w:hAnsi="宋体" w:cs="宋体" w:eastAsia="宋体" w:hint="default"/>
                <w:sz w:val="18"/>
                <w:szCs w:val="18"/>
              </w:rPr>
              <w:t>上年同期投资额（元）</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变动幅度</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30" w:right="0"/>
              <w:jc w:val="left"/>
              <w:rPr>
                <w:rFonts w:ascii="Times New Roman" w:hAnsi="Times New Roman" w:cs="Times New Roman" w:eastAsia="Times New Roman" w:hint="default"/>
                <w:sz w:val="18"/>
                <w:szCs w:val="18"/>
              </w:rPr>
            </w:pPr>
            <w:r>
              <w:rPr>
                <w:rFonts w:ascii="Times New Roman"/>
                <w:sz w:val="18"/>
              </w:rPr>
              <w:t>205,918,692.72</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98" w:right="0"/>
              <w:jc w:val="left"/>
              <w:rPr>
                <w:rFonts w:ascii="Times New Roman" w:hAnsi="Times New Roman" w:cs="Times New Roman" w:eastAsia="Times New Roman" w:hint="default"/>
                <w:sz w:val="18"/>
                <w:szCs w:val="18"/>
              </w:rPr>
            </w:pPr>
            <w:r>
              <w:rPr>
                <w:rFonts w:ascii="Times New Roman"/>
                <w:sz w:val="18"/>
              </w:rPr>
              <w:t>4,355,810,609.29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-95.27%</w:t>
            </w:r>
          </w:p>
        </w:tc>
      </w:tr>
    </w:tbl>
    <w:p>
      <w:pPr>
        <w:pStyle w:val="BodyText"/>
        <w:spacing w:line="240" w:lineRule="auto" w:before="49"/>
        <w:ind w:right="982"/>
        <w:jc w:val="left"/>
        <w:rPr>
          <w:rFonts w:ascii="宋体" w:hAnsi="宋体" w:cs="宋体" w:eastAsia="宋体" w:hint="default"/>
        </w:rPr>
      </w:pPr>
      <w:r>
        <w:rPr/>
        <w:t>注：本报告期投资额大幅减少，主要原因是上期收购杰发科技所致。</w:t>
      </w:r>
      <w:r>
        <w:rPr>
          <w:rFonts w:ascii="宋体" w:hAnsi="宋体" w:cs="宋体" w:eastAsia="宋体" w:hint="default"/>
        </w:rPr>
        <w:t> </w:t>
      </w:r>
    </w:p>
    <w:p>
      <w:pPr>
        <w:spacing w:line="240" w:lineRule="auto" w:before="0"/>
        <w:rPr>
          <w:rFonts w:ascii="宋体" w:hAnsi="宋体" w:cs="宋体" w:eastAsia="宋体" w:hint="default"/>
          <w:sz w:val="18"/>
          <w:szCs w:val="18"/>
        </w:rPr>
      </w:pPr>
    </w:p>
    <w:p>
      <w:pPr>
        <w:pStyle w:val="Heading4"/>
        <w:spacing w:line="240" w:lineRule="auto" w:before="118"/>
        <w:ind w:right="982"/>
        <w:jc w:val="left"/>
        <w:rPr>
          <w:b w:val="0"/>
          <w:bCs w:val="0"/>
        </w:rPr>
      </w:pPr>
      <w:r>
        <w:rPr>
          <w:rFonts w:ascii="Times New Roman" w:hAnsi="Times New Roman" w:cs="Times New Roman" w:eastAsia="Times New Roman" w:hint="default"/>
        </w:rPr>
        <w:t>2</w:t>
      </w:r>
      <w:r>
        <w:rPr/>
        <w:t>、报告期内获取的重大的股权投资情况</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2"/>
        <w:rPr>
          <w:rFonts w:ascii="宋体" w:hAnsi="宋体" w:cs="宋体" w:eastAsia="宋体" w:hint="default"/>
          <w:sz w:val="26"/>
          <w:szCs w:val="26"/>
        </w:rPr>
      </w:pPr>
    </w:p>
    <w:p>
      <w:pPr>
        <w:pStyle w:val="Heading4"/>
        <w:spacing w:line="240" w:lineRule="auto"/>
        <w:ind w:right="982"/>
        <w:jc w:val="left"/>
        <w:rPr>
          <w:b w:val="0"/>
          <w:bCs w:val="0"/>
        </w:rPr>
      </w:pPr>
      <w:r>
        <w:rPr>
          <w:rFonts w:ascii="Times New Roman" w:hAnsi="Times New Roman" w:cs="Times New Roman" w:eastAsia="Times New Roman" w:hint="default"/>
        </w:rPr>
        <w:t>3</w:t>
      </w:r>
      <w:r>
        <w:rPr/>
        <w:t>、报告期内正在进行的重大的非股权投资情况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13"/>
        <w:rPr>
          <w:rFonts w:ascii="宋体" w:hAnsi="宋体" w:cs="宋体" w:eastAsia="宋体" w:hint="default"/>
          <w:sz w:val="25"/>
          <w:szCs w:val="25"/>
        </w:rPr>
      </w:pPr>
    </w:p>
    <w:p>
      <w:pPr>
        <w:pStyle w:val="Heading4"/>
        <w:spacing w:line="240" w:lineRule="auto"/>
        <w:ind w:right="982"/>
        <w:jc w:val="left"/>
        <w:rPr>
          <w:b w:val="0"/>
          <w:bCs w:val="0"/>
        </w:rPr>
      </w:pPr>
      <w:r>
        <w:rPr>
          <w:rFonts w:ascii="Times New Roman" w:hAnsi="Times New Roman" w:cs="Times New Roman" w:eastAsia="Times New Roman" w:hint="default"/>
        </w:rPr>
        <w:t>4</w:t>
      </w:r>
      <w:r>
        <w:rPr/>
        <w:t>、以公允价值计量的金融资产</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2"/>
        <w:rPr>
          <w:rFonts w:ascii="宋体" w:hAnsi="宋体" w:cs="宋体" w:eastAsia="宋体" w:hint="default"/>
          <w:sz w:val="26"/>
          <w:szCs w:val="26"/>
        </w:rPr>
      </w:pPr>
    </w:p>
    <w:p>
      <w:pPr>
        <w:pStyle w:val="Heading4"/>
        <w:spacing w:line="240" w:lineRule="auto"/>
        <w:ind w:right="982"/>
        <w:jc w:val="left"/>
        <w:rPr>
          <w:b w:val="0"/>
          <w:bCs w:val="0"/>
        </w:rPr>
      </w:pPr>
      <w:r>
        <w:rPr>
          <w:rFonts w:ascii="Times New Roman" w:hAnsi="Times New Roman" w:cs="Times New Roman" w:eastAsia="Times New Roman" w:hint="default"/>
        </w:rPr>
        <w:t>5</w:t>
      </w:r>
      <w:r>
        <w:rPr/>
        <w:t>、募集资金使用情况</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13"/>
        <w:rPr>
          <w:rFonts w:ascii="宋体" w:hAnsi="宋体" w:cs="宋体" w:eastAsia="宋体" w:hint="default"/>
          <w:sz w:val="25"/>
          <w:szCs w:val="25"/>
        </w:rPr>
      </w:pPr>
    </w:p>
    <w:p>
      <w:pPr>
        <w:pStyle w:val="Heading4"/>
        <w:spacing w:line="240" w:lineRule="auto"/>
        <w:ind w:right="982"/>
        <w:jc w:val="left"/>
        <w:rPr>
          <w:b w:val="0"/>
          <w:bCs w:val="0"/>
        </w:rPr>
      </w:pPr>
      <w:r>
        <w:rPr/>
        <w:t>（</w:t>
      </w:r>
      <w:r>
        <w:rPr>
          <w:rFonts w:ascii="Times New Roman" w:hAnsi="Times New Roman" w:cs="Times New Roman" w:eastAsia="Times New Roman" w:hint="default"/>
        </w:rPr>
        <w:t>1</w:t>
      </w:r>
      <w:r>
        <w:rPr/>
        <w:t>）募集资金总体使用情况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240" w:lineRule="auto" w:before="103"/>
        <w:ind w:left="0" w:right="1131"/>
        <w:jc w:val="right"/>
      </w:pPr>
      <w:r>
        <w:rPr/>
        <w:t>单位：万元</w:t>
      </w:r>
    </w:p>
    <w:p>
      <w:pPr>
        <w:spacing w:line="240" w:lineRule="auto" w:before="9"/>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866"/>
        <w:gridCol w:w="862"/>
        <w:gridCol w:w="878"/>
        <w:gridCol w:w="869"/>
        <w:gridCol w:w="871"/>
        <w:gridCol w:w="869"/>
        <w:gridCol w:w="869"/>
        <w:gridCol w:w="871"/>
        <w:gridCol w:w="869"/>
        <w:gridCol w:w="872"/>
        <w:gridCol w:w="858"/>
      </w:tblGrid>
      <w:tr>
        <w:trPr>
          <w:trHeight w:val="1015" w:hRule="exact"/>
        </w:trPr>
        <w:tc>
          <w:tcPr>
            <w:tcW w:w="8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0"/>
              <w:ind w:left="68" w:right="0"/>
              <w:jc w:val="left"/>
              <w:rPr>
                <w:rFonts w:ascii="宋体" w:hAnsi="宋体" w:cs="宋体" w:eastAsia="宋体" w:hint="default"/>
                <w:sz w:val="18"/>
                <w:szCs w:val="18"/>
              </w:rPr>
            </w:pPr>
            <w:r>
              <w:rPr>
                <w:rFonts w:ascii="宋体" w:hAnsi="宋体" w:cs="宋体" w:eastAsia="宋体" w:hint="default"/>
                <w:sz w:val="18"/>
                <w:szCs w:val="18"/>
              </w:rPr>
              <w:t>募集年份</w:t>
            </w:r>
          </w:p>
        </w:tc>
        <w:tc>
          <w:tcPr>
            <w:tcW w:w="8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0"/>
              <w:ind w:left="67" w:right="0"/>
              <w:jc w:val="left"/>
              <w:rPr>
                <w:rFonts w:ascii="宋体" w:hAnsi="宋体" w:cs="宋体" w:eastAsia="宋体" w:hint="default"/>
                <w:sz w:val="18"/>
                <w:szCs w:val="18"/>
              </w:rPr>
            </w:pPr>
            <w:r>
              <w:rPr>
                <w:rFonts w:ascii="宋体" w:hAnsi="宋体" w:cs="宋体" w:eastAsia="宋体" w:hint="default"/>
                <w:sz w:val="18"/>
                <w:szCs w:val="18"/>
              </w:rPr>
              <w:t>募集方式</w:t>
            </w:r>
          </w:p>
        </w:tc>
        <w:tc>
          <w:tcPr>
            <w:tcW w:w="8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5"/>
                <w:szCs w:val="15"/>
              </w:rPr>
            </w:pPr>
          </w:p>
          <w:p>
            <w:pPr>
              <w:pStyle w:val="TableParagraph"/>
              <w:spacing w:line="316" w:lineRule="auto"/>
              <w:ind w:left="256" w:right="71" w:hanging="180"/>
              <w:jc w:val="left"/>
              <w:rPr>
                <w:rFonts w:ascii="宋体" w:hAnsi="宋体" w:cs="宋体" w:eastAsia="宋体" w:hint="default"/>
                <w:sz w:val="18"/>
                <w:szCs w:val="18"/>
              </w:rPr>
            </w:pPr>
            <w:r>
              <w:rPr>
                <w:rFonts w:ascii="宋体" w:hAnsi="宋体" w:cs="宋体" w:eastAsia="宋体" w:hint="default"/>
                <w:sz w:val="18"/>
                <w:szCs w:val="18"/>
              </w:rPr>
              <w:t>募集资金 总额</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4"/>
              <w:ind w:left="69" w:right="68"/>
              <w:jc w:val="both"/>
              <w:rPr>
                <w:rFonts w:ascii="宋体" w:hAnsi="宋体" w:cs="宋体" w:eastAsia="宋体" w:hint="default"/>
                <w:sz w:val="18"/>
                <w:szCs w:val="18"/>
              </w:rPr>
            </w:pPr>
            <w:r>
              <w:rPr>
                <w:rFonts w:ascii="宋体" w:hAnsi="宋体" w:cs="宋体" w:eastAsia="宋体" w:hint="default"/>
                <w:sz w:val="18"/>
                <w:szCs w:val="18"/>
              </w:rPr>
              <w:t>本期已使 用募集资 金总额</w:t>
            </w:r>
          </w:p>
        </w:tc>
        <w:tc>
          <w:tcPr>
            <w:tcW w:w="8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4"/>
              <w:ind w:left="69" w:right="71"/>
              <w:jc w:val="both"/>
              <w:rPr>
                <w:rFonts w:ascii="宋体" w:hAnsi="宋体" w:cs="宋体" w:eastAsia="宋体" w:hint="default"/>
                <w:sz w:val="18"/>
                <w:szCs w:val="18"/>
              </w:rPr>
            </w:pPr>
            <w:r>
              <w:rPr>
                <w:rFonts w:ascii="宋体" w:hAnsi="宋体" w:cs="宋体" w:eastAsia="宋体" w:hint="default"/>
                <w:sz w:val="18"/>
                <w:szCs w:val="18"/>
              </w:rPr>
              <w:t>已累计使 用募集资 金总额</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63"/>
              <w:ind w:left="69" w:right="67"/>
              <w:jc w:val="both"/>
              <w:rPr>
                <w:rFonts w:ascii="宋体" w:hAnsi="宋体" w:cs="宋体" w:eastAsia="宋体" w:hint="default"/>
                <w:sz w:val="18"/>
                <w:szCs w:val="18"/>
              </w:rPr>
            </w:pPr>
            <w:r>
              <w:rPr>
                <w:rFonts w:ascii="宋体" w:hAnsi="宋体" w:cs="宋体" w:eastAsia="宋体" w:hint="default"/>
                <w:sz w:val="18"/>
                <w:szCs w:val="18"/>
              </w:rPr>
              <w:t>报告期内 变更用途 的募集资</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63"/>
              <w:ind w:left="69" w:right="69"/>
              <w:jc w:val="both"/>
              <w:rPr>
                <w:rFonts w:ascii="宋体" w:hAnsi="宋体" w:cs="宋体" w:eastAsia="宋体" w:hint="default"/>
                <w:sz w:val="18"/>
                <w:szCs w:val="18"/>
              </w:rPr>
            </w:pPr>
            <w:r>
              <w:rPr>
                <w:rFonts w:ascii="宋体" w:hAnsi="宋体" w:cs="宋体" w:eastAsia="宋体" w:hint="default"/>
                <w:sz w:val="18"/>
                <w:szCs w:val="18"/>
              </w:rPr>
              <w:t>累计变更 用途的募 集资金总</w:t>
            </w:r>
          </w:p>
        </w:tc>
        <w:tc>
          <w:tcPr>
            <w:tcW w:w="8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63"/>
              <w:ind w:left="71" w:right="67"/>
              <w:jc w:val="both"/>
              <w:rPr>
                <w:rFonts w:ascii="宋体" w:hAnsi="宋体" w:cs="宋体" w:eastAsia="宋体" w:hint="default"/>
                <w:sz w:val="18"/>
                <w:szCs w:val="18"/>
              </w:rPr>
            </w:pPr>
            <w:r>
              <w:rPr>
                <w:rFonts w:ascii="宋体" w:hAnsi="宋体" w:cs="宋体" w:eastAsia="宋体" w:hint="default"/>
                <w:sz w:val="18"/>
                <w:szCs w:val="18"/>
              </w:rPr>
              <w:t>累计变更 用途的募 集资金总</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4"/>
              <w:ind w:left="69" w:right="67"/>
              <w:jc w:val="center"/>
              <w:rPr>
                <w:rFonts w:ascii="宋体" w:hAnsi="宋体" w:cs="宋体" w:eastAsia="宋体" w:hint="default"/>
                <w:sz w:val="18"/>
                <w:szCs w:val="18"/>
              </w:rPr>
            </w:pPr>
            <w:r>
              <w:rPr>
                <w:rFonts w:ascii="宋体" w:hAnsi="宋体" w:cs="宋体" w:eastAsia="宋体" w:hint="default"/>
                <w:sz w:val="18"/>
                <w:szCs w:val="18"/>
              </w:rPr>
              <w:t>尚未使用 募集资金 总额</w:t>
            </w:r>
          </w:p>
        </w:tc>
        <w:tc>
          <w:tcPr>
            <w:tcW w:w="8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63"/>
              <w:ind w:left="71" w:right="68"/>
              <w:jc w:val="both"/>
              <w:rPr>
                <w:rFonts w:ascii="宋体" w:hAnsi="宋体" w:cs="宋体" w:eastAsia="宋体" w:hint="default"/>
                <w:sz w:val="18"/>
                <w:szCs w:val="18"/>
              </w:rPr>
            </w:pPr>
            <w:r>
              <w:rPr>
                <w:rFonts w:ascii="宋体" w:hAnsi="宋体" w:cs="宋体" w:eastAsia="宋体" w:hint="default"/>
                <w:sz w:val="18"/>
                <w:szCs w:val="18"/>
              </w:rPr>
              <w:t>尚未使用 募集资金 用途及去</w:t>
            </w:r>
          </w:p>
        </w:tc>
        <w:tc>
          <w:tcPr>
            <w:tcW w:w="8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4"/>
              <w:ind w:left="69" w:right="56"/>
              <w:jc w:val="both"/>
              <w:rPr>
                <w:rFonts w:ascii="宋体" w:hAnsi="宋体" w:cs="宋体" w:eastAsia="宋体" w:hint="default"/>
                <w:sz w:val="18"/>
                <w:szCs w:val="18"/>
              </w:rPr>
            </w:pPr>
            <w:r>
              <w:rPr>
                <w:rFonts w:ascii="宋体" w:hAnsi="宋体" w:cs="宋体" w:eastAsia="宋体" w:hint="default"/>
                <w:sz w:val="18"/>
                <w:szCs w:val="18"/>
              </w:rPr>
              <w:t>闲置两年 以上募集 资金金额</w:t>
            </w:r>
          </w:p>
        </w:tc>
      </w:tr>
    </w:tbl>
    <w:p>
      <w:pPr>
        <w:spacing w:after="0" w:line="316" w:lineRule="auto"/>
        <w:jc w:val="both"/>
        <w:rPr>
          <w:rFonts w:ascii="宋体" w:hAnsi="宋体" w:cs="宋体" w:eastAsia="宋体" w:hint="default"/>
          <w:sz w:val="18"/>
          <w:szCs w:val="18"/>
        </w:rPr>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867"/>
        <w:gridCol w:w="862"/>
        <w:gridCol w:w="878"/>
        <w:gridCol w:w="869"/>
        <w:gridCol w:w="871"/>
        <w:gridCol w:w="869"/>
        <w:gridCol w:w="869"/>
        <w:gridCol w:w="871"/>
        <w:gridCol w:w="869"/>
        <w:gridCol w:w="872"/>
        <w:gridCol w:w="869"/>
      </w:tblGrid>
      <w:tr>
        <w:trPr>
          <w:trHeight w:val="363" w:hRule="exact"/>
        </w:trPr>
        <w:tc>
          <w:tcPr>
            <w:tcW w:w="86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86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87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87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160" w:right="0"/>
              <w:jc w:val="left"/>
              <w:rPr>
                <w:rFonts w:ascii="宋体" w:hAnsi="宋体" w:cs="宋体" w:eastAsia="宋体" w:hint="default"/>
                <w:sz w:val="18"/>
                <w:szCs w:val="18"/>
              </w:rPr>
            </w:pPr>
            <w:r>
              <w:rPr>
                <w:rFonts w:ascii="宋体" w:hAnsi="宋体" w:cs="宋体" w:eastAsia="宋体" w:hint="default"/>
                <w:sz w:val="18"/>
                <w:szCs w:val="18"/>
              </w:rPr>
              <w:t>金总额</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2" w:right="0"/>
              <w:jc w:val="center"/>
              <w:rPr>
                <w:rFonts w:ascii="宋体" w:hAnsi="宋体" w:cs="宋体" w:eastAsia="宋体" w:hint="default"/>
                <w:sz w:val="18"/>
                <w:szCs w:val="18"/>
              </w:rPr>
            </w:pPr>
            <w:r>
              <w:rPr>
                <w:rFonts w:ascii="宋体" w:hAnsi="宋体" w:cs="宋体" w:eastAsia="宋体" w:hint="default"/>
                <w:sz w:val="18"/>
                <w:szCs w:val="18"/>
              </w:rPr>
              <w:t>额</w:t>
            </w:r>
          </w:p>
        </w:tc>
        <w:tc>
          <w:tcPr>
            <w:tcW w:w="8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163" w:right="0"/>
              <w:jc w:val="left"/>
              <w:rPr>
                <w:rFonts w:ascii="宋体" w:hAnsi="宋体" w:cs="宋体" w:eastAsia="宋体" w:hint="default"/>
                <w:sz w:val="18"/>
                <w:szCs w:val="18"/>
              </w:rPr>
            </w:pPr>
            <w:r>
              <w:rPr>
                <w:rFonts w:ascii="宋体" w:hAnsi="宋体" w:cs="宋体" w:eastAsia="宋体" w:hint="default"/>
                <w:sz w:val="18"/>
                <w:szCs w:val="18"/>
              </w:rPr>
              <w:t>额比例</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8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343" w:right="0"/>
              <w:jc w:val="left"/>
              <w:rPr>
                <w:rFonts w:ascii="宋体" w:hAnsi="宋体" w:cs="宋体" w:eastAsia="宋体" w:hint="default"/>
                <w:sz w:val="18"/>
                <w:szCs w:val="18"/>
              </w:rPr>
            </w:pPr>
            <w:r>
              <w:rPr>
                <w:rFonts w:ascii="宋体" w:hAnsi="宋体" w:cs="宋体" w:eastAsia="宋体" w:hint="default"/>
                <w:sz w:val="18"/>
                <w:szCs w:val="18"/>
              </w:rPr>
              <w:t>向</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1337" w:hRule="exact"/>
        </w:trPr>
        <w:tc>
          <w:tcPr>
            <w:tcW w:w="8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4"/>
              <w:ind w:left="23" w:right="107"/>
              <w:jc w:val="left"/>
              <w:rPr>
                <w:rFonts w:ascii="宋体" w:hAnsi="宋体" w:cs="宋体" w:eastAsia="宋体" w:hint="default"/>
                <w:sz w:val="18"/>
                <w:szCs w:val="18"/>
              </w:rPr>
            </w:pPr>
            <w:r>
              <w:rPr>
                <w:rFonts w:ascii="宋体" w:hAnsi="宋体" w:cs="宋体" w:eastAsia="宋体" w:hint="default"/>
                <w:sz w:val="18"/>
                <w:szCs w:val="18"/>
              </w:rPr>
              <w:t>首次公开 发行股票</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9"/>
              <w:jc w:val="right"/>
              <w:rPr>
                <w:rFonts w:ascii="Times New Roman" w:hAnsi="Times New Roman" w:cs="Times New Roman" w:eastAsia="Times New Roman" w:hint="default"/>
                <w:sz w:val="18"/>
                <w:szCs w:val="18"/>
              </w:rPr>
            </w:pPr>
            <w:r>
              <w:rPr>
                <w:rFonts w:ascii="Times New Roman"/>
                <w:spacing w:val="-1"/>
                <w:sz w:val="18"/>
              </w:rPr>
              <w:t>137,867.88</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9"/>
              <w:jc w:val="right"/>
              <w:rPr>
                <w:rFonts w:ascii="Times New Roman" w:hAnsi="Times New Roman" w:cs="Times New Roman" w:eastAsia="Times New Roman" w:hint="default"/>
                <w:sz w:val="18"/>
                <w:szCs w:val="18"/>
              </w:rPr>
            </w:pPr>
            <w:r>
              <w:rPr>
                <w:rFonts w:ascii="Times New Roman"/>
                <w:spacing w:val="-1"/>
                <w:sz w:val="18"/>
              </w:rPr>
              <w:t>10,910.81</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pacing w:val="-1"/>
                <w:sz w:val="18"/>
              </w:rPr>
              <w:t>136,256.79</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8"/>
              <w:jc w:val="right"/>
              <w:rPr>
                <w:rFonts w:ascii="Times New Roman" w:hAnsi="Times New Roman" w:cs="Times New Roman" w:eastAsia="Times New Roman" w:hint="default"/>
                <w:sz w:val="18"/>
                <w:szCs w:val="18"/>
              </w:rPr>
            </w:pPr>
            <w:r>
              <w:rPr>
                <w:rFonts w:ascii="Times New Roman"/>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8"/>
              <w:jc w:val="right"/>
              <w:rPr>
                <w:rFonts w:ascii="Times New Roman" w:hAnsi="Times New Roman" w:cs="Times New Roman" w:eastAsia="Times New Roman" w:hint="default"/>
                <w:sz w:val="18"/>
                <w:szCs w:val="18"/>
              </w:rPr>
            </w:pPr>
            <w:r>
              <w:rPr>
                <w:rFonts w:ascii="Times New Roman"/>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pacing w:val="-1"/>
                <w:sz w:val="18"/>
              </w:rPr>
              <w:t>1,611.09</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6" w:right="113"/>
              <w:jc w:val="both"/>
              <w:rPr>
                <w:rFonts w:ascii="宋体" w:hAnsi="宋体" w:cs="宋体" w:eastAsia="宋体" w:hint="default"/>
                <w:sz w:val="18"/>
                <w:szCs w:val="18"/>
              </w:rPr>
            </w:pPr>
            <w:r>
              <w:rPr>
                <w:rFonts w:ascii="宋体" w:hAnsi="宋体" w:cs="宋体" w:eastAsia="宋体" w:hint="default"/>
                <w:sz w:val="18"/>
                <w:szCs w:val="18"/>
              </w:rPr>
              <w:t>存放在公 司的募集 资金专户 中</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pacing w:val="-1"/>
                <w:sz w:val="18"/>
              </w:rPr>
              <w:t>1,611.09</w:t>
            </w:r>
          </w:p>
        </w:tc>
      </w:tr>
      <w:tr>
        <w:trPr>
          <w:trHeight w:val="1339" w:hRule="exact"/>
        </w:trPr>
        <w:tc>
          <w:tcPr>
            <w:tcW w:w="8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4"/>
              <w:ind w:left="23" w:right="107"/>
              <w:jc w:val="left"/>
              <w:rPr>
                <w:rFonts w:ascii="宋体" w:hAnsi="宋体" w:cs="宋体" w:eastAsia="宋体" w:hint="default"/>
                <w:sz w:val="18"/>
                <w:szCs w:val="18"/>
              </w:rPr>
            </w:pPr>
            <w:r>
              <w:rPr>
                <w:rFonts w:ascii="宋体" w:hAnsi="宋体" w:cs="宋体" w:eastAsia="宋体" w:hint="default"/>
                <w:sz w:val="18"/>
                <w:szCs w:val="18"/>
              </w:rPr>
              <w:t>非公开发 行股票</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9"/>
              <w:jc w:val="right"/>
              <w:rPr>
                <w:rFonts w:ascii="Times New Roman" w:hAnsi="Times New Roman" w:cs="Times New Roman" w:eastAsia="Times New Roman" w:hint="default"/>
                <w:sz w:val="18"/>
                <w:szCs w:val="18"/>
              </w:rPr>
            </w:pPr>
            <w:r>
              <w:rPr>
                <w:rFonts w:ascii="Times New Roman"/>
                <w:spacing w:val="-1"/>
                <w:sz w:val="18"/>
              </w:rPr>
              <w:t>332,709.57</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7"/>
              <w:jc w:val="right"/>
              <w:rPr>
                <w:rFonts w:ascii="Times New Roman" w:hAnsi="Times New Roman" w:cs="Times New Roman" w:eastAsia="Times New Roman" w:hint="default"/>
                <w:sz w:val="18"/>
                <w:szCs w:val="18"/>
              </w:rPr>
            </w:pPr>
            <w:r>
              <w:rPr>
                <w:rFonts w:ascii="Times New Roman"/>
                <w:spacing w:val="-1"/>
                <w:sz w:val="18"/>
              </w:rPr>
              <w:t>110,283.90</w:t>
            </w:r>
            <w:r>
              <w:rPr>
                <w:rFonts w:ascii="Times New Roman"/>
                <w:sz w:val="18"/>
              </w:rPr>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pacing w:val="-1"/>
                <w:sz w:val="18"/>
              </w:rPr>
              <w:t>289,874.33</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8"/>
              <w:jc w:val="right"/>
              <w:rPr>
                <w:rFonts w:ascii="Times New Roman" w:hAnsi="Times New Roman" w:cs="Times New Roman" w:eastAsia="Times New Roman" w:hint="default"/>
                <w:sz w:val="18"/>
                <w:szCs w:val="18"/>
              </w:rPr>
            </w:pPr>
            <w:r>
              <w:rPr>
                <w:rFonts w:ascii="Times New Roman"/>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8"/>
              <w:jc w:val="right"/>
              <w:rPr>
                <w:rFonts w:ascii="Times New Roman" w:hAnsi="Times New Roman" w:cs="Times New Roman" w:eastAsia="Times New Roman" w:hint="default"/>
                <w:sz w:val="18"/>
                <w:szCs w:val="18"/>
              </w:rPr>
            </w:pPr>
            <w:r>
              <w:rPr>
                <w:rFonts w:ascii="Times New Roman"/>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9"/>
              <w:jc w:val="right"/>
              <w:rPr>
                <w:rFonts w:ascii="Times New Roman" w:hAnsi="Times New Roman" w:cs="Times New Roman" w:eastAsia="Times New Roman" w:hint="default"/>
                <w:sz w:val="18"/>
                <w:szCs w:val="18"/>
              </w:rPr>
            </w:pPr>
            <w:r>
              <w:rPr>
                <w:rFonts w:ascii="Times New Roman"/>
                <w:spacing w:val="-1"/>
                <w:sz w:val="18"/>
              </w:rPr>
              <w:t>42,835.24</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6" w:right="113"/>
              <w:jc w:val="both"/>
              <w:rPr>
                <w:rFonts w:ascii="宋体" w:hAnsi="宋体" w:cs="宋体" w:eastAsia="宋体" w:hint="default"/>
                <w:sz w:val="18"/>
                <w:szCs w:val="18"/>
              </w:rPr>
            </w:pPr>
            <w:r>
              <w:rPr>
                <w:rFonts w:ascii="宋体" w:hAnsi="宋体" w:cs="宋体" w:eastAsia="宋体" w:hint="default"/>
                <w:sz w:val="18"/>
                <w:szCs w:val="18"/>
              </w:rPr>
              <w:t>存放在公 司的募集 资金专户 中</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8"/>
              <w:jc w:val="right"/>
              <w:rPr>
                <w:rFonts w:ascii="Times New Roman" w:hAnsi="Times New Roman" w:cs="Times New Roman" w:eastAsia="Times New Roman" w:hint="default"/>
                <w:sz w:val="18"/>
                <w:szCs w:val="18"/>
              </w:rPr>
            </w:pPr>
            <w:r>
              <w:rPr>
                <w:rFonts w:ascii="Times New Roman"/>
                <w:sz w:val="18"/>
              </w:rPr>
              <w:t>0.00</w:t>
            </w:r>
          </w:p>
        </w:tc>
      </w:tr>
      <w:tr>
        <w:trPr>
          <w:trHeight w:val="1337" w:hRule="exact"/>
        </w:trPr>
        <w:tc>
          <w:tcPr>
            <w:tcW w:w="8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4"/>
              <w:ind w:left="23" w:right="107"/>
              <w:jc w:val="left"/>
              <w:rPr>
                <w:rFonts w:ascii="宋体" w:hAnsi="宋体" w:cs="宋体" w:eastAsia="宋体" w:hint="default"/>
                <w:sz w:val="18"/>
                <w:szCs w:val="18"/>
              </w:rPr>
            </w:pPr>
            <w:r>
              <w:rPr>
                <w:rFonts w:ascii="宋体" w:hAnsi="宋体" w:cs="宋体" w:eastAsia="宋体" w:hint="default"/>
                <w:sz w:val="18"/>
                <w:szCs w:val="18"/>
              </w:rPr>
              <w:t>公开发行 公司债券</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7"/>
              <w:jc w:val="right"/>
              <w:rPr>
                <w:rFonts w:ascii="Times New Roman" w:hAnsi="Times New Roman" w:cs="Times New Roman" w:eastAsia="Times New Roman" w:hint="default"/>
                <w:sz w:val="18"/>
                <w:szCs w:val="18"/>
              </w:rPr>
            </w:pPr>
            <w:r>
              <w:rPr>
                <w:rFonts w:ascii="Times New Roman"/>
                <w:sz w:val="18"/>
              </w:rPr>
              <w:t>5,000.00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7"/>
              <w:jc w:val="right"/>
              <w:rPr>
                <w:rFonts w:ascii="Times New Roman" w:hAnsi="Times New Roman" w:cs="Times New Roman" w:eastAsia="Times New Roman" w:hint="default"/>
                <w:sz w:val="18"/>
                <w:szCs w:val="18"/>
              </w:rPr>
            </w:pPr>
            <w:r>
              <w:rPr>
                <w:rFonts w:ascii="Times New Roman"/>
                <w:sz w:val="18"/>
              </w:rPr>
              <w:t>2,014.90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9"/>
              <w:jc w:val="right"/>
              <w:rPr>
                <w:rFonts w:ascii="Times New Roman" w:hAnsi="Times New Roman" w:cs="Times New Roman" w:eastAsia="Times New Roman" w:hint="default"/>
                <w:sz w:val="18"/>
                <w:szCs w:val="18"/>
              </w:rPr>
            </w:pPr>
            <w:r>
              <w:rPr>
                <w:rFonts w:ascii="Times New Roman"/>
                <w:sz w:val="18"/>
              </w:rPr>
              <w:t>5,000.00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8"/>
              <w:jc w:val="right"/>
              <w:rPr>
                <w:rFonts w:ascii="Times New Roman" w:hAnsi="Times New Roman" w:cs="Times New Roman" w:eastAsia="Times New Roman" w:hint="default"/>
                <w:sz w:val="18"/>
                <w:szCs w:val="18"/>
              </w:rPr>
            </w:pPr>
            <w:r>
              <w:rPr>
                <w:rFonts w:ascii="Times New Roman"/>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8"/>
              <w:jc w:val="right"/>
              <w:rPr>
                <w:rFonts w:ascii="Times New Roman" w:hAnsi="Times New Roman" w:cs="Times New Roman" w:eastAsia="Times New Roman" w:hint="default"/>
                <w:sz w:val="18"/>
                <w:szCs w:val="18"/>
              </w:rPr>
            </w:pPr>
            <w:r>
              <w:rPr>
                <w:rFonts w:ascii="Times New Roman"/>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8"/>
              <w:jc w:val="right"/>
              <w:rPr>
                <w:rFonts w:ascii="Times New Roman" w:hAnsi="Times New Roman" w:cs="Times New Roman" w:eastAsia="Times New Roman" w:hint="default"/>
                <w:sz w:val="18"/>
                <w:szCs w:val="18"/>
              </w:rPr>
            </w:pPr>
            <w:r>
              <w:rPr>
                <w:rFonts w:ascii="Times New Roman"/>
                <w:sz w:val="18"/>
              </w:rPr>
              <w:t>0.00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6" w:right="113"/>
              <w:jc w:val="both"/>
              <w:rPr>
                <w:rFonts w:ascii="宋体" w:hAnsi="宋体" w:cs="宋体" w:eastAsia="宋体" w:hint="default"/>
                <w:sz w:val="18"/>
                <w:szCs w:val="18"/>
              </w:rPr>
            </w:pPr>
            <w:r>
              <w:rPr>
                <w:rFonts w:ascii="宋体" w:hAnsi="宋体" w:cs="宋体" w:eastAsia="宋体" w:hint="default"/>
                <w:sz w:val="18"/>
                <w:szCs w:val="18"/>
              </w:rPr>
              <w:t>存放在公 司的募集 资金专户 中</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8"/>
              <w:jc w:val="right"/>
              <w:rPr>
                <w:rFonts w:ascii="Times New Roman" w:hAnsi="Times New Roman" w:cs="Times New Roman" w:eastAsia="Times New Roman" w:hint="default"/>
                <w:sz w:val="18"/>
                <w:szCs w:val="18"/>
              </w:rPr>
            </w:pPr>
            <w:r>
              <w:rPr>
                <w:rFonts w:ascii="Times New Roman"/>
                <w:sz w:val="18"/>
              </w:rPr>
              <w:t>0.00</w:t>
            </w:r>
          </w:p>
        </w:tc>
      </w:tr>
      <w:tr>
        <w:trPr>
          <w:trHeight w:val="403" w:hRule="exact"/>
        </w:trPr>
        <w:tc>
          <w:tcPr>
            <w:tcW w:w="8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87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475,577.45</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123,209.61</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431,131.12</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869" w:type="dxa"/>
            <w:tcBorders>
              <w:top w:val="single" w:sz="4" w:space="0" w:color="000000"/>
              <w:left w:val="single" w:sz="4" w:space="0" w:color="000000"/>
              <w:bottom w:val="single" w:sz="4" w:space="0" w:color="000000"/>
              <w:right w:val="single" w:sz="14" w:space="0" w:color="D2D2D2"/>
            </w:tcBorders>
          </w:tcPr>
          <w:p>
            <w:pPr>
              <w:pStyle w:val="TableParagraph"/>
              <w:spacing w:line="240" w:lineRule="auto" w:before="91"/>
              <w:ind w:right="6"/>
              <w:jc w:val="right"/>
              <w:rPr>
                <w:rFonts w:ascii="Times New Roman" w:hAnsi="Times New Roman" w:cs="Times New Roman" w:eastAsia="Times New Roman" w:hint="default"/>
                <w:sz w:val="18"/>
                <w:szCs w:val="18"/>
              </w:rPr>
            </w:pPr>
            <w:r>
              <w:rPr>
                <w:rFonts w:ascii="Times New Roman"/>
                <w:spacing w:val="-1"/>
                <w:sz w:val="18"/>
              </w:rPr>
              <w:t>44,446.33</w:t>
            </w:r>
          </w:p>
        </w:tc>
        <w:tc>
          <w:tcPr>
            <w:tcW w:w="8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372" w:right="0"/>
              <w:jc w:val="left"/>
              <w:rPr>
                <w:rFonts w:ascii="Times New Roman" w:hAnsi="Times New Roman" w:cs="Times New Roman" w:eastAsia="Times New Roman" w:hint="default"/>
                <w:sz w:val="18"/>
                <w:szCs w:val="18"/>
              </w:rPr>
            </w:pPr>
            <w:r>
              <w:rPr>
                <w:rFonts w:ascii="Times New Roman"/>
                <w:sz w:val="18"/>
              </w:rPr>
              <w:t>--</w:t>
            </w:r>
          </w:p>
        </w:tc>
        <w:tc>
          <w:tcPr>
            <w:tcW w:w="86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1,611.09</w:t>
            </w:r>
          </w:p>
        </w:tc>
      </w:tr>
      <w:tr>
        <w:trPr>
          <w:trHeight w:val="401" w:hRule="exact"/>
        </w:trPr>
        <w:tc>
          <w:tcPr>
            <w:tcW w:w="9566"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募集资金总体使用情况说明</w:t>
            </w:r>
          </w:p>
        </w:tc>
      </w:tr>
      <w:tr>
        <w:trPr>
          <w:trHeight w:val="8595" w:hRule="exact"/>
        </w:trPr>
        <w:tc>
          <w:tcPr>
            <w:tcW w:w="9566" w:type="dxa"/>
            <w:gridSpan w:val="11"/>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24" w:right="17"/>
              <w:jc w:val="both"/>
              <w:rPr>
                <w:rFonts w:ascii="Times New Roman" w:hAnsi="Times New Roman" w:cs="Times New Roman" w:eastAsia="Times New Roman" w:hint="default"/>
                <w:sz w:val="18"/>
                <w:szCs w:val="18"/>
              </w:rPr>
            </w:pPr>
            <w:r>
              <w:rPr>
                <w:rFonts w:ascii="宋体" w:hAnsi="宋体" w:cs="宋体" w:eastAsia="宋体" w:hint="default"/>
                <w:spacing w:val="-4"/>
                <w:sz w:val="18"/>
                <w:szCs w:val="18"/>
              </w:rPr>
              <w:t>一、</w:t>
            </w:r>
            <w:r>
              <w:rPr>
                <w:rFonts w:ascii="Times New Roman" w:hAnsi="Times New Roman" w:cs="Times New Roman" w:eastAsia="Times New Roman" w:hint="default"/>
                <w:spacing w:val="-4"/>
                <w:sz w:val="18"/>
                <w:szCs w:val="18"/>
              </w:rPr>
              <w:t>2010 </w:t>
            </w:r>
            <w:r>
              <w:rPr>
                <w:rFonts w:ascii="宋体" w:hAnsi="宋体" w:cs="宋体" w:eastAsia="宋体" w:hint="default"/>
                <w:sz w:val="18"/>
                <w:szCs w:val="18"/>
              </w:rPr>
              <w:t>年首次公开发行股票募集资金总体使用情况说明 经中国证监会以</w:t>
            </w:r>
            <w:r>
              <w:rPr>
                <w:rFonts w:ascii="Times New Roman" w:hAnsi="Times New Roman" w:cs="Times New Roman" w:eastAsia="Times New Roman" w:hint="default"/>
                <w:sz w:val="18"/>
                <w:szCs w:val="18"/>
              </w:rPr>
              <w:t>“</w:t>
            </w:r>
            <w:r>
              <w:rPr>
                <w:rFonts w:ascii="宋体" w:hAnsi="宋体" w:cs="宋体" w:eastAsia="宋体" w:hint="default"/>
                <w:sz w:val="18"/>
                <w:szCs w:val="18"/>
              </w:rPr>
              <w:t>证监许可</w:t>
            </w:r>
            <w:r>
              <w:rPr>
                <w:rFonts w:ascii="Times New Roman" w:hAnsi="Times New Roman" w:cs="Times New Roman" w:eastAsia="Times New Roman" w:hint="default"/>
                <w:sz w:val="18"/>
                <w:szCs w:val="18"/>
              </w:rPr>
              <w:t>[2010]438</w:t>
            </w:r>
            <w:r>
              <w:rPr>
                <w:rFonts w:ascii="Times New Roman" w:hAnsi="Times New Roman" w:cs="Times New Roman" w:eastAsia="Times New Roman" w:hint="default"/>
                <w:spacing w:val="-16"/>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文《关于核准北京四维 </w:t>
            </w:r>
            <w:r>
              <w:rPr>
                <w:rFonts w:ascii="宋体" w:hAnsi="宋体" w:cs="宋体" w:eastAsia="宋体" w:hint="default"/>
                <w:spacing w:val="-1"/>
                <w:sz w:val="18"/>
                <w:szCs w:val="18"/>
              </w:rPr>
              <w:t>图新科技股份有限公司首次公开发行股票的通知》核准，公司与主承销商中信建投证券采用网下询价配售与网上资金申购</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定价发行相结合的方式，向社会公开发行</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5,600 </w:t>
            </w:r>
            <w:r>
              <w:rPr>
                <w:rFonts w:ascii="宋体" w:hAnsi="宋体" w:cs="宋体" w:eastAsia="宋体" w:hint="default"/>
                <w:sz w:val="18"/>
                <w:szCs w:val="18"/>
              </w:rPr>
              <w:t>万股</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A</w:t>
            </w:r>
            <w:r>
              <w:rPr>
                <w:rFonts w:ascii="Times New Roman" w:hAnsi="Times New Roman" w:cs="Times New Roman" w:eastAsia="Times New Roman" w:hint="default"/>
                <w:spacing w:val="-5"/>
                <w:sz w:val="18"/>
                <w:szCs w:val="18"/>
              </w:rPr>
              <w:t> </w:t>
            </w:r>
            <w:r>
              <w:rPr>
                <w:rFonts w:ascii="宋体" w:hAnsi="宋体" w:cs="宋体" w:eastAsia="宋体" w:hint="default"/>
                <w:spacing w:val="-3"/>
                <w:sz w:val="18"/>
                <w:szCs w:val="18"/>
              </w:rPr>
              <w:t>股，每股面值人民币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 </w:t>
            </w:r>
            <w:r>
              <w:rPr>
                <w:rFonts w:ascii="宋体" w:hAnsi="宋体" w:cs="宋体" w:eastAsia="宋体" w:hint="default"/>
                <w:spacing w:val="-3"/>
                <w:sz w:val="18"/>
                <w:szCs w:val="18"/>
              </w:rPr>
              <w:t>元，发行价格为每股</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25.60 </w:t>
            </w:r>
            <w:r>
              <w:rPr>
                <w:rFonts w:ascii="宋体" w:hAnsi="宋体" w:cs="宋体" w:eastAsia="宋体" w:hint="default"/>
                <w:spacing w:val="-5"/>
                <w:sz w:val="18"/>
                <w:szCs w:val="18"/>
              </w:rPr>
              <w:t>元。截至</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2010</w:t>
            </w:r>
          </w:p>
          <w:p>
            <w:pPr>
              <w:pStyle w:val="TableParagraph"/>
              <w:spacing w:line="240" w:lineRule="auto" w:before="5"/>
              <w:ind w:left="24" w:right="0"/>
              <w:jc w:val="both"/>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日，公司实际已向社会公开发行</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5,600 </w:t>
            </w:r>
            <w:r>
              <w:rPr>
                <w:rFonts w:ascii="宋体" w:hAnsi="宋体" w:cs="宋体" w:eastAsia="宋体" w:hint="default"/>
                <w:sz w:val="18"/>
                <w:szCs w:val="18"/>
              </w:rPr>
              <w:t>万股</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A</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股，募集资金总额</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143,360.00 </w:t>
            </w:r>
            <w:r>
              <w:rPr>
                <w:rFonts w:ascii="宋体" w:hAnsi="宋体" w:cs="宋体" w:eastAsia="宋体" w:hint="default"/>
                <w:sz w:val="18"/>
                <w:szCs w:val="18"/>
              </w:rPr>
              <w:t>万元，扣除发行费用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6,582.70 </w:t>
            </w:r>
            <w:r>
              <w:rPr>
                <w:rFonts w:ascii="宋体" w:hAnsi="宋体" w:cs="宋体" w:eastAsia="宋体" w:hint="default"/>
                <w:sz w:val="18"/>
                <w:szCs w:val="18"/>
              </w:rPr>
              <w:t>万元，</w:t>
            </w:r>
          </w:p>
          <w:p>
            <w:pPr>
              <w:pStyle w:val="TableParagraph"/>
              <w:spacing w:line="240" w:lineRule="auto" w:before="63"/>
              <w:ind w:left="24" w:right="0"/>
              <w:jc w:val="both"/>
              <w:rPr>
                <w:rFonts w:ascii="宋体" w:hAnsi="宋体" w:cs="宋体" w:eastAsia="宋体" w:hint="default"/>
                <w:sz w:val="18"/>
                <w:szCs w:val="18"/>
              </w:rPr>
            </w:pPr>
            <w:r>
              <w:rPr>
                <w:rFonts w:ascii="宋体" w:hAnsi="宋体" w:cs="宋体" w:eastAsia="宋体" w:hint="default"/>
                <w:sz w:val="18"/>
                <w:szCs w:val="18"/>
              </w:rPr>
              <w:t>实际募集资金净额为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136,777.30 </w:t>
            </w:r>
            <w:r>
              <w:rPr>
                <w:rFonts w:ascii="宋体" w:hAnsi="宋体" w:cs="宋体" w:eastAsia="宋体" w:hint="default"/>
                <w:sz w:val="18"/>
                <w:szCs w:val="18"/>
              </w:rPr>
              <w:t>万元，已于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2010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日汇入本公司在相关银行开设的募集资金账户中。根据财政部</w:t>
            </w:r>
          </w:p>
          <w:p>
            <w:pPr>
              <w:pStyle w:val="TableParagraph"/>
              <w:spacing w:line="240" w:lineRule="auto" w:before="63"/>
              <w:ind w:left="24" w:right="0"/>
              <w:jc w:val="both"/>
              <w:rPr>
                <w:rFonts w:ascii="Times New Roman" w:hAnsi="Times New Roman" w:cs="Times New Roman" w:eastAsia="Times New Roman" w:hint="default"/>
                <w:sz w:val="18"/>
                <w:szCs w:val="18"/>
              </w:rPr>
            </w:pPr>
            <w:r>
              <w:rPr>
                <w:rFonts w:ascii="宋体" w:hAnsi="宋体" w:cs="宋体" w:eastAsia="宋体" w:hint="default"/>
                <w:sz w:val="18"/>
                <w:szCs w:val="18"/>
              </w:rPr>
              <w:t>《关于执行企业会计准则的上市公司和非上市企业做好</w:t>
            </w:r>
            <w:r>
              <w:rPr>
                <w:rFonts w:ascii="宋体" w:hAnsi="宋体" w:cs="宋体" w:eastAsia="宋体" w:hint="default"/>
                <w:spacing w:val="-44"/>
                <w:sz w:val="18"/>
                <w:szCs w:val="18"/>
              </w:rPr>
              <w:t> </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年年报工作的通知</w:t>
            </w:r>
            <w:r>
              <w:rPr>
                <w:rFonts w:ascii="宋体" w:hAnsi="宋体" w:cs="宋体" w:eastAsia="宋体" w:hint="default"/>
                <w:spacing w:val="-113"/>
                <w:sz w:val="18"/>
                <w:szCs w:val="18"/>
              </w:rPr>
              <w:t>》</w:t>
            </w:r>
            <w:r>
              <w:rPr>
                <w:rFonts w:ascii="宋体" w:hAnsi="宋体" w:cs="宋体" w:eastAsia="宋体" w:hint="default"/>
                <w:sz w:val="18"/>
                <w:szCs w:val="18"/>
              </w:rPr>
              <w:t>（财会</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pacing w:val="-2"/>
                <w:sz w:val="18"/>
                <w:szCs w:val="18"/>
              </w:rPr>
              <w:t>010</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pacing w:val="-2"/>
                <w:sz w:val="18"/>
                <w:szCs w:val="18"/>
              </w:rPr>
              <w:t>2</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号</w:t>
            </w:r>
            <w:r>
              <w:rPr>
                <w:rFonts w:ascii="宋体" w:hAnsi="宋体" w:cs="宋体" w:eastAsia="宋体" w:hint="default"/>
                <w:spacing w:val="-22"/>
                <w:sz w:val="18"/>
                <w:szCs w:val="18"/>
              </w:rPr>
              <w:t>）</w:t>
            </w:r>
            <w:r>
              <w:rPr>
                <w:rFonts w:ascii="宋体" w:hAnsi="宋体" w:cs="宋体" w:eastAsia="宋体" w:hint="default"/>
                <w:sz w:val="18"/>
                <w:szCs w:val="18"/>
              </w:rPr>
              <w:t>的精神</w:t>
            </w:r>
            <w:r>
              <w:rPr>
                <w:rFonts w:ascii="宋体" w:hAnsi="宋体" w:cs="宋体" w:eastAsia="宋体" w:hint="default"/>
                <w:spacing w:val="-22"/>
                <w:sz w:val="18"/>
                <w:szCs w:val="18"/>
              </w:rPr>
              <w:t>，</w:t>
            </w:r>
            <w:r>
              <w:rPr>
                <w:rFonts w:ascii="宋体" w:hAnsi="宋体" w:cs="宋体" w:eastAsia="宋体" w:hint="default"/>
                <w:sz w:val="18"/>
                <w:szCs w:val="18"/>
              </w:rPr>
              <w:t>公司于</w:t>
            </w:r>
            <w:r>
              <w:rPr>
                <w:rFonts w:ascii="宋体" w:hAnsi="宋体" w:cs="宋体" w:eastAsia="宋体" w:hint="default"/>
                <w:spacing w:val="-44"/>
                <w:sz w:val="18"/>
                <w:szCs w:val="18"/>
              </w:rPr>
              <w:t> </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0</w:t>
            </w:r>
          </w:p>
          <w:p>
            <w:pPr>
              <w:pStyle w:val="TableParagraph"/>
              <w:spacing w:line="240" w:lineRule="auto" w:before="63"/>
              <w:ind w:left="24" w:right="0"/>
              <w:jc w:val="both"/>
              <w:rPr>
                <w:rFonts w:ascii="宋体" w:hAnsi="宋体" w:cs="宋体" w:eastAsia="宋体" w:hint="default"/>
                <w:sz w:val="18"/>
                <w:szCs w:val="18"/>
              </w:rPr>
            </w:pPr>
            <w:r>
              <w:rPr>
                <w:rFonts w:ascii="宋体" w:hAnsi="宋体" w:cs="宋体" w:eastAsia="宋体" w:hint="default"/>
                <w:sz w:val="18"/>
                <w:szCs w:val="18"/>
              </w:rPr>
              <w:t>年末对发行费用进行了重新确认，将广告费、路演费、上市酒会等费用</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1,090.58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万元从发行费用中调出，计入当期损益，</w:t>
            </w:r>
          </w:p>
          <w:p>
            <w:pPr>
              <w:pStyle w:val="TableParagraph"/>
              <w:spacing w:line="240" w:lineRule="auto" w:before="63"/>
              <w:ind w:left="24" w:right="0"/>
              <w:jc w:val="both"/>
              <w:rPr>
                <w:rFonts w:ascii="宋体" w:hAnsi="宋体" w:cs="宋体" w:eastAsia="宋体" w:hint="default"/>
                <w:sz w:val="18"/>
                <w:szCs w:val="18"/>
              </w:rPr>
            </w:pPr>
            <w:r>
              <w:rPr>
                <w:rFonts w:ascii="宋体" w:hAnsi="宋体" w:cs="宋体" w:eastAsia="宋体" w:hint="default"/>
                <w:sz w:val="18"/>
                <w:szCs w:val="18"/>
              </w:rPr>
              <w:t>最终确认的发行费用金额为人民币</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5,492.12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万元，最终确认的募集资金净额为人民币</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137,867.88</w:t>
            </w:r>
            <w:r>
              <w:rPr>
                <w:rFonts w:ascii="Times New Roman" w:hAnsi="Times New Roman" w:cs="Times New Roman" w:eastAsia="Times New Roman" w:hint="default"/>
                <w:spacing w:val="-2"/>
                <w:sz w:val="18"/>
                <w:szCs w:val="18"/>
              </w:rPr>
              <w:t> </w:t>
            </w:r>
            <w:r>
              <w:rPr>
                <w:rFonts w:ascii="宋体" w:hAnsi="宋体" w:cs="宋体" w:eastAsia="宋体" w:hint="default"/>
                <w:spacing w:val="-4"/>
                <w:sz w:val="18"/>
                <w:szCs w:val="18"/>
              </w:rPr>
              <w:t>万元。截至</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p>
          <w:p>
            <w:pPr>
              <w:pStyle w:val="TableParagraph"/>
              <w:spacing w:line="300" w:lineRule="auto" w:before="63"/>
              <w:ind w:left="24" w:right="20"/>
              <w:jc w:val="both"/>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日，募集资金净额结余</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1,611.09</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万元，与募集资金专户余额</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15,305.23</w:t>
            </w:r>
            <w:r>
              <w:rPr>
                <w:rFonts w:ascii="Times New Roman" w:hAnsi="Times New Roman" w:cs="Times New Roman" w:eastAsia="Times New Roman" w:hint="default"/>
                <w:spacing w:val="-9"/>
                <w:sz w:val="18"/>
                <w:szCs w:val="18"/>
              </w:rPr>
              <w:t> </w:t>
            </w:r>
            <w:r>
              <w:rPr>
                <w:rFonts w:ascii="宋体" w:hAnsi="宋体" w:cs="宋体" w:eastAsia="宋体" w:hint="default"/>
                <w:spacing w:val="-4"/>
                <w:sz w:val="18"/>
                <w:szCs w:val="18"/>
              </w:rPr>
              <w:t>万元，差异</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13,694.14</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万元，差异为利息收入扣除 银行手续费。</w:t>
            </w:r>
          </w:p>
          <w:p>
            <w:pPr>
              <w:pStyle w:val="TableParagraph"/>
              <w:spacing w:line="240" w:lineRule="auto" w:before="72"/>
              <w:ind w:left="24" w:right="0"/>
              <w:jc w:val="both"/>
              <w:rPr>
                <w:rFonts w:ascii="宋体" w:hAnsi="宋体" w:cs="宋体" w:eastAsia="宋体" w:hint="default"/>
                <w:sz w:val="18"/>
                <w:szCs w:val="18"/>
              </w:rPr>
            </w:pPr>
            <w:r>
              <w:rPr>
                <w:rFonts w:ascii="宋体" w:hAnsi="宋体" w:cs="宋体" w:eastAsia="宋体" w:hint="default"/>
                <w:spacing w:val="-6"/>
                <w:sz w:val="18"/>
                <w:szCs w:val="18"/>
              </w:rPr>
              <w:t>二、</w:t>
            </w:r>
            <w:r>
              <w:rPr>
                <w:rFonts w:ascii="Times New Roman" w:hAnsi="Times New Roman" w:cs="Times New Roman" w:eastAsia="Times New Roman" w:hint="default"/>
                <w:spacing w:val="-6"/>
                <w:sz w:val="18"/>
                <w:szCs w:val="18"/>
              </w:rPr>
              <w:t>2017 </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年非公开发行股票募集配套资金总体使用情况说明 根据公司</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 </w:t>
            </w:r>
            <w:r>
              <w:rPr>
                <w:rFonts w:ascii="宋体" w:hAnsi="宋体" w:cs="宋体" w:eastAsia="宋体" w:hint="default"/>
                <w:sz w:val="18"/>
                <w:szCs w:val="18"/>
              </w:rPr>
              <w:t>日第三届董事会第二十一次会议审</w:t>
            </w:r>
          </w:p>
          <w:p>
            <w:pPr>
              <w:pStyle w:val="TableParagraph"/>
              <w:spacing w:line="300" w:lineRule="auto" w:before="63"/>
              <w:ind w:left="24" w:right="35"/>
              <w:jc w:val="both"/>
              <w:rPr>
                <w:rFonts w:ascii="宋体" w:hAnsi="宋体" w:cs="宋体" w:eastAsia="宋体" w:hint="default"/>
                <w:sz w:val="18"/>
                <w:szCs w:val="18"/>
              </w:rPr>
            </w:pPr>
            <w:r>
              <w:rPr>
                <w:rFonts w:ascii="宋体" w:hAnsi="宋体" w:cs="宋体" w:eastAsia="宋体" w:hint="default"/>
                <w:sz w:val="18"/>
                <w:szCs w:val="18"/>
              </w:rPr>
              <w:t>议通过、</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6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7 </w:t>
            </w:r>
            <w:r>
              <w:rPr>
                <w:rFonts w:ascii="宋体" w:hAnsi="宋体" w:cs="宋体" w:eastAsia="宋体" w:hint="default"/>
                <w:sz w:val="18"/>
                <w:szCs w:val="18"/>
              </w:rPr>
              <w:t>日</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年度股东大会会议审议通过，并经中国证券监督管理委员会《关于核准北京四维图新科技 </w:t>
            </w:r>
            <w:r>
              <w:rPr>
                <w:rFonts w:ascii="宋体" w:hAnsi="宋体" w:cs="宋体" w:eastAsia="宋体" w:hint="default"/>
                <w:spacing w:val="-2"/>
                <w:sz w:val="18"/>
                <w:szCs w:val="18"/>
              </w:rPr>
              <w:t>股份有限公司向合肥高新科技创业投资有限公司等发行股份购买资产并募集配套资金的批复》（证监许可</w:t>
            </w:r>
            <w:r>
              <w:rPr>
                <w:rFonts w:ascii="Times New Roman" w:hAnsi="Times New Roman" w:cs="Times New Roman" w:eastAsia="Times New Roman" w:hint="default"/>
                <w:spacing w:val="-2"/>
                <w:sz w:val="18"/>
                <w:szCs w:val="18"/>
              </w:rPr>
              <w:t>[2017]22</w:t>
            </w:r>
            <w:r>
              <w:rPr>
                <w:rFonts w:ascii="Times New Roman" w:hAnsi="Times New Roman" w:cs="Times New Roman" w:eastAsia="Times New Roman" w:hint="default"/>
                <w:sz w:val="18"/>
                <w:szCs w:val="18"/>
              </w:rPr>
              <w:t> </w:t>
            </w:r>
            <w:r>
              <w:rPr>
                <w:rFonts w:ascii="宋体" w:hAnsi="宋体" w:cs="宋体" w:eastAsia="宋体" w:hint="default"/>
                <w:sz w:val="18"/>
                <w:szCs w:val="18"/>
              </w:rPr>
              <w:t>号）的</w:t>
            </w:r>
            <w:r>
              <w:rPr>
                <w:rFonts w:ascii="宋体" w:hAnsi="宋体" w:cs="宋体" w:eastAsia="宋体" w:hint="default"/>
                <w:spacing w:val="-72"/>
                <w:sz w:val="18"/>
                <w:szCs w:val="18"/>
              </w:rPr>
              <w:t> </w:t>
            </w:r>
            <w:r>
              <w:rPr>
                <w:rFonts w:ascii="宋体" w:hAnsi="宋体" w:cs="宋体" w:eastAsia="宋体" w:hint="default"/>
                <w:sz w:val="18"/>
                <w:szCs w:val="18"/>
              </w:rPr>
              <w:t>核准，公司非公开发行不超过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223,266,740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股新股。其中，公司向合肥高新科技创业投资有限公司等</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位交易对方共计发</w:t>
            </w:r>
          </w:p>
          <w:p>
            <w:pPr>
              <w:pStyle w:val="TableParagraph"/>
              <w:spacing w:line="240" w:lineRule="auto" w:before="13"/>
              <w:ind w:left="24" w:right="0"/>
              <w:jc w:val="both"/>
              <w:rPr>
                <w:rFonts w:ascii="宋体" w:hAnsi="宋体" w:cs="宋体" w:eastAsia="宋体" w:hint="default"/>
                <w:sz w:val="18"/>
                <w:szCs w:val="18"/>
              </w:rPr>
            </w:pPr>
            <w:r>
              <w:rPr>
                <w:rFonts w:ascii="宋体" w:hAnsi="宋体" w:cs="宋体" w:eastAsia="宋体" w:hint="default"/>
                <w:sz w:val="18"/>
                <w:szCs w:val="18"/>
              </w:rPr>
              <w:t>行</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19,418,723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股新股购买其持有的合肥杰发科技有限公司（原名杰发科技（合肥）有限公司，以下简称杰发科技）股权。</w:t>
            </w:r>
          </w:p>
          <w:p>
            <w:pPr>
              <w:pStyle w:val="TableParagraph"/>
              <w:spacing w:line="240" w:lineRule="auto" w:before="63"/>
              <w:ind w:left="24" w:right="0"/>
              <w:jc w:val="both"/>
              <w:rPr>
                <w:rFonts w:ascii="宋体" w:hAnsi="宋体" w:cs="宋体" w:eastAsia="宋体" w:hint="default"/>
                <w:sz w:val="18"/>
                <w:szCs w:val="18"/>
              </w:rPr>
            </w:pPr>
            <w:r>
              <w:rPr>
                <w:rFonts w:ascii="宋体" w:hAnsi="宋体" w:cs="宋体" w:eastAsia="宋体" w:hint="default"/>
                <w:sz w:val="18"/>
                <w:szCs w:val="18"/>
              </w:rPr>
              <w:t>公司本次非公开发行现金认购部分实际发行数量为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196,923,025 </w:t>
            </w:r>
            <w:r>
              <w:rPr>
                <w:rFonts w:ascii="宋体" w:hAnsi="宋体" w:cs="宋体" w:eastAsia="宋体" w:hint="default"/>
                <w:sz w:val="18"/>
                <w:szCs w:val="18"/>
              </w:rPr>
              <w:t>股新股，股票的每股面值人民币</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元，发行价格为每股</w:t>
            </w:r>
          </w:p>
          <w:p>
            <w:pPr>
              <w:pStyle w:val="TableParagraph"/>
              <w:spacing w:line="240" w:lineRule="auto" w:before="63"/>
              <w:ind w:left="24" w:right="0"/>
              <w:jc w:val="both"/>
              <w:rPr>
                <w:rFonts w:ascii="宋体" w:hAnsi="宋体" w:cs="宋体" w:eastAsia="宋体" w:hint="default"/>
                <w:sz w:val="18"/>
                <w:szCs w:val="18"/>
              </w:rPr>
            </w:pPr>
            <w:r>
              <w:rPr>
                <w:rFonts w:ascii="宋体" w:hAnsi="宋体" w:cs="宋体" w:eastAsia="宋体" w:hint="default"/>
                <w:sz w:val="18"/>
                <w:szCs w:val="18"/>
              </w:rPr>
              <w:t>人民币</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17.02</w:t>
            </w:r>
            <w:r>
              <w:rPr>
                <w:rFonts w:ascii="Times New Roman" w:hAnsi="Times New Roman" w:cs="Times New Roman" w:eastAsia="Times New Roman" w:hint="default"/>
                <w:spacing w:val="27"/>
                <w:sz w:val="18"/>
                <w:szCs w:val="18"/>
              </w:rPr>
              <w:t> </w:t>
            </w:r>
            <w:r>
              <w:rPr>
                <w:rFonts w:ascii="宋体" w:hAnsi="宋体" w:cs="宋体" w:eastAsia="宋体" w:hint="default"/>
                <w:sz w:val="18"/>
                <w:szCs w:val="18"/>
              </w:rPr>
              <w:t>元，募集资金总额为人民币</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335,163.00</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万元，募集资金总额扣除承销费用以及累计发生的其他发行费用共计</w:t>
            </w:r>
          </w:p>
          <w:p>
            <w:pPr>
              <w:pStyle w:val="TableParagraph"/>
              <w:spacing w:line="240" w:lineRule="auto" w:before="63"/>
              <w:ind w:left="24"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24,534,341.75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元后，募集资金净额为人民币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3,327,095,658.25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元，已于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日汇入本公司在相关银行开设的募</w:t>
            </w:r>
          </w:p>
          <w:p>
            <w:pPr>
              <w:pStyle w:val="TableParagraph"/>
              <w:spacing w:line="240" w:lineRule="auto" w:before="63"/>
              <w:ind w:left="24" w:right="0"/>
              <w:jc w:val="both"/>
              <w:rPr>
                <w:rFonts w:ascii="Times New Roman" w:hAnsi="Times New Roman" w:cs="Times New Roman" w:eastAsia="Times New Roman" w:hint="default"/>
                <w:sz w:val="18"/>
                <w:szCs w:val="18"/>
              </w:rPr>
            </w:pPr>
            <w:r>
              <w:rPr>
                <w:rFonts w:ascii="宋体" w:hAnsi="宋体" w:cs="宋体" w:eastAsia="宋体" w:hint="default"/>
                <w:sz w:val="18"/>
                <w:szCs w:val="18"/>
              </w:rPr>
              <w:t>集资金账户中</w:t>
            </w:r>
            <w:r>
              <w:rPr>
                <w:rFonts w:ascii="宋体" w:hAnsi="宋体" w:cs="宋体" w:eastAsia="宋体" w:hint="default"/>
                <w:spacing w:val="-87"/>
                <w:sz w:val="18"/>
                <w:szCs w:val="18"/>
              </w:rPr>
              <w:t>。</w:t>
            </w:r>
            <w:r>
              <w:rPr>
                <w:rFonts w:ascii="宋体" w:hAnsi="宋体" w:cs="宋体" w:eastAsia="宋体" w:hint="default"/>
                <w:sz w:val="18"/>
                <w:szCs w:val="18"/>
              </w:rPr>
              <w:t>截至</w:t>
            </w:r>
            <w:r>
              <w:rPr>
                <w:rFonts w:ascii="宋体" w:hAnsi="宋体" w:cs="宋体" w:eastAsia="宋体" w:hint="default"/>
                <w:spacing w:val="-44"/>
                <w:sz w:val="18"/>
                <w:szCs w:val="18"/>
              </w:rPr>
              <w:t> </w:t>
            </w:r>
            <w:r>
              <w:rPr>
                <w:rFonts w:ascii="Times New Roman" w:hAnsi="Times New Roman" w:cs="Times New Roman" w:eastAsia="Times New Roman" w:hint="default"/>
                <w:spacing w:val="1"/>
                <w:sz w:val="18"/>
                <w:szCs w:val="18"/>
              </w:rPr>
              <w:t>20</w:t>
            </w:r>
            <w:r>
              <w:rPr>
                <w:rFonts w:ascii="Times New Roman" w:hAnsi="Times New Roman" w:cs="Times New Roman" w:eastAsia="Times New Roman" w:hint="default"/>
                <w:spacing w:val="-2"/>
                <w:sz w:val="18"/>
                <w:szCs w:val="18"/>
              </w:rPr>
              <w:t>1</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pacing w:val="-2"/>
                <w:sz w:val="18"/>
                <w:szCs w:val="18"/>
              </w:rPr>
              <w:t>1</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pacing w:val="1"/>
                <w:sz w:val="18"/>
                <w:szCs w:val="18"/>
              </w:rPr>
              <w:t>3</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r>
              <w:rPr>
                <w:rFonts w:ascii="宋体" w:hAnsi="宋体" w:cs="宋体" w:eastAsia="宋体" w:hint="default"/>
                <w:spacing w:val="-87"/>
                <w:sz w:val="18"/>
                <w:szCs w:val="18"/>
              </w:rPr>
              <w:t>，</w:t>
            </w:r>
            <w:r>
              <w:rPr>
                <w:rFonts w:ascii="宋体" w:hAnsi="宋体" w:cs="宋体" w:eastAsia="宋体" w:hint="default"/>
                <w:sz w:val="18"/>
                <w:szCs w:val="18"/>
              </w:rPr>
              <w:t>非公开发行股票募</w:t>
            </w:r>
            <w:r>
              <w:rPr>
                <w:rFonts w:ascii="宋体" w:hAnsi="宋体" w:cs="宋体" w:eastAsia="宋体" w:hint="default"/>
                <w:spacing w:val="-3"/>
                <w:sz w:val="18"/>
                <w:szCs w:val="18"/>
              </w:rPr>
              <w:t>集</w:t>
            </w:r>
            <w:r>
              <w:rPr>
                <w:rFonts w:ascii="宋体" w:hAnsi="宋体" w:cs="宋体" w:eastAsia="宋体" w:hint="default"/>
                <w:sz w:val="18"/>
                <w:szCs w:val="18"/>
              </w:rPr>
              <w:t>资金净额结余</w:t>
            </w:r>
            <w:r>
              <w:rPr>
                <w:rFonts w:ascii="宋体" w:hAnsi="宋体" w:cs="宋体" w:eastAsia="宋体" w:hint="default"/>
                <w:spacing w:val="-45"/>
                <w:sz w:val="18"/>
                <w:szCs w:val="18"/>
              </w:rPr>
              <w:t> </w:t>
            </w:r>
            <w:r>
              <w:rPr>
                <w:rFonts w:ascii="Times New Roman" w:hAnsi="Times New Roman" w:cs="Times New Roman" w:eastAsia="Times New Roman" w:hint="default"/>
                <w:spacing w:val="1"/>
                <w:sz w:val="18"/>
                <w:szCs w:val="18"/>
              </w:rPr>
              <w:t>42</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pacing w:val="1"/>
                <w:sz w:val="18"/>
                <w:szCs w:val="18"/>
              </w:rPr>
              <w:t>8</w:t>
            </w:r>
            <w:r>
              <w:rPr>
                <w:rFonts w:ascii="Times New Roman" w:hAnsi="Times New Roman" w:cs="Times New Roman" w:eastAsia="Times New Roman" w:hint="default"/>
                <w:spacing w:val="-2"/>
                <w:sz w:val="18"/>
                <w:szCs w:val="18"/>
              </w:rPr>
              <w:t>3</w:t>
            </w:r>
            <w:r>
              <w:rPr>
                <w:rFonts w:ascii="Times New Roman" w:hAnsi="Times New Roman" w:cs="Times New Roman" w:eastAsia="Times New Roman" w:hint="default"/>
                <w:spacing w:val="1"/>
                <w:sz w:val="18"/>
                <w:szCs w:val="18"/>
              </w:rPr>
              <w:t>5</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w:t>
            </w:r>
            <w:r>
              <w:rPr>
                <w:rFonts w:ascii="宋体" w:hAnsi="宋体" w:cs="宋体" w:eastAsia="宋体" w:hint="default"/>
                <w:spacing w:val="-89"/>
                <w:sz w:val="18"/>
                <w:szCs w:val="18"/>
              </w:rPr>
              <w:t>，</w:t>
            </w:r>
            <w:r>
              <w:rPr>
                <w:rFonts w:ascii="宋体" w:hAnsi="宋体" w:cs="宋体" w:eastAsia="宋体" w:hint="default"/>
                <w:sz w:val="18"/>
                <w:szCs w:val="18"/>
              </w:rPr>
              <w:t>与募集资金专户余额</w:t>
            </w:r>
            <w:r>
              <w:rPr>
                <w:rFonts w:ascii="宋体" w:hAnsi="宋体" w:cs="宋体" w:eastAsia="宋体" w:hint="default"/>
                <w:spacing w:val="-44"/>
                <w:sz w:val="18"/>
                <w:szCs w:val="18"/>
              </w:rPr>
              <w:t> </w:t>
            </w:r>
            <w:r>
              <w:rPr>
                <w:rFonts w:ascii="Times New Roman" w:hAnsi="Times New Roman" w:cs="Times New Roman" w:eastAsia="Times New Roman" w:hint="default"/>
                <w:spacing w:val="1"/>
                <w:sz w:val="18"/>
                <w:szCs w:val="18"/>
              </w:rPr>
              <w:t>49</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pacing w:val="1"/>
                <w:sz w:val="18"/>
                <w:szCs w:val="18"/>
              </w:rPr>
              <w:t>7</w:t>
            </w:r>
            <w:r>
              <w:rPr>
                <w:rFonts w:ascii="Times New Roman" w:hAnsi="Times New Roman" w:cs="Times New Roman" w:eastAsia="Times New Roman" w:hint="default"/>
                <w:spacing w:val="-2"/>
                <w:sz w:val="18"/>
                <w:szCs w:val="18"/>
              </w:rPr>
              <w:t>9</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z w:val="18"/>
                <w:szCs w:val="18"/>
              </w:rPr>
              <w:t>1</w:t>
            </w:r>
          </w:p>
          <w:p>
            <w:pPr>
              <w:pStyle w:val="TableParagraph"/>
              <w:spacing w:line="240" w:lineRule="auto" w:before="63"/>
              <w:ind w:left="24" w:right="0"/>
              <w:jc w:val="both"/>
              <w:rPr>
                <w:rFonts w:ascii="宋体" w:hAnsi="宋体" w:cs="宋体" w:eastAsia="宋体" w:hint="default"/>
                <w:sz w:val="18"/>
                <w:szCs w:val="18"/>
              </w:rPr>
            </w:pPr>
            <w:r>
              <w:rPr>
                <w:rFonts w:ascii="宋体" w:hAnsi="宋体" w:cs="宋体" w:eastAsia="宋体" w:hint="default"/>
                <w:sz w:val="18"/>
                <w:szCs w:val="18"/>
              </w:rPr>
              <w:t>万元，差异</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6,955.97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万元，差异为利息收入扣除银行手续费。</w:t>
            </w:r>
          </w:p>
          <w:p>
            <w:pPr>
              <w:pStyle w:val="TableParagraph"/>
              <w:spacing w:line="240" w:lineRule="auto" w:before="101"/>
              <w:ind w:left="24" w:right="0"/>
              <w:jc w:val="both"/>
              <w:rPr>
                <w:rFonts w:ascii="宋体" w:hAnsi="宋体" w:cs="宋体" w:eastAsia="宋体" w:hint="default"/>
                <w:sz w:val="18"/>
                <w:szCs w:val="18"/>
              </w:rPr>
            </w:pPr>
            <w:r>
              <w:rPr>
                <w:rFonts w:ascii="宋体" w:hAnsi="宋体" w:cs="宋体" w:eastAsia="宋体" w:hint="default"/>
                <w:spacing w:val="-5"/>
                <w:sz w:val="18"/>
                <w:szCs w:val="18"/>
              </w:rPr>
              <w:t>三、</w:t>
            </w:r>
            <w:r>
              <w:rPr>
                <w:rFonts w:ascii="Times New Roman" w:hAnsi="Times New Roman" w:cs="Times New Roman" w:eastAsia="Times New Roman" w:hint="default"/>
                <w:spacing w:val="-5"/>
                <w:sz w:val="18"/>
                <w:szCs w:val="18"/>
              </w:rPr>
              <w:t>2017 </w:t>
            </w:r>
            <w:r>
              <w:rPr>
                <w:rFonts w:ascii="宋体" w:hAnsi="宋体" w:cs="宋体" w:eastAsia="宋体" w:hint="default"/>
                <w:sz w:val="18"/>
                <w:szCs w:val="18"/>
              </w:rPr>
              <w:t>年面向合格投资者公开发行公司债券（第一期）募集资金总体使用情况说明</w:t>
            </w:r>
            <w:r>
              <w:rPr>
                <w:rFonts w:ascii="宋体" w:hAnsi="宋体" w:cs="宋体" w:eastAsia="宋体" w:hint="default"/>
                <w:spacing w:val="-34"/>
                <w:sz w:val="18"/>
                <w:szCs w:val="18"/>
              </w:rPr>
              <w:t> </w:t>
            </w:r>
            <w:r>
              <w:rPr>
                <w:rFonts w:ascii="宋体" w:hAnsi="宋体" w:cs="宋体" w:eastAsia="宋体" w:hint="default"/>
                <w:sz w:val="18"/>
                <w:szCs w:val="18"/>
              </w:rPr>
              <w:t>中国证券监督管理委员会</w:t>
            </w:r>
            <w:r>
              <w:rPr>
                <w:rFonts w:ascii="Times New Roman" w:hAnsi="Times New Roman" w:cs="Times New Roman" w:eastAsia="Times New Roman" w:hint="default"/>
                <w:sz w:val="18"/>
                <w:szCs w:val="18"/>
              </w:rPr>
              <w:t>“</w:t>
            </w:r>
            <w:r>
              <w:rPr>
                <w:rFonts w:ascii="宋体" w:hAnsi="宋体" w:cs="宋体" w:eastAsia="宋体" w:hint="default"/>
                <w:sz w:val="18"/>
                <w:szCs w:val="18"/>
              </w:rPr>
              <w:t>证监许可</w:t>
            </w:r>
          </w:p>
          <w:p>
            <w:pPr>
              <w:pStyle w:val="TableParagraph"/>
              <w:spacing w:line="240" w:lineRule="auto" w:before="63"/>
              <w:ind w:left="24"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[2016]3158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号文核准面向合格投资者公开发行面值不超过 </w:t>
            </w:r>
            <w:r>
              <w:rPr>
                <w:rFonts w:ascii="Times New Roman" w:hAnsi="Times New Roman" w:cs="Times New Roman" w:eastAsia="Times New Roman" w:hint="default"/>
                <w:sz w:val="18"/>
                <w:szCs w:val="18"/>
              </w:rPr>
              <w:t>12  </w:t>
            </w:r>
            <w:r>
              <w:rPr>
                <w:rFonts w:ascii="宋体" w:hAnsi="宋体" w:cs="宋体" w:eastAsia="宋体" w:hint="default"/>
                <w:spacing w:val="-5"/>
                <w:sz w:val="18"/>
                <w:szCs w:val="18"/>
              </w:rPr>
              <w:t>亿元（含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0"/>
                <w:sz w:val="18"/>
                <w:szCs w:val="18"/>
              </w:rPr>
              <w:t> </w:t>
            </w:r>
            <w:r>
              <w:rPr>
                <w:rFonts w:ascii="宋体" w:hAnsi="宋体" w:cs="宋体" w:eastAsia="宋体" w:hint="default"/>
                <w:sz w:val="18"/>
                <w:szCs w:val="18"/>
              </w:rPr>
              <w:t>亿元）的公司债券。本次债券采取分期发行</w:t>
            </w:r>
          </w:p>
          <w:p>
            <w:pPr>
              <w:pStyle w:val="TableParagraph"/>
              <w:spacing w:line="240" w:lineRule="auto" w:before="63"/>
              <w:ind w:left="24" w:right="0"/>
              <w:jc w:val="both"/>
              <w:rPr>
                <w:rFonts w:ascii="宋体" w:hAnsi="宋体" w:cs="宋体" w:eastAsia="宋体" w:hint="default"/>
                <w:sz w:val="18"/>
                <w:szCs w:val="18"/>
              </w:rPr>
            </w:pPr>
            <w:r>
              <w:rPr>
                <w:rFonts w:ascii="宋体" w:hAnsi="宋体" w:cs="宋体" w:eastAsia="宋体" w:hint="default"/>
                <w:sz w:val="18"/>
                <w:szCs w:val="18"/>
              </w:rPr>
              <w:t>的方式，其中首期发行债券发行规模为</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5,000.00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万元，首期自中国证监会核准发行之日起</w:t>
            </w:r>
            <w:r>
              <w:rPr>
                <w:rFonts w:ascii="宋体" w:hAnsi="宋体" w:cs="宋体" w:eastAsia="宋体" w:hint="default"/>
                <w:spacing w:val="-12"/>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4"/>
                <w:sz w:val="18"/>
                <w:szCs w:val="18"/>
              </w:rPr>
              <w:t> </w:t>
            </w:r>
            <w:r>
              <w:rPr>
                <w:rFonts w:ascii="宋体" w:hAnsi="宋体" w:cs="宋体" w:eastAsia="宋体" w:hint="default"/>
                <w:sz w:val="18"/>
                <w:szCs w:val="18"/>
              </w:rPr>
              <w:t>个月内完成，其余各期债券</w:t>
            </w:r>
          </w:p>
          <w:p>
            <w:pPr>
              <w:pStyle w:val="TableParagraph"/>
              <w:spacing w:line="240" w:lineRule="auto" w:before="63"/>
              <w:ind w:left="24" w:right="0"/>
              <w:jc w:val="both"/>
              <w:rPr>
                <w:rFonts w:ascii="宋体" w:hAnsi="宋体" w:cs="宋体" w:eastAsia="宋体" w:hint="default"/>
                <w:sz w:val="18"/>
                <w:szCs w:val="18"/>
              </w:rPr>
            </w:pPr>
            <w:r>
              <w:rPr>
                <w:rFonts w:ascii="宋体" w:hAnsi="宋体" w:cs="宋体" w:eastAsia="宋体" w:hint="default"/>
                <w:sz w:val="18"/>
                <w:szCs w:val="18"/>
              </w:rPr>
              <w:t>发行</w:t>
            </w:r>
            <w:r>
              <w:rPr>
                <w:rFonts w:ascii="宋体" w:hAnsi="宋体" w:cs="宋体" w:eastAsia="宋体" w:hint="default"/>
                <w:spacing w:val="-5"/>
                <w:sz w:val="18"/>
                <w:szCs w:val="18"/>
              </w:rPr>
              <w:t>，</w:t>
            </w:r>
            <w:r>
              <w:rPr>
                <w:rFonts w:ascii="宋体" w:hAnsi="宋体" w:cs="宋体" w:eastAsia="宋体" w:hint="default"/>
                <w:sz w:val="18"/>
                <w:szCs w:val="18"/>
              </w:rPr>
              <w:t>自中国证监会核准发行之日起</w:t>
            </w:r>
            <w:r>
              <w:rPr>
                <w:rFonts w:ascii="宋体" w:hAnsi="宋体" w:cs="宋体" w:eastAsia="宋体" w:hint="default"/>
                <w:spacing w:val="2"/>
                <w:sz w:val="18"/>
                <w:szCs w:val="18"/>
              </w:rPr>
              <w:t> </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z w:val="18"/>
                <w:szCs w:val="18"/>
              </w:rPr>
              <w:t>4  </w:t>
            </w:r>
            <w:r>
              <w:rPr>
                <w:rFonts w:ascii="宋体" w:hAnsi="宋体" w:cs="宋体" w:eastAsia="宋体" w:hint="default"/>
                <w:sz w:val="18"/>
                <w:szCs w:val="18"/>
              </w:rPr>
              <w:t>个月内完成</w:t>
            </w:r>
            <w:r>
              <w:rPr>
                <w:rFonts w:ascii="宋体" w:hAnsi="宋体" w:cs="宋体" w:eastAsia="宋体" w:hint="default"/>
                <w:spacing w:val="-8"/>
                <w:sz w:val="18"/>
                <w:szCs w:val="18"/>
              </w:rPr>
              <w:t>。</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7 </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1"/>
                <w:sz w:val="18"/>
                <w:szCs w:val="18"/>
              </w:rPr>
              <w:t> </w:t>
            </w:r>
            <w:r>
              <w:rPr>
                <w:rFonts w:ascii="Times New Roman" w:hAnsi="Times New Roman" w:cs="Times New Roman" w:eastAsia="Times New Roman" w:hint="default"/>
                <w:spacing w:val="-6"/>
                <w:sz w:val="18"/>
                <w:szCs w:val="18"/>
              </w:rPr>
              <w:t>1</w:t>
            </w:r>
            <w:r>
              <w:rPr>
                <w:rFonts w:ascii="Times New Roman" w:hAnsi="Times New Roman" w:cs="Times New Roman" w:eastAsia="Times New Roman" w:hint="default"/>
                <w:sz w:val="18"/>
                <w:szCs w:val="18"/>
              </w:rPr>
              <w:t>1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1"/>
                <w:sz w:val="18"/>
                <w:szCs w:val="18"/>
              </w:rPr>
              <w:t> </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z w:val="18"/>
                <w:szCs w:val="18"/>
              </w:rPr>
              <w:t>4  </w:t>
            </w:r>
            <w:r>
              <w:rPr>
                <w:rFonts w:ascii="宋体" w:hAnsi="宋体" w:cs="宋体" w:eastAsia="宋体" w:hint="default"/>
                <w:sz w:val="18"/>
                <w:szCs w:val="18"/>
              </w:rPr>
              <w:t>日</w:t>
            </w:r>
            <w:r>
              <w:rPr>
                <w:rFonts w:ascii="宋体" w:hAnsi="宋体" w:cs="宋体" w:eastAsia="宋体" w:hint="default"/>
                <w:spacing w:val="-5"/>
                <w:sz w:val="18"/>
                <w:szCs w:val="18"/>
              </w:rPr>
              <w:t>，</w:t>
            </w:r>
            <w:r>
              <w:rPr>
                <w:rFonts w:ascii="宋体" w:hAnsi="宋体" w:cs="宋体" w:eastAsia="宋体" w:hint="default"/>
                <w:sz w:val="18"/>
                <w:szCs w:val="18"/>
              </w:rPr>
              <w:t>公司公开</w:t>
            </w:r>
            <w:r>
              <w:rPr>
                <w:rFonts w:ascii="宋体" w:hAnsi="宋体" w:cs="宋体" w:eastAsia="宋体" w:hint="default"/>
                <w:spacing w:val="-3"/>
                <w:sz w:val="18"/>
                <w:szCs w:val="18"/>
              </w:rPr>
              <w:t>发</w:t>
            </w:r>
            <w:r>
              <w:rPr>
                <w:rFonts w:ascii="宋体" w:hAnsi="宋体" w:cs="宋体" w:eastAsia="宋体" w:hint="default"/>
                <w:sz w:val="18"/>
                <w:szCs w:val="18"/>
              </w:rPr>
              <w:t>行公司债</w:t>
            </w:r>
            <w:r>
              <w:rPr>
                <w:rFonts w:ascii="宋体" w:hAnsi="宋体" w:cs="宋体" w:eastAsia="宋体" w:hint="default"/>
                <w:spacing w:val="-5"/>
                <w:sz w:val="18"/>
                <w:szCs w:val="18"/>
              </w:rPr>
              <w:t>券</w:t>
            </w:r>
            <w:r>
              <w:rPr>
                <w:rFonts w:ascii="宋体" w:hAnsi="宋体" w:cs="宋体" w:eastAsia="宋体" w:hint="default"/>
                <w:sz w:val="18"/>
                <w:szCs w:val="18"/>
              </w:rPr>
              <w:t>（第一期</w:t>
            </w:r>
            <w:r>
              <w:rPr>
                <w:rFonts w:ascii="宋体" w:hAnsi="宋体" w:cs="宋体" w:eastAsia="宋体" w:hint="default"/>
                <w:spacing w:val="-92"/>
                <w:sz w:val="18"/>
                <w:szCs w:val="18"/>
              </w:rPr>
              <w:t>）</w:t>
            </w:r>
            <w:r>
              <w:rPr>
                <w:rFonts w:ascii="宋体" w:hAnsi="宋体" w:cs="宋体" w:eastAsia="宋体" w:hint="default"/>
                <w:spacing w:val="-5"/>
                <w:sz w:val="18"/>
                <w:szCs w:val="18"/>
              </w:rPr>
              <w:t>，</w:t>
            </w:r>
            <w:r>
              <w:rPr>
                <w:rFonts w:ascii="宋体" w:hAnsi="宋体" w:cs="宋体" w:eastAsia="宋体" w:hint="default"/>
                <w:sz w:val="18"/>
                <w:szCs w:val="18"/>
              </w:rPr>
              <w:t>募集资</w:t>
            </w:r>
          </w:p>
          <w:p>
            <w:pPr>
              <w:pStyle w:val="TableParagraph"/>
              <w:spacing w:line="240" w:lineRule="auto" w:before="63"/>
              <w:ind w:left="24" w:right="0"/>
              <w:jc w:val="both"/>
              <w:rPr>
                <w:rFonts w:ascii="宋体" w:hAnsi="宋体" w:cs="宋体" w:eastAsia="宋体" w:hint="default"/>
                <w:sz w:val="18"/>
                <w:szCs w:val="18"/>
              </w:rPr>
            </w:pPr>
            <w:r>
              <w:rPr>
                <w:rFonts w:ascii="宋体" w:hAnsi="宋体" w:cs="宋体" w:eastAsia="宋体" w:hint="default"/>
                <w:sz w:val="18"/>
                <w:szCs w:val="18"/>
              </w:rPr>
              <w:t>金总额</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5,000.00</w:t>
            </w:r>
            <w:r>
              <w:rPr>
                <w:rFonts w:ascii="Times New Roman" w:hAnsi="Times New Roman" w:cs="Times New Roman" w:eastAsia="Times New Roman" w:hint="default"/>
                <w:spacing w:val="40"/>
                <w:sz w:val="18"/>
                <w:szCs w:val="18"/>
              </w:rPr>
              <w:t> </w:t>
            </w:r>
            <w:r>
              <w:rPr>
                <w:rFonts w:ascii="宋体" w:hAnsi="宋体" w:cs="宋体" w:eastAsia="宋体" w:hint="default"/>
                <w:sz w:val="18"/>
                <w:szCs w:val="18"/>
              </w:rPr>
              <w:t>万元，扣除发行费用后，募集资金净额</w:t>
            </w:r>
            <w:r>
              <w:rPr>
                <w:rFonts w:ascii="宋体" w:hAnsi="宋体" w:cs="宋体" w:eastAsia="宋体" w:hint="default"/>
                <w:spacing w:val="-6"/>
                <w:sz w:val="18"/>
                <w:szCs w:val="18"/>
              </w:rPr>
              <w:t> </w:t>
            </w:r>
            <w:r>
              <w:rPr>
                <w:rFonts w:ascii="Times New Roman" w:hAnsi="Times New Roman" w:cs="Times New Roman" w:eastAsia="Times New Roman" w:hint="default"/>
                <w:sz w:val="18"/>
                <w:szCs w:val="18"/>
              </w:rPr>
              <w:t>5,000.00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万元，已于</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日汇入本公司在相关银行开</w:t>
            </w:r>
          </w:p>
          <w:p>
            <w:pPr>
              <w:pStyle w:val="TableParagraph"/>
              <w:spacing w:line="240" w:lineRule="auto" w:before="63"/>
              <w:ind w:left="24" w:right="0"/>
              <w:jc w:val="both"/>
              <w:rPr>
                <w:rFonts w:ascii="宋体" w:hAnsi="宋体" w:cs="宋体" w:eastAsia="宋体" w:hint="default"/>
                <w:sz w:val="18"/>
                <w:szCs w:val="18"/>
              </w:rPr>
            </w:pPr>
            <w:r>
              <w:rPr>
                <w:rFonts w:ascii="宋体" w:hAnsi="宋体" w:cs="宋体" w:eastAsia="宋体" w:hint="default"/>
                <w:sz w:val="18"/>
                <w:szCs w:val="18"/>
              </w:rPr>
              <w:t>设的募集资金账户中。截至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日，募集资金净额结余</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0.00 </w:t>
            </w:r>
            <w:r>
              <w:rPr>
                <w:rFonts w:ascii="宋体" w:hAnsi="宋体" w:cs="宋体" w:eastAsia="宋体" w:hint="default"/>
                <w:sz w:val="18"/>
                <w:szCs w:val="18"/>
              </w:rPr>
              <w:t>万元，与募集资金专户余额</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14,317.53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元，差异</w:t>
            </w:r>
          </w:p>
          <w:p>
            <w:pPr>
              <w:pStyle w:val="TableParagraph"/>
              <w:spacing w:line="240" w:lineRule="auto" w:before="62"/>
              <w:ind w:left="24"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14,317.53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元，差异为利息收入扣除银行手续费。</w:t>
            </w:r>
          </w:p>
        </w:tc>
      </w:tr>
    </w:tbl>
    <w:p>
      <w:pPr>
        <w:spacing w:after="0" w:line="240" w:lineRule="auto"/>
        <w:jc w:val="both"/>
        <w:rPr>
          <w:rFonts w:ascii="宋体" w:hAnsi="宋体" w:cs="宋体" w:eastAsia="宋体" w:hint="default"/>
          <w:sz w:val="18"/>
          <w:szCs w:val="18"/>
        </w:rPr>
        <w:sectPr>
          <w:pgSz w:w="11910" w:h="16840"/>
          <w:pgMar w:header="745" w:footer="979" w:top="1060" w:bottom="1160" w:left="980" w:right="0"/>
        </w:sectPr>
      </w:pPr>
    </w:p>
    <w:p>
      <w:pPr>
        <w:spacing w:line="240" w:lineRule="auto" w:before="2"/>
        <w:rPr>
          <w:rFonts w:ascii="Times New Roman" w:hAnsi="Times New Roman" w:cs="Times New Roman" w:eastAsia="Times New Roman" w:hint="default"/>
          <w:sz w:val="28"/>
          <w:szCs w:val="28"/>
        </w:rPr>
      </w:pPr>
      <w:r>
        <w:rPr/>
        <w:pict>
          <v:shape style="position:absolute;margin-left:111.963005pt;margin-top:471.189972pt;width:65.1pt;height:15.6pt;mso-position-horizontal-relative:page;mso-position-vertical-relative:page;z-index:-1325488" type="#_x0000_t202" filled="false" stroked="false">
            <v:textbox inset="0,0,0,0">
              <w:txbxContent>
                <w:p>
                  <w:pPr>
                    <w:pStyle w:val="BodyText"/>
                    <w:spacing w:line="240" w:lineRule="auto" w:before="49"/>
                    <w:ind w:left="0" w:right="0"/>
                    <w:jc w:val="left"/>
                  </w:pPr>
                  <w:r>
                    <w:rPr/>
                    <w:t>（北京）</w:t>
                  </w:r>
                </w:p>
              </w:txbxContent>
            </v:textbox>
            <w10:wrap type="none"/>
          </v:shape>
        </w:pict>
      </w:r>
      <w:r>
        <w:rPr/>
        <w:pict>
          <v:group style="position:absolute;margin-left:145.220001pt;margin-top:471.189972pt;width:31.8pt;height:15.6pt;mso-position-horizontal-relative:page;mso-position-vertical-relative:page;z-index:-1325464" coordorigin="2904,9424" coordsize="636,312">
            <v:shape style="position:absolute;left:2904;top:9424;width:636;height:312" coordorigin="2904,9424" coordsize="636,312" path="m2904,9736l3540,9736,3540,9424,2904,9424,2904,9736xe" filled="true" fillcolor="#ffffff" stroked="false">
              <v:path arrowok="t"/>
              <v:fill type="solid"/>
            </v:shape>
            <w10:wrap type="none"/>
          </v:group>
        </w:pict>
      </w:r>
    </w:p>
    <w:p>
      <w:pPr>
        <w:pStyle w:val="Heading4"/>
        <w:spacing w:line="240" w:lineRule="auto" w:before="36"/>
        <w:ind w:right="982"/>
        <w:jc w:val="left"/>
        <w:rPr>
          <w:b w:val="0"/>
          <w:bCs w:val="0"/>
        </w:rPr>
      </w:pPr>
      <w:r>
        <w:rPr/>
        <w:t>（</w:t>
      </w:r>
      <w:r>
        <w:rPr>
          <w:rFonts w:ascii="Times New Roman" w:hAnsi="Times New Roman" w:cs="Times New Roman" w:eastAsia="Times New Roman" w:hint="default"/>
        </w:rPr>
        <w:t>2</w:t>
      </w:r>
      <w:r>
        <w:rPr/>
        <w:t>）募集资金承诺项目情况</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1"/>
        <w:rPr>
          <w:rFonts w:ascii="宋体" w:hAnsi="宋体" w:cs="宋体" w:eastAsia="宋体" w:hint="default"/>
          <w:sz w:val="20"/>
          <w:szCs w:val="20"/>
        </w:rPr>
      </w:pPr>
    </w:p>
    <w:p>
      <w:pPr>
        <w:pStyle w:val="Heading4"/>
        <w:spacing w:line="240" w:lineRule="auto"/>
        <w:ind w:left="2706" w:right="982"/>
        <w:jc w:val="left"/>
        <w:rPr>
          <w:b w:val="0"/>
          <w:bCs w:val="0"/>
        </w:rPr>
      </w:pPr>
      <w:r>
        <w:rPr/>
        <w:t>首次公开发行募集资金</w:t>
      </w:r>
      <w:r>
        <w:rPr>
          <w:spacing w:val="-52"/>
        </w:rPr>
        <w:t> </w:t>
      </w:r>
      <w:r>
        <w:rPr>
          <w:rFonts w:ascii="Times New Roman" w:hAnsi="Times New Roman" w:cs="Times New Roman" w:eastAsia="Times New Roman" w:hint="default"/>
        </w:rPr>
        <w:t>2018</w:t>
      </w:r>
      <w:r>
        <w:rPr>
          <w:rFonts w:ascii="Times New Roman" w:hAnsi="Times New Roman" w:cs="Times New Roman" w:eastAsia="Times New Roman" w:hint="default"/>
          <w:spacing w:val="-2"/>
        </w:rPr>
        <w:t> </w:t>
      </w:r>
      <w:r>
        <w:rPr/>
        <w:t>年度使用情况对照表</w:t>
      </w:r>
      <w:r>
        <w:rPr>
          <w:b w:val="0"/>
          <w:bCs w:val="0"/>
        </w:rPr>
      </w:r>
    </w:p>
    <w:p>
      <w:pPr>
        <w:spacing w:line="240" w:lineRule="auto" w:before="6"/>
        <w:rPr>
          <w:rFonts w:ascii="宋体" w:hAnsi="宋体" w:cs="宋体" w:eastAsia="宋体" w:hint="default"/>
          <w:b/>
          <w:bCs/>
          <w:sz w:val="10"/>
          <w:szCs w:val="10"/>
        </w:rPr>
      </w:pPr>
    </w:p>
    <w:p>
      <w:pPr>
        <w:pStyle w:val="BodyText"/>
        <w:spacing w:line="240" w:lineRule="auto" w:before="44"/>
        <w:ind w:left="0" w:right="1131"/>
        <w:jc w:val="right"/>
      </w:pPr>
      <w:r>
        <w:rPr/>
        <w:t>单位：万元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737"/>
        <w:gridCol w:w="174"/>
        <w:gridCol w:w="498"/>
        <w:gridCol w:w="853"/>
        <w:gridCol w:w="850"/>
        <w:gridCol w:w="852"/>
        <w:gridCol w:w="850"/>
        <w:gridCol w:w="991"/>
        <w:gridCol w:w="852"/>
        <w:gridCol w:w="850"/>
        <w:gridCol w:w="425"/>
        <w:gridCol w:w="708"/>
      </w:tblGrid>
      <w:tr>
        <w:trPr>
          <w:trHeight w:val="1651" w:hRule="exact"/>
        </w:trPr>
        <w:tc>
          <w:tcPr>
            <w:tcW w:w="1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518" w:right="38" w:hanging="452"/>
              <w:jc w:val="left"/>
              <w:rPr>
                <w:rFonts w:ascii="宋体" w:hAnsi="宋体" w:cs="宋体" w:eastAsia="宋体" w:hint="default"/>
                <w:sz w:val="18"/>
                <w:szCs w:val="18"/>
              </w:rPr>
            </w:pPr>
            <w:r>
              <w:rPr>
                <w:rFonts w:ascii="宋体" w:hAnsi="宋体" w:cs="宋体" w:eastAsia="宋体" w:hint="default"/>
                <w:sz w:val="18"/>
                <w:szCs w:val="18"/>
              </w:rPr>
              <w:t>承诺投资项目和超募 资金投向</w:t>
            </w:r>
          </w:p>
        </w:tc>
        <w:tc>
          <w:tcPr>
            <w:tcW w:w="67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74" w:right="47"/>
              <w:jc w:val="center"/>
              <w:rPr>
                <w:rFonts w:ascii="Times New Roman" w:hAnsi="Times New Roman" w:cs="Times New Roman" w:eastAsia="Times New Roman" w:hint="default"/>
                <w:sz w:val="18"/>
                <w:szCs w:val="18"/>
              </w:rPr>
            </w:pPr>
            <w:r>
              <w:rPr>
                <w:rFonts w:ascii="宋体" w:hAnsi="宋体" w:cs="宋体" w:eastAsia="宋体" w:hint="default"/>
                <w:sz w:val="18"/>
                <w:szCs w:val="18"/>
              </w:rPr>
              <w:t>是否已 变更项 目</w:t>
            </w:r>
            <w:r>
              <w:rPr>
                <w:rFonts w:ascii="Times New Roman" w:hAnsi="Times New Roman" w:cs="Times New Roman" w:eastAsia="Times New Roman" w:hint="default"/>
                <w:sz w:val="18"/>
                <w:szCs w:val="18"/>
              </w:rPr>
              <w:t>(</w:t>
            </w:r>
            <w:r>
              <w:rPr>
                <w:rFonts w:ascii="宋体" w:hAnsi="宋体" w:cs="宋体" w:eastAsia="宋体" w:hint="default"/>
                <w:sz w:val="18"/>
                <w:szCs w:val="18"/>
              </w:rPr>
              <w:t>含 部分变 更</w:t>
            </w:r>
            <w:r>
              <w:rPr>
                <w:rFonts w:ascii="Times New Roman" w:hAnsi="Times New Roman" w:cs="Times New Roman" w:eastAsia="Times New Roman" w:hint="default"/>
                <w:sz w:val="18"/>
                <w:szCs w:val="18"/>
              </w:rPr>
              <w:t>)</w:t>
            </w:r>
          </w:p>
        </w:tc>
        <w:tc>
          <w:tcPr>
            <w:tcW w:w="8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60" w:right="62"/>
              <w:jc w:val="center"/>
              <w:rPr>
                <w:rFonts w:ascii="宋体" w:hAnsi="宋体" w:cs="宋体" w:eastAsia="宋体" w:hint="default"/>
                <w:sz w:val="18"/>
                <w:szCs w:val="18"/>
              </w:rPr>
            </w:pPr>
            <w:r>
              <w:rPr>
                <w:rFonts w:ascii="宋体" w:hAnsi="宋体" w:cs="宋体" w:eastAsia="宋体" w:hint="default"/>
                <w:sz w:val="18"/>
                <w:szCs w:val="18"/>
              </w:rPr>
              <w:t>募集资金 承诺投资 总额</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45" w:right="41" w:firstLine="14"/>
              <w:jc w:val="left"/>
              <w:rPr>
                <w:rFonts w:ascii="Times New Roman" w:hAnsi="Times New Roman" w:cs="Times New Roman" w:eastAsia="Times New Roman" w:hint="default"/>
                <w:sz w:val="18"/>
                <w:szCs w:val="18"/>
              </w:rPr>
            </w:pPr>
            <w:r>
              <w:rPr>
                <w:rFonts w:ascii="宋体" w:hAnsi="宋体" w:cs="宋体" w:eastAsia="宋体" w:hint="default"/>
                <w:sz w:val="18"/>
                <w:szCs w:val="18"/>
              </w:rPr>
              <w:t>调整后投 资总额</w:t>
            </w:r>
            <w:r>
              <w:rPr>
                <w:rFonts w:ascii="Times New Roman" w:hAnsi="Times New Roman" w:cs="Times New Roman" w:eastAsia="Times New Roman" w:hint="default"/>
                <w:sz w:val="18"/>
                <w:szCs w:val="18"/>
              </w:rPr>
              <w:t>(1)</w:t>
            </w:r>
          </w:p>
        </w:tc>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59" w:right="60"/>
              <w:jc w:val="left"/>
              <w:rPr>
                <w:rFonts w:ascii="宋体" w:hAnsi="宋体" w:cs="宋体" w:eastAsia="宋体" w:hint="default"/>
                <w:sz w:val="18"/>
                <w:szCs w:val="18"/>
              </w:rPr>
            </w:pPr>
            <w:r>
              <w:rPr>
                <w:rFonts w:ascii="宋体" w:hAnsi="宋体" w:cs="宋体" w:eastAsia="宋体" w:hint="default"/>
                <w:sz w:val="18"/>
                <w:szCs w:val="18"/>
              </w:rPr>
              <w:t>本报告期 投入金额</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59" w:right="58"/>
              <w:jc w:val="both"/>
              <w:rPr>
                <w:rFonts w:ascii="Times New Roman" w:hAnsi="Times New Roman" w:cs="Times New Roman" w:eastAsia="Times New Roman" w:hint="default"/>
                <w:sz w:val="18"/>
                <w:szCs w:val="18"/>
              </w:rPr>
            </w:pPr>
            <w:r>
              <w:rPr>
                <w:rFonts w:ascii="宋体" w:hAnsi="宋体" w:cs="宋体" w:eastAsia="宋体" w:hint="default"/>
                <w:sz w:val="18"/>
                <w:szCs w:val="18"/>
              </w:rPr>
              <w:t>截至期末 累计投入 金额</w:t>
            </w:r>
            <w:r>
              <w:rPr>
                <w:rFonts w:ascii="Times New Roman" w:hAnsi="Times New Roman" w:cs="Times New Roman" w:eastAsia="Times New Roman" w:hint="default"/>
                <w:sz w:val="18"/>
                <w:szCs w:val="18"/>
              </w:rPr>
              <w:t>(2)</w:t>
            </w:r>
          </w:p>
        </w:tc>
        <w:tc>
          <w:tcPr>
            <w:tcW w:w="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28" w:lineRule="auto" w:before="125"/>
              <w:ind w:left="26" w:right="23" w:hanging="3"/>
              <w:jc w:val="center"/>
              <w:rPr>
                <w:rFonts w:ascii="Times New Roman" w:hAnsi="Times New Roman" w:cs="Times New Roman" w:eastAsia="Times New Roman" w:hint="default"/>
                <w:sz w:val="18"/>
                <w:szCs w:val="18"/>
              </w:rPr>
            </w:pPr>
            <w:r>
              <w:rPr>
                <w:rFonts w:ascii="宋体" w:hAnsi="宋体" w:cs="宋体" w:eastAsia="宋体" w:hint="default"/>
                <w:sz w:val="18"/>
                <w:szCs w:val="18"/>
              </w:rPr>
              <w:t>截至期末投 资进度</w:t>
            </w:r>
            <w:r>
              <w:rPr>
                <w:rFonts w:ascii="Times New Roman" w:hAnsi="Times New Roman" w:cs="Times New Roman" w:eastAsia="Times New Roman" w:hint="default"/>
                <w:sz w:val="18"/>
                <w:szCs w:val="18"/>
              </w:rPr>
              <w:t>(3)</w:t>
            </w:r>
            <w:r>
              <w:rPr>
                <w:rFonts w:ascii="宋体" w:hAnsi="宋体" w:cs="宋体" w:eastAsia="宋体" w:hint="default"/>
                <w:sz w:val="18"/>
                <w:szCs w:val="18"/>
              </w:rPr>
              <w:t>＝ </w:t>
            </w:r>
            <w:r>
              <w:rPr>
                <w:rFonts w:ascii="Times New Roman" w:hAnsi="Times New Roman" w:cs="Times New Roman" w:eastAsia="Times New Roman" w:hint="default"/>
                <w:sz w:val="18"/>
                <w:szCs w:val="18"/>
              </w:rPr>
              <w:t>(2)/(1)</w:t>
            </w:r>
          </w:p>
        </w:tc>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59" w:right="60"/>
              <w:jc w:val="center"/>
              <w:rPr>
                <w:rFonts w:ascii="宋体" w:hAnsi="宋体" w:cs="宋体" w:eastAsia="宋体" w:hint="default"/>
                <w:sz w:val="18"/>
                <w:szCs w:val="18"/>
              </w:rPr>
            </w:pPr>
            <w:r>
              <w:rPr>
                <w:rFonts w:ascii="宋体" w:hAnsi="宋体" w:cs="宋体" w:eastAsia="宋体" w:hint="default"/>
                <w:sz w:val="18"/>
                <w:szCs w:val="18"/>
              </w:rPr>
              <w:t>项目达到 预定可使 用状态日 期</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59" w:right="58"/>
              <w:jc w:val="center"/>
              <w:rPr>
                <w:rFonts w:ascii="宋体" w:hAnsi="宋体" w:cs="宋体" w:eastAsia="宋体" w:hint="default"/>
                <w:sz w:val="18"/>
                <w:szCs w:val="18"/>
              </w:rPr>
            </w:pPr>
            <w:r>
              <w:rPr>
                <w:rFonts w:ascii="宋体" w:hAnsi="宋体" w:cs="宋体" w:eastAsia="宋体" w:hint="default"/>
                <w:sz w:val="18"/>
                <w:szCs w:val="18"/>
              </w:rPr>
              <w:t>本报告期 实现的效 益</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8" w:right="24"/>
              <w:jc w:val="both"/>
              <w:rPr>
                <w:rFonts w:ascii="宋体" w:hAnsi="宋体" w:cs="宋体" w:eastAsia="宋体" w:hint="default"/>
                <w:sz w:val="18"/>
                <w:szCs w:val="18"/>
              </w:rPr>
            </w:pPr>
            <w:r>
              <w:rPr>
                <w:rFonts w:ascii="宋体" w:hAnsi="宋体" w:cs="宋体" w:eastAsia="宋体" w:hint="default"/>
                <w:sz w:val="18"/>
                <w:szCs w:val="18"/>
              </w:rPr>
              <w:t>是否 达到 预计 效益</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79" w:right="77"/>
              <w:jc w:val="center"/>
              <w:rPr>
                <w:rFonts w:ascii="宋体" w:hAnsi="宋体" w:cs="宋体" w:eastAsia="宋体" w:hint="default"/>
                <w:sz w:val="18"/>
                <w:szCs w:val="18"/>
              </w:rPr>
            </w:pPr>
            <w:r>
              <w:rPr>
                <w:rFonts w:ascii="宋体" w:hAnsi="宋体" w:cs="宋体" w:eastAsia="宋体" w:hint="default"/>
                <w:sz w:val="18"/>
                <w:szCs w:val="18"/>
              </w:rPr>
              <w:t>项目可 行性是 否发生 重大变 化</w:t>
            </w:r>
          </w:p>
        </w:tc>
      </w:tr>
      <w:tr>
        <w:trPr>
          <w:trHeight w:val="401" w:hRule="exact"/>
        </w:trPr>
        <w:tc>
          <w:tcPr>
            <w:tcW w:w="9640"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承诺投资项目</w:t>
            </w:r>
          </w:p>
        </w:tc>
      </w:tr>
      <w:tr>
        <w:trPr>
          <w:trHeight w:val="715" w:hRule="exact"/>
        </w:trPr>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81"/>
              <w:jc w:val="left"/>
              <w:rPr>
                <w:rFonts w:ascii="宋体" w:hAnsi="宋体" w:cs="宋体" w:eastAsia="宋体" w:hint="default"/>
                <w:sz w:val="18"/>
                <w:szCs w:val="18"/>
              </w:rPr>
            </w:pPr>
            <w:r>
              <w:rPr>
                <w:rFonts w:ascii="宋体" w:hAnsi="宋体" w:cs="宋体" w:eastAsia="宋体" w:hint="default"/>
                <w:sz w:val="18"/>
                <w:szCs w:val="18"/>
              </w:rPr>
              <w:t>第二代导航电子地图 生产平台开发项目</w:t>
            </w:r>
          </w:p>
        </w:tc>
        <w:tc>
          <w:tcPr>
            <w:tcW w:w="67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33"/>
              <w:jc w:val="center"/>
              <w:rPr>
                <w:rFonts w:ascii="宋体" w:hAnsi="宋体" w:cs="宋体" w:eastAsia="宋体" w:hint="default"/>
                <w:sz w:val="18"/>
                <w:szCs w:val="18"/>
              </w:rPr>
            </w:pPr>
            <w:r>
              <w:rPr>
                <w:rFonts w:ascii="宋体" w:hAnsi="宋体" w:cs="宋体" w:eastAsia="宋体" w:hint="default"/>
                <w:sz w:val="18"/>
                <w:szCs w:val="18"/>
              </w:rPr>
              <w:t>否</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11,450.00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11,450.00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11,450.00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47,125.60</w:t>
            </w:r>
            <w:r>
              <w:rPr>
                <w:rFonts w:ascii="Times New Roman"/>
                <w:sz w:val="18"/>
              </w:rPr>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17"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59"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025" w:hRule="exact"/>
        </w:trPr>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81"/>
              <w:jc w:val="both"/>
              <w:rPr>
                <w:rFonts w:ascii="宋体" w:hAnsi="宋体" w:cs="宋体" w:eastAsia="宋体" w:hint="default"/>
                <w:sz w:val="18"/>
                <w:szCs w:val="18"/>
              </w:rPr>
            </w:pPr>
            <w:r>
              <w:rPr>
                <w:rFonts w:ascii="宋体" w:hAnsi="宋体" w:cs="宋体" w:eastAsia="宋体" w:hint="default"/>
                <w:sz w:val="18"/>
                <w:szCs w:val="18"/>
              </w:rPr>
              <w:t>高现势性、高精度、 精细化车载导航电子 地图开发项目</w:t>
            </w:r>
          </w:p>
        </w:tc>
        <w:tc>
          <w:tcPr>
            <w:tcW w:w="67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33"/>
              <w:jc w:val="center"/>
              <w:rPr>
                <w:rFonts w:ascii="宋体" w:hAnsi="宋体" w:cs="宋体" w:eastAsia="宋体" w:hint="default"/>
                <w:sz w:val="18"/>
                <w:szCs w:val="18"/>
              </w:rPr>
            </w:pPr>
            <w:r>
              <w:rPr>
                <w:rFonts w:ascii="宋体" w:hAnsi="宋体" w:cs="宋体" w:eastAsia="宋体" w:hint="default"/>
                <w:sz w:val="18"/>
                <w:szCs w:val="18"/>
              </w:rPr>
              <w:t>否</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31,760.00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31,760.00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31,595.30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99.48%</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2013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06</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7,326.67</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17"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59"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81"/>
              <w:jc w:val="left"/>
              <w:rPr>
                <w:rFonts w:ascii="宋体" w:hAnsi="宋体" w:cs="宋体" w:eastAsia="宋体" w:hint="default"/>
                <w:sz w:val="18"/>
                <w:szCs w:val="18"/>
              </w:rPr>
            </w:pPr>
            <w:r>
              <w:rPr>
                <w:rFonts w:ascii="宋体" w:hAnsi="宋体" w:cs="宋体" w:eastAsia="宋体" w:hint="default"/>
                <w:sz w:val="18"/>
                <w:szCs w:val="18"/>
              </w:rPr>
              <w:t>行人导航数据产品开 发项目</w:t>
            </w:r>
          </w:p>
        </w:tc>
        <w:tc>
          <w:tcPr>
            <w:tcW w:w="67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33"/>
              <w:jc w:val="center"/>
              <w:rPr>
                <w:rFonts w:ascii="宋体" w:hAnsi="宋体" w:cs="宋体" w:eastAsia="宋体" w:hint="default"/>
                <w:sz w:val="18"/>
                <w:szCs w:val="18"/>
              </w:rPr>
            </w:pPr>
            <w:r>
              <w:rPr>
                <w:rFonts w:ascii="宋体" w:hAnsi="宋体" w:cs="宋体" w:eastAsia="宋体" w:hint="default"/>
                <w:sz w:val="18"/>
                <w:szCs w:val="18"/>
              </w:rPr>
              <w:t>否</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15,280.00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15,280.00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14,494.79</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94.86%</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2013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06</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17"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59"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6" w:hRule="exact"/>
        </w:trPr>
        <w:tc>
          <w:tcPr>
            <w:tcW w:w="1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承诺投资项目小计</w:t>
            </w:r>
          </w:p>
        </w:tc>
        <w:tc>
          <w:tcPr>
            <w:tcW w:w="67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31"/>
              <w:jc w:val="center"/>
              <w:rPr>
                <w:rFonts w:ascii="Times New Roman" w:hAnsi="Times New Roman" w:cs="Times New Roman" w:eastAsia="Times New Roman" w:hint="default"/>
                <w:sz w:val="18"/>
                <w:szCs w:val="18"/>
              </w:rPr>
            </w:pPr>
            <w:r>
              <w:rPr>
                <w:rFonts w:ascii="Times New Roman"/>
                <w:sz w:val="18"/>
              </w:rPr>
              <w:t>--</w:t>
            </w:r>
          </w:p>
        </w:tc>
        <w:tc>
          <w:tcPr>
            <w:tcW w:w="85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58,490.00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58,490.00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50"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91"/>
              <w:ind w:right="12"/>
              <w:jc w:val="right"/>
              <w:rPr>
                <w:rFonts w:ascii="Times New Roman" w:hAnsi="Times New Roman" w:cs="Times New Roman" w:eastAsia="Times New Roman" w:hint="default"/>
                <w:sz w:val="18"/>
                <w:szCs w:val="18"/>
              </w:rPr>
            </w:pPr>
            <w:r>
              <w:rPr>
                <w:rFonts w:ascii="Times New Roman"/>
                <w:spacing w:val="-1"/>
                <w:sz w:val="18"/>
              </w:rPr>
              <w:t>57,540.09</w:t>
            </w:r>
          </w:p>
        </w:tc>
        <w:tc>
          <w:tcPr>
            <w:tcW w:w="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0" w:type="dxa"/>
            <w:tcBorders>
              <w:top w:val="single" w:sz="4" w:space="0" w:color="000000"/>
              <w:left w:val="single" w:sz="13" w:space="0" w:color="D2D2D2"/>
              <w:bottom w:val="single" w:sz="4" w:space="0" w:color="000000"/>
              <w:right w:val="single" w:sz="10" w:space="0" w:color="D2D2D2"/>
            </w:tcBorders>
          </w:tcPr>
          <w:p>
            <w:pPr>
              <w:pStyle w:val="TableParagraph"/>
              <w:spacing w:line="240" w:lineRule="auto" w:before="91"/>
              <w:ind w:right="12"/>
              <w:jc w:val="right"/>
              <w:rPr>
                <w:rFonts w:ascii="Times New Roman" w:hAnsi="Times New Roman" w:cs="Times New Roman" w:eastAsia="Times New Roman" w:hint="default"/>
                <w:sz w:val="18"/>
                <w:szCs w:val="18"/>
              </w:rPr>
            </w:pPr>
            <w:r>
              <w:rPr>
                <w:rFonts w:ascii="Times New Roman"/>
                <w:spacing w:val="-1"/>
                <w:sz w:val="18"/>
              </w:rPr>
              <w:t>54,452.27</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48" w:right="0"/>
              <w:jc w:val="left"/>
              <w:rPr>
                <w:rFonts w:ascii="Times New Roman" w:hAnsi="Times New Roman" w:cs="Times New Roman" w:eastAsia="Times New Roman" w:hint="default"/>
                <w:sz w:val="18"/>
                <w:szCs w:val="18"/>
              </w:rPr>
            </w:pPr>
            <w:r>
              <w:rPr>
                <w:rFonts w:ascii="Times New Roman"/>
                <w:sz w:val="18"/>
              </w:rPr>
              <w:t>--</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90" w:right="0"/>
              <w:jc w:val="left"/>
              <w:rPr>
                <w:rFonts w:ascii="Times New Roman" w:hAnsi="Times New Roman" w:cs="Times New Roman" w:eastAsia="Times New Roman" w:hint="default"/>
                <w:sz w:val="18"/>
                <w:szCs w:val="18"/>
              </w:rPr>
            </w:pPr>
            <w:r>
              <w:rPr>
                <w:rFonts w:ascii="Times New Roman"/>
                <w:sz w:val="18"/>
              </w:rPr>
              <w:t>--</w:t>
            </w:r>
          </w:p>
        </w:tc>
      </w:tr>
      <w:tr>
        <w:trPr>
          <w:trHeight w:val="399" w:hRule="exact"/>
        </w:trPr>
        <w:tc>
          <w:tcPr>
            <w:tcW w:w="9640"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24" w:right="0"/>
              <w:jc w:val="left"/>
              <w:rPr>
                <w:rFonts w:ascii="宋体" w:hAnsi="宋体" w:cs="宋体" w:eastAsia="宋体" w:hint="default"/>
                <w:sz w:val="18"/>
                <w:szCs w:val="18"/>
              </w:rPr>
            </w:pPr>
            <w:r>
              <w:rPr>
                <w:rFonts w:ascii="宋体" w:hAnsi="宋体" w:cs="宋体" w:eastAsia="宋体" w:hint="default"/>
                <w:sz w:val="18"/>
                <w:szCs w:val="18"/>
              </w:rPr>
              <w:t>超募资金投向</w:t>
            </w:r>
          </w:p>
        </w:tc>
      </w:tr>
      <w:tr>
        <w:trPr>
          <w:trHeight w:val="713" w:hRule="exact"/>
        </w:trPr>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收购</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Mapscape</w:t>
            </w:r>
            <w:r>
              <w:rPr>
                <w:rFonts w:ascii="Times New Roman" w:hAnsi="Times New Roman" w:cs="Times New Roman" w:eastAsia="Times New Roman" w:hint="default"/>
                <w:spacing w:val="-2"/>
                <w:sz w:val="18"/>
                <w:szCs w:val="18"/>
              </w:rPr>
              <w:t> </w:t>
            </w:r>
            <w:r>
              <w:rPr>
                <w:rFonts w:ascii="Times New Roman" w:hAnsi="Times New Roman" w:cs="Times New Roman" w:eastAsia="Times New Roman" w:hint="default"/>
                <w:spacing w:val="-6"/>
                <w:sz w:val="18"/>
                <w:szCs w:val="18"/>
              </w:rPr>
              <w:t>B.V.</w:t>
            </w:r>
          </w:p>
        </w:tc>
        <w:tc>
          <w:tcPr>
            <w:tcW w:w="67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6"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6,164.00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w w:val="95"/>
                <w:sz w:val="18"/>
              </w:rPr>
              <w:t>6,164.00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6,069.55</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98.47%</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2011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04</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24,925.71</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17"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59"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027" w:hRule="exact"/>
        </w:trPr>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81"/>
              <w:jc w:val="left"/>
              <w:rPr>
                <w:rFonts w:ascii="宋体" w:hAnsi="宋体" w:cs="宋体" w:eastAsia="宋体" w:hint="default"/>
                <w:sz w:val="18"/>
                <w:szCs w:val="18"/>
              </w:rPr>
            </w:pPr>
            <w:r>
              <w:rPr>
                <w:rFonts w:ascii="宋体" w:hAnsi="宋体" w:cs="宋体" w:eastAsia="宋体" w:hint="default"/>
                <w:sz w:val="18"/>
                <w:szCs w:val="18"/>
              </w:rPr>
              <w:t>收购中交宇科 空间信息技术有限公 司</w:t>
            </w:r>
          </w:p>
        </w:tc>
        <w:tc>
          <w:tcPr>
            <w:tcW w:w="174" w:type="dxa"/>
            <w:tcBorders>
              <w:top w:val="single" w:sz="4" w:space="0" w:color="000000"/>
              <w:left w:val="single" w:sz="4" w:space="0" w:color="000000"/>
              <w:bottom w:val="single" w:sz="4" w:space="0" w:color="000000"/>
              <w:right w:val="nil" w:sz="6" w:space="0" w:color="auto"/>
            </w:tcBorders>
          </w:tcPr>
          <w:p>
            <w:pPr/>
          </w:p>
        </w:tc>
        <w:tc>
          <w:tcPr>
            <w:tcW w:w="498"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85"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13,800.00</w:t>
            </w:r>
            <w:r>
              <w:rPr>
                <w:rFonts w:ascii="Times New Roman"/>
                <w:sz w:val="18"/>
              </w:rPr>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13,800.00</w:t>
            </w:r>
            <w:r>
              <w:rPr>
                <w:rFonts w:ascii="Times New Roman"/>
                <w:sz w:val="18"/>
              </w:rPr>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433.27</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13,233.27</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95.89%</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03</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2,540.46</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17"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59"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81"/>
              <w:jc w:val="left"/>
              <w:rPr>
                <w:rFonts w:ascii="宋体" w:hAnsi="宋体" w:cs="宋体" w:eastAsia="宋体" w:hint="default"/>
                <w:sz w:val="18"/>
                <w:szCs w:val="18"/>
              </w:rPr>
            </w:pPr>
            <w:r>
              <w:rPr>
                <w:rFonts w:ascii="宋体" w:hAnsi="宋体" w:cs="宋体" w:eastAsia="宋体" w:hint="default"/>
                <w:sz w:val="18"/>
                <w:szCs w:val="18"/>
              </w:rPr>
              <w:t>收购中寰卫星导航通 信有限公司</w:t>
            </w:r>
          </w:p>
        </w:tc>
        <w:tc>
          <w:tcPr>
            <w:tcW w:w="67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6"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95"/>
                <w:sz w:val="18"/>
              </w:rPr>
              <w:t>6,224.08</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6,224.08</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6,224.08</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2013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03</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22,980.64</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17"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59"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81"/>
              <w:jc w:val="left"/>
              <w:rPr>
                <w:rFonts w:ascii="宋体" w:hAnsi="宋体" w:cs="宋体" w:eastAsia="宋体" w:hint="default"/>
                <w:sz w:val="18"/>
                <w:szCs w:val="18"/>
              </w:rPr>
            </w:pPr>
            <w:r>
              <w:rPr>
                <w:rFonts w:ascii="宋体" w:hAnsi="宋体" w:cs="宋体" w:eastAsia="宋体" w:hint="default"/>
                <w:sz w:val="18"/>
                <w:szCs w:val="18"/>
              </w:rPr>
              <w:t>北京中关村永丰高新 技术产业基地建设</w:t>
            </w:r>
          </w:p>
        </w:tc>
        <w:tc>
          <w:tcPr>
            <w:tcW w:w="67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6"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53,189.80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53,189.80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10,477.54</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53,189.80</w:t>
            </w:r>
            <w:r>
              <w:rPr>
                <w:rFonts w:ascii="Times New Roman"/>
                <w:sz w:val="18"/>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02</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0.00</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17"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59"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归还银行贷款（如有</w:t>
            </w:r>
          </w:p>
        </w:tc>
        <w:tc>
          <w:tcPr>
            <w:tcW w:w="174" w:type="dxa"/>
            <w:tcBorders>
              <w:top w:val="single" w:sz="4" w:space="0" w:color="000000"/>
              <w:left w:val="single" w:sz="4" w:space="0" w:color="000000"/>
              <w:bottom w:val="single" w:sz="4" w:space="0" w:color="000000"/>
              <w:right w:val="nil" w:sz="6" w:space="0" w:color="auto"/>
            </w:tcBorders>
            <w:shd w:val="clear" w:color="auto" w:fill="D2D2D2"/>
          </w:tcPr>
          <w:p>
            <w:pPr>
              <w:pStyle w:val="TableParagraph"/>
              <w:spacing w:line="240" w:lineRule="auto" w:before="49"/>
              <w:ind w:left="-96" w:right="0"/>
              <w:jc w:val="left"/>
              <w:rPr>
                <w:rFonts w:ascii="宋体" w:hAnsi="宋体" w:cs="宋体" w:eastAsia="宋体" w:hint="default"/>
                <w:sz w:val="18"/>
                <w:szCs w:val="18"/>
              </w:rPr>
            </w:pPr>
            <w:r>
              <w:rPr>
                <w:rFonts w:ascii="宋体" w:hAnsi="宋体" w:cs="宋体" w:eastAsia="宋体" w:hint="default"/>
                <w:sz w:val="18"/>
                <w:szCs w:val="18"/>
              </w:rPr>
              <w:t>）</w:t>
            </w:r>
          </w:p>
        </w:tc>
        <w:tc>
          <w:tcPr>
            <w:tcW w:w="498" w:type="dxa"/>
            <w:tcBorders>
              <w:top w:val="single" w:sz="4" w:space="0" w:color="000000"/>
              <w:left w:val="nil" w:sz="6" w:space="0" w:color="auto"/>
              <w:bottom w:val="single" w:sz="4" w:space="0" w:color="000000"/>
              <w:right w:val="single" w:sz="4" w:space="0" w:color="000000"/>
            </w:tcBorders>
            <w:shd w:val="clear" w:color="auto" w:fill="D2D2D2"/>
          </w:tcPr>
          <w:p>
            <w:pPr>
              <w:pStyle w:val="TableParagraph"/>
              <w:spacing w:line="240" w:lineRule="auto" w:before="91"/>
              <w:ind w:left="116" w:right="0"/>
              <w:jc w:val="left"/>
              <w:rPr>
                <w:rFonts w:ascii="Times New Roman" w:hAnsi="Times New Roman" w:cs="Times New Roman" w:eastAsia="Times New Roman" w:hint="default"/>
                <w:sz w:val="18"/>
                <w:szCs w:val="18"/>
              </w:rPr>
            </w:pPr>
            <w:r>
              <w:rPr>
                <w:rFonts w:ascii="Times New Roman"/>
                <w:sz w:val="18"/>
              </w:rPr>
              <w:t>--</w:t>
            </w:r>
          </w:p>
        </w:tc>
        <w:tc>
          <w:tcPr>
            <w:tcW w:w="85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0.00</w:t>
            </w:r>
          </w:p>
        </w:tc>
        <w:tc>
          <w:tcPr>
            <w:tcW w:w="991"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7"/>
              <w:jc w:val="right"/>
              <w:rPr>
                <w:rFonts w:ascii="Times New Roman" w:hAnsi="Times New Roman" w:cs="Times New Roman" w:eastAsia="Times New Roman" w:hint="default"/>
                <w:sz w:val="18"/>
                <w:szCs w:val="18"/>
              </w:rPr>
            </w:pPr>
            <w:r>
              <w:rPr>
                <w:rFonts w:ascii="Times New Roman"/>
                <w:sz w:val="18"/>
              </w:rPr>
              <w:t>0.00%</w:t>
            </w:r>
          </w:p>
        </w:tc>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48" w:right="0"/>
              <w:jc w:val="left"/>
              <w:rPr>
                <w:rFonts w:ascii="Times New Roman" w:hAnsi="Times New Roman" w:cs="Times New Roman" w:eastAsia="Times New Roman" w:hint="default"/>
                <w:sz w:val="18"/>
                <w:szCs w:val="18"/>
              </w:rPr>
            </w:pPr>
            <w:r>
              <w:rPr>
                <w:rFonts w:ascii="Times New Roman"/>
                <w:sz w:val="18"/>
              </w:rPr>
              <w:t>--</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90" w:right="0"/>
              <w:jc w:val="left"/>
              <w:rPr>
                <w:rFonts w:ascii="Times New Roman" w:hAnsi="Times New Roman" w:cs="Times New Roman" w:eastAsia="Times New Roman" w:hint="default"/>
                <w:sz w:val="18"/>
                <w:szCs w:val="18"/>
              </w:rPr>
            </w:pPr>
            <w:r>
              <w:rPr>
                <w:rFonts w:ascii="Times New Roman"/>
                <w:sz w:val="18"/>
              </w:rPr>
              <w:t>--</w:t>
            </w:r>
          </w:p>
        </w:tc>
      </w:tr>
      <w:tr>
        <w:trPr>
          <w:trHeight w:val="403" w:hRule="exact"/>
        </w:trPr>
        <w:tc>
          <w:tcPr>
            <w:tcW w:w="1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补充流动资金（如有</w:t>
            </w:r>
          </w:p>
        </w:tc>
        <w:tc>
          <w:tcPr>
            <w:tcW w:w="174" w:type="dxa"/>
            <w:tcBorders>
              <w:top w:val="single" w:sz="4" w:space="0" w:color="000000"/>
              <w:left w:val="single" w:sz="4" w:space="0" w:color="000000"/>
              <w:bottom w:val="single" w:sz="4" w:space="0" w:color="000000"/>
              <w:right w:val="nil" w:sz="6" w:space="0" w:color="auto"/>
            </w:tcBorders>
            <w:shd w:val="clear" w:color="auto" w:fill="D2D2D2"/>
          </w:tcPr>
          <w:p>
            <w:pPr>
              <w:pStyle w:val="TableParagraph"/>
              <w:spacing w:line="240" w:lineRule="auto" w:before="49"/>
              <w:ind w:left="-96" w:right="0"/>
              <w:jc w:val="left"/>
              <w:rPr>
                <w:rFonts w:ascii="宋体" w:hAnsi="宋体" w:cs="宋体" w:eastAsia="宋体" w:hint="default"/>
                <w:sz w:val="18"/>
                <w:szCs w:val="18"/>
              </w:rPr>
            </w:pPr>
            <w:r>
              <w:rPr>
                <w:rFonts w:ascii="宋体" w:hAnsi="宋体" w:cs="宋体" w:eastAsia="宋体" w:hint="default"/>
                <w:sz w:val="18"/>
                <w:szCs w:val="18"/>
              </w:rPr>
              <w:t>）</w:t>
            </w:r>
          </w:p>
        </w:tc>
        <w:tc>
          <w:tcPr>
            <w:tcW w:w="498" w:type="dxa"/>
            <w:tcBorders>
              <w:top w:val="single" w:sz="4" w:space="0" w:color="000000"/>
              <w:left w:val="nil" w:sz="6" w:space="0" w:color="auto"/>
              <w:bottom w:val="single" w:sz="4" w:space="0" w:color="000000"/>
              <w:right w:val="single" w:sz="4" w:space="0" w:color="000000"/>
            </w:tcBorders>
            <w:shd w:val="clear" w:color="auto" w:fill="D2D2D2"/>
          </w:tcPr>
          <w:p>
            <w:pPr>
              <w:pStyle w:val="TableParagraph"/>
              <w:spacing w:line="240" w:lineRule="auto" w:before="91"/>
              <w:ind w:left="116" w:right="0"/>
              <w:jc w:val="left"/>
              <w:rPr>
                <w:rFonts w:ascii="Times New Roman" w:hAnsi="Times New Roman" w:cs="Times New Roman" w:eastAsia="Times New Roman" w:hint="default"/>
                <w:sz w:val="18"/>
                <w:szCs w:val="18"/>
              </w:rPr>
            </w:pPr>
            <w:r>
              <w:rPr>
                <w:rFonts w:ascii="Times New Roman"/>
                <w:sz w:val="18"/>
              </w:rPr>
              <w:t>--</w:t>
            </w:r>
          </w:p>
        </w:tc>
        <w:tc>
          <w:tcPr>
            <w:tcW w:w="85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0.00</w:t>
            </w:r>
          </w:p>
        </w:tc>
        <w:tc>
          <w:tcPr>
            <w:tcW w:w="991"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7"/>
              <w:jc w:val="right"/>
              <w:rPr>
                <w:rFonts w:ascii="Times New Roman" w:hAnsi="Times New Roman" w:cs="Times New Roman" w:eastAsia="Times New Roman" w:hint="default"/>
                <w:sz w:val="18"/>
                <w:szCs w:val="18"/>
              </w:rPr>
            </w:pPr>
            <w:r>
              <w:rPr>
                <w:rFonts w:ascii="Times New Roman"/>
                <w:sz w:val="18"/>
              </w:rPr>
              <w:t>0.00%</w:t>
            </w:r>
          </w:p>
        </w:tc>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48" w:right="0"/>
              <w:jc w:val="left"/>
              <w:rPr>
                <w:rFonts w:ascii="Times New Roman" w:hAnsi="Times New Roman" w:cs="Times New Roman" w:eastAsia="Times New Roman" w:hint="default"/>
                <w:sz w:val="18"/>
                <w:szCs w:val="18"/>
              </w:rPr>
            </w:pPr>
            <w:r>
              <w:rPr>
                <w:rFonts w:ascii="Times New Roman"/>
                <w:sz w:val="18"/>
              </w:rPr>
              <w:t>--</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90" w:right="0"/>
              <w:jc w:val="left"/>
              <w:rPr>
                <w:rFonts w:ascii="Times New Roman" w:hAnsi="Times New Roman" w:cs="Times New Roman" w:eastAsia="Times New Roman" w:hint="default"/>
                <w:sz w:val="18"/>
                <w:szCs w:val="18"/>
              </w:rPr>
            </w:pPr>
            <w:r>
              <w:rPr>
                <w:rFonts w:ascii="Times New Roman"/>
                <w:sz w:val="18"/>
              </w:rPr>
              <w:t>--</w:t>
            </w:r>
          </w:p>
        </w:tc>
      </w:tr>
      <w:tr>
        <w:trPr>
          <w:trHeight w:val="401" w:hRule="exact"/>
        </w:trPr>
        <w:tc>
          <w:tcPr>
            <w:tcW w:w="1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超募资金投向小计</w:t>
            </w:r>
          </w:p>
        </w:tc>
        <w:tc>
          <w:tcPr>
            <w:tcW w:w="67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9" w:right="0"/>
              <w:jc w:val="center"/>
              <w:rPr>
                <w:rFonts w:ascii="Times New Roman" w:hAnsi="Times New Roman" w:cs="Times New Roman" w:eastAsia="Times New Roman" w:hint="default"/>
                <w:sz w:val="18"/>
                <w:szCs w:val="18"/>
              </w:rPr>
            </w:pPr>
            <w:r>
              <w:rPr>
                <w:rFonts w:ascii="Times New Roman"/>
                <w:sz w:val="18"/>
              </w:rPr>
              <w:t>--</w:t>
            </w:r>
          </w:p>
        </w:tc>
        <w:tc>
          <w:tcPr>
            <w:tcW w:w="85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79,377.88</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79,377.88</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10,910.81</w:t>
            </w:r>
          </w:p>
        </w:tc>
        <w:tc>
          <w:tcPr>
            <w:tcW w:w="850"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91"/>
              <w:ind w:right="12"/>
              <w:jc w:val="right"/>
              <w:rPr>
                <w:rFonts w:ascii="Times New Roman" w:hAnsi="Times New Roman" w:cs="Times New Roman" w:eastAsia="Times New Roman" w:hint="default"/>
                <w:sz w:val="18"/>
                <w:szCs w:val="18"/>
              </w:rPr>
            </w:pPr>
            <w:r>
              <w:rPr>
                <w:rFonts w:ascii="Times New Roman"/>
                <w:spacing w:val="-1"/>
                <w:sz w:val="18"/>
              </w:rPr>
              <w:t>78,716.70</w:t>
            </w:r>
          </w:p>
        </w:tc>
        <w:tc>
          <w:tcPr>
            <w:tcW w:w="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850" w:type="dxa"/>
            <w:tcBorders>
              <w:top w:val="single" w:sz="4" w:space="0" w:color="000000"/>
              <w:left w:val="single" w:sz="13" w:space="0" w:color="D2D2D2"/>
              <w:bottom w:val="single" w:sz="4" w:space="0" w:color="000000"/>
              <w:right w:val="single" w:sz="10" w:space="0" w:color="D2D2D2"/>
            </w:tcBorders>
          </w:tcPr>
          <w:p>
            <w:pPr>
              <w:pStyle w:val="TableParagraph"/>
              <w:spacing w:line="240" w:lineRule="auto" w:before="91"/>
              <w:ind w:right="12"/>
              <w:jc w:val="right"/>
              <w:rPr>
                <w:rFonts w:ascii="Times New Roman" w:hAnsi="Times New Roman" w:cs="Times New Roman" w:eastAsia="Times New Roman" w:hint="default"/>
                <w:sz w:val="18"/>
                <w:szCs w:val="18"/>
              </w:rPr>
            </w:pPr>
            <w:r>
              <w:rPr>
                <w:rFonts w:ascii="Times New Roman"/>
                <w:spacing w:val="-1"/>
                <w:sz w:val="18"/>
              </w:rPr>
              <w:t>50,446.81</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48" w:right="0"/>
              <w:jc w:val="left"/>
              <w:rPr>
                <w:rFonts w:ascii="Times New Roman" w:hAnsi="Times New Roman" w:cs="Times New Roman" w:eastAsia="Times New Roman" w:hint="default"/>
                <w:sz w:val="18"/>
                <w:szCs w:val="18"/>
              </w:rPr>
            </w:pPr>
            <w:r>
              <w:rPr>
                <w:rFonts w:ascii="Times New Roman"/>
                <w:sz w:val="18"/>
              </w:rPr>
              <w:t>--</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90" w:right="0"/>
              <w:jc w:val="left"/>
              <w:rPr>
                <w:rFonts w:ascii="Times New Roman" w:hAnsi="Times New Roman" w:cs="Times New Roman" w:eastAsia="Times New Roman" w:hint="default"/>
                <w:sz w:val="18"/>
                <w:szCs w:val="18"/>
              </w:rPr>
            </w:pPr>
            <w:r>
              <w:rPr>
                <w:rFonts w:ascii="Times New Roman"/>
                <w:sz w:val="18"/>
              </w:rPr>
              <w:t>--</w:t>
            </w:r>
          </w:p>
        </w:tc>
      </w:tr>
      <w:tr>
        <w:trPr>
          <w:trHeight w:val="161" w:hRule="exact"/>
        </w:trPr>
        <w:tc>
          <w:tcPr>
            <w:tcW w:w="1737" w:type="dxa"/>
            <w:tcBorders>
              <w:top w:val="single" w:sz="4" w:space="0" w:color="000000"/>
              <w:left w:val="single" w:sz="4" w:space="0" w:color="000000"/>
              <w:bottom w:val="nil" w:sz="6" w:space="0" w:color="auto"/>
              <w:right w:val="single" w:sz="4" w:space="0" w:color="000000"/>
            </w:tcBorders>
            <w:shd w:val="clear" w:color="auto" w:fill="D2D2D2"/>
          </w:tcPr>
          <w:p>
            <w:pPr/>
          </w:p>
        </w:tc>
        <w:tc>
          <w:tcPr>
            <w:tcW w:w="673"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853" w:type="dxa"/>
            <w:vMerge w:val="restart"/>
            <w:tcBorders>
              <w:top w:val="single" w:sz="4" w:space="0" w:color="000000"/>
              <w:left w:val="single" w:sz="10" w:space="0" w:color="D2D2D2"/>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137,867.8</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8</w:t>
            </w:r>
          </w:p>
        </w:tc>
        <w:tc>
          <w:tcPr>
            <w:tcW w:w="850" w:type="dxa"/>
            <w:vMerge w:val="restart"/>
            <w:tcBorders>
              <w:top w:val="single" w:sz="4" w:space="0" w:color="000000"/>
              <w:left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137,867.8</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8</w:t>
            </w:r>
          </w:p>
        </w:tc>
        <w:tc>
          <w:tcPr>
            <w:tcW w:w="85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10,910.81</w:t>
            </w:r>
          </w:p>
        </w:tc>
        <w:tc>
          <w:tcPr>
            <w:tcW w:w="850" w:type="dxa"/>
            <w:vMerge w:val="restart"/>
            <w:tcBorders>
              <w:top w:val="single" w:sz="4" w:space="0" w:color="000000"/>
              <w:left w:val="single" w:sz="4" w:space="0" w:color="000000"/>
              <w:right w:val="single" w:sz="10" w:space="0" w:color="D2D2D2"/>
            </w:tcBorders>
          </w:tcPr>
          <w:p>
            <w:pPr>
              <w:pStyle w:val="TableParagraph"/>
              <w:spacing w:line="240" w:lineRule="auto" w:before="91"/>
              <w:ind w:right="11"/>
              <w:jc w:val="right"/>
              <w:rPr>
                <w:rFonts w:ascii="Times New Roman" w:hAnsi="Times New Roman" w:cs="Times New Roman" w:eastAsia="Times New Roman" w:hint="default"/>
                <w:sz w:val="18"/>
                <w:szCs w:val="18"/>
              </w:rPr>
            </w:pPr>
            <w:r>
              <w:rPr>
                <w:rFonts w:ascii="Times New Roman"/>
                <w:spacing w:val="-1"/>
                <w:sz w:val="18"/>
              </w:rPr>
              <w:t>136,256.7</w:t>
            </w:r>
          </w:p>
          <w:p>
            <w:pPr>
              <w:pStyle w:val="TableParagraph"/>
              <w:spacing w:line="240" w:lineRule="auto" w:before="105"/>
              <w:ind w:right="13"/>
              <w:jc w:val="right"/>
              <w:rPr>
                <w:rFonts w:ascii="Times New Roman" w:hAnsi="Times New Roman" w:cs="Times New Roman" w:eastAsia="Times New Roman" w:hint="default"/>
                <w:sz w:val="18"/>
                <w:szCs w:val="18"/>
              </w:rPr>
            </w:pPr>
            <w:r>
              <w:rPr>
                <w:rFonts w:ascii="Times New Roman"/>
                <w:sz w:val="18"/>
              </w:rPr>
              <w:t>9</w:t>
            </w:r>
          </w:p>
        </w:tc>
        <w:tc>
          <w:tcPr>
            <w:tcW w:w="991" w:type="dxa"/>
            <w:tcBorders>
              <w:top w:val="single" w:sz="4" w:space="0" w:color="000000"/>
              <w:left w:val="single" w:sz="4" w:space="0" w:color="000000"/>
              <w:bottom w:val="nil" w:sz="6" w:space="0" w:color="auto"/>
              <w:right w:val="single" w:sz="4" w:space="0" w:color="000000"/>
            </w:tcBorders>
            <w:shd w:val="clear" w:color="auto" w:fill="D2D2D2"/>
          </w:tcPr>
          <w:p>
            <w:pPr/>
          </w:p>
        </w:tc>
        <w:tc>
          <w:tcPr>
            <w:tcW w:w="852" w:type="dxa"/>
            <w:tcBorders>
              <w:top w:val="single" w:sz="4" w:space="0" w:color="000000"/>
              <w:left w:val="single" w:sz="4" w:space="0" w:color="000000"/>
              <w:bottom w:val="nil" w:sz="6" w:space="0" w:color="auto"/>
              <w:right w:val="single" w:sz="4" w:space="0" w:color="000000"/>
            </w:tcBorders>
            <w:shd w:val="clear" w:color="auto" w:fill="D2D2D2"/>
          </w:tcPr>
          <w:p>
            <w:pPr/>
          </w:p>
        </w:tc>
        <w:tc>
          <w:tcPr>
            <w:tcW w:w="850" w:type="dxa"/>
            <w:vMerge w:val="restart"/>
            <w:tcBorders>
              <w:top w:val="single" w:sz="4" w:space="0" w:color="000000"/>
              <w:left w:val="single" w:sz="10" w:space="0" w:color="D2D2D2"/>
              <w:right w:val="single" w:sz="10" w:space="0" w:color="D2D2D2"/>
            </w:tcBorders>
          </w:tcPr>
          <w:p>
            <w:pPr>
              <w:pStyle w:val="TableParagraph"/>
              <w:spacing w:line="240" w:lineRule="auto" w:before="91"/>
              <w:ind w:right="11"/>
              <w:jc w:val="right"/>
              <w:rPr>
                <w:rFonts w:ascii="Times New Roman" w:hAnsi="Times New Roman" w:cs="Times New Roman" w:eastAsia="Times New Roman" w:hint="default"/>
                <w:sz w:val="18"/>
                <w:szCs w:val="18"/>
              </w:rPr>
            </w:pPr>
            <w:r>
              <w:rPr>
                <w:rFonts w:ascii="Times New Roman"/>
                <w:spacing w:val="-1"/>
                <w:sz w:val="18"/>
              </w:rPr>
              <w:t>104,899.0</w:t>
            </w:r>
          </w:p>
          <w:p>
            <w:pPr>
              <w:pStyle w:val="TableParagraph"/>
              <w:spacing w:line="240" w:lineRule="auto" w:before="105"/>
              <w:ind w:right="13"/>
              <w:jc w:val="right"/>
              <w:rPr>
                <w:rFonts w:ascii="Times New Roman" w:hAnsi="Times New Roman" w:cs="Times New Roman" w:eastAsia="Times New Roman" w:hint="default"/>
                <w:sz w:val="18"/>
                <w:szCs w:val="18"/>
              </w:rPr>
            </w:pPr>
            <w:r>
              <w:rPr>
                <w:rFonts w:ascii="Times New Roman"/>
                <w:sz w:val="18"/>
              </w:rPr>
              <w:t>8</w:t>
            </w:r>
          </w:p>
        </w:tc>
        <w:tc>
          <w:tcPr>
            <w:tcW w:w="425" w:type="dxa"/>
            <w:tcBorders>
              <w:top w:val="single" w:sz="4" w:space="0" w:color="000000"/>
              <w:left w:val="single" w:sz="4" w:space="0" w:color="000000"/>
              <w:bottom w:val="nil" w:sz="6" w:space="0" w:color="auto"/>
              <w:right w:val="single" w:sz="4" w:space="0" w:color="000000"/>
            </w:tcBorders>
            <w:shd w:val="clear" w:color="auto" w:fill="D2D2D2"/>
          </w:tcPr>
          <w:p>
            <w:pPr/>
          </w:p>
        </w:tc>
        <w:tc>
          <w:tcPr>
            <w:tcW w:w="708"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4" w:hRule="exact"/>
        </w:trPr>
        <w:tc>
          <w:tcPr>
            <w:tcW w:w="173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673" w:type="dxa"/>
            <w:gridSpan w:val="2"/>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29" w:right="0"/>
              <w:jc w:val="center"/>
              <w:rPr>
                <w:rFonts w:ascii="Times New Roman" w:hAnsi="Times New Roman" w:cs="Times New Roman" w:eastAsia="Times New Roman" w:hint="default"/>
                <w:sz w:val="18"/>
                <w:szCs w:val="18"/>
              </w:rPr>
            </w:pPr>
            <w:r>
              <w:rPr>
                <w:rFonts w:ascii="Times New Roman"/>
                <w:sz w:val="18"/>
              </w:rPr>
              <w:t>--</w:t>
            </w:r>
          </w:p>
        </w:tc>
        <w:tc>
          <w:tcPr>
            <w:tcW w:w="853" w:type="dxa"/>
            <w:vMerge/>
            <w:tcBorders>
              <w:left w:val="single" w:sz="10" w:space="0" w:color="D2D2D2"/>
              <w:right w:val="single" w:sz="4" w:space="0" w:color="000000"/>
            </w:tcBorders>
          </w:tcPr>
          <w:p>
            <w:pPr/>
          </w:p>
        </w:tc>
        <w:tc>
          <w:tcPr>
            <w:tcW w:w="850"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850" w:type="dxa"/>
            <w:vMerge/>
            <w:tcBorders>
              <w:left w:val="single" w:sz="4" w:space="0" w:color="000000"/>
              <w:right w:val="single" w:sz="10" w:space="0" w:color="D2D2D2"/>
            </w:tcBorders>
          </w:tcPr>
          <w:p>
            <w:pPr/>
          </w:p>
        </w:tc>
        <w:tc>
          <w:tcPr>
            <w:tcW w:w="99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85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0" w:type="dxa"/>
            <w:vMerge/>
            <w:tcBorders>
              <w:left w:val="single" w:sz="10" w:space="0" w:color="D2D2D2"/>
              <w:right w:val="single" w:sz="10" w:space="0" w:color="D2D2D2"/>
            </w:tcBorders>
          </w:tcPr>
          <w:p>
            <w:pPr/>
          </w:p>
        </w:tc>
        <w:tc>
          <w:tcPr>
            <w:tcW w:w="42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177"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0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290" w:right="0"/>
              <w:jc w:val="left"/>
              <w:rPr>
                <w:rFonts w:ascii="Times New Roman" w:hAnsi="Times New Roman" w:cs="Times New Roman" w:eastAsia="Times New Roman" w:hint="default"/>
                <w:sz w:val="18"/>
                <w:szCs w:val="18"/>
              </w:rPr>
            </w:pPr>
            <w:r>
              <w:rPr>
                <w:rFonts w:ascii="Times New Roman"/>
                <w:sz w:val="18"/>
              </w:rPr>
              <w:t>--</w:t>
            </w:r>
          </w:p>
        </w:tc>
      </w:tr>
      <w:tr>
        <w:trPr>
          <w:trHeight w:val="161" w:hRule="exact"/>
        </w:trPr>
        <w:tc>
          <w:tcPr>
            <w:tcW w:w="1737" w:type="dxa"/>
            <w:tcBorders>
              <w:top w:val="nil" w:sz="6" w:space="0" w:color="auto"/>
              <w:left w:val="single" w:sz="4" w:space="0" w:color="000000"/>
              <w:bottom w:val="single" w:sz="4" w:space="0" w:color="000000"/>
              <w:right w:val="single" w:sz="4" w:space="0" w:color="000000"/>
            </w:tcBorders>
            <w:shd w:val="clear" w:color="auto" w:fill="D2D2D2"/>
          </w:tcPr>
          <w:p>
            <w:pPr/>
          </w:p>
        </w:tc>
        <w:tc>
          <w:tcPr>
            <w:tcW w:w="673"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853" w:type="dxa"/>
            <w:vMerge/>
            <w:tcBorders>
              <w:left w:val="single" w:sz="10" w:space="0" w:color="D2D2D2"/>
              <w:bottom w:val="single" w:sz="4" w:space="0" w:color="000000"/>
              <w:right w:val="single" w:sz="4" w:space="0" w:color="000000"/>
            </w:tcBorders>
          </w:tcPr>
          <w:p>
            <w:pPr/>
          </w:p>
        </w:tc>
        <w:tc>
          <w:tcPr>
            <w:tcW w:w="850" w:type="dxa"/>
            <w:vMerge/>
            <w:tcBorders>
              <w:left w:val="single" w:sz="4" w:space="0" w:color="000000"/>
              <w:bottom w:val="single" w:sz="4" w:space="0" w:color="000000"/>
              <w:right w:val="single" w:sz="4" w:space="0" w:color="000000"/>
            </w:tcBorders>
          </w:tcPr>
          <w:p>
            <w:pPr/>
          </w:p>
        </w:tc>
        <w:tc>
          <w:tcPr>
            <w:tcW w:w="852" w:type="dxa"/>
            <w:vMerge/>
            <w:tcBorders>
              <w:left w:val="single" w:sz="4" w:space="0" w:color="000000"/>
              <w:bottom w:val="single" w:sz="4" w:space="0" w:color="000000"/>
              <w:right w:val="single" w:sz="4" w:space="0" w:color="000000"/>
            </w:tcBorders>
          </w:tcPr>
          <w:p>
            <w:pPr/>
          </w:p>
        </w:tc>
        <w:tc>
          <w:tcPr>
            <w:tcW w:w="850" w:type="dxa"/>
            <w:vMerge/>
            <w:tcBorders>
              <w:left w:val="single" w:sz="4" w:space="0" w:color="000000"/>
              <w:bottom w:val="single" w:sz="4" w:space="0" w:color="000000"/>
              <w:right w:val="single" w:sz="10" w:space="0" w:color="D2D2D2"/>
            </w:tcBorders>
          </w:tcPr>
          <w:p>
            <w:pPr/>
          </w:p>
        </w:tc>
        <w:tc>
          <w:tcPr>
            <w:tcW w:w="991" w:type="dxa"/>
            <w:tcBorders>
              <w:top w:val="nil" w:sz="6" w:space="0" w:color="auto"/>
              <w:left w:val="single" w:sz="4" w:space="0" w:color="000000"/>
              <w:bottom w:val="single" w:sz="4" w:space="0" w:color="000000"/>
              <w:right w:val="single" w:sz="4" w:space="0" w:color="000000"/>
            </w:tcBorders>
            <w:shd w:val="clear" w:color="auto" w:fill="D2D2D2"/>
          </w:tcPr>
          <w:p>
            <w:pPr/>
          </w:p>
        </w:tc>
        <w:tc>
          <w:tcPr>
            <w:tcW w:w="852" w:type="dxa"/>
            <w:tcBorders>
              <w:top w:val="nil" w:sz="6" w:space="0" w:color="auto"/>
              <w:left w:val="single" w:sz="4" w:space="0" w:color="000000"/>
              <w:bottom w:val="single" w:sz="4" w:space="0" w:color="000000"/>
              <w:right w:val="single" w:sz="4" w:space="0" w:color="000000"/>
            </w:tcBorders>
            <w:shd w:val="clear" w:color="auto" w:fill="D2D2D2"/>
          </w:tcPr>
          <w:p>
            <w:pPr/>
          </w:p>
        </w:tc>
        <w:tc>
          <w:tcPr>
            <w:tcW w:w="850" w:type="dxa"/>
            <w:vMerge/>
            <w:tcBorders>
              <w:left w:val="single" w:sz="10" w:space="0" w:color="D2D2D2"/>
              <w:bottom w:val="single" w:sz="4" w:space="0" w:color="000000"/>
              <w:right w:val="single" w:sz="10" w:space="0" w:color="D2D2D2"/>
            </w:tcBorders>
          </w:tcPr>
          <w:p>
            <w:pPr/>
          </w:p>
        </w:tc>
        <w:tc>
          <w:tcPr>
            <w:tcW w:w="425" w:type="dxa"/>
            <w:tcBorders>
              <w:top w:val="nil" w:sz="6" w:space="0" w:color="auto"/>
              <w:left w:val="single" w:sz="4" w:space="0" w:color="000000"/>
              <w:bottom w:val="single" w:sz="4" w:space="0" w:color="000000"/>
              <w:right w:val="single" w:sz="4" w:space="0" w:color="000000"/>
            </w:tcBorders>
            <w:shd w:val="clear" w:color="auto" w:fill="D2D2D2"/>
          </w:tcPr>
          <w:p>
            <w:pPr/>
          </w:p>
        </w:tc>
        <w:tc>
          <w:tcPr>
            <w:tcW w:w="708"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1025" w:hRule="exact"/>
        </w:trPr>
        <w:tc>
          <w:tcPr>
            <w:tcW w:w="1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81"/>
              <w:jc w:val="left"/>
              <w:rPr>
                <w:rFonts w:ascii="宋体" w:hAnsi="宋体" w:cs="宋体" w:eastAsia="宋体" w:hint="default"/>
                <w:sz w:val="18"/>
                <w:szCs w:val="18"/>
              </w:rPr>
            </w:pPr>
            <w:r>
              <w:rPr>
                <w:rFonts w:ascii="宋体" w:hAnsi="宋体" w:cs="宋体" w:eastAsia="宋体" w:hint="default"/>
                <w:sz w:val="18"/>
                <w:szCs w:val="18"/>
              </w:rPr>
              <w:t>未达到计划进度或预 计收益的情况和原因</w:t>
            </w:r>
          </w:p>
          <w:p>
            <w:pPr>
              <w:pStyle w:val="TableParagraph"/>
              <w:spacing w:line="240" w:lineRule="auto" w:before="19"/>
              <w:ind w:left="24" w:right="0"/>
              <w:jc w:val="left"/>
              <w:rPr>
                <w:rFonts w:ascii="宋体" w:hAnsi="宋体" w:cs="宋体" w:eastAsia="宋体" w:hint="default"/>
                <w:sz w:val="18"/>
                <w:szCs w:val="18"/>
              </w:rPr>
            </w:pPr>
            <w:r>
              <w:rPr>
                <w:rFonts w:ascii="宋体" w:hAnsi="宋体" w:cs="宋体" w:eastAsia="宋体" w:hint="default"/>
                <w:sz w:val="18"/>
                <w:szCs w:val="18"/>
              </w:rPr>
              <w:t>（分具体项目）</w:t>
            </w:r>
          </w:p>
        </w:tc>
        <w:tc>
          <w:tcPr>
            <w:tcW w:w="7903" w:type="dxa"/>
            <w:gridSpan w:val="11"/>
            <w:tcBorders>
              <w:top w:val="single" w:sz="4" w:space="0" w:color="000000"/>
              <w:left w:val="single" w:sz="12"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40" w:right="0"/>
              <w:jc w:val="left"/>
              <w:rPr>
                <w:rFonts w:ascii="宋体" w:hAnsi="宋体" w:cs="宋体" w:eastAsia="宋体" w:hint="default"/>
                <w:sz w:val="18"/>
                <w:szCs w:val="18"/>
              </w:rPr>
            </w:pPr>
            <w:r>
              <w:rPr>
                <w:rFonts w:ascii="宋体" w:hAnsi="宋体" w:cs="宋体" w:eastAsia="宋体" w:hint="default"/>
                <w:sz w:val="18"/>
                <w:szCs w:val="18"/>
              </w:rPr>
              <w:t>无此情况</w:t>
            </w:r>
          </w:p>
        </w:tc>
      </w:tr>
      <w:tr>
        <w:trPr>
          <w:trHeight w:val="403" w:hRule="exact"/>
        </w:trPr>
        <w:tc>
          <w:tcPr>
            <w:tcW w:w="1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0"/>
              <w:ind w:left="24" w:right="0"/>
              <w:jc w:val="left"/>
              <w:rPr>
                <w:rFonts w:ascii="宋体" w:hAnsi="宋体" w:cs="宋体" w:eastAsia="宋体" w:hint="default"/>
                <w:sz w:val="18"/>
                <w:szCs w:val="18"/>
              </w:rPr>
            </w:pPr>
            <w:r>
              <w:rPr>
                <w:rFonts w:ascii="宋体" w:hAnsi="宋体" w:cs="宋体" w:eastAsia="宋体" w:hint="default"/>
                <w:sz w:val="18"/>
                <w:szCs w:val="18"/>
              </w:rPr>
              <w:t>项目可行性发生重大</w:t>
            </w:r>
          </w:p>
        </w:tc>
        <w:tc>
          <w:tcPr>
            <w:tcW w:w="7903" w:type="dxa"/>
            <w:gridSpan w:val="11"/>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40" w:right="0"/>
              <w:jc w:val="left"/>
              <w:rPr>
                <w:rFonts w:ascii="宋体" w:hAnsi="宋体" w:cs="宋体" w:eastAsia="宋体" w:hint="default"/>
                <w:sz w:val="18"/>
                <w:szCs w:val="18"/>
              </w:rPr>
            </w:pPr>
            <w:r>
              <w:rPr>
                <w:rFonts w:ascii="宋体" w:hAnsi="宋体" w:cs="宋体" w:eastAsia="宋体" w:hint="default"/>
                <w:sz w:val="18"/>
                <w:szCs w:val="18"/>
              </w:rPr>
              <w:t>无重大变化</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0"/>
        <w:rPr>
          <w:rFonts w:ascii="宋体" w:hAnsi="宋体" w:cs="宋体" w:eastAsia="宋体" w:hint="default"/>
          <w:sz w:val="20"/>
          <w:szCs w:val="20"/>
        </w:rPr>
      </w:pPr>
      <w:r>
        <w:rPr/>
        <w:pict>
          <v:shape style="position:absolute;margin-left:56.459999pt;margin-top:71.999985pt;width:482.7pt;height:688.2pt;mso-position-horizontal-relative:page;mso-position-vertical-relative:page;z-index:121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763"/>
                    <w:gridCol w:w="7876"/>
                  </w:tblGrid>
                  <w:tr>
                    <w:trPr>
                      <w:trHeight w:val="363" w:hRule="exact"/>
                    </w:trPr>
                    <w:tc>
                      <w:tcPr>
                        <w:tcW w:w="1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22" w:right="0"/>
                          <w:jc w:val="left"/>
                          <w:rPr>
                            <w:rFonts w:ascii="宋体" w:hAnsi="宋体" w:cs="宋体" w:eastAsia="宋体" w:hint="default"/>
                            <w:sz w:val="18"/>
                            <w:szCs w:val="18"/>
                          </w:rPr>
                        </w:pPr>
                        <w:r>
                          <w:rPr>
                            <w:rFonts w:ascii="宋体" w:hAnsi="宋体" w:cs="宋体" w:eastAsia="宋体" w:hint="default"/>
                            <w:sz w:val="18"/>
                            <w:szCs w:val="18"/>
                          </w:rPr>
                          <w:t>变化的情况说明</w:t>
                        </w:r>
                      </w:p>
                    </w:tc>
                    <w:tc>
                      <w:tcPr>
                        <w:tcW w:w="787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76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319" w:lineRule="auto"/>
                          <w:ind w:left="22" w:right="108"/>
                          <w:jc w:val="left"/>
                          <w:rPr>
                            <w:rFonts w:ascii="宋体" w:hAnsi="宋体" w:cs="宋体" w:eastAsia="宋体" w:hint="default"/>
                            <w:sz w:val="18"/>
                            <w:szCs w:val="18"/>
                          </w:rPr>
                        </w:pPr>
                        <w:r>
                          <w:rPr>
                            <w:rFonts w:ascii="宋体" w:hAnsi="宋体" w:cs="宋体" w:eastAsia="宋体" w:hint="default"/>
                            <w:sz w:val="18"/>
                            <w:szCs w:val="18"/>
                          </w:rPr>
                          <w:t>超募资金的金额、用 途及使用进展情况</w:t>
                        </w:r>
                      </w:p>
                    </w:tc>
                    <w:tc>
                      <w:tcPr>
                        <w:tcW w:w="7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6250" w:hRule="exact"/>
                    </w:trPr>
                    <w:tc>
                      <w:tcPr>
                        <w:tcW w:w="1763" w:type="dxa"/>
                        <w:vMerge/>
                        <w:tcBorders>
                          <w:left w:val="single" w:sz="4" w:space="0" w:color="000000"/>
                          <w:bottom w:val="single" w:sz="4" w:space="0" w:color="000000"/>
                          <w:right w:val="single" w:sz="4" w:space="0" w:color="000000"/>
                        </w:tcBorders>
                        <w:shd w:val="clear" w:color="auto" w:fill="D2D2D2"/>
                      </w:tcPr>
                      <w:p>
                        <w:pPr/>
                      </w:p>
                    </w:tc>
                    <w:tc>
                      <w:tcPr>
                        <w:tcW w:w="7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超募资金的金额为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79,377.88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pacing w:val="-3"/>
                            <w:sz w:val="18"/>
                            <w:szCs w:val="18"/>
                          </w:rPr>
                          <w:t>月，公司董事会审议决定，用超募资金</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6,164.00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万元收购荷兰</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Mapscape</w:t>
                        </w:r>
                        <w:r>
                          <w:rPr>
                            <w:rFonts w:ascii="Times New Roman" w:hAnsi="Times New Roman" w:cs="Times New Roman" w:eastAsia="Times New Roman" w:hint="default"/>
                            <w:spacing w:val="-1"/>
                            <w:sz w:val="18"/>
                            <w:szCs w:val="18"/>
                          </w:rPr>
                          <w:t> </w:t>
                        </w:r>
                        <w:r>
                          <w:rPr>
                            <w:rFonts w:ascii="宋体" w:hAnsi="宋体" w:cs="宋体" w:eastAsia="宋体" w:hint="default"/>
                            <w:spacing w:val="-3"/>
                            <w:sz w:val="18"/>
                            <w:szCs w:val="18"/>
                          </w:rPr>
                          <w:t>公司全部股权。截</w:t>
                        </w:r>
                      </w:p>
                      <w:p>
                        <w:pPr>
                          <w:pStyle w:val="TableParagraph"/>
                          <w:spacing w:line="300" w:lineRule="auto" w:before="63"/>
                          <w:ind w:left="23" w:right="17"/>
                          <w:jc w:val="left"/>
                          <w:rPr>
                            <w:rFonts w:ascii="宋体" w:hAnsi="宋体" w:cs="宋体" w:eastAsia="宋体" w:hint="default"/>
                            <w:sz w:val="18"/>
                            <w:szCs w:val="18"/>
                          </w:rPr>
                        </w:pPr>
                        <w:r>
                          <w:rPr>
                            <w:rFonts w:ascii="宋体" w:hAnsi="宋体" w:cs="宋体" w:eastAsia="宋体" w:hint="default"/>
                            <w:sz w:val="18"/>
                            <w:szCs w:val="18"/>
                          </w:rPr>
                          <w:t>至</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日，公司累计使用超募资金支付荷兰</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Mapscape</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公司投资款</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6,069.55</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万元，占投 资总额的</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98.47%</w:t>
                        </w:r>
                        <w:r>
                          <w:rPr>
                            <w:rFonts w:ascii="宋体" w:hAnsi="宋体" w:cs="宋体" w:eastAsia="宋体" w:hint="default"/>
                            <w:sz w:val="18"/>
                            <w:szCs w:val="18"/>
                          </w:rPr>
                          <w:t>。投资款已全部支付完毕，差额是由于汇率差异产生。</w:t>
                        </w:r>
                      </w:p>
                      <w:p>
                        <w:pPr>
                          <w:pStyle w:val="TableParagraph"/>
                          <w:spacing w:line="240" w:lineRule="auto" w:before="1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pacing w:val="-5"/>
                            <w:sz w:val="18"/>
                            <w:szCs w:val="18"/>
                          </w:rPr>
                          <w:t>月，公司董事会审议决定，用超募资金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13,800.00 </w:t>
                        </w:r>
                        <w:r>
                          <w:rPr>
                            <w:rFonts w:ascii="宋体" w:hAnsi="宋体" w:cs="宋体" w:eastAsia="宋体" w:hint="default"/>
                            <w:sz w:val="18"/>
                            <w:szCs w:val="18"/>
                          </w:rPr>
                          <w:t>万元收购中交宇科</w:t>
                        </w:r>
                        <w:r>
                          <w:rPr>
                            <w:rFonts w:ascii="Times New Roman" w:hAnsi="Times New Roman" w:cs="Times New Roman" w:eastAsia="Times New Roman" w:hint="default"/>
                            <w:sz w:val="18"/>
                            <w:szCs w:val="18"/>
                          </w:rPr>
                          <w:t>(</w:t>
                        </w:r>
                        <w:r>
                          <w:rPr>
                            <w:rFonts w:ascii="宋体" w:hAnsi="宋体" w:cs="宋体" w:eastAsia="宋体" w:hint="default"/>
                            <w:sz w:val="18"/>
                            <w:szCs w:val="18"/>
                          </w:rPr>
                          <w:t>北京</w:t>
                        </w:r>
                        <w:r>
                          <w:rPr>
                            <w:rFonts w:ascii="Times New Roman" w:hAnsi="Times New Roman" w:cs="Times New Roman" w:eastAsia="Times New Roman" w:hint="default"/>
                            <w:sz w:val="18"/>
                            <w:szCs w:val="18"/>
                          </w:rPr>
                          <w:t>)</w:t>
                        </w:r>
                        <w:r>
                          <w:rPr>
                            <w:rFonts w:ascii="宋体" w:hAnsi="宋体" w:cs="宋体" w:eastAsia="宋体" w:hint="default"/>
                            <w:sz w:val="18"/>
                            <w:szCs w:val="18"/>
                          </w:rPr>
                          <w:t>空间信息技术有</w:t>
                        </w:r>
                      </w:p>
                      <w:p>
                        <w:pPr>
                          <w:pStyle w:val="TableParagraph"/>
                          <w:spacing w:line="300" w:lineRule="auto" w:before="63"/>
                          <w:ind w:left="23" w:right="19"/>
                          <w:jc w:val="left"/>
                          <w:rPr>
                            <w:rFonts w:ascii="宋体" w:hAnsi="宋体" w:cs="宋体" w:eastAsia="宋体" w:hint="default"/>
                            <w:sz w:val="18"/>
                            <w:szCs w:val="18"/>
                          </w:rPr>
                        </w:pPr>
                        <w:r>
                          <w:rPr>
                            <w:rFonts w:ascii="宋体" w:hAnsi="宋体" w:cs="宋体" w:eastAsia="宋体" w:hint="default"/>
                            <w:sz w:val="18"/>
                            <w:szCs w:val="18"/>
                          </w:rPr>
                          <w:t>限公司</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51.98%</w:t>
                        </w:r>
                        <w:r>
                          <w:rPr>
                            <w:rFonts w:ascii="宋体" w:hAnsi="宋体" w:cs="宋体" w:eastAsia="宋体" w:hint="default"/>
                            <w:sz w:val="18"/>
                            <w:szCs w:val="18"/>
                          </w:rPr>
                          <w:t>股权。截至</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日，公司累计使用超募资金支付中交宇科</w:t>
                        </w:r>
                        <w:r>
                          <w:rPr>
                            <w:rFonts w:ascii="Times New Roman" w:hAnsi="Times New Roman" w:cs="Times New Roman" w:eastAsia="Times New Roman" w:hint="default"/>
                            <w:sz w:val="18"/>
                            <w:szCs w:val="18"/>
                          </w:rPr>
                          <w:t>(</w:t>
                        </w:r>
                        <w:r>
                          <w:rPr>
                            <w:rFonts w:ascii="宋体" w:hAnsi="宋体" w:cs="宋体" w:eastAsia="宋体" w:hint="default"/>
                            <w:sz w:val="18"/>
                            <w:szCs w:val="18"/>
                          </w:rPr>
                          <w:t>北京</w:t>
                        </w:r>
                        <w:r>
                          <w:rPr>
                            <w:rFonts w:ascii="Times New Roman" w:hAnsi="Times New Roman" w:cs="Times New Roman" w:eastAsia="Times New Roman" w:hint="default"/>
                            <w:sz w:val="18"/>
                            <w:szCs w:val="18"/>
                          </w:rPr>
                          <w:t>)</w:t>
                        </w:r>
                        <w:r>
                          <w:rPr>
                            <w:rFonts w:ascii="宋体" w:hAnsi="宋体" w:cs="宋体" w:eastAsia="宋体" w:hint="default"/>
                            <w:sz w:val="18"/>
                            <w:szCs w:val="18"/>
                          </w:rPr>
                          <w:t>空间信息 技术有限公司投资款</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13,233.27 </w:t>
                        </w:r>
                        <w:r>
                          <w:rPr>
                            <w:rFonts w:ascii="宋体" w:hAnsi="宋体" w:cs="宋体" w:eastAsia="宋体" w:hint="default"/>
                            <w:sz w:val="18"/>
                            <w:szCs w:val="18"/>
                          </w:rPr>
                          <w:t>万元，占投资总额的</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95.89%</w:t>
                        </w:r>
                        <w:r>
                          <w:rPr>
                            <w:rFonts w:ascii="宋体" w:hAnsi="宋体" w:cs="宋体" w:eastAsia="宋体" w:hint="default"/>
                            <w:sz w:val="18"/>
                            <w:szCs w:val="18"/>
                          </w:rPr>
                          <w:t>。</w:t>
                        </w:r>
                      </w:p>
                      <w:p>
                        <w:pPr>
                          <w:pStyle w:val="TableParagraph"/>
                          <w:spacing w:line="240" w:lineRule="auto" w:before="1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月，公司董事会审议决定，用超募资金</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6,224.08</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万元以增资的形式投资中寰卫星导航通信</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有限公司，增资完成后公司获得中寰卫星导航通信有限公司</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51%</w:t>
                        </w:r>
                        <w:r>
                          <w:rPr>
                            <w:rFonts w:ascii="宋体" w:hAnsi="宋体" w:cs="宋体" w:eastAsia="宋体" w:hint="default"/>
                            <w:sz w:val="18"/>
                            <w:szCs w:val="18"/>
                          </w:rPr>
                          <w:t>股权。截至</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3"/>
                            <w:sz w:val="18"/>
                            <w:szCs w:val="18"/>
                          </w:rPr>
                          <w:t> </w:t>
                        </w:r>
                        <w:r>
                          <w:rPr>
                            <w:rFonts w:ascii="宋体" w:hAnsi="宋体" w:cs="宋体" w:eastAsia="宋体" w:hint="default"/>
                            <w:spacing w:val="-4"/>
                            <w:sz w:val="18"/>
                            <w:szCs w:val="18"/>
                          </w:rPr>
                          <w:t>日，公</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司累计使用超募资金支付中寰卫星导航通信有限公司投资款</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6,224.08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万元，占投资总额的</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100.00%</w:t>
                        </w:r>
                      </w:p>
                      <w:p>
                        <w:pPr>
                          <w:pStyle w:val="TableParagraph"/>
                          <w:spacing w:line="307" w:lineRule="auto" w:before="63"/>
                          <w:ind w:left="23" w:right="2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3"/>
                            <w:sz w:val="18"/>
                            <w:szCs w:val="18"/>
                          </w:rPr>
                          <w:t> </w:t>
                        </w:r>
                        <w:r>
                          <w:rPr>
                            <w:rFonts w:ascii="宋体" w:hAnsi="宋体" w:cs="宋体" w:eastAsia="宋体" w:hint="default"/>
                            <w:spacing w:val="-4"/>
                            <w:sz w:val="18"/>
                            <w:szCs w:val="18"/>
                          </w:rPr>
                          <w:t>月，公司董事会审议决定，用超募资金不超过</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41,476.00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万元在北京中关村永丰高新技术产 业基地购买建设用地，并建设公司研发、生产及办公综合大楼。</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月，公司董事会审议决定 鉴于土地出让金提高、建筑及安装工程费用增加、地下停车场面积增加、根据公司业务发展情况功</w:t>
                        </w:r>
                        <w:r>
                          <w:rPr>
                            <w:rFonts w:ascii="宋体" w:hAnsi="宋体" w:cs="宋体" w:eastAsia="宋体" w:hint="default"/>
                            <w:spacing w:val="-25"/>
                            <w:sz w:val="18"/>
                            <w:szCs w:val="18"/>
                          </w:rPr>
                          <w:t> </w:t>
                        </w:r>
                        <w:r>
                          <w:rPr>
                            <w:rFonts w:ascii="宋体" w:hAnsi="宋体" w:cs="宋体" w:eastAsia="宋体" w:hint="default"/>
                            <w:spacing w:val="-25"/>
                            <w:sz w:val="18"/>
                            <w:szCs w:val="18"/>
                          </w:rPr>
                        </w:r>
                        <w:r>
                          <w:rPr>
                            <w:rFonts w:ascii="宋体" w:hAnsi="宋体" w:cs="宋体" w:eastAsia="宋体" w:hint="default"/>
                            <w:sz w:val="18"/>
                            <w:szCs w:val="18"/>
                          </w:rPr>
                          <w:t>能设计变更等影响因素，同意使用部分募集资金及利息追加投资</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21,184.00</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万元，计划总投资预算调</w:t>
                        </w:r>
                      </w:p>
                      <w:p>
                        <w:pPr>
                          <w:pStyle w:val="TableParagraph"/>
                          <w:spacing w:line="240" w:lineRule="auto" w:before="7"/>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整为不超过</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74,340.00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万元，并要求在工程结算完成后进行专项审计。</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日，公司</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2016</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pacing w:val="-4"/>
                            <w:sz w:val="18"/>
                            <w:szCs w:val="18"/>
                          </w:rPr>
                          <w:t>年度股东大会通过了该项议案。截至</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w:t>
                        </w:r>
                        <w:r>
                          <w:rPr>
                            <w:rFonts w:ascii="宋体" w:hAnsi="宋体" w:cs="宋体" w:eastAsia="宋体" w:hint="default"/>
                            <w:sz w:val="18"/>
                            <w:szCs w:val="18"/>
                          </w:rPr>
                          <w:t>公司累计使用超募资金支付中关村永丰高新</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技术产业基地建设款</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53,189.80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万元，占超募资金投资总额的</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100.00%</w:t>
                        </w:r>
                        <w:r>
                          <w:rPr>
                            <w:rFonts w:ascii="宋体" w:hAnsi="宋体" w:cs="宋体" w:eastAsia="宋体" w:hint="default"/>
                            <w:sz w:val="18"/>
                            <w:szCs w:val="18"/>
                          </w:rPr>
                          <w:t>。截至</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w:t>
                        </w:r>
                        <w:r>
                          <w:rPr>
                            <w:rFonts w:ascii="宋体" w:hAnsi="宋体" w:cs="宋体" w:eastAsia="宋体" w:hint="default"/>
                            <w:sz w:val="18"/>
                            <w:szCs w:val="18"/>
                          </w:rPr>
                          <w:t>公</w:t>
                        </w:r>
                      </w:p>
                      <w:p>
                        <w:pPr>
                          <w:pStyle w:val="TableParagraph"/>
                          <w:spacing w:line="300" w:lineRule="auto" w:before="63"/>
                          <w:ind w:left="23" w:right="17"/>
                          <w:jc w:val="left"/>
                          <w:rPr>
                            <w:rFonts w:ascii="宋体" w:hAnsi="宋体" w:cs="宋体" w:eastAsia="宋体" w:hint="default"/>
                            <w:sz w:val="18"/>
                            <w:szCs w:val="18"/>
                          </w:rPr>
                        </w:pPr>
                        <w:r>
                          <w:rPr>
                            <w:rFonts w:ascii="宋体" w:hAnsi="宋体" w:cs="宋体" w:eastAsia="宋体" w:hint="default"/>
                            <w:sz w:val="18"/>
                            <w:szCs w:val="18"/>
                          </w:rPr>
                          <w:t>司累计使用募集资金利息和超募集资金利息支付中关村永丰高新技术产业基地建设款</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13.26</w:t>
                        </w:r>
                        <w:r>
                          <w:rPr>
                            <w:rFonts w:ascii="Times New Roman" w:hAnsi="Times New Roman" w:cs="Times New Roman" w:eastAsia="Times New Roman" w:hint="default"/>
                            <w:spacing w:val="1"/>
                            <w:sz w:val="18"/>
                            <w:szCs w:val="18"/>
                          </w:rPr>
                          <w:t> </w:t>
                        </w:r>
                        <w:r>
                          <w:rPr>
                            <w:rFonts w:ascii="宋体" w:hAnsi="宋体" w:cs="宋体" w:eastAsia="宋体" w:hint="default"/>
                            <w:spacing w:val="-14"/>
                            <w:sz w:val="18"/>
                            <w:szCs w:val="18"/>
                          </w:rPr>
                          <w:t>万元，占</w:t>
                        </w:r>
                        <w:r>
                          <w:rPr>
                            <w:rFonts w:ascii="宋体" w:hAnsi="宋体" w:cs="宋体" w:eastAsia="宋体" w:hint="default"/>
                            <w:sz w:val="18"/>
                            <w:szCs w:val="18"/>
                          </w:rPr>
                          <w:t> 追加利息投资总额的</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0.14%</w:t>
                        </w:r>
                        <w:r>
                          <w:rPr>
                            <w:rFonts w:ascii="宋体" w:hAnsi="宋体" w:cs="宋体" w:eastAsia="宋体" w:hint="default"/>
                            <w:sz w:val="18"/>
                            <w:szCs w:val="18"/>
                          </w:rPr>
                          <w:t>。</w:t>
                        </w:r>
                      </w:p>
                      <w:p>
                        <w:pPr>
                          <w:pStyle w:val="TableParagraph"/>
                          <w:spacing w:line="240" w:lineRule="auto" w:before="13"/>
                          <w:ind w:left="23" w:right="0"/>
                          <w:jc w:val="left"/>
                          <w:rPr>
                            <w:rFonts w:ascii="宋体" w:hAnsi="宋体" w:cs="宋体" w:eastAsia="宋体" w:hint="default"/>
                            <w:sz w:val="18"/>
                            <w:szCs w:val="18"/>
                          </w:rPr>
                        </w:pPr>
                        <w:r>
                          <w:rPr>
                            <w:rFonts w:ascii="宋体" w:hAnsi="宋体" w:cs="宋体" w:eastAsia="宋体" w:hint="default"/>
                            <w:sz w:val="18"/>
                            <w:szCs w:val="18"/>
                          </w:rPr>
                          <w:t>截至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日，超募资金结余为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661.18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tc>
                  </w:tr>
                  <w:tr>
                    <w:trPr>
                      <w:trHeight w:val="716" w:hRule="exact"/>
                    </w:trPr>
                    <w:tc>
                      <w:tcPr>
                        <w:tcW w:w="1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2" w:right="108"/>
                          <w:jc w:val="left"/>
                          <w:rPr>
                            <w:rFonts w:ascii="宋体" w:hAnsi="宋体" w:cs="宋体" w:eastAsia="宋体" w:hint="default"/>
                            <w:sz w:val="18"/>
                            <w:szCs w:val="18"/>
                          </w:rPr>
                        </w:pPr>
                        <w:r>
                          <w:rPr>
                            <w:rFonts w:ascii="宋体" w:hAnsi="宋体" w:cs="宋体" w:eastAsia="宋体" w:hint="default"/>
                            <w:sz w:val="18"/>
                            <w:szCs w:val="18"/>
                          </w:rPr>
                          <w:t>募集资金投资项目实 施地点变更情况</w:t>
                        </w:r>
                      </w:p>
                    </w:tc>
                    <w:tc>
                      <w:tcPr>
                        <w:tcW w:w="7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1" w:hRule="exact"/>
                    </w:trPr>
                    <w:tc>
                      <w:tcPr>
                        <w:tcW w:w="176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2"/>
                            <w:szCs w:val="22"/>
                          </w:rPr>
                        </w:pPr>
                      </w:p>
                      <w:p>
                        <w:pPr>
                          <w:pStyle w:val="TableParagraph"/>
                          <w:spacing w:line="314" w:lineRule="auto"/>
                          <w:ind w:left="22" w:right="108"/>
                          <w:jc w:val="left"/>
                          <w:rPr>
                            <w:rFonts w:ascii="宋体" w:hAnsi="宋体" w:cs="宋体" w:eastAsia="宋体" w:hint="default"/>
                            <w:sz w:val="18"/>
                            <w:szCs w:val="18"/>
                          </w:rPr>
                        </w:pPr>
                        <w:r>
                          <w:rPr>
                            <w:rFonts w:ascii="宋体" w:hAnsi="宋体" w:cs="宋体" w:eastAsia="宋体" w:hint="default"/>
                            <w:sz w:val="18"/>
                            <w:szCs w:val="18"/>
                          </w:rPr>
                          <w:t>募集资金投资项目实 施方式调整情况</w:t>
                        </w:r>
                      </w:p>
                    </w:tc>
                    <w:tc>
                      <w:tcPr>
                        <w:tcW w:w="7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403" w:hRule="exact"/>
                    </w:trPr>
                    <w:tc>
                      <w:tcPr>
                        <w:tcW w:w="1763" w:type="dxa"/>
                        <w:vMerge/>
                        <w:tcBorders>
                          <w:left w:val="single" w:sz="4" w:space="0" w:color="000000"/>
                          <w:right w:val="single" w:sz="4" w:space="0" w:color="000000"/>
                        </w:tcBorders>
                        <w:shd w:val="clear" w:color="auto" w:fill="D2D2D2"/>
                      </w:tcPr>
                      <w:p>
                        <w:pPr/>
                      </w:p>
                    </w:tc>
                    <w:tc>
                      <w:tcPr>
                        <w:tcW w:w="7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以前年度发生</w:t>
                        </w:r>
                      </w:p>
                    </w:tc>
                  </w:tr>
                  <w:tr>
                    <w:trPr>
                      <w:trHeight w:val="2273" w:hRule="exact"/>
                    </w:trPr>
                    <w:tc>
                      <w:tcPr>
                        <w:tcW w:w="1763" w:type="dxa"/>
                        <w:vMerge/>
                        <w:tcBorders>
                          <w:left w:val="single" w:sz="4" w:space="0" w:color="000000"/>
                          <w:bottom w:val="single" w:sz="4" w:space="0" w:color="FFFFFF"/>
                          <w:right w:val="single" w:sz="4" w:space="0" w:color="000000"/>
                        </w:tcBorders>
                        <w:shd w:val="clear" w:color="auto" w:fill="D2D2D2"/>
                      </w:tcPr>
                      <w:p>
                        <w:pPr/>
                      </w:p>
                    </w:tc>
                    <w:tc>
                      <w:tcPr>
                        <w:tcW w:w="7876" w:type="dxa"/>
                        <w:tcBorders>
                          <w:top w:val="single" w:sz="4" w:space="0" w:color="000000"/>
                          <w:left w:val="single" w:sz="4" w:space="0" w:color="000000"/>
                          <w:bottom w:val="single" w:sz="4" w:space="0" w:color="FFFFFF"/>
                          <w:right w:val="single" w:sz="4" w:space="0" w:color="000000"/>
                        </w:tcBorders>
                      </w:tcPr>
                      <w:p>
                        <w:pPr>
                          <w:pStyle w:val="TableParagraph"/>
                          <w:spacing w:line="312" w:lineRule="auto" w:before="49"/>
                          <w:ind w:left="23" w:right="19"/>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日公司第二届董事会第二十一次会议以及</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日公司</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年度第一次临时 </w:t>
                        </w:r>
                        <w:r>
                          <w:rPr>
                            <w:rFonts w:ascii="宋体" w:hAnsi="宋体" w:cs="宋体" w:eastAsia="宋体" w:hint="default"/>
                            <w:spacing w:val="-3"/>
                            <w:sz w:val="18"/>
                            <w:szCs w:val="18"/>
                          </w:rPr>
                          <w:t>股东大会审议通过了《关于变更募投项目部分内容实施方式和实施进度的议案》，同意公司变更募投</w:t>
                        </w:r>
                        <w:r>
                          <w:rPr>
                            <w:rFonts w:ascii="宋体" w:hAnsi="宋体" w:cs="宋体" w:eastAsia="宋体" w:hint="default"/>
                            <w:spacing w:val="-60"/>
                            <w:sz w:val="18"/>
                            <w:szCs w:val="18"/>
                          </w:rPr>
                          <w:t> </w:t>
                        </w:r>
                        <w:r>
                          <w:rPr>
                            <w:rFonts w:ascii="宋体" w:hAnsi="宋体" w:cs="宋体" w:eastAsia="宋体" w:hint="default"/>
                            <w:spacing w:val="-60"/>
                            <w:sz w:val="18"/>
                            <w:szCs w:val="18"/>
                          </w:rPr>
                        </w:r>
                        <w:r>
                          <w:rPr>
                            <w:rFonts w:ascii="宋体" w:hAnsi="宋体" w:cs="宋体" w:eastAsia="宋体" w:hint="default"/>
                            <w:sz w:val="18"/>
                            <w:szCs w:val="18"/>
                          </w:rPr>
                          <w:t>项目部分内容的实施方式和实施进度，将原拟用于在北京海淀中关村科技园区内购买办公楼的 </w:t>
                        </w:r>
                        <w:r>
                          <w:rPr>
                            <w:rFonts w:ascii="Times New Roman" w:hAnsi="Times New Roman" w:cs="Times New Roman" w:eastAsia="Times New Roman" w:hint="default"/>
                            <w:sz w:val="18"/>
                            <w:szCs w:val="18"/>
                          </w:rPr>
                          <w:t>11,680.00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万元募集资金使用方式变更为自建，即用于在北京中关村永丰高新技术产业基地购买建设 用地建设公司研发、生产及办公综合大楼，该部分募集资金使用进度亦根据大楼建设进度作相应调 整。该事项不涉及募集资金使用方向的实质性变更，也不影响募投项目的具体实施。对于该事项， 公司独立董事、监事会及保荐机构均发表了明确同意意见。</w:t>
                        </w:r>
                      </w:p>
                    </w:tc>
                  </w:tr>
                  <w:tr>
                    <w:trPr>
                      <w:trHeight w:val="403" w:hRule="exact"/>
                    </w:trPr>
                    <w:tc>
                      <w:tcPr>
                        <w:tcW w:w="1763" w:type="dxa"/>
                        <w:vMerge w:val="restart"/>
                        <w:tcBorders>
                          <w:top w:val="single" w:sz="4" w:space="0" w:color="FFFFFF"/>
                          <w:left w:val="single" w:sz="4" w:space="0" w:color="000000"/>
                          <w:right w:val="single" w:sz="4" w:space="0" w:color="000000"/>
                        </w:tcBorders>
                        <w:shd w:val="clear" w:color="auto" w:fill="D2D2D2"/>
                      </w:tcPr>
                      <w:p>
                        <w:pPr>
                          <w:pStyle w:val="TableParagraph"/>
                          <w:spacing w:line="316" w:lineRule="auto" w:before="94"/>
                          <w:ind w:left="22" w:right="108"/>
                          <w:jc w:val="left"/>
                          <w:rPr>
                            <w:rFonts w:ascii="宋体" w:hAnsi="宋体" w:cs="宋体" w:eastAsia="宋体" w:hint="default"/>
                            <w:sz w:val="18"/>
                            <w:szCs w:val="18"/>
                          </w:rPr>
                        </w:pPr>
                        <w:r>
                          <w:rPr>
                            <w:rFonts w:ascii="宋体" w:hAnsi="宋体" w:cs="宋体" w:eastAsia="宋体" w:hint="default"/>
                            <w:sz w:val="18"/>
                            <w:szCs w:val="18"/>
                          </w:rPr>
                          <w:t>募集资金投资项目先 期投入及置换情况</w:t>
                        </w:r>
                      </w:p>
                    </w:tc>
                    <w:tc>
                      <w:tcPr>
                        <w:tcW w:w="7876"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401" w:hRule="exact"/>
                    </w:trPr>
                    <w:tc>
                      <w:tcPr>
                        <w:tcW w:w="1763" w:type="dxa"/>
                        <w:vMerge/>
                        <w:tcBorders>
                          <w:left w:val="single" w:sz="4" w:space="0" w:color="000000"/>
                          <w:bottom w:val="single" w:sz="4" w:space="0" w:color="000000"/>
                          <w:right w:val="single" w:sz="4" w:space="0" w:color="000000"/>
                        </w:tcBorders>
                        <w:shd w:val="clear" w:color="auto" w:fill="D2D2D2"/>
                      </w:tcPr>
                      <w:p>
                        <w:pPr/>
                      </w:p>
                    </w:tc>
                    <w:tc>
                      <w:tcPr>
                        <w:tcW w:w="7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日至</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日以公司自有资金垫资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8,176.38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6 </w:t>
                        </w:r>
                        <w:r>
                          <w:rPr>
                            <w:rFonts w:ascii="宋体" w:hAnsi="宋体" w:cs="宋体" w:eastAsia="宋体" w:hint="default"/>
                            <w:sz w:val="18"/>
                            <w:szCs w:val="18"/>
                          </w:rPr>
                          <w:t>月份已置换。</w:t>
                        </w:r>
                      </w:p>
                    </w:tc>
                  </w:tr>
                  <w:tr>
                    <w:trPr>
                      <w:trHeight w:val="715" w:hRule="exact"/>
                    </w:trPr>
                    <w:tc>
                      <w:tcPr>
                        <w:tcW w:w="1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2" w:right="108"/>
                          <w:jc w:val="left"/>
                          <w:rPr>
                            <w:rFonts w:ascii="宋体" w:hAnsi="宋体" w:cs="宋体" w:eastAsia="宋体" w:hint="default"/>
                            <w:sz w:val="18"/>
                            <w:szCs w:val="18"/>
                          </w:rPr>
                        </w:pPr>
                        <w:r>
                          <w:rPr>
                            <w:rFonts w:ascii="宋体" w:hAnsi="宋体" w:cs="宋体" w:eastAsia="宋体" w:hint="default"/>
                            <w:sz w:val="18"/>
                            <w:szCs w:val="18"/>
                          </w:rPr>
                          <w:t>用闲置募集资金暂时 补充流动资金情况</w:t>
                        </w:r>
                      </w:p>
                    </w:tc>
                    <w:tc>
                      <w:tcPr>
                        <w:tcW w:w="7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713" w:hRule="exact"/>
                    </w:trPr>
                    <w:tc>
                      <w:tcPr>
                        <w:tcW w:w="1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108"/>
                          <w:jc w:val="left"/>
                          <w:rPr>
                            <w:rFonts w:ascii="宋体" w:hAnsi="宋体" w:cs="宋体" w:eastAsia="宋体" w:hint="default"/>
                            <w:sz w:val="18"/>
                            <w:szCs w:val="18"/>
                          </w:rPr>
                        </w:pPr>
                        <w:r>
                          <w:rPr>
                            <w:rFonts w:ascii="宋体" w:hAnsi="宋体" w:cs="宋体" w:eastAsia="宋体" w:hint="default"/>
                            <w:sz w:val="18"/>
                            <w:szCs w:val="18"/>
                          </w:rPr>
                          <w:t>项目实施出现募集资 金结余的金额及原因</w:t>
                        </w:r>
                      </w:p>
                    </w:tc>
                    <w:tc>
                      <w:tcPr>
                        <w:tcW w:w="7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715" w:hRule="exact"/>
                    </w:trPr>
                    <w:tc>
                      <w:tcPr>
                        <w:tcW w:w="1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2" w:right="108"/>
                          <w:jc w:val="left"/>
                          <w:rPr>
                            <w:rFonts w:ascii="宋体" w:hAnsi="宋体" w:cs="宋体" w:eastAsia="宋体" w:hint="default"/>
                            <w:sz w:val="18"/>
                            <w:szCs w:val="18"/>
                          </w:rPr>
                        </w:pPr>
                        <w:r>
                          <w:rPr>
                            <w:rFonts w:ascii="宋体" w:hAnsi="宋体" w:cs="宋体" w:eastAsia="宋体" w:hint="default"/>
                            <w:sz w:val="18"/>
                            <w:szCs w:val="18"/>
                          </w:rPr>
                          <w:t>尚未使用的募集资金 用途及去向</w:t>
                        </w:r>
                      </w:p>
                    </w:tc>
                    <w:tc>
                      <w:tcPr>
                        <w:tcW w:w="7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年</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日公司第三届董事会第四次会议审议通过《关于公司使用部分闲置募集资金和自有资</w:t>
                        </w:r>
                      </w:p>
                      <w:p>
                        <w:pPr>
                          <w:pStyle w:val="TableParagraph"/>
                          <w:spacing w:line="240" w:lineRule="auto" w:before="62"/>
                          <w:ind w:left="23" w:right="0"/>
                          <w:jc w:val="left"/>
                          <w:rPr>
                            <w:rFonts w:ascii="宋体" w:hAnsi="宋体" w:cs="宋体" w:eastAsia="宋体" w:hint="default"/>
                            <w:sz w:val="18"/>
                            <w:szCs w:val="18"/>
                          </w:rPr>
                        </w:pPr>
                        <w:r>
                          <w:rPr>
                            <w:rFonts w:ascii="宋体" w:hAnsi="宋体" w:cs="宋体" w:eastAsia="宋体" w:hint="default"/>
                            <w:sz w:val="18"/>
                            <w:szCs w:val="18"/>
                          </w:rPr>
                          <w:t>金购买银行理财产品的议案</w:t>
                        </w:r>
                        <w:r>
                          <w:rPr>
                            <w:rFonts w:ascii="宋体" w:hAnsi="宋体" w:cs="宋体" w:eastAsia="宋体" w:hint="default"/>
                            <w:spacing w:val="-92"/>
                            <w:sz w:val="18"/>
                            <w:szCs w:val="18"/>
                          </w:rPr>
                          <w:t>》</w:t>
                        </w:r>
                        <w:r>
                          <w:rPr>
                            <w:rFonts w:ascii="宋体" w:hAnsi="宋体" w:cs="宋体" w:eastAsia="宋体" w:hint="default"/>
                            <w:spacing w:val="-5"/>
                            <w:sz w:val="18"/>
                            <w:szCs w:val="18"/>
                          </w:rPr>
                          <w:t>，</w:t>
                        </w:r>
                        <w:r>
                          <w:rPr>
                            <w:rFonts w:ascii="宋体" w:hAnsi="宋体" w:cs="宋体" w:eastAsia="宋体" w:hint="default"/>
                            <w:sz w:val="18"/>
                            <w:szCs w:val="18"/>
                          </w:rPr>
                          <w:t>同意公司使用不超过人民币</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亿元额度的短期闲置募集资</w:t>
                        </w:r>
                        <w:r>
                          <w:rPr>
                            <w:rFonts w:ascii="宋体" w:hAnsi="宋体" w:cs="宋体" w:eastAsia="宋体" w:hint="default"/>
                            <w:spacing w:val="-5"/>
                            <w:sz w:val="18"/>
                            <w:szCs w:val="18"/>
                          </w:rPr>
                          <w:t>金</w:t>
                        </w:r>
                        <w:r>
                          <w:rPr>
                            <w:rFonts w:ascii="宋体" w:hAnsi="宋体" w:cs="宋体" w:eastAsia="宋体" w:hint="default"/>
                            <w:sz w:val="18"/>
                            <w:szCs w:val="18"/>
                          </w:rPr>
                          <w:t>（含超募</w:t>
                        </w:r>
                      </w:p>
                    </w:tc>
                  </w:tr>
                </w:tbl>
                <w:p>
                  <w:pPr/>
                </w:p>
              </w:txbxContent>
            </v:textbox>
            <w10:wrap type="none"/>
          </v:shape>
        </w:pic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9"/>
          <w:szCs w:val="19"/>
        </w:rPr>
      </w:pPr>
    </w:p>
    <w:p>
      <w:pPr>
        <w:pStyle w:val="BodyText"/>
        <w:spacing w:line="240" w:lineRule="auto" w:before="44"/>
        <w:ind w:left="0" w:right="1083"/>
        <w:jc w:val="right"/>
      </w:pPr>
      <w:r>
        <w:rPr/>
        <w:t>。</w:t>
      </w:r>
    </w:p>
    <w:p>
      <w:pPr>
        <w:spacing w:line="240" w:lineRule="auto" w:before="4"/>
        <w:rPr>
          <w:rFonts w:ascii="宋体" w:hAnsi="宋体" w:cs="宋体" w:eastAsia="宋体" w:hint="default"/>
          <w:sz w:val="26"/>
          <w:szCs w:val="26"/>
        </w:rPr>
      </w:pPr>
    </w:p>
    <w:p>
      <w:pPr>
        <w:pStyle w:val="BodyText"/>
        <w:spacing w:line="240" w:lineRule="auto" w:before="44"/>
        <w:ind w:left="0" w:right="1069"/>
        <w:jc w:val="right"/>
      </w:pPr>
      <w:r>
        <w:rPr/>
        <w:t>，</w:t>
      </w:r>
    </w:p>
    <w:p>
      <w:pPr>
        <w:spacing w:after="0" w:line="240" w:lineRule="auto"/>
        <w:jc w:val="right"/>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763"/>
        <w:gridCol w:w="7876"/>
      </w:tblGrid>
      <w:tr>
        <w:trPr>
          <w:trHeight w:val="3171" w:hRule="exact"/>
        </w:trPr>
        <w:tc>
          <w:tcPr>
            <w:tcW w:w="176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both"/>
              <w:rPr>
                <w:rFonts w:ascii="宋体" w:hAnsi="宋体" w:cs="宋体" w:eastAsia="宋体" w:hint="default"/>
                <w:sz w:val="18"/>
                <w:szCs w:val="18"/>
              </w:rPr>
            </w:pPr>
            <w:r>
              <w:rPr>
                <w:rFonts w:ascii="宋体" w:hAnsi="宋体" w:cs="宋体" w:eastAsia="宋体" w:hint="default"/>
                <w:sz w:val="18"/>
                <w:szCs w:val="18"/>
              </w:rPr>
              <w:t>资金）和不超过人民币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34"/>
                <w:sz w:val="18"/>
                <w:szCs w:val="18"/>
              </w:rPr>
              <w:t> </w:t>
            </w:r>
            <w:r>
              <w:rPr>
                <w:rFonts w:ascii="宋体" w:hAnsi="宋体" w:cs="宋体" w:eastAsia="宋体" w:hint="default"/>
                <w:sz w:val="18"/>
                <w:szCs w:val="18"/>
              </w:rPr>
              <w:t>亿元额度的短期闲置自有资金购买商业银行发行的安全性高、流动性好、</w:t>
            </w:r>
          </w:p>
          <w:p>
            <w:pPr>
              <w:pStyle w:val="TableParagraph"/>
              <w:spacing w:line="240" w:lineRule="auto" w:before="63"/>
              <w:ind w:left="23" w:right="0"/>
              <w:jc w:val="both"/>
              <w:rPr>
                <w:rFonts w:ascii="宋体" w:hAnsi="宋体" w:cs="宋体" w:eastAsia="宋体" w:hint="default"/>
                <w:sz w:val="18"/>
                <w:szCs w:val="18"/>
              </w:rPr>
            </w:pPr>
            <w:r>
              <w:rPr>
                <w:rFonts w:ascii="宋体" w:hAnsi="宋体" w:cs="宋体" w:eastAsia="宋体" w:hint="default"/>
                <w:sz w:val="18"/>
                <w:szCs w:val="18"/>
              </w:rPr>
              <w:t>保本型银行理财产品。在上述额度内，资金可以在</w:t>
            </w:r>
            <w:r>
              <w:rPr>
                <w:rFonts w:ascii="宋体" w:hAnsi="宋体" w:cs="宋体" w:eastAsia="宋体" w:hint="default"/>
                <w:spacing w:val="-32"/>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年</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月</w:t>
            </w:r>
            <w:r>
              <w:rPr>
                <w:rFonts w:ascii="宋体" w:hAnsi="宋体" w:cs="宋体" w:eastAsia="宋体" w:hint="default"/>
                <w:spacing w:val="-33"/>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日前进行滚动使用，相关决议自</w:t>
            </w:r>
          </w:p>
          <w:p>
            <w:pPr>
              <w:pStyle w:val="TableParagraph"/>
              <w:spacing w:line="309" w:lineRule="auto" w:before="63"/>
              <w:ind w:left="23" w:right="17"/>
              <w:jc w:val="both"/>
              <w:rPr>
                <w:rFonts w:ascii="宋体" w:hAnsi="宋体" w:cs="宋体" w:eastAsia="宋体" w:hint="default"/>
                <w:sz w:val="18"/>
                <w:szCs w:val="18"/>
              </w:rPr>
            </w:pPr>
            <w:r>
              <w:rPr>
                <w:rFonts w:ascii="宋体" w:hAnsi="宋体" w:cs="宋体" w:eastAsia="宋体" w:hint="default"/>
                <w:sz w:val="18"/>
                <w:szCs w:val="18"/>
              </w:rPr>
              <w:t>董事会审议通过之日起至</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pacing w:val="-7"/>
                <w:sz w:val="18"/>
                <w:szCs w:val="18"/>
              </w:rPr>
              <w:t>日前有效。</w:t>
            </w:r>
            <w:r>
              <w:rPr>
                <w:rFonts w:ascii="Times New Roman" w:hAnsi="Times New Roman" w:cs="Times New Roman" w:eastAsia="Times New Roman" w:hint="default"/>
                <w:spacing w:val="-7"/>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日公司第三届董事会第十四次会 </w:t>
            </w:r>
            <w:r>
              <w:rPr>
                <w:rFonts w:ascii="宋体" w:hAnsi="宋体" w:cs="宋体" w:eastAsia="宋体" w:hint="default"/>
                <w:spacing w:val="-3"/>
                <w:sz w:val="18"/>
                <w:szCs w:val="18"/>
              </w:rPr>
              <w:t>议，审议通过了《关于公司使用部分闲置募集资金和自有资金购买理财产品的议案》，同意公司使用</w:t>
            </w:r>
            <w:r>
              <w:rPr>
                <w:rFonts w:ascii="宋体" w:hAnsi="宋体" w:cs="宋体" w:eastAsia="宋体" w:hint="default"/>
                <w:spacing w:val="-61"/>
                <w:sz w:val="18"/>
                <w:szCs w:val="18"/>
              </w:rPr>
              <w:t> </w:t>
            </w:r>
            <w:r>
              <w:rPr>
                <w:rFonts w:ascii="宋体" w:hAnsi="宋体" w:cs="宋体" w:eastAsia="宋体" w:hint="default"/>
                <w:spacing w:val="-61"/>
                <w:sz w:val="18"/>
                <w:szCs w:val="18"/>
              </w:rPr>
            </w:r>
            <w:r>
              <w:rPr>
                <w:rFonts w:ascii="宋体" w:hAnsi="宋体" w:cs="宋体" w:eastAsia="宋体" w:hint="default"/>
                <w:sz w:val="18"/>
                <w:szCs w:val="18"/>
              </w:rPr>
              <w:t>不超过人民币</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亿元额度的短期闲置募集资金</w:t>
            </w:r>
            <w:r>
              <w:rPr>
                <w:rFonts w:ascii="Times New Roman" w:hAnsi="Times New Roman" w:cs="Times New Roman" w:eastAsia="Times New Roman" w:hint="default"/>
                <w:sz w:val="18"/>
                <w:szCs w:val="18"/>
              </w:rPr>
              <w:t>(</w:t>
            </w:r>
            <w:r>
              <w:rPr>
                <w:rFonts w:ascii="宋体" w:hAnsi="宋体" w:cs="宋体" w:eastAsia="宋体" w:hint="default"/>
                <w:sz w:val="18"/>
                <w:szCs w:val="18"/>
              </w:rPr>
              <w:t>含超募资金</w:t>
            </w:r>
            <w:r>
              <w:rPr>
                <w:rFonts w:ascii="Times New Roman" w:hAnsi="Times New Roman" w:cs="Times New Roman" w:eastAsia="Times New Roman" w:hint="default"/>
                <w:sz w:val="18"/>
                <w:szCs w:val="18"/>
              </w:rPr>
              <w:t>)</w:t>
            </w:r>
            <w:r>
              <w:rPr>
                <w:rFonts w:ascii="宋体" w:hAnsi="宋体" w:cs="宋体" w:eastAsia="宋体" w:hint="default"/>
                <w:sz w:val="18"/>
                <w:szCs w:val="18"/>
              </w:rPr>
              <w:t>和不超过人民币</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亿元额度的短期闲置自 有资金购买商业银行发行的安全性高、流动性好、保本型银行理财产品，在上述额度内，资金可以</w:t>
            </w:r>
            <w:r>
              <w:rPr>
                <w:rFonts w:ascii="宋体" w:hAnsi="宋体" w:cs="宋体" w:eastAsia="宋体" w:hint="default"/>
                <w:spacing w:val="-16"/>
                <w:sz w:val="18"/>
                <w:szCs w:val="18"/>
              </w:rPr>
              <w:t> </w:t>
            </w:r>
            <w:r>
              <w:rPr>
                <w:rFonts w:ascii="宋体" w:hAnsi="宋体" w:cs="宋体" w:eastAsia="宋体" w:hint="default"/>
                <w:spacing w:val="-16"/>
                <w:sz w:val="18"/>
                <w:szCs w:val="18"/>
              </w:rPr>
            </w:r>
            <w:r>
              <w:rPr>
                <w:rFonts w:ascii="宋体" w:hAnsi="宋体" w:cs="宋体" w:eastAsia="宋体" w:hint="default"/>
                <w:sz w:val="18"/>
                <w:szCs w:val="18"/>
              </w:rPr>
              <w:t>在</w:t>
            </w:r>
            <w:r>
              <w:rPr>
                <w:rFonts w:ascii="宋体" w:hAnsi="宋体" w:cs="宋体" w:eastAsia="宋体" w:hint="default"/>
                <w:spacing w:val="-1"/>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日前进行滚动使用，相关决议自董事会审议通过之日起至</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日前有</w:t>
            </w:r>
          </w:p>
          <w:p>
            <w:pPr>
              <w:pStyle w:val="TableParagraph"/>
              <w:spacing w:line="240" w:lineRule="auto" w:before="5"/>
              <w:ind w:left="23" w:right="0"/>
              <w:jc w:val="both"/>
              <w:rPr>
                <w:rFonts w:ascii="宋体" w:hAnsi="宋体" w:cs="宋体" w:eastAsia="宋体" w:hint="default"/>
                <w:sz w:val="18"/>
                <w:szCs w:val="18"/>
              </w:rPr>
            </w:pPr>
            <w:r>
              <w:rPr>
                <w:rFonts w:ascii="宋体" w:hAnsi="宋体" w:cs="宋体" w:eastAsia="宋体" w:hint="default"/>
                <w:sz w:val="18"/>
                <w:szCs w:val="18"/>
              </w:rPr>
              <w:t>效。</w:t>
            </w:r>
            <w:r>
              <w:rPr>
                <w:rFonts w:ascii="Times New Roman" w:hAnsi="Times New Roman" w:cs="Times New Roman" w:eastAsia="Times New Roman" w:hint="default"/>
                <w:sz w:val="18"/>
                <w:szCs w:val="18"/>
              </w:rPr>
              <w:t>2016 </w:t>
            </w:r>
            <w:r>
              <w:rPr>
                <w:rFonts w:ascii="宋体" w:hAnsi="宋体" w:cs="宋体" w:eastAsia="宋体" w:hint="default"/>
                <w:sz w:val="18"/>
                <w:szCs w:val="18"/>
              </w:rPr>
              <w:t>年公司根据前述决议使用募集资金购买银行理财产品的收益为 </w:t>
            </w:r>
            <w:r>
              <w:rPr>
                <w:rFonts w:ascii="Times New Roman" w:hAnsi="Times New Roman" w:cs="Times New Roman" w:eastAsia="Times New Roman" w:hint="default"/>
                <w:sz w:val="18"/>
                <w:szCs w:val="18"/>
              </w:rPr>
              <w:t>274.52 </w:t>
            </w:r>
            <w:r>
              <w:rPr>
                <w:rFonts w:ascii="宋体" w:hAnsi="宋体" w:cs="宋体" w:eastAsia="宋体" w:hint="default"/>
                <w:sz w:val="18"/>
                <w:szCs w:val="18"/>
              </w:rPr>
              <w:t>万元。截至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年</w:t>
            </w:r>
          </w:p>
          <w:p>
            <w:pPr>
              <w:pStyle w:val="TableParagraph"/>
              <w:spacing w:line="300" w:lineRule="auto" w:before="63"/>
              <w:ind w:left="23" w:right="19"/>
              <w:jc w:val="both"/>
              <w:rPr>
                <w:rFonts w:ascii="宋体" w:hAnsi="宋体" w:cs="宋体" w:eastAsia="宋体"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 </w:t>
            </w:r>
            <w:r>
              <w:rPr>
                <w:rFonts w:ascii="Times New Roman" w:hAnsi="Times New Roman" w:cs="Times New Roman" w:eastAsia="Times New Roman" w:hint="default"/>
                <w:sz w:val="18"/>
                <w:szCs w:val="18"/>
              </w:rPr>
              <w:t>31 </w:t>
            </w:r>
            <w:r>
              <w:rPr>
                <w:rFonts w:ascii="宋体" w:hAnsi="宋体" w:cs="宋体" w:eastAsia="宋体" w:hint="default"/>
                <w:sz w:val="18"/>
                <w:szCs w:val="18"/>
              </w:rPr>
              <w:t>日，公司使用首发募集资金购买银行理财产品的份额余额为 </w:t>
            </w:r>
            <w:r>
              <w:rPr>
                <w:rFonts w:ascii="Times New Roman" w:hAnsi="Times New Roman" w:cs="Times New Roman" w:eastAsia="Times New Roman" w:hint="default"/>
                <w:sz w:val="18"/>
                <w:szCs w:val="18"/>
              </w:rPr>
              <w:t>0 </w:t>
            </w:r>
            <w:r>
              <w:rPr>
                <w:rFonts w:ascii="宋体" w:hAnsi="宋体" w:cs="宋体" w:eastAsia="宋体" w:hint="default"/>
                <w:sz w:val="18"/>
                <w:szCs w:val="18"/>
              </w:rPr>
              <w:t>元，</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6"/>
                <w:sz w:val="18"/>
                <w:szCs w:val="18"/>
              </w:rPr>
              <w:t> </w:t>
            </w:r>
            <w:r>
              <w:rPr>
                <w:rFonts w:ascii="宋体" w:hAnsi="宋体" w:cs="宋体" w:eastAsia="宋体" w:hint="default"/>
                <w:sz w:val="18"/>
                <w:szCs w:val="18"/>
              </w:rPr>
              <w:t>年度公司未购买理 财产品，尚未使用的募集资金存放在募集资金专户中。</w:t>
            </w:r>
          </w:p>
        </w:tc>
      </w:tr>
      <w:tr>
        <w:trPr>
          <w:trHeight w:val="3833" w:hRule="exact"/>
        </w:trPr>
        <w:tc>
          <w:tcPr>
            <w:tcW w:w="1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1"/>
                <w:szCs w:val="21"/>
              </w:rPr>
            </w:pPr>
          </w:p>
          <w:p>
            <w:pPr>
              <w:pStyle w:val="TableParagraph"/>
              <w:spacing w:line="316" w:lineRule="auto"/>
              <w:ind w:left="22" w:right="108"/>
              <w:jc w:val="both"/>
              <w:rPr>
                <w:rFonts w:ascii="宋体" w:hAnsi="宋体" w:cs="宋体" w:eastAsia="宋体" w:hint="default"/>
                <w:sz w:val="18"/>
                <w:szCs w:val="18"/>
              </w:rPr>
            </w:pPr>
            <w:r>
              <w:rPr>
                <w:rFonts w:ascii="宋体" w:hAnsi="宋体" w:cs="宋体" w:eastAsia="宋体" w:hint="default"/>
                <w:sz w:val="18"/>
                <w:szCs w:val="18"/>
              </w:rPr>
              <w:t>募集资金使用及披露 中存在的问题或其他 情况</w:t>
            </w:r>
          </w:p>
        </w:tc>
        <w:tc>
          <w:tcPr>
            <w:tcW w:w="7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both"/>
              <w:rPr>
                <w:rFonts w:ascii="宋体" w:hAnsi="宋体" w:cs="宋体" w:eastAsia="宋体" w:hint="default"/>
                <w:sz w:val="18"/>
                <w:szCs w:val="18"/>
              </w:rPr>
            </w:pPr>
            <w:r>
              <w:rPr>
                <w:rFonts w:ascii="宋体" w:hAnsi="宋体" w:cs="宋体" w:eastAsia="宋体" w:hint="default"/>
                <w:sz w:val="18"/>
                <w:szCs w:val="18"/>
              </w:rPr>
              <w:t>原计划在首次公开发行股票募集资金到位后第一年使用</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11,680.00</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万元购买办公楼，由于公司未寻找</w:t>
            </w:r>
          </w:p>
          <w:p>
            <w:pPr>
              <w:pStyle w:val="TableParagraph"/>
              <w:spacing w:line="240" w:lineRule="auto" w:before="63"/>
              <w:ind w:left="23" w:right="0"/>
              <w:jc w:val="both"/>
              <w:rPr>
                <w:rFonts w:ascii="宋体" w:hAnsi="宋体" w:cs="宋体" w:eastAsia="宋体" w:hint="default"/>
                <w:sz w:val="18"/>
                <w:szCs w:val="18"/>
              </w:rPr>
            </w:pPr>
            <w:r>
              <w:rPr>
                <w:rFonts w:ascii="宋体" w:hAnsi="宋体" w:cs="宋体" w:eastAsia="宋体" w:hint="default"/>
                <w:sz w:val="18"/>
                <w:szCs w:val="18"/>
              </w:rPr>
              <w:t>到合适的购买标的，将该</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11,680.00</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万元募集资金使用方式由购置办公楼变更为在北京中关村永丰高</w:t>
            </w:r>
          </w:p>
          <w:p>
            <w:pPr>
              <w:pStyle w:val="TableParagraph"/>
              <w:spacing w:line="240" w:lineRule="auto" w:before="63"/>
              <w:ind w:left="23" w:right="0"/>
              <w:jc w:val="both"/>
              <w:rPr>
                <w:rFonts w:ascii="宋体" w:hAnsi="宋体" w:cs="宋体" w:eastAsia="宋体" w:hint="default"/>
                <w:sz w:val="18"/>
                <w:szCs w:val="18"/>
              </w:rPr>
            </w:pPr>
            <w:r>
              <w:rPr>
                <w:rFonts w:ascii="宋体" w:hAnsi="宋体" w:cs="宋体" w:eastAsia="宋体" w:hint="default"/>
                <w:sz w:val="18"/>
                <w:szCs w:val="18"/>
              </w:rPr>
              <w:t>新技术产业基地购买建设用地自主建设，原计划于</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年底前完成项目建设，但实施进度将会根据</w:t>
            </w:r>
          </w:p>
          <w:p>
            <w:pPr>
              <w:pStyle w:val="TableParagraph"/>
              <w:spacing w:line="309" w:lineRule="auto" w:before="63"/>
              <w:ind w:left="23" w:right="11"/>
              <w:jc w:val="left"/>
              <w:rPr>
                <w:rFonts w:ascii="宋体" w:hAnsi="宋体" w:cs="宋体" w:eastAsia="宋体" w:hint="default"/>
                <w:sz w:val="18"/>
                <w:szCs w:val="18"/>
              </w:rPr>
            </w:pPr>
            <w:r>
              <w:rPr>
                <w:rFonts w:ascii="宋体" w:hAnsi="宋体" w:cs="宋体" w:eastAsia="宋体" w:hint="default"/>
                <w:sz w:val="18"/>
                <w:szCs w:val="18"/>
              </w:rPr>
              <w:t>项目建设进度作相应调整。公司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日第三届董事会第十九次会议审议通过了《关于调 </w:t>
            </w:r>
            <w:r>
              <w:rPr>
                <w:rFonts w:ascii="宋体" w:hAnsi="宋体" w:cs="宋体" w:eastAsia="宋体" w:hint="default"/>
                <w:spacing w:val="-3"/>
                <w:sz w:val="18"/>
                <w:szCs w:val="18"/>
              </w:rPr>
              <w:t>整公司在北京中关村永丰高新技术产业基地建设研发、生产及办公综合大楼项目进度计划的议案》，</w:t>
            </w:r>
            <w:r>
              <w:rPr>
                <w:rFonts w:ascii="宋体" w:hAnsi="宋体" w:cs="宋体" w:eastAsia="宋体" w:hint="default"/>
                <w:spacing w:val="-50"/>
                <w:sz w:val="18"/>
                <w:szCs w:val="18"/>
              </w:rPr>
              <w:t> </w:t>
            </w:r>
            <w:r>
              <w:rPr>
                <w:rFonts w:ascii="宋体" w:hAnsi="宋体" w:cs="宋体" w:eastAsia="宋体" w:hint="default"/>
                <w:spacing w:val="-50"/>
                <w:sz w:val="18"/>
                <w:szCs w:val="18"/>
              </w:rPr>
            </w:r>
            <w:r>
              <w:rPr>
                <w:rFonts w:ascii="宋体" w:hAnsi="宋体" w:cs="宋体" w:eastAsia="宋体" w:hint="default"/>
                <w:sz w:val="18"/>
                <w:szCs w:val="18"/>
              </w:rPr>
              <w:t>同意公司变更北京中关村永丰高新技术产业基地建设项目的进度计划，由计划在</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年底前完成项</w:t>
            </w:r>
          </w:p>
          <w:p>
            <w:pPr>
              <w:pStyle w:val="TableParagraph"/>
              <w:spacing w:line="240" w:lineRule="auto" w:before="5"/>
              <w:ind w:left="23" w:right="0"/>
              <w:jc w:val="both"/>
              <w:rPr>
                <w:rFonts w:ascii="Times New Roman" w:hAnsi="Times New Roman" w:cs="Times New Roman" w:eastAsia="Times New Roman" w:hint="default"/>
                <w:sz w:val="18"/>
                <w:szCs w:val="18"/>
              </w:rPr>
            </w:pPr>
            <w:r>
              <w:rPr>
                <w:rFonts w:ascii="宋体" w:hAnsi="宋体" w:cs="宋体" w:eastAsia="宋体" w:hint="default"/>
                <w:sz w:val="18"/>
                <w:szCs w:val="18"/>
              </w:rPr>
              <w:t>目建设变更为</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年内完成项目建设。截止</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日，项目已基本建设完成。公司</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2017</w:t>
            </w:r>
          </w:p>
          <w:p>
            <w:pPr>
              <w:pStyle w:val="TableParagraph"/>
              <w:spacing w:line="309" w:lineRule="auto" w:before="63"/>
              <w:ind w:left="23" w:right="21"/>
              <w:jc w:val="both"/>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日第三届董事会第二十八次会议审议通过了《关于使用部分募集资金及利息追加在北京中 </w:t>
            </w:r>
            <w:r>
              <w:rPr>
                <w:rFonts w:ascii="宋体" w:hAnsi="宋体" w:cs="宋体" w:eastAsia="宋体" w:hint="default"/>
                <w:spacing w:val="-3"/>
                <w:sz w:val="18"/>
                <w:szCs w:val="18"/>
              </w:rPr>
              <w:t>关村永丰高新技术产业基地建设研发、生产及办公综合大楼投资的议案》，同意公司追加北京中关村</w:t>
            </w:r>
            <w:r>
              <w:rPr>
                <w:rFonts w:ascii="宋体" w:hAnsi="宋体" w:cs="宋体" w:eastAsia="宋体" w:hint="default"/>
                <w:spacing w:val="-60"/>
                <w:sz w:val="18"/>
                <w:szCs w:val="18"/>
              </w:rPr>
              <w:t> </w:t>
            </w:r>
            <w:r>
              <w:rPr>
                <w:rFonts w:ascii="宋体" w:hAnsi="宋体" w:cs="宋体" w:eastAsia="宋体" w:hint="default"/>
                <w:spacing w:val="-60"/>
                <w:sz w:val="18"/>
                <w:szCs w:val="18"/>
              </w:rPr>
            </w:r>
            <w:r>
              <w:rPr>
                <w:rFonts w:ascii="宋体" w:hAnsi="宋体" w:cs="宋体" w:eastAsia="宋体" w:hint="default"/>
                <w:sz w:val="18"/>
                <w:szCs w:val="18"/>
              </w:rPr>
              <w:t>永丰高新技术产业基地建设项目的投资，由原计划总投资不超过 </w:t>
            </w:r>
            <w:r>
              <w:rPr>
                <w:rFonts w:ascii="Times New Roman" w:hAnsi="Times New Roman" w:cs="Times New Roman" w:eastAsia="Times New Roman" w:hint="default"/>
                <w:sz w:val="18"/>
                <w:szCs w:val="18"/>
              </w:rPr>
              <w:t>53,156.00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万元变更为不超过</w:t>
            </w:r>
          </w:p>
          <w:p>
            <w:pPr>
              <w:pStyle w:val="TableParagraph"/>
              <w:spacing w:line="300" w:lineRule="auto" w:before="5"/>
              <w:ind w:left="23" w:right="19"/>
              <w:jc w:val="both"/>
              <w:rPr>
                <w:rFonts w:ascii="宋体" w:hAnsi="宋体" w:cs="宋体" w:eastAsia="宋体" w:hint="default"/>
                <w:sz w:val="18"/>
                <w:szCs w:val="18"/>
              </w:rPr>
            </w:pPr>
            <w:r>
              <w:rPr>
                <w:rFonts w:ascii="Times New Roman" w:hAnsi="Times New Roman" w:cs="Times New Roman" w:eastAsia="Times New Roman" w:hint="default"/>
                <w:sz w:val="18"/>
                <w:szCs w:val="18"/>
              </w:rPr>
              <w:t>74,340.00</w:t>
            </w:r>
            <w:r>
              <w:rPr>
                <w:rFonts w:ascii="Times New Roman" w:hAnsi="Times New Roman" w:cs="Times New Roman" w:eastAsia="Times New Roman" w:hint="default"/>
                <w:spacing w:val="-1"/>
                <w:sz w:val="18"/>
                <w:szCs w:val="18"/>
              </w:rPr>
              <w:t> </w:t>
            </w:r>
            <w:r>
              <w:rPr>
                <w:rFonts w:ascii="宋体" w:hAnsi="宋体" w:cs="宋体" w:eastAsia="宋体" w:hint="default"/>
                <w:spacing w:val="-5"/>
                <w:sz w:val="18"/>
                <w:szCs w:val="18"/>
              </w:rPr>
              <w:t>万元，计划增加使用不超过</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11,713.80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万元的超募资金和不超过</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9,470.20 </w:t>
            </w:r>
            <w:r>
              <w:rPr>
                <w:rFonts w:ascii="宋体" w:hAnsi="宋体" w:cs="宋体" w:eastAsia="宋体" w:hint="default"/>
                <w:sz w:val="18"/>
                <w:szCs w:val="18"/>
              </w:rPr>
              <w:t>万元的募集资金利 息用于北京中关村永丰高新技术产业基地建设项目。</w:t>
            </w:r>
          </w:p>
        </w:tc>
      </w:tr>
    </w:tbl>
    <w:p>
      <w:pPr>
        <w:spacing w:line="240" w:lineRule="auto" w:before="4"/>
        <w:rPr>
          <w:rFonts w:ascii="宋体" w:hAnsi="宋体" w:cs="宋体" w:eastAsia="宋体" w:hint="default"/>
          <w:sz w:val="25"/>
          <w:szCs w:val="25"/>
        </w:rPr>
      </w:pPr>
    </w:p>
    <w:p>
      <w:pPr>
        <w:pStyle w:val="Heading4"/>
        <w:spacing w:line="240" w:lineRule="auto" w:before="36"/>
        <w:ind w:left="2810" w:right="982"/>
        <w:jc w:val="left"/>
        <w:rPr>
          <w:b w:val="0"/>
          <w:bCs w:val="0"/>
        </w:rPr>
      </w:pPr>
      <w:r>
        <w:rPr/>
        <w:t>非公开发行募集资金</w:t>
      </w:r>
      <w:r>
        <w:rPr>
          <w:spacing w:val="-50"/>
        </w:rPr>
        <w:t> </w:t>
      </w:r>
      <w:r>
        <w:rPr>
          <w:rFonts w:ascii="Times New Roman" w:hAnsi="Times New Roman" w:cs="Times New Roman" w:eastAsia="Times New Roman" w:hint="default"/>
        </w:rPr>
        <w:t>2018 </w:t>
      </w:r>
      <w:r>
        <w:rPr/>
        <w:t>年度使用情况对照表</w:t>
      </w:r>
      <w:r>
        <w:rPr>
          <w:b w:val="0"/>
          <w:bCs w:val="0"/>
        </w:rPr>
      </w:r>
    </w:p>
    <w:p>
      <w:pPr>
        <w:spacing w:line="240" w:lineRule="auto" w:before="3"/>
        <w:rPr>
          <w:rFonts w:ascii="宋体" w:hAnsi="宋体" w:cs="宋体" w:eastAsia="宋体" w:hint="default"/>
          <w:b/>
          <w:bCs/>
          <w:sz w:val="10"/>
          <w:szCs w:val="10"/>
        </w:rPr>
      </w:pPr>
    </w:p>
    <w:p>
      <w:pPr>
        <w:pStyle w:val="BodyText"/>
        <w:spacing w:line="240" w:lineRule="auto" w:before="44"/>
        <w:ind w:left="0" w:right="1131"/>
        <w:jc w:val="right"/>
      </w:pPr>
      <w:r>
        <w:rPr/>
        <w:t>单位：万元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765"/>
        <w:gridCol w:w="163"/>
        <w:gridCol w:w="479"/>
        <w:gridCol w:w="909"/>
        <w:gridCol w:w="938"/>
        <w:gridCol w:w="850"/>
        <w:gridCol w:w="852"/>
        <w:gridCol w:w="712"/>
        <w:gridCol w:w="842"/>
        <w:gridCol w:w="860"/>
        <w:gridCol w:w="563"/>
        <w:gridCol w:w="638"/>
      </w:tblGrid>
      <w:tr>
        <w:trPr>
          <w:trHeight w:val="1651" w:hRule="exact"/>
        </w:trPr>
        <w:tc>
          <w:tcPr>
            <w:tcW w:w="17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518" w:right="67" w:hanging="452"/>
              <w:jc w:val="left"/>
              <w:rPr>
                <w:rFonts w:ascii="宋体" w:hAnsi="宋体" w:cs="宋体" w:eastAsia="宋体" w:hint="default"/>
                <w:sz w:val="18"/>
                <w:szCs w:val="18"/>
              </w:rPr>
            </w:pPr>
            <w:r>
              <w:rPr>
                <w:rFonts w:ascii="宋体" w:hAnsi="宋体" w:cs="宋体" w:eastAsia="宋体" w:hint="default"/>
                <w:sz w:val="18"/>
                <w:szCs w:val="18"/>
              </w:rPr>
              <w:t>承诺投资项目和超募 资金投向</w:t>
            </w:r>
          </w:p>
        </w:tc>
        <w:tc>
          <w:tcPr>
            <w:tcW w:w="64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47" w:right="42"/>
              <w:jc w:val="center"/>
              <w:rPr>
                <w:rFonts w:ascii="Times New Roman" w:hAnsi="Times New Roman" w:cs="Times New Roman" w:eastAsia="Times New Roman" w:hint="default"/>
                <w:sz w:val="18"/>
                <w:szCs w:val="18"/>
              </w:rPr>
            </w:pPr>
            <w:r>
              <w:rPr>
                <w:rFonts w:ascii="宋体" w:hAnsi="宋体" w:cs="宋体" w:eastAsia="宋体" w:hint="default"/>
                <w:sz w:val="18"/>
                <w:szCs w:val="18"/>
              </w:rPr>
              <w:t>是否已 变更项 目</w:t>
            </w:r>
            <w:r>
              <w:rPr>
                <w:rFonts w:ascii="Times New Roman" w:hAnsi="Times New Roman" w:cs="Times New Roman" w:eastAsia="Times New Roman" w:hint="default"/>
                <w:sz w:val="18"/>
                <w:szCs w:val="18"/>
              </w:rPr>
              <w:t>(</w:t>
            </w:r>
            <w:r>
              <w:rPr>
                <w:rFonts w:ascii="宋体" w:hAnsi="宋体" w:cs="宋体" w:eastAsia="宋体" w:hint="default"/>
                <w:sz w:val="18"/>
                <w:szCs w:val="18"/>
              </w:rPr>
              <w:t>含 部分变 更</w:t>
            </w:r>
            <w:r>
              <w:rPr>
                <w:rFonts w:ascii="Times New Roman" w:hAnsi="Times New Roman" w:cs="Times New Roman" w:eastAsia="Times New Roman" w:hint="default"/>
                <w:sz w:val="18"/>
                <w:szCs w:val="18"/>
              </w:rPr>
              <w:t>)</w:t>
            </w:r>
          </w:p>
        </w:tc>
        <w:tc>
          <w:tcPr>
            <w:tcW w:w="9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92" w:right="86"/>
              <w:jc w:val="center"/>
              <w:rPr>
                <w:rFonts w:ascii="宋体" w:hAnsi="宋体" w:cs="宋体" w:eastAsia="宋体" w:hint="default"/>
                <w:sz w:val="18"/>
                <w:szCs w:val="18"/>
              </w:rPr>
            </w:pPr>
            <w:r>
              <w:rPr>
                <w:rFonts w:ascii="宋体" w:hAnsi="宋体" w:cs="宋体" w:eastAsia="宋体" w:hint="default"/>
                <w:sz w:val="18"/>
                <w:szCs w:val="18"/>
              </w:rPr>
              <w:t>募集资金 承诺投资 总额</w:t>
            </w:r>
          </w:p>
        </w:tc>
        <w:tc>
          <w:tcPr>
            <w:tcW w:w="9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91" w:right="84" w:firstLine="14"/>
              <w:jc w:val="left"/>
              <w:rPr>
                <w:rFonts w:ascii="Times New Roman" w:hAnsi="Times New Roman" w:cs="Times New Roman" w:eastAsia="Times New Roman" w:hint="default"/>
                <w:sz w:val="18"/>
                <w:szCs w:val="18"/>
              </w:rPr>
            </w:pPr>
            <w:r>
              <w:rPr>
                <w:rFonts w:ascii="宋体" w:hAnsi="宋体" w:cs="宋体" w:eastAsia="宋体" w:hint="default"/>
                <w:sz w:val="18"/>
                <w:szCs w:val="18"/>
              </w:rPr>
              <w:t>调整后投 资总额</w:t>
            </w:r>
            <w:r>
              <w:rPr>
                <w:rFonts w:ascii="Times New Roman" w:hAnsi="Times New Roman" w:cs="Times New Roman" w:eastAsia="Times New Roman" w:hint="default"/>
                <w:sz w:val="18"/>
                <w:szCs w:val="18"/>
              </w:rPr>
              <w:t>(1)</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60" w:right="59"/>
              <w:jc w:val="left"/>
              <w:rPr>
                <w:rFonts w:ascii="宋体" w:hAnsi="宋体" w:cs="宋体" w:eastAsia="宋体" w:hint="default"/>
                <w:sz w:val="18"/>
                <w:szCs w:val="18"/>
              </w:rPr>
            </w:pPr>
            <w:r>
              <w:rPr>
                <w:rFonts w:ascii="宋体" w:hAnsi="宋体" w:cs="宋体" w:eastAsia="宋体" w:hint="default"/>
                <w:sz w:val="18"/>
                <w:szCs w:val="18"/>
              </w:rPr>
              <w:t>本报告期 投入金额</w:t>
            </w:r>
          </w:p>
        </w:tc>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59" w:right="60"/>
              <w:jc w:val="both"/>
              <w:rPr>
                <w:rFonts w:ascii="Times New Roman" w:hAnsi="Times New Roman" w:cs="Times New Roman" w:eastAsia="Times New Roman" w:hint="default"/>
                <w:sz w:val="18"/>
                <w:szCs w:val="18"/>
              </w:rPr>
            </w:pPr>
            <w:r>
              <w:rPr>
                <w:rFonts w:ascii="宋体" w:hAnsi="宋体" w:cs="宋体" w:eastAsia="宋体" w:hint="default"/>
                <w:sz w:val="18"/>
                <w:szCs w:val="18"/>
              </w:rPr>
              <w:t>截至期末 累计投入 金额</w:t>
            </w:r>
            <w:r>
              <w:rPr>
                <w:rFonts w:ascii="Times New Roman" w:hAnsi="Times New Roman" w:cs="Times New Roman" w:eastAsia="Times New Roman" w:hint="default"/>
                <w:sz w:val="18"/>
                <w:szCs w:val="18"/>
              </w:rPr>
              <w:t>(2)</w:t>
            </w:r>
          </w:p>
        </w:tc>
        <w:tc>
          <w:tcPr>
            <w:tcW w:w="7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64" w:right="64" w:firstLine="14"/>
              <w:jc w:val="both"/>
              <w:rPr>
                <w:rFonts w:ascii="Times New Roman" w:hAnsi="Times New Roman" w:cs="Times New Roman" w:eastAsia="Times New Roman" w:hint="default"/>
                <w:sz w:val="18"/>
                <w:szCs w:val="18"/>
              </w:rPr>
            </w:pPr>
            <w:r>
              <w:rPr>
                <w:rFonts w:ascii="宋体" w:hAnsi="宋体" w:cs="宋体" w:eastAsia="宋体" w:hint="default"/>
                <w:sz w:val="18"/>
                <w:szCs w:val="18"/>
              </w:rPr>
              <w:t>截至期 末投资 进度</w:t>
            </w:r>
            <w:r>
              <w:rPr>
                <w:rFonts w:ascii="Times New Roman" w:hAnsi="Times New Roman" w:cs="Times New Roman" w:eastAsia="Times New Roman" w:hint="default"/>
                <w:sz w:val="18"/>
                <w:szCs w:val="18"/>
              </w:rPr>
              <w:t>(3)</w:t>
            </w:r>
          </w:p>
          <w:p>
            <w:pPr>
              <w:pStyle w:val="TableParagraph"/>
              <w:spacing w:line="248" w:lineRule="exact"/>
              <w:ind w:left="24" w:right="0"/>
              <w:jc w:val="both"/>
              <w:rPr>
                <w:rFonts w:ascii="Times New Roman" w:hAnsi="Times New Roman" w:cs="Times New Roman" w:eastAsia="Times New Roman"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(2)/(1)</w:t>
            </w:r>
          </w:p>
        </w:tc>
        <w:tc>
          <w:tcPr>
            <w:tcW w:w="8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56" w:right="54"/>
              <w:jc w:val="center"/>
              <w:rPr>
                <w:rFonts w:ascii="宋体" w:hAnsi="宋体" w:cs="宋体" w:eastAsia="宋体" w:hint="default"/>
                <w:sz w:val="18"/>
                <w:szCs w:val="18"/>
              </w:rPr>
            </w:pPr>
            <w:r>
              <w:rPr>
                <w:rFonts w:ascii="宋体" w:hAnsi="宋体" w:cs="宋体" w:eastAsia="宋体" w:hint="default"/>
                <w:sz w:val="18"/>
                <w:szCs w:val="18"/>
              </w:rPr>
              <w:t>项目达到 预定可使 用状态日 期</w:t>
            </w:r>
          </w:p>
        </w:tc>
        <w:tc>
          <w:tcPr>
            <w:tcW w:w="8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65" w:right="62"/>
              <w:jc w:val="center"/>
              <w:rPr>
                <w:rFonts w:ascii="宋体" w:hAnsi="宋体" w:cs="宋体" w:eastAsia="宋体" w:hint="default"/>
                <w:sz w:val="18"/>
                <w:szCs w:val="18"/>
              </w:rPr>
            </w:pPr>
            <w:r>
              <w:rPr>
                <w:rFonts w:ascii="宋体" w:hAnsi="宋体" w:cs="宋体" w:eastAsia="宋体" w:hint="default"/>
                <w:sz w:val="18"/>
                <w:szCs w:val="18"/>
              </w:rPr>
              <w:t>本报告期 实现的效 益</w:t>
            </w:r>
          </w:p>
        </w:tc>
        <w:tc>
          <w:tcPr>
            <w:tcW w:w="5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94" w:right="96"/>
              <w:jc w:val="both"/>
              <w:rPr>
                <w:rFonts w:ascii="宋体" w:hAnsi="宋体" w:cs="宋体" w:eastAsia="宋体" w:hint="default"/>
                <w:sz w:val="18"/>
                <w:szCs w:val="18"/>
              </w:rPr>
            </w:pPr>
            <w:r>
              <w:rPr>
                <w:rFonts w:ascii="宋体" w:hAnsi="宋体" w:cs="宋体" w:eastAsia="宋体" w:hint="default"/>
                <w:sz w:val="18"/>
                <w:szCs w:val="18"/>
              </w:rPr>
              <w:t>是否 达到 预计 效益</w:t>
            </w:r>
          </w:p>
        </w:tc>
        <w:tc>
          <w:tcPr>
            <w:tcW w:w="6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42" w:right="43"/>
              <w:jc w:val="center"/>
              <w:rPr>
                <w:rFonts w:ascii="宋体" w:hAnsi="宋体" w:cs="宋体" w:eastAsia="宋体" w:hint="default"/>
                <w:sz w:val="18"/>
                <w:szCs w:val="18"/>
              </w:rPr>
            </w:pPr>
            <w:r>
              <w:rPr>
                <w:rFonts w:ascii="宋体" w:hAnsi="宋体" w:cs="宋体" w:eastAsia="宋体" w:hint="default"/>
                <w:sz w:val="18"/>
                <w:szCs w:val="18"/>
              </w:rPr>
              <w:t>项目可 行性是 否发生 重大变 化</w:t>
            </w:r>
          </w:p>
        </w:tc>
      </w:tr>
      <w:tr>
        <w:trPr>
          <w:trHeight w:val="401" w:hRule="exact"/>
        </w:trPr>
        <w:tc>
          <w:tcPr>
            <w:tcW w:w="9571"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承诺投资项目</w:t>
            </w:r>
          </w:p>
        </w:tc>
      </w:tr>
      <w:tr>
        <w:trPr>
          <w:trHeight w:val="716" w:hRule="exact"/>
        </w:trPr>
        <w:tc>
          <w:tcPr>
            <w:tcW w:w="176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49"/>
              <w:jc w:val="left"/>
              <w:rPr>
                <w:rFonts w:ascii="宋体" w:hAnsi="宋体" w:cs="宋体" w:eastAsia="宋体" w:hint="default"/>
                <w:sz w:val="18"/>
                <w:szCs w:val="18"/>
              </w:rPr>
            </w:pPr>
            <w:r>
              <w:rPr>
                <w:rFonts w:ascii="宋体" w:hAnsi="宋体" w:cs="宋体" w:eastAsia="宋体" w:hint="default"/>
                <w:spacing w:val="-12"/>
                <w:sz w:val="18"/>
                <w:szCs w:val="18"/>
              </w:rPr>
              <w:t>支付收购合肥杰发科技 有限公司股权现金对价</w:t>
            </w:r>
            <w:r>
              <w:rPr>
                <w:rFonts w:ascii="宋体" w:hAnsi="宋体" w:cs="宋体" w:eastAsia="宋体" w:hint="default"/>
                <w:sz w:val="18"/>
                <w:szCs w:val="18"/>
              </w:rPr>
            </w:r>
          </w:p>
        </w:tc>
        <w:tc>
          <w:tcPr>
            <w:tcW w:w="64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332,709.57</w:t>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292,867.15</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w w:val="95"/>
                <w:sz w:val="18"/>
              </w:rPr>
              <w:t>110,283.9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289,874.3</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3</w:t>
            </w:r>
          </w:p>
        </w:tc>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98.98%</w:t>
            </w:r>
          </w:p>
        </w:tc>
        <w:tc>
          <w:tcPr>
            <w:tcW w:w="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03</w:t>
            </w:r>
          </w:p>
          <w:p>
            <w:pPr>
              <w:pStyle w:val="TableParagraph"/>
              <w:spacing w:line="240" w:lineRule="auto" w:before="63"/>
              <w:ind w:left="2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w w:val="95"/>
                <w:sz w:val="18"/>
              </w:rPr>
              <w:t>57,911.47</w:t>
            </w:r>
          </w:p>
        </w:tc>
        <w:tc>
          <w:tcPr>
            <w:tcW w:w="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85" w:right="0"/>
              <w:jc w:val="left"/>
              <w:rPr>
                <w:rFonts w:ascii="宋体" w:hAnsi="宋体" w:cs="宋体" w:eastAsia="宋体" w:hint="default"/>
                <w:sz w:val="18"/>
                <w:szCs w:val="18"/>
              </w:rPr>
            </w:pPr>
            <w:r>
              <w:rPr>
                <w:rFonts w:ascii="宋体" w:hAnsi="宋体" w:cs="宋体" w:eastAsia="宋体" w:hint="default"/>
                <w:sz w:val="18"/>
                <w:szCs w:val="18"/>
              </w:rPr>
              <w:t>否</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61" w:hRule="exact"/>
        </w:trPr>
        <w:tc>
          <w:tcPr>
            <w:tcW w:w="17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42"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909" w:type="dxa"/>
            <w:vMerge w:val="restart"/>
            <w:tcBorders>
              <w:top w:val="single" w:sz="4" w:space="0" w:color="000000"/>
              <w:left w:val="single" w:sz="10" w:space="0" w:color="D2D2D2"/>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8" w:right="0"/>
              <w:jc w:val="left"/>
              <w:rPr>
                <w:rFonts w:ascii="Times New Roman" w:hAnsi="Times New Roman" w:cs="Times New Roman" w:eastAsia="Times New Roman" w:hint="default"/>
                <w:sz w:val="18"/>
                <w:szCs w:val="18"/>
              </w:rPr>
            </w:pPr>
            <w:r>
              <w:rPr>
                <w:rFonts w:ascii="Times New Roman"/>
                <w:sz w:val="18"/>
              </w:rPr>
              <w:t>332,709.57</w:t>
            </w:r>
          </w:p>
        </w:tc>
        <w:tc>
          <w:tcPr>
            <w:tcW w:w="938"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6" w:right="0"/>
              <w:jc w:val="left"/>
              <w:rPr>
                <w:rFonts w:ascii="Times New Roman" w:hAnsi="Times New Roman" w:cs="Times New Roman" w:eastAsia="Times New Roman" w:hint="default"/>
                <w:sz w:val="18"/>
                <w:szCs w:val="18"/>
              </w:rPr>
            </w:pPr>
            <w:r>
              <w:rPr>
                <w:rFonts w:ascii="Times New Roman"/>
                <w:sz w:val="18"/>
              </w:rPr>
              <w:t>292,867.15</w:t>
            </w:r>
          </w:p>
        </w:tc>
        <w:tc>
          <w:tcPr>
            <w:tcW w:w="850" w:type="dxa"/>
            <w:vMerge w:val="restart"/>
            <w:tcBorders>
              <w:top w:val="single" w:sz="4" w:space="0" w:color="000000"/>
              <w:left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w w:val="95"/>
                <w:sz w:val="18"/>
              </w:rPr>
              <w:t>110,283.9</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0</w:t>
            </w:r>
          </w:p>
        </w:tc>
        <w:tc>
          <w:tcPr>
            <w:tcW w:w="852" w:type="dxa"/>
            <w:vMerge w:val="restart"/>
            <w:tcBorders>
              <w:top w:val="single" w:sz="4" w:space="0" w:color="000000"/>
              <w:left w:val="single" w:sz="4" w:space="0" w:color="000000"/>
              <w:right w:val="single" w:sz="10" w:space="0" w:color="D2D2D2"/>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pacing w:val="-1"/>
                <w:sz w:val="18"/>
              </w:rPr>
              <w:t>289,874.3</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3</w:t>
            </w:r>
          </w:p>
        </w:tc>
        <w:tc>
          <w:tcPr>
            <w:tcW w:w="712" w:type="dxa"/>
            <w:tcBorders>
              <w:top w:val="single" w:sz="4" w:space="0" w:color="000000"/>
              <w:left w:val="single" w:sz="4" w:space="0" w:color="000000"/>
              <w:bottom w:val="nil" w:sz="6" w:space="0" w:color="auto"/>
              <w:right w:val="single" w:sz="4" w:space="0" w:color="000000"/>
            </w:tcBorders>
            <w:shd w:val="clear" w:color="auto" w:fill="D2D2D2"/>
          </w:tcPr>
          <w:p>
            <w:pPr/>
          </w:p>
        </w:tc>
        <w:tc>
          <w:tcPr>
            <w:tcW w:w="842" w:type="dxa"/>
            <w:tcBorders>
              <w:top w:val="single" w:sz="4" w:space="0" w:color="000000"/>
              <w:left w:val="single" w:sz="4" w:space="0" w:color="000000"/>
              <w:bottom w:val="nil" w:sz="6" w:space="0" w:color="auto"/>
              <w:right w:val="single" w:sz="4" w:space="0" w:color="000000"/>
            </w:tcBorders>
            <w:shd w:val="clear" w:color="auto" w:fill="D2D2D2"/>
          </w:tcPr>
          <w:p>
            <w:pPr/>
          </w:p>
        </w:tc>
        <w:tc>
          <w:tcPr>
            <w:tcW w:w="860" w:type="dxa"/>
            <w:vMerge w:val="restart"/>
            <w:tcBorders>
              <w:top w:val="single" w:sz="4" w:space="0" w:color="000000"/>
              <w:left w:val="single" w:sz="10" w:space="0" w:color="D2D2D2"/>
              <w:right w:val="single" w:sz="9" w:space="0" w:color="D2D2D2"/>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4" w:right="0"/>
              <w:jc w:val="left"/>
              <w:rPr>
                <w:rFonts w:ascii="Times New Roman" w:hAnsi="Times New Roman" w:cs="Times New Roman" w:eastAsia="Times New Roman" w:hint="default"/>
                <w:sz w:val="18"/>
                <w:szCs w:val="18"/>
              </w:rPr>
            </w:pPr>
            <w:r>
              <w:rPr>
                <w:rFonts w:ascii="Times New Roman"/>
                <w:sz w:val="18"/>
              </w:rPr>
              <w:t>57,911.47</w:t>
            </w:r>
          </w:p>
        </w:tc>
        <w:tc>
          <w:tcPr>
            <w:tcW w:w="563" w:type="dxa"/>
            <w:tcBorders>
              <w:top w:val="single" w:sz="4" w:space="0" w:color="000000"/>
              <w:left w:val="single" w:sz="4" w:space="0" w:color="000000"/>
              <w:bottom w:val="nil" w:sz="6" w:space="0" w:color="auto"/>
              <w:right w:val="single" w:sz="4" w:space="0" w:color="000000"/>
            </w:tcBorders>
            <w:shd w:val="clear" w:color="auto" w:fill="D2D2D2"/>
          </w:tcPr>
          <w:p>
            <w:pPr/>
          </w:p>
        </w:tc>
        <w:tc>
          <w:tcPr>
            <w:tcW w:w="638"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1" w:hRule="exact"/>
        </w:trPr>
        <w:tc>
          <w:tcPr>
            <w:tcW w:w="176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93" w:right="0"/>
              <w:jc w:val="left"/>
              <w:rPr>
                <w:rFonts w:ascii="宋体" w:hAnsi="宋体" w:cs="宋体" w:eastAsia="宋体" w:hint="default"/>
                <w:sz w:val="18"/>
                <w:szCs w:val="18"/>
              </w:rPr>
            </w:pPr>
            <w:r>
              <w:rPr>
                <w:rFonts w:ascii="宋体" w:hAnsi="宋体" w:cs="宋体" w:eastAsia="宋体" w:hint="default"/>
                <w:sz w:val="18"/>
                <w:szCs w:val="18"/>
              </w:rPr>
              <w:t>承诺投资项目小计</w:t>
            </w:r>
          </w:p>
        </w:tc>
        <w:tc>
          <w:tcPr>
            <w:tcW w:w="642" w:type="dxa"/>
            <w:gridSpan w:val="2"/>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09" w:type="dxa"/>
            <w:vMerge/>
            <w:tcBorders>
              <w:left w:val="single" w:sz="10" w:space="0" w:color="D2D2D2"/>
              <w:right w:val="single" w:sz="4" w:space="0" w:color="000000"/>
            </w:tcBorders>
          </w:tcPr>
          <w:p>
            <w:pPr/>
          </w:p>
        </w:tc>
        <w:tc>
          <w:tcPr>
            <w:tcW w:w="93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852" w:type="dxa"/>
            <w:vMerge/>
            <w:tcBorders>
              <w:left w:val="single" w:sz="4" w:space="0" w:color="000000"/>
              <w:right w:val="single" w:sz="10" w:space="0" w:color="D2D2D2"/>
            </w:tcBorders>
          </w:tcPr>
          <w:p>
            <w:pPr/>
          </w:p>
        </w:tc>
        <w:tc>
          <w:tcPr>
            <w:tcW w:w="7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4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60" w:type="dxa"/>
            <w:vMerge/>
            <w:tcBorders>
              <w:left w:val="single" w:sz="10" w:space="0" w:color="D2D2D2"/>
              <w:right w:val="single" w:sz="9" w:space="0" w:color="D2D2D2"/>
            </w:tcBorders>
          </w:tcPr>
          <w:p>
            <w:pPr/>
          </w:p>
        </w:tc>
        <w:tc>
          <w:tcPr>
            <w:tcW w:w="56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3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166" w:hRule="exact"/>
        </w:trPr>
        <w:tc>
          <w:tcPr>
            <w:tcW w:w="17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42"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909" w:type="dxa"/>
            <w:vMerge/>
            <w:tcBorders>
              <w:left w:val="single" w:sz="10" w:space="0" w:color="D2D2D2"/>
              <w:bottom w:val="single" w:sz="4" w:space="0" w:color="000000"/>
              <w:right w:val="single" w:sz="4" w:space="0" w:color="000000"/>
            </w:tcBorders>
          </w:tcPr>
          <w:p>
            <w:pPr/>
          </w:p>
        </w:tc>
        <w:tc>
          <w:tcPr>
            <w:tcW w:w="938" w:type="dxa"/>
            <w:vMerge/>
            <w:tcBorders>
              <w:left w:val="single" w:sz="4" w:space="0" w:color="000000"/>
              <w:bottom w:val="single" w:sz="4" w:space="0" w:color="000000"/>
              <w:right w:val="single" w:sz="4" w:space="0" w:color="000000"/>
            </w:tcBorders>
          </w:tcPr>
          <w:p>
            <w:pPr/>
          </w:p>
        </w:tc>
        <w:tc>
          <w:tcPr>
            <w:tcW w:w="850" w:type="dxa"/>
            <w:vMerge/>
            <w:tcBorders>
              <w:left w:val="single" w:sz="4" w:space="0" w:color="000000"/>
              <w:bottom w:val="single" w:sz="4" w:space="0" w:color="000000"/>
              <w:right w:val="single" w:sz="4" w:space="0" w:color="000000"/>
            </w:tcBorders>
          </w:tcPr>
          <w:p>
            <w:pPr/>
          </w:p>
        </w:tc>
        <w:tc>
          <w:tcPr>
            <w:tcW w:w="852" w:type="dxa"/>
            <w:vMerge/>
            <w:tcBorders>
              <w:left w:val="single" w:sz="4" w:space="0" w:color="000000"/>
              <w:bottom w:val="single" w:sz="4" w:space="0" w:color="000000"/>
              <w:right w:val="single" w:sz="10" w:space="0" w:color="D2D2D2"/>
            </w:tcBorders>
          </w:tcPr>
          <w:p>
            <w:pPr/>
          </w:p>
        </w:tc>
        <w:tc>
          <w:tcPr>
            <w:tcW w:w="712" w:type="dxa"/>
            <w:tcBorders>
              <w:top w:val="nil" w:sz="6" w:space="0" w:color="auto"/>
              <w:left w:val="single" w:sz="4" w:space="0" w:color="000000"/>
              <w:bottom w:val="single" w:sz="4" w:space="0" w:color="000000"/>
              <w:right w:val="single" w:sz="4" w:space="0" w:color="000000"/>
            </w:tcBorders>
            <w:shd w:val="clear" w:color="auto" w:fill="D2D2D2"/>
          </w:tcPr>
          <w:p>
            <w:pPr/>
          </w:p>
        </w:tc>
        <w:tc>
          <w:tcPr>
            <w:tcW w:w="842" w:type="dxa"/>
            <w:tcBorders>
              <w:top w:val="nil" w:sz="6" w:space="0" w:color="auto"/>
              <w:left w:val="single" w:sz="4" w:space="0" w:color="000000"/>
              <w:bottom w:val="single" w:sz="4" w:space="0" w:color="000000"/>
              <w:right w:val="single" w:sz="4" w:space="0" w:color="000000"/>
            </w:tcBorders>
            <w:shd w:val="clear" w:color="auto" w:fill="D2D2D2"/>
          </w:tcPr>
          <w:p>
            <w:pPr/>
          </w:p>
        </w:tc>
        <w:tc>
          <w:tcPr>
            <w:tcW w:w="860" w:type="dxa"/>
            <w:vMerge/>
            <w:tcBorders>
              <w:left w:val="single" w:sz="10" w:space="0" w:color="D2D2D2"/>
              <w:bottom w:val="single" w:sz="4" w:space="0" w:color="000000"/>
              <w:right w:val="single" w:sz="9" w:space="0" w:color="D2D2D2"/>
            </w:tcBorders>
          </w:tcPr>
          <w:p>
            <w:pPr/>
          </w:p>
        </w:tc>
        <w:tc>
          <w:tcPr>
            <w:tcW w:w="563" w:type="dxa"/>
            <w:tcBorders>
              <w:top w:val="nil" w:sz="6" w:space="0" w:color="auto"/>
              <w:left w:val="single" w:sz="4" w:space="0" w:color="000000"/>
              <w:bottom w:val="single" w:sz="4" w:space="0" w:color="000000"/>
              <w:right w:val="single" w:sz="4" w:space="0" w:color="000000"/>
            </w:tcBorders>
            <w:shd w:val="clear" w:color="auto" w:fill="D2D2D2"/>
          </w:tcPr>
          <w:p>
            <w:pPr/>
          </w:p>
        </w:tc>
        <w:tc>
          <w:tcPr>
            <w:tcW w:w="638"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394" w:hRule="exact"/>
        </w:trPr>
        <w:tc>
          <w:tcPr>
            <w:tcW w:w="9571"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24" w:right="0"/>
              <w:jc w:val="left"/>
              <w:rPr>
                <w:rFonts w:ascii="宋体" w:hAnsi="宋体" w:cs="宋体" w:eastAsia="宋体" w:hint="default"/>
                <w:sz w:val="18"/>
                <w:szCs w:val="18"/>
              </w:rPr>
            </w:pPr>
            <w:r>
              <w:rPr>
                <w:rFonts w:ascii="宋体" w:hAnsi="宋体" w:cs="宋体" w:eastAsia="宋体" w:hint="default"/>
                <w:sz w:val="18"/>
                <w:szCs w:val="18"/>
              </w:rPr>
              <w:t>超募资金投向</w:t>
            </w:r>
          </w:p>
        </w:tc>
      </w:tr>
      <w:tr>
        <w:trPr>
          <w:trHeight w:val="406" w:hRule="exact"/>
        </w:trPr>
        <w:tc>
          <w:tcPr>
            <w:tcW w:w="17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归还银行贷款（如有</w:t>
            </w:r>
          </w:p>
        </w:tc>
        <w:tc>
          <w:tcPr>
            <w:tcW w:w="163" w:type="dxa"/>
            <w:tcBorders>
              <w:top w:val="single" w:sz="4" w:space="0" w:color="000000"/>
              <w:left w:val="single" w:sz="4" w:space="0" w:color="000000"/>
              <w:bottom w:val="single" w:sz="4" w:space="0" w:color="000000"/>
              <w:right w:val="nil" w:sz="6" w:space="0" w:color="auto"/>
            </w:tcBorders>
            <w:shd w:val="clear" w:color="auto" w:fill="D2D2D2"/>
          </w:tcPr>
          <w:p>
            <w:pPr>
              <w:pStyle w:val="TableParagraph"/>
              <w:spacing w:line="240" w:lineRule="auto" w:before="53"/>
              <w:ind w:left="-124" w:right="0"/>
              <w:jc w:val="left"/>
              <w:rPr>
                <w:rFonts w:ascii="宋体" w:hAnsi="宋体" w:cs="宋体" w:eastAsia="宋体" w:hint="default"/>
                <w:sz w:val="18"/>
                <w:szCs w:val="18"/>
              </w:rPr>
            </w:pPr>
            <w:r>
              <w:rPr>
                <w:rFonts w:ascii="宋体" w:hAnsi="宋体" w:cs="宋体" w:eastAsia="宋体" w:hint="default"/>
                <w:sz w:val="18"/>
                <w:szCs w:val="18"/>
              </w:rPr>
              <w:t>）</w:t>
            </w:r>
          </w:p>
        </w:tc>
        <w:tc>
          <w:tcPr>
            <w:tcW w:w="479" w:type="dxa"/>
            <w:tcBorders>
              <w:top w:val="single" w:sz="4" w:space="0" w:color="000000"/>
              <w:left w:val="nil" w:sz="6" w:space="0" w:color="auto"/>
              <w:bottom w:val="single" w:sz="4" w:space="0" w:color="000000"/>
              <w:right w:val="single" w:sz="4" w:space="0" w:color="000000"/>
            </w:tcBorders>
            <w:shd w:val="clear" w:color="auto" w:fill="D2D2D2"/>
          </w:tcPr>
          <w:p>
            <w:pPr>
              <w:pStyle w:val="TableParagraph"/>
              <w:spacing w:line="240" w:lineRule="auto" w:before="96"/>
              <w:ind w:left="100" w:right="0"/>
              <w:jc w:val="left"/>
              <w:rPr>
                <w:rFonts w:ascii="Times New Roman" w:hAnsi="Times New Roman" w:cs="Times New Roman" w:eastAsia="Times New Roman" w:hint="default"/>
                <w:sz w:val="18"/>
                <w:szCs w:val="18"/>
              </w:rPr>
            </w:pPr>
            <w:r>
              <w:rPr>
                <w:rFonts w:ascii="Times New Roman"/>
                <w:sz w:val="18"/>
              </w:rPr>
              <w:t>--</w:t>
            </w:r>
          </w:p>
        </w:tc>
        <w:tc>
          <w:tcPr>
            <w:tcW w:w="90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z w:val="18"/>
              </w:rPr>
              <w:t>0.00</w:t>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z w:val="18"/>
              </w:rPr>
              <w:t>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0"/>
              <w:jc w:val="right"/>
              <w:rPr>
                <w:rFonts w:ascii="Times New Roman" w:hAnsi="Times New Roman" w:cs="Times New Roman" w:eastAsia="Times New Roman" w:hint="default"/>
                <w:sz w:val="18"/>
                <w:szCs w:val="18"/>
              </w:rPr>
            </w:pPr>
            <w:r>
              <w:rPr>
                <w:rFonts w:ascii="Times New Roman"/>
                <w:sz w:val="18"/>
              </w:rPr>
              <w:t>0.00</w:t>
            </w:r>
          </w:p>
        </w:tc>
        <w:tc>
          <w:tcPr>
            <w:tcW w:w="712"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6"/>
              <w:ind w:right="12"/>
              <w:jc w:val="right"/>
              <w:rPr>
                <w:rFonts w:ascii="Times New Roman" w:hAnsi="Times New Roman" w:cs="Times New Roman" w:eastAsia="Times New Roman" w:hint="default"/>
                <w:sz w:val="18"/>
                <w:szCs w:val="18"/>
              </w:rPr>
            </w:pPr>
            <w:r>
              <w:rPr>
                <w:rFonts w:ascii="Times New Roman"/>
                <w:sz w:val="18"/>
              </w:rPr>
              <w:t>0.00%</w:t>
            </w:r>
          </w:p>
        </w:tc>
        <w:tc>
          <w:tcPr>
            <w:tcW w:w="8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356" w:right="0"/>
              <w:jc w:val="left"/>
              <w:rPr>
                <w:rFonts w:ascii="Times New Roman" w:hAnsi="Times New Roman" w:cs="Times New Roman" w:eastAsia="Times New Roman" w:hint="default"/>
                <w:sz w:val="18"/>
                <w:szCs w:val="18"/>
              </w:rPr>
            </w:pPr>
            <w:r>
              <w:rPr>
                <w:rFonts w:ascii="Times New Roman"/>
                <w:sz w:val="18"/>
              </w:rPr>
              <w:t>--</w:t>
            </w:r>
          </w:p>
        </w:tc>
        <w:tc>
          <w:tcPr>
            <w:tcW w:w="8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1" w:right="0"/>
              <w:jc w:val="center"/>
              <w:rPr>
                <w:rFonts w:ascii="Times New Roman" w:hAnsi="Times New Roman" w:cs="Times New Roman" w:eastAsia="Times New Roman" w:hint="default"/>
                <w:sz w:val="18"/>
                <w:szCs w:val="18"/>
              </w:rPr>
            </w:pPr>
            <w:r>
              <w:rPr>
                <w:rFonts w:ascii="Times New Roman"/>
                <w:sz w:val="18"/>
              </w:rPr>
              <w:t>--</w:t>
            </w:r>
          </w:p>
        </w:tc>
        <w:tc>
          <w:tcPr>
            <w:tcW w:w="5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214" w:right="0"/>
              <w:jc w:val="left"/>
              <w:rPr>
                <w:rFonts w:ascii="Times New Roman" w:hAnsi="Times New Roman" w:cs="Times New Roman" w:eastAsia="Times New Roman" w:hint="default"/>
                <w:sz w:val="18"/>
                <w:szCs w:val="18"/>
              </w:rPr>
            </w:pPr>
            <w:r>
              <w:rPr>
                <w:rFonts w:ascii="Times New Roman"/>
                <w:sz w:val="18"/>
              </w:rPr>
              <w:t>--</w:t>
            </w:r>
          </w:p>
        </w:tc>
        <w:tc>
          <w:tcPr>
            <w:tcW w:w="6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253" w:right="0"/>
              <w:jc w:val="left"/>
              <w:rPr>
                <w:rFonts w:ascii="Times New Roman" w:hAnsi="Times New Roman" w:cs="Times New Roman" w:eastAsia="Times New Roman" w:hint="default"/>
                <w:sz w:val="18"/>
                <w:szCs w:val="18"/>
              </w:rPr>
            </w:pPr>
            <w:r>
              <w:rPr>
                <w:rFonts w:ascii="Times New Roman"/>
                <w:sz w:val="18"/>
              </w:rPr>
              <w:t>--</w:t>
            </w:r>
          </w:p>
        </w:tc>
      </w:tr>
      <w:tr>
        <w:trPr>
          <w:trHeight w:val="403" w:hRule="exact"/>
        </w:trPr>
        <w:tc>
          <w:tcPr>
            <w:tcW w:w="17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补充流动资金（如有</w:t>
            </w:r>
          </w:p>
        </w:tc>
        <w:tc>
          <w:tcPr>
            <w:tcW w:w="163" w:type="dxa"/>
            <w:tcBorders>
              <w:top w:val="single" w:sz="4" w:space="0" w:color="000000"/>
              <w:left w:val="single" w:sz="4" w:space="0" w:color="000000"/>
              <w:bottom w:val="single" w:sz="4" w:space="0" w:color="000000"/>
              <w:right w:val="nil" w:sz="6" w:space="0" w:color="auto"/>
            </w:tcBorders>
            <w:shd w:val="clear" w:color="auto" w:fill="D2D2D2"/>
          </w:tcPr>
          <w:p>
            <w:pPr>
              <w:pStyle w:val="TableParagraph"/>
              <w:spacing w:line="240" w:lineRule="auto" w:before="49"/>
              <w:ind w:left="-124" w:right="0"/>
              <w:jc w:val="left"/>
              <w:rPr>
                <w:rFonts w:ascii="宋体" w:hAnsi="宋体" w:cs="宋体" w:eastAsia="宋体" w:hint="default"/>
                <w:sz w:val="18"/>
                <w:szCs w:val="18"/>
              </w:rPr>
            </w:pPr>
            <w:r>
              <w:rPr>
                <w:rFonts w:ascii="宋体" w:hAnsi="宋体" w:cs="宋体" w:eastAsia="宋体" w:hint="default"/>
                <w:sz w:val="18"/>
                <w:szCs w:val="18"/>
              </w:rPr>
              <w:t>）</w:t>
            </w:r>
          </w:p>
        </w:tc>
        <w:tc>
          <w:tcPr>
            <w:tcW w:w="479" w:type="dxa"/>
            <w:tcBorders>
              <w:top w:val="single" w:sz="4" w:space="0" w:color="000000"/>
              <w:left w:val="nil" w:sz="6" w:space="0" w:color="auto"/>
              <w:bottom w:val="single" w:sz="4" w:space="0" w:color="000000"/>
              <w:right w:val="single" w:sz="4" w:space="0" w:color="000000"/>
            </w:tcBorders>
            <w:shd w:val="clear" w:color="auto" w:fill="D2D2D2"/>
          </w:tcPr>
          <w:p>
            <w:pPr>
              <w:pStyle w:val="TableParagraph"/>
              <w:spacing w:line="240" w:lineRule="auto" w:before="91"/>
              <w:ind w:left="100" w:right="0"/>
              <w:jc w:val="left"/>
              <w:rPr>
                <w:rFonts w:ascii="Times New Roman" w:hAnsi="Times New Roman" w:cs="Times New Roman" w:eastAsia="Times New Roman" w:hint="default"/>
                <w:sz w:val="18"/>
                <w:szCs w:val="18"/>
              </w:rPr>
            </w:pPr>
            <w:r>
              <w:rPr>
                <w:rFonts w:ascii="Times New Roman"/>
                <w:sz w:val="18"/>
              </w:rPr>
              <w:t>--</w:t>
            </w:r>
          </w:p>
        </w:tc>
        <w:tc>
          <w:tcPr>
            <w:tcW w:w="90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0.00</w:t>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712"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12"/>
              <w:jc w:val="right"/>
              <w:rPr>
                <w:rFonts w:ascii="Times New Roman" w:hAnsi="Times New Roman" w:cs="Times New Roman" w:eastAsia="Times New Roman" w:hint="default"/>
                <w:sz w:val="18"/>
                <w:szCs w:val="18"/>
              </w:rPr>
            </w:pPr>
            <w:r>
              <w:rPr>
                <w:rFonts w:ascii="Times New Roman"/>
                <w:sz w:val="18"/>
              </w:rPr>
              <w:t>0.00%</w:t>
            </w:r>
          </w:p>
        </w:tc>
        <w:tc>
          <w:tcPr>
            <w:tcW w:w="8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356" w:right="0"/>
              <w:jc w:val="left"/>
              <w:rPr>
                <w:rFonts w:ascii="Times New Roman" w:hAnsi="Times New Roman" w:cs="Times New Roman" w:eastAsia="Times New Roman" w:hint="default"/>
                <w:sz w:val="18"/>
                <w:szCs w:val="18"/>
              </w:rPr>
            </w:pPr>
            <w:r>
              <w:rPr>
                <w:rFonts w:ascii="Times New Roman"/>
                <w:sz w:val="18"/>
              </w:rPr>
              <w:t>--</w:t>
            </w:r>
          </w:p>
        </w:tc>
        <w:tc>
          <w:tcPr>
            <w:tcW w:w="8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c>
          <w:tcPr>
            <w:tcW w:w="5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14" w:right="0"/>
              <w:jc w:val="left"/>
              <w:rPr>
                <w:rFonts w:ascii="Times New Roman" w:hAnsi="Times New Roman" w:cs="Times New Roman" w:eastAsia="Times New Roman" w:hint="default"/>
                <w:sz w:val="18"/>
                <w:szCs w:val="18"/>
              </w:rPr>
            </w:pPr>
            <w:r>
              <w:rPr>
                <w:rFonts w:ascii="Times New Roman"/>
                <w:sz w:val="18"/>
              </w:rPr>
              <w:t>--</w:t>
            </w:r>
          </w:p>
        </w:tc>
        <w:tc>
          <w:tcPr>
            <w:tcW w:w="6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53" w:right="0"/>
              <w:jc w:val="left"/>
              <w:rPr>
                <w:rFonts w:ascii="Times New Roman" w:hAnsi="Times New Roman" w:cs="Times New Roman" w:eastAsia="Times New Roman" w:hint="default"/>
                <w:sz w:val="18"/>
                <w:szCs w:val="18"/>
              </w:rPr>
            </w:pPr>
            <w:r>
              <w:rPr>
                <w:rFonts w:ascii="Times New Roman"/>
                <w:sz w:val="18"/>
              </w:rPr>
              <w:t>--</w:t>
            </w:r>
          </w:p>
        </w:tc>
      </w:tr>
      <w:tr>
        <w:trPr>
          <w:trHeight w:val="401" w:hRule="exact"/>
        </w:trPr>
        <w:tc>
          <w:tcPr>
            <w:tcW w:w="17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超募资金投向小计</w:t>
            </w:r>
          </w:p>
        </w:tc>
        <w:tc>
          <w:tcPr>
            <w:tcW w:w="64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5" w:right="0"/>
              <w:jc w:val="center"/>
              <w:rPr>
                <w:rFonts w:ascii="Times New Roman" w:hAnsi="Times New Roman" w:cs="Times New Roman" w:eastAsia="Times New Roman" w:hint="default"/>
                <w:sz w:val="18"/>
                <w:szCs w:val="18"/>
              </w:rPr>
            </w:pPr>
            <w:r>
              <w:rPr>
                <w:rFonts w:ascii="Times New Roman"/>
                <w:sz w:val="18"/>
              </w:rPr>
              <w:t>--</w:t>
            </w:r>
          </w:p>
        </w:tc>
        <w:tc>
          <w:tcPr>
            <w:tcW w:w="90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0.00</w:t>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0.00</w:t>
            </w:r>
          </w:p>
        </w:tc>
        <w:tc>
          <w:tcPr>
            <w:tcW w:w="852"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8"/>
              <w:jc w:val="right"/>
              <w:rPr>
                <w:rFonts w:ascii="Times New Roman" w:hAnsi="Times New Roman" w:cs="Times New Roman" w:eastAsia="Times New Roman" w:hint="default"/>
                <w:sz w:val="18"/>
                <w:szCs w:val="18"/>
              </w:rPr>
            </w:pPr>
            <w:r>
              <w:rPr>
                <w:rFonts w:ascii="Times New Roman"/>
                <w:sz w:val="18"/>
              </w:rPr>
              <w:t>0.00</w:t>
            </w:r>
          </w:p>
        </w:tc>
        <w:tc>
          <w:tcPr>
            <w:tcW w:w="7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8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356" w:right="0"/>
              <w:jc w:val="left"/>
              <w:rPr>
                <w:rFonts w:ascii="Times New Roman" w:hAnsi="Times New Roman" w:cs="Times New Roman" w:eastAsia="Times New Roman" w:hint="default"/>
                <w:sz w:val="18"/>
                <w:szCs w:val="18"/>
              </w:rPr>
            </w:pPr>
            <w:r>
              <w:rPr>
                <w:rFonts w:ascii="Times New Roman"/>
                <w:sz w:val="18"/>
              </w:rPr>
              <w:t>--</w:t>
            </w:r>
          </w:p>
        </w:tc>
        <w:tc>
          <w:tcPr>
            <w:tcW w:w="860" w:type="dxa"/>
            <w:tcBorders>
              <w:top w:val="single" w:sz="4" w:space="0" w:color="000000"/>
              <w:left w:val="single" w:sz="10" w:space="0" w:color="D2D2D2"/>
              <w:bottom w:val="single" w:sz="4" w:space="0" w:color="000000"/>
              <w:right w:val="single" w:sz="13" w:space="0" w:color="D2D2D2"/>
            </w:tcBorders>
          </w:tcPr>
          <w:p>
            <w:pPr>
              <w:pStyle w:val="TableParagraph"/>
              <w:spacing w:line="240" w:lineRule="auto" w:before="91"/>
              <w:ind w:right="11"/>
              <w:jc w:val="right"/>
              <w:rPr>
                <w:rFonts w:ascii="Times New Roman" w:hAnsi="Times New Roman" w:cs="Times New Roman" w:eastAsia="Times New Roman" w:hint="default"/>
                <w:sz w:val="18"/>
                <w:szCs w:val="18"/>
              </w:rPr>
            </w:pPr>
            <w:r>
              <w:rPr>
                <w:rFonts w:ascii="Times New Roman"/>
                <w:spacing w:val="-1"/>
                <w:sz w:val="18"/>
              </w:rPr>
              <w:t>0.00</w:t>
            </w:r>
          </w:p>
        </w:tc>
        <w:tc>
          <w:tcPr>
            <w:tcW w:w="5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14" w:right="0"/>
              <w:jc w:val="left"/>
              <w:rPr>
                <w:rFonts w:ascii="Times New Roman" w:hAnsi="Times New Roman" w:cs="Times New Roman" w:eastAsia="Times New Roman" w:hint="default"/>
                <w:sz w:val="18"/>
                <w:szCs w:val="18"/>
              </w:rPr>
            </w:pPr>
            <w:r>
              <w:rPr>
                <w:rFonts w:ascii="Times New Roman"/>
                <w:sz w:val="18"/>
              </w:rPr>
              <w:t>--</w:t>
            </w:r>
          </w:p>
        </w:tc>
        <w:tc>
          <w:tcPr>
            <w:tcW w:w="6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53" w:right="0"/>
              <w:jc w:val="left"/>
              <w:rPr>
                <w:rFonts w:ascii="Times New Roman" w:hAnsi="Times New Roman" w:cs="Times New Roman" w:eastAsia="Times New Roman" w:hint="default"/>
                <w:sz w:val="18"/>
                <w:szCs w:val="18"/>
              </w:rPr>
            </w:pPr>
            <w:r>
              <w:rPr>
                <w:rFonts w:ascii="Times New Roman"/>
                <w:sz w:val="18"/>
              </w:rPr>
              <w:t>--</w:t>
            </w:r>
          </w:p>
        </w:tc>
      </w:tr>
      <w:tr>
        <w:trPr>
          <w:trHeight w:val="403" w:hRule="exact"/>
        </w:trPr>
        <w:tc>
          <w:tcPr>
            <w:tcW w:w="17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64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5" w:right="0"/>
              <w:jc w:val="center"/>
              <w:rPr>
                <w:rFonts w:ascii="Times New Roman" w:hAnsi="Times New Roman" w:cs="Times New Roman" w:eastAsia="Times New Roman" w:hint="default"/>
                <w:sz w:val="18"/>
                <w:szCs w:val="18"/>
              </w:rPr>
            </w:pPr>
            <w:r>
              <w:rPr>
                <w:rFonts w:ascii="Times New Roman"/>
                <w:sz w:val="18"/>
              </w:rPr>
              <w:t>--</w:t>
            </w:r>
          </w:p>
        </w:tc>
        <w:tc>
          <w:tcPr>
            <w:tcW w:w="90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332,709.57</w:t>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292,867.15</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18"/>
              <w:jc w:val="right"/>
              <w:rPr>
                <w:rFonts w:ascii="Times New Roman" w:hAnsi="Times New Roman" w:cs="Times New Roman" w:eastAsia="Times New Roman" w:hint="default"/>
                <w:sz w:val="18"/>
                <w:szCs w:val="18"/>
              </w:rPr>
            </w:pPr>
            <w:r>
              <w:rPr>
                <w:rFonts w:ascii="Times New Roman"/>
                <w:spacing w:val="-1"/>
                <w:w w:val="95"/>
                <w:sz w:val="18"/>
              </w:rPr>
              <w:t>110,283.9</w:t>
            </w:r>
          </w:p>
        </w:tc>
        <w:tc>
          <w:tcPr>
            <w:tcW w:w="852"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10"/>
              <w:jc w:val="right"/>
              <w:rPr>
                <w:rFonts w:ascii="Times New Roman" w:hAnsi="Times New Roman" w:cs="Times New Roman" w:eastAsia="Times New Roman" w:hint="default"/>
                <w:sz w:val="18"/>
                <w:szCs w:val="18"/>
              </w:rPr>
            </w:pPr>
            <w:r>
              <w:rPr>
                <w:rFonts w:ascii="Times New Roman"/>
                <w:spacing w:val="-1"/>
                <w:sz w:val="18"/>
              </w:rPr>
              <w:t>289,874.3</w:t>
            </w:r>
          </w:p>
        </w:tc>
        <w:tc>
          <w:tcPr>
            <w:tcW w:w="7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2"/>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387"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60" w:type="dxa"/>
            <w:tcBorders>
              <w:top w:val="single" w:sz="4" w:space="0" w:color="000000"/>
              <w:left w:val="single" w:sz="10" w:space="0" w:color="D2D2D2"/>
              <w:bottom w:val="single" w:sz="4" w:space="0" w:color="000000"/>
              <w:right w:val="single" w:sz="13" w:space="0" w:color="D2D2D2"/>
            </w:tcBorders>
          </w:tcPr>
          <w:p>
            <w:pPr>
              <w:pStyle w:val="TableParagraph"/>
              <w:spacing w:line="240" w:lineRule="auto" w:before="91"/>
              <w:ind w:right="11"/>
              <w:jc w:val="right"/>
              <w:rPr>
                <w:rFonts w:ascii="Times New Roman" w:hAnsi="Times New Roman" w:cs="Times New Roman" w:eastAsia="Times New Roman" w:hint="default"/>
                <w:sz w:val="18"/>
                <w:szCs w:val="18"/>
              </w:rPr>
            </w:pPr>
            <w:r>
              <w:rPr>
                <w:rFonts w:ascii="Times New Roman"/>
                <w:spacing w:val="-1"/>
                <w:w w:val="95"/>
                <w:sz w:val="18"/>
              </w:rPr>
              <w:t>57,911.47</w:t>
            </w:r>
          </w:p>
        </w:tc>
        <w:tc>
          <w:tcPr>
            <w:tcW w:w="5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45"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38" w:type="dxa"/>
            <w:tcBorders>
              <w:top w:val="single" w:sz="4" w:space="0" w:color="000000"/>
              <w:left w:val="single" w:sz="4" w:space="0" w:color="000000"/>
              <w:bottom w:val="single" w:sz="4" w:space="0" w:color="000000"/>
              <w:right w:val="single" w:sz="4" w:space="0" w:color="000000"/>
            </w:tcBorders>
            <w:shd w:val="clear" w:color="auto" w:fill="D2D2D2"/>
          </w:tcPr>
          <w:p>
            <w:pPr/>
          </w:p>
        </w:tc>
      </w:tr>
    </w:tbl>
    <w:p>
      <w:pPr>
        <w:spacing w:after="0"/>
        <w:sectPr>
          <w:pgSz w:w="11910" w:h="16840"/>
          <w:pgMar w:header="745" w:footer="979" w:top="1060" w:bottom="1160" w:left="980" w:right="0"/>
        </w:sectPr>
      </w:pPr>
    </w:p>
    <w:p>
      <w:pPr>
        <w:spacing w:line="240" w:lineRule="auto" w:before="0"/>
        <w:rPr>
          <w:rFonts w:ascii="宋体" w:hAnsi="宋体" w:cs="宋体" w:eastAsia="宋体" w:hint="default"/>
          <w:sz w:val="20"/>
          <w:szCs w:val="20"/>
        </w:rPr>
      </w:pPr>
      <w:r>
        <w:rPr/>
        <w:pict>
          <v:shape style="position:absolute;margin-left:57pt;margin-top:71.999985pt;width:478.7pt;height:691.2pt;mso-position-horizontal-relative:page;mso-position-vertical-relative:page;z-index:124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742"/>
                    <w:gridCol w:w="656"/>
                    <w:gridCol w:w="905"/>
                    <w:gridCol w:w="938"/>
                    <w:gridCol w:w="850"/>
                    <w:gridCol w:w="852"/>
                    <w:gridCol w:w="708"/>
                    <w:gridCol w:w="850"/>
                    <w:gridCol w:w="854"/>
                    <w:gridCol w:w="565"/>
                    <w:gridCol w:w="638"/>
                  </w:tblGrid>
                  <w:tr>
                    <w:trPr>
                      <w:trHeight w:val="363" w:hRule="exact"/>
                    </w:trPr>
                    <w:tc>
                      <w:tcPr>
                        <w:tcW w:w="174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65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905" w:type="dxa"/>
                        <w:tcBorders>
                          <w:top w:val="single" w:sz="4" w:space="0" w:color="000000"/>
                          <w:left w:val="single" w:sz="4" w:space="0" w:color="000000"/>
                          <w:bottom w:val="single" w:sz="4" w:space="0" w:color="000000"/>
                          <w:right w:val="single" w:sz="4" w:space="0" w:color="000000"/>
                        </w:tcBorders>
                      </w:tcPr>
                      <w:p>
                        <w:pPr/>
                      </w:p>
                    </w:tc>
                    <w:tc>
                      <w:tcPr>
                        <w:tcW w:w="938"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3"/>
                          <w:jc w:val="right"/>
                          <w:rPr>
                            <w:rFonts w:ascii="Times New Roman" w:hAnsi="Times New Roman" w:cs="Times New Roman" w:eastAsia="Times New Roman" w:hint="default"/>
                            <w:sz w:val="18"/>
                            <w:szCs w:val="18"/>
                          </w:rPr>
                        </w:pPr>
                        <w:r>
                          <w:rPr>
                            <w:rFonts w:ascii="Times New Roman"/>
                            <w:sz w:val="18"/>
                          </w:rPr>
                          <w:t>3</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854" w:type="dxa"/>
                        <w:tcBorders>
                          <w:top w:val="single" w:sz="4" w:space="0" w:color="000000"/>
                          <w:left w:val="single" w:sz="4" w:space="0" w:color="000000"/>
                          <w:bottom w:val="single" w:sz="4" w:space="0" w:color="000000"/>
                          <w:right w:val="single" w:sz="4" w:space="0" w:color="000000"/>
                        </w:tcBorders>
                      </w:tcPr>
                      <w:p>
                        <w:pPr/>
                      </w:p>
                    </w:tc>
                    <w:tc>
                      <w:tcPr>
                        <w:tcW w:w="565"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63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1937" w:hRule="exact"/>
                    </w:trPr>
                    <w:tc>
                      <w:tcPr>
                        <w:tcW w:w="1742" w:type="dxa"/>
                        <w:tcBorders>
                          <w:top w:val="single" w:sz="4" w:space="0" w:color="000000"/>
                          <w:left w:val="single" w:sz="4" w:space="0" w:color="000000"/>
                          <w:bottom w:val="nil" w:sz="6" w:space="0" w:color="auto"/>
                          <w:right w:val="single" w:sz="4" w:space="0" w:color="000000"/>
                        </w:tcBorders>
                        <w:shd w:val="clear" w:color="auto" w:fill="D2D2D2"/>
                      </w:tcPr>
                      <w:p>
                        <w:pPr/>
                      </w:p>
                    </w:tc>
                    <w:tc>
                      <w:tcPr>
                        <w:tcW w:w="7817" w:type="dxa"/>
                        <w:gridSpan w:val="10"/>
                        <w:vMerge w:val="restart"/>
                        <w:tcBorders>
                          <w:top w:val="single" w:sz="4" w:space="0" w:color="000000"/>
                          <w:left w:val="single" w:sz="9" w:space="0" w:color="D2D2D2"/>
                          <w:right w:val="single" w:sz="4" w:space="0" w:color="000000"/>
                        </w:tcBorders>
                      </w:tcPr>
                      <w:p>
                        <w:pPr>
                          <w:pStyle w:val="TableParagraph"/>
                          <w:spacing w:line="240" w:lineRule="auto" w:before="49"/>
                          <w:ind w:left="28" w:right="0"/>
                          <w:jc w:val="both"/>
                          <w:rPr>
                            <w:rFonts w:ascii="宋体" w:hAnsi="宋体" w:cs="宋体" w:eastAsia="宋体" w:hint="default"/>
                            <w:sz w:val="18"/>
                            <w:szCs w:val="18"/>
                          </w:rPr>
                        </w:pPr>
                        <w:r>
                          <w:rPr>
                            <w:rFonts w:ascii="宋体" w:hAnsi="宋体" w:cs="宋体" w:eastAsia="宋体" w:hint="default"/>
                            <w:sz w:val="18"/>
                            <w:szCs w:val="18"/>
                          </w:rPr>
                          <w:t>根据信永中和会计师事务所（特殊普通合伙）出具的《杰发科技业绩承诺实现情况的专项审核报告</w:t>
                        </w:r>
                      </w:p>
                      <w:p>
                        <w:pPr>
                          <w:pStyle w:val="TableParagraph"/>
                          <w:spacing w:line="300" w:lineRule="auto" w:before="76"/>
                          <w:ind w:left="28" w:right="19"/>
                          <w:jc w:val="both"/>
                          <w:rPr>
                            <w:rFonts w:ascii="宋体" w:hAnsi="宋体" w:cs="宋体" w:eastAsia="宋体" w:hint="default"/>
                            <w:sz w:val="18"/>
                            <w:szCs w:val="18"/>
                          </w:rPr>
                        </w:pPr>
                        <w:r>
                          <w:rPr>
                            <w:rFonts w:ascii="宋体" w:hAnsi="宋体" w:cs="宋体" w:eastAsia="宋体" w:hint="default"/>
                            <w:spacing w:val="-5"/>
                            <w:w w:val="99"/>
                            <w:sz w:val="18"/>
                            <w:szCs w:val="18"/>
                          </w:rPr>
                          <w:t>（</w:t>
                        </w:r>
                        <w:r>
                          <w:rPr>
                            <w:rFonts w:ascii="Times New Roman" w:hAnsi="Times New Roman" w:cs="Times New Roman" w:eastAsia="Times New Roman" w:hint="default"/>
                            <w:spacing w:val="-5"/>
                            <w:w w:val="99"/>
                            <w:sz w:val="18"/>
                            <w:szCs w:val="18"/>
                          </w:rPr>
                          <w:t>2019BJA70189</w:t>
                        </w:r>
                        <w:r>
                          <w:rPr>
                            <w:rFonts w:ascii="宋体" w:hAnsi="宋体" w:cs="宋体" w:eastAsia="宋体" w:hint="default"/>
                            <w:spacing w:val="-5"/>
                            <w:w w:val="99"/>
                            <w:sz w:val="18"/>
                            <w:szCs w:val="18"/>
                          </w:rPr>
                          <w:t>），杰发科技</w:t>
                        </w:r>
                        <w:r>
                          <w:rPr>
                            <w:rFonts w:ascii="宋体" w:hAnsi="宋体" w:cs="宋体" w:eastAsia="宋体" w:hint="default"/>
                            <w:spacing w:val="7"/>
                            <w:w w:val="99"/>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6"/>
                            <w:sz w:val="18"/>
                            <w:szCs w:val="18"/>
                          </w:rPr>
                          <w:t> </w:t>
                        </w:r>
                        <w:r>
                          <w:rPr>
                            <w:rFonts w:ascii="宋体" w:hAnsi="宋体" w:cs="宋体" w:eastAsia="宋体" w:hint="default"/>
                            <w:spacing w:val="-1"/>
                            <w:sz w:val="18"/>
                            <w:szCs w:val="18"/>
                          </w:rPr>
                          <w:t>年度实现归属于母公司所有者的净利润为</w:t>
                        </w:r>
                        <w:r>
                          <w:rPr>
                            <w:rFonts w:ascii="宋体" w:hAnsi="宋体" w:cs="宋体" w:eastAsia="宋体" w:hint="default"/>
                            <w:spacing w:val="-41"/>
                            <w:sz w:val="18"/>
                            <w:szCs w:val="18"/>
                          </w:rPr>
                          <w:t> </w:t>
                        </w:r>
                        <w:r>
                          <w:rPr>
                            <w:rFonts w:ascii="Times New Roman" w:hAnsi="Times New Roman" w:cs="Times New Roman" w:eastAsia="Times New Roman" w:hint="default"/>
                            <w:spacing w:val="-1"/>
                            <w:sz w:val="18"/>
                            <w:szCs w:val="18"/>
                          </w:rPr>
                          <w:t>19,626.05</w:t>
                        </w:r>
                        <w:r>
                          <w:rPr>
                            <w:rFonts w:ascii="Times New Roman" w:hAnsi="Times New Roman" w:cs="Times New Roman" w:eastAsia="Times New Roman" w:hint="default"/>
                            <w:spacing w:val="7"/>
                            <w:sz w:val="18"/>
                            <w:szCs w:val="18"/>
                          </w:rPr>
                          <w:t> </w:t>
                        </w:r>
                        <w:r>
                          <w:rPr>
                            <w:rFonts w:ascii="宋体" w:hAnsi="宋体" w:cs="宋体" w:eastAsia="宋体" w:hint="default"/>
                            <w:spacing w:val="-1"/>
                            <w:sz w:val="18"/>
                            <w:szCs w:val="18"/>
                          </w:rPr>
                          <w:t>万元，实现</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业绩承诺的 </w:t>
                        </w:r>
                        <w:r>
                          <w:rPr>
                            <w:rFonts w:ascii="Times New Roman" w:hAnsi="Times New Roman" w:cs="Times New Roman" w:eastAsia="Times New Roman" w:hint="default"/>
                            <w:sz w:val="18"/>
                            <w:szCs w:val="18"/>
                          </w:rPr>
                          <w:t>105.15%</w:t>
                        </w:r>
                        <w:r>
                          <w:rPr>
                            <w:rFonts w:ascii="宋体" w:hAnsi="宋体" w:cs="宋体" w:eastAsia="宋体" w:hint="default"/>
                            <w:sz w:val="18"/>
                            <w:szCs w:val="18"/>
                          </w:rPr>
                          <w:t>；</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年度实现归属于母公司所有者的净利润为 </w:t>
                        </w:r>
                        <w:r>
                          <w:rPr>
                            <w:rFonts w:ascii="Times New Roman" w:hAnsi="Times New Roman" w:cs="Times New Roman" w:eastAsia="Times New Roman" w:hint="default"/>
                            <w:sz w:val="18"/>
                            <w:szCs w:val="18"/>
                          </w:rPr>
                          <w:t>20,816.95</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万元，实现业绩承 诺的 </w:t>
                        </w:r>
                        <w:r>
                          <w:rPr>
                            <w:rFonts w:ascii="Times New Roman" w:hAnsi="Times New Roman" w:cs="Times New Roman" w:eastAsia="Times New Roman" w:hint="default"/>
                            <w:sz w:val="18"/>
                            <w:szCs w:val="18"/>
                          </w:rPr>
                          <w:t>91.31%</w:t>
                        </w:r>
                        <w:r>
                          <w:rPr>
                            <w:rFonts w:ascii="宋体" w:hAnsi="宋体" w:cs="宋体" w:eastAsia="宋体" w:hint="default"/>
                            <w:sz w:val="18"/>
                            <w:szCs w:val="18"/>
                          </w:rPr>
                          <w:t>；</w:t>
                        </w:r>
                        <w:r>
                          <w:rPr>
                            <w:rFonts w:ascii="Times New Roman" w:hAnsi="Times New Roman" w:cs="Times New Roman" w:eastAsia="Times New Roman" w:hint="default"/>
                            <w:sz w:val="18"/>
                            <w:szCs w:val="18"/>
                          </w:rPr>
                          <w:t>2018 </w:t>
                        </w:r>
                        <w:r>
                          <w:rPr>
                            <w:rFonts w:ascii="宋体" w:hAnsi="宋体" w:cs="宋体" w:eastAsia="宋体" w:hint="default"/>
                            <w:spacing w:val="4"/>
                            <w:sz w:val="18"/>
                            <w:szCs w:val="18"/>
                          </w:rPr>
                          <w:t>年度实现归属于母公司所有者的净利润为 </w:t>
                        </w:r>
                        <w:r>
                          <w:rPr>
                            <w:rFonts w:ascii="Times New Roman" w:hAnsi="Times New Roman" w:cs="Times New Roman" w:eastAsia="Times New Roman" w:hint="default"/>
                            <w:sz w:val="18"/>
                            <w:szCs w:val="18"/>
                          </w:rPr>
                          <w:t>19,906.12</w:t>
                        </w:r>
                        <w:r>
                          <w:rPr>
                            <w:rFonts w:ascii="Times New Roman" w:hAnsi="Times New Roman" w:cs="Times New Roman" w:eastAsia="Times New Roman" w:hint="default"/>
                            <w:spacing w:val="34"/>
                            <w:sz w:val="18"/>
                            <w:szCs w:val="18"/>
                          </w:rPr>
                          <w:t> </w:t>
                        </w:r>
                        <w:r>
                          <w:rPr>
                            <w:rFonts w:ascii="宋体" w:hAnsi="宋体" w:cs="宋体" w:eastAsia="宋体" w:hint="default"/>
                            <w:spacing w:val="3"/>
                            <w:sz w:val="18"/>
                            <w:szCs w:val="18"/>
                          </w:rPr>
                          <w:t>万元，实现业绩承诺的</w:t>
                        </w:r>
                        <w:r>
                          <w:rPr>
                            <w:rFonts w:ascii="宋体" w:hAnsi="宋体" w:cs="宋体" w:eastAsia="宋体" w:hint="default"/>
                            <w:sz w:val="18"/>
                            <w:szCs w:val="18"/>
                          </w:rPr>
                          <w:t> </w:t>
                        </w:r>
                        <w:r>
                          <w:rPr>
                            <w:rFonts w:ascii="Times New Roman" w:hAnsi="Times New Roman" w:cs="Times New Roman" w:eastAsia="Times New Roman" w:hint="default"/>
                            <w:sz w:val="18"/>
                            <w:szCs w:val="18"/>
                          </w:rPr>
                          <w:t>65.72%</w:t>
                        </w:r>
                        <w:r>
                          <w:rPr>
                            <w:rFonts w:ascii="宋体" w:hAnsi="宋体" w:cs="宋体" w:eastAsia="宋体" w:hint="default"/>
                            <w:sz w:val="18"/>
                            <w:szCs w:val="18"/>
                          </w:rPr>
                          <w:t>。</w:t>
                        </w:r>
                        <w:r>
                          <w:rPr>
                            <w:rFonts w:ascii="Times New Roman" w:hAnsi="Times New Roman" w:cs="Times New Roman" w:eastAsia="Times New Roman" w:hint="default"/>
                            <w:sz w:val="18"/>
                            <w:szCs w:val="18"/>
                          </w:rPr>
                          <w:t>2016 </w:t>
                        </w:r>
                        <w:r>
                          <w:rPr>
                            <w:rFonts w:ascii="宋体" w:hAnsi="宋体" w:cs="宋体" w:eastAsia="宋体" w:hint="default"/>
                            <w:sz w:val="18"/>
                            <w:szCs w:val="18"/>
                          </w:rPr>
                          <w:t>年度、</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年度和 </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年度累计实现归属于母公司所有者的净利润为 </w:t>
                        </w:r>
                        <w:r>
                          <w:rPr>
                            <w:rFonts w:ascii="Times New Roman" w:hAnsi="Times New Roman" w:cs="Times New Roman" w:eastAsia="Times New Roman" w:hint="default"/>
                            <w:sz w:val="18"/>
                            <w:szCs w:val="18"/>
                          </w:rPr>
                          <w:t>60,349.12</w:t>
                        </w:r>
                        <w:r>
                          <w:rPr>
                            <w:rFonts w:ascii="Times New Roman" w:hAnsi="Times New Roman" w:cs="Times New Roman" w:eastAsia="Times New Roman" w:hint="default"/>
                            <w:spacing w:val="-17"/>
                            <w:sz w:val="18"/>
                            <w:szCs w:val="18"/>
                          </w:rPr>
                          <w:t> </w:t>
                        </w:r>
                        <w:r>
                          <w:rPr>
                            <w:rFonts w:ascii="宋体" w:hAnsi="宋体" w:cs="宋体" w:eastAsia="宋体" w:hint="default"/>
                            <w:sz w:val="18"/>
                            <w:szCs w:val="18"/>
                          </w:rPr>
                          <w:t>万 元，累计实现业绩承诺的</w:t>
                        </w:r>
                        <w:r>
                          <w:rPr>
                            <w:rFonts w:ascii="宋体" w:hAnsi="宋体" w:cs="宋体" w:eastAsia="宋体" w:hint="default"/>
                            <w:spacing w:val="-9"/>
                            <w:sz w:val="18"/>
                            <w:szCs w:val="18"/>
                          </w:rPr>
                          <w:t> </w:t>
                        </w:r>
                        <w:r>
                          <w:rPr>
                            <w:rFonts w:ascii="Times New Roman" w:hAnsi="Times New Roman" w:cs="Times New Roman" w:eastAsia="Times New Roman" w:hint="default"/>
                            <w:sz w:val="18"/>
                            <w:szCs w:val="18"/>
                          </w:rPr>
                          <w:t>84.11%</w:t>
                        </w:r>
                        <w:r>
                          <w:rPr>
                            <w:rFonts w:ascii="宋体" w:hAnsi="宋体" w:cs="宋体" w:eastAsia="宋体" w:hint="default"/>
                            <w:sz w:val="18"/>
                            <w:szCs w:val="18"/>
                          </w:rPr>
                          <w:t>。</w:t>
                        </w:r>
                      </w:p>
                      <w:p>
                        <w:pPr>
                          <w:pStyle w:val="TableParagraph"/>
                          <w:spacing w:line="240" w:lineRule="auto" w:before="51"/>
                          <w:ind w:left="28"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年杰发科技累计实现净利润低于业绩承诺，未达承诺业绩的主要原因如下：</w:t>
                        </w:r>
                      </w:p>
                      <w:p>
                        <w:pPr>
                          <w:pStyle w:val="TableParagraph"/>
                          <w:spacing w:line="304" w:lineRule="auto" w:before="103"/>
                          <w:ind w:left="28" w:right="17"/>
                          <w:jc w:val="both"/>
                          <w:rPr>
                            <w:rFonts w:ascii="宋体" w:hAnsi="宋体" w:cs="宋体" w:eastAsia="宋体" w:hint="default"/>
                            <w:sz w:val="18"/>
                            <w:szCs w:val="18"/>
                          </w:rPr>
                        </w:pP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2017</w:t>
                        </w:r>
                        <w:r>
                          <w:rPr>
                            <w:rFonts w:ascii="Times New Roman" w:hAnsi="Times New Roman" w:cs="Times New Roman" w:eastAsia="Times New Roman" w:hint="default"/>
                            <w:spacing w:val="-10"/>
                            <w:sz w:val="18"/>
                            <w:szCs w:val="18"/>
                          </w:rPr>
                          <w:t> </w:t>
                        </w:r>
                        <w:r>
                          <w:rPr>
                            <w:rFonts w:ascii="宋体" w:hAnsi="宋体" w:cs="宋体" w:eastAsia="宋体" w:hint="default"/>
                            <w:spacing w:val="-4"/>
                            <w:sz w:val="18"/>
                            <w:szCs w:val="18"/>
                          </w:rPr>
                          <w:t>年度，后装</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4G</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车机整机市场因价格竞争激烈，影响了整机厂商的生产销售积极性，导致后 装 </w:t>
                        </w:r>
                        <w:r>
                          <w:rPr>
                            <w:rFonts w:ascii="Times New Roman" w:hAnsi="Times New Roman" w:cs="Times New Roman" w:eastAsia="Times New Roman" w:hint="default"/>
                            <w:sz w:val="18"/>
                            <w:szCs w:val="18"/>
                          </w:rPr>
                          <w:t>4G</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车机整机市场发展不如预期，也影响到作为上游核心芯片供应商的杰发科技对应芯片产品的 出货量及收入。杰发科技车载功率电子芯片产品，其封装工艺先进而特殊，而合作的封装厂为首次</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3"/>
                            <w:sz w:val="18"/>
                            <w:szCs w:val="18"/>
                          </w:rPr>
                          <w:t>合作，由于生产工艺磨合等原因，造成初期生产不够稳定，影响了杰发科技相关产品在</w:t>
                        </w:r>
                        <w:r>
                          <w:rPr>
                            <w:rFonts w:ascii="宋体" w:hAnsi="宋体" w:cs="宋体" w:eastAsia="宋体" w:hint="default"/>
                            <w:spacing w:val="-31"/>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年度的</w:t>
                        </w:r>
                        <w:r>
                          <w:rPr>
                            <w:rFonts w:ascii="宋体" w:hAnsi="宋体" w:cs="宋体" w:eastAsia="宋体" w:hint="default"/>
                            <w:spacing w:val="-85"/>
                            <w:sz w:val="18"/>
                            <w:szCs w:val="18"/>
                          </w:rPr>
                          <w:t> </w:t>
                        </w:r>
                        <w:r>
                          <w:rPr>
                            <w:rFonts w:ascii="宋体" w:hAnsi="宋体" w:cs="宋体" w:eastAsia="宋体" w:hint="default"/>
                            <w:sz w:val="18"/>
                            <w:szCs w:val="18"/>
                          </w:rPr>
                          <w:t>出货量及收入。</w:t>
                        </w:r>
                      </w:p>
                      <w:p>
                        <w:pPr>
                          <w:pStyle w:val="TableParagraph"/>
                          <w:spacing w:line="309" w:lineRule="auto" w:before="68"/>
                          <w:ind w:left="28" w:right="23"/>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年度，受国内乘用车销量下降特别是轿车销量下降的影响，杰发科技的车载信息娱乐系统 芯片销量未能达到预期；同时，车载信息娱乐系统新款芯片、微控制器芯片及胎压监测芯片研发投</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入比预期要高，研发周期较预期略长，综合导致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年收入及利润均未能达成目标。</w:t>
                        </w:r>
                      </w:p>
                    </w:tc>
                  </w:tr>
                  <w:tr>
                    <w:trPr>
                      <w:trHeight w:val="1015" w:hRule="exact"/>
                    </w:trPr>
                    <w:tc>
                      <w:tcPr>
                        <w:tcW w:w="174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49"/>
                          <w:ind w:left="12" w:right="99"/>
                          <w:jc w:val="left"/>
                          <w:rPr>
                            <w:rFonts w:ascii="宋体" w:hAnsi="宋体" w:cs="宋体" w:eastAsia="宋体" w:hint="default"/>
                            <w:sz w:val="18"/>
                            <w:szCs w:val="18"/>
                          </w:rPr>
                        </w:pPr>
                        <w:r>
                          <w:rPr>
                            <w:rFonts w:ascii="宋体" w:hAnsi="宋体" w:cs="宋体" w:eastAsia="宋体" w:hint="default"/>
                            <w:sz w:val="18"/>
                            <w:szCs w:val="18"/>
                          </w:rPr>
                          <w:t>未达到计划进度或预 计收益的情况和原因</w:t>
                        </w:r>
                      </w:p>
                      <w:p>
                        <w:pPr>
                          <w:pStyle w:val="TableParagraph"/>
                          <w:spacing w:line="240" w:lineRule="auto" w:before="19"/>
                          <w:ind w:left="12" w:right="0"/>
                          <w:jc w:val="left"/>
                          <w:rPr>
                            <w:rFonts w:ascii="宋体" w:hAnsi="宋体" w:cs="宋体" w:eastAsia="宋体" w:hint="default"/>
                            <w:sz w:val="18"/>
                            <w:szCs w:val="18"/>
                          </w:rPr>
                        </w:pPr>
                        <w:r>
                          <w:rPr>
                            <w:rFonts w:ascii="宋体" w:hAnsi="宋体" w:cs="宋体" w:eastAsia="宋体" w:hint="default"/>
                            <w:sz w:val="18"/>
                            <w:szCs w:val="18"/>
                          </w:rPr>
                          <w:t>（分具体项目）</w:t>
                        </w:r>
                      </w:p>
                    </w:tc>
                    <w:tc>
                      <w:tcPr>
                        <w:tcW w:w="7817" w:type="dxa"/>
                        <w:gridSpan w:val="10"/>
                        <w:vMerge/>
                        <w:tcBorders>
                          <w:left w:val="single" w:sz="9" w:space="0" w:color="D2D2D2"/>
                          <w:right w:val="single" w:sz="4" w:space="0" w:color="000000"/>
                        </w:tcBorders>
                      </w:tcPr>
                      <w:p>
                        <w:pPr/>
                      </w:p>
                    </w:tc>
                  </w:tr>
                  <w:tr>
                    <w:trPr>
                      <w:trHeight w:val="1937" w:hRule="exact"/>
                    </w:trPr>
                    <w:tc>
                      <w:tcPr>
                        <w:tcW w:w="1742" w:type="dxa"/>
                        <w:tcBorders>
                          <w:top w:val="nil" w:sz="6" w:space="0" w:color="auto"/>
                          <w:left w:val="single" w:sz="4" w:space="0" w:color="000000"/>
                          <w:bottom w:val="single" w:sz="4" w:space="0" w:color="000000"/>
                          <w:right w:val="single" w:sz="4" w:space="0" w:color="000000"/>
                        </w:tcBorders>
                        <w:shd w:val="clear" w:color="auto" w:fill="D2D2D2"/>
                      </w:tcPr>
                      <w:p>
                        <w:pPr/>
                      </w:p>
                    </w:tc>
                    <w:tc>
                      <w:tcPr>
                        <w:tcW w:w="7817" w:type="dxa"/>
                        <w:gridSpan w:val="10"/>
                        <w:vMerge/>
                        <w:tcBorders>
                          <w:left w:val="single" w:sz="9" w:space="0" w:color="D2D2D2"/>
                          <w:bottom w:val="single" w:sz="4" w:space="0" w:color="000000"/>
                          <w:right w:val="single" w:sz="4" w:space="0" w:color="000000"/>
                        </w:tcBorders>
                      </w:tcPr>
                      <w:p>
                        <w:pPr/>
                      </w:p>
                    </w:tc>
                  </w:tr>
                  <w:tr>
                    <w:trPr>
                      <w:trHeight w:val="715" w:hRule="exact"/>
                    </w:trPr>
                    <w:tc>
                      <w:tcPr>
                        <w:tcW w:w="17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99"/>
                          <w:jc w:val="left"/>
                          <w:rPr>
                            <w:rFonts w:ascii="宋体" w:hAnsi="宋体" w:cs="宋体" w:eastAsia="宋体" w:hint="default"/>
                            <w:sz w:val="18"/>
                            <w:szCs w:val="18"/>
                          </w:rPr>
                        </w:pPr>
                        <w:r>
                          <w:rPr>
                            <w:rFonts w:ascii="宋体" w:hAnsi="宋体" w:cs="宋体" w:eastAsia="宋体" w:hint="default"/>
                            <w:sz w:val="18"/>
                            <w:szCs w:val="18"/>
                          </w:rPr>
                          <w:t>项目可行性发生重大 变化的情况说明</w:t>
                        </w:r>
                      </w:p>
                    </w:tc>
                    <w:tc>
                      <w:tcPr>
                        <w:tcW w:w="7817" w:type="dxa"/>
                        <w:gridSpan w:val="10"/>
                        <w:tcBorders>
                          <w:top w:val="single" w:sz="4" w:space="0" w:color="000000"/>
                          <w:left w:val="single" w:sz="12" w:space="0" w:color="D2D2D2"/>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无重大变化</w:t>
                        </w:r>
                      </w:p>
                    </w:tc>
                  </w:tr>
                  <w:tr>
                    <w:trPr>
                      <w:trHeight w:val="713" w:hRule="exact"/>
                    </w:trPr>
                    <w:tc>
                      <w:tcPr>
                        <w:tcW w:w="17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99"/>
                          <w:jc w:val="left"/>
                          <w:rPr>
                            <w:rFonts w:ascii="宋体" w:hAnsi="宋体" w:cs="宋体" w:eastAsia="宋体" w:hint="default"/>
                            <w:sz w:val="18"/>
                            <w:szCs w:val="18"/>
                          </w:rPr>
                        </w:pPr>
                        <w:r>
                          <w:rPr>
                            <w:rFonts w:ascii="宋体" w:hAnsi="宋体" w:cs="宋体" w:eastAsia="宋体" w:hint="default"/>
                            <w:sz w:val="18"/>
                            <w:szCs w:val="18"/>
                          </w:rPr>
                          <w:t>超募资金的金额、用 途及使用进展情况</w:t>
                        </w:r>
                      </w:p>
                    </w:tc>
                    <w:tc>
                      <w:tcPr>
                        <w:tcW w:w="7817" w:type="dxa"/>
                        <w:gridSpan w:val="10"/>
                        <w:tcBorders>
                          <w:top w:val="single" w:sz="4" w:space="0" w:color="000000"/>
                          <w:left w:val="single" w:sz="12" w:space="0" w:color="D2D2D2"/>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716" w:hRule="exact"/>
                    </w:trPr>
                    <w:tc>
                      <w:tcPr>
                        <w:tcW w:w="17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12" w:right="99"/>
                          <w:jc w:val="left"/>
                          <w:rPr>
                            <w:rFonts w:ascii="宋体" w:hAnsi="宋体" w:cs="宋体" w:eastAsia="宋体" w:hint="default"/>
                            <w:sz w:val="18"/>
                            <w:szCs w:val="18"/>
                          </w:rPr>
                        </w:pPr>
                        <w:r>
                          <w:rPr>
                            <w:rFonts w:ascii="宋体" w:hAnsi="宋体" w:cs="宋体" w:eastAsia="宋体" w:hint="default"/>
                            <w:sz w:val="18"/>
                            <w:szCs w:val="18"/>
                          </w:rPr>
                          <w:t>募集资金投资项目实 施地点变更情况</w:t>
                        </w:r>
                      </w:p>
                    </w:tc>
                    <w:tc>
                      <w:tcPr>
                        <w:tcW w:w="7817" w:type="dxa"/>
                        <w:gridSpan w:val="10"/>
                        <w:tcBorders>
                          <w:top w:val="single" w:sz="4" w:space="0" w:color="000000"/>
                          <w:left w:val="single" w:sz="12" w:space="0" w:color="D2D2D2"/>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713" w:hRule="exact"/>
                    </w:trPr>
                    <w:tc>
                      <w:tcPr>
                        <w:tcW w:w="17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99"/>
                          <w:jc w:val="left"/>
                          <w:rPr>
                            <w:rFonts w:ascii="宋体" w:hAnsi="宋体" w:cs="宋体" w:eastAsia="宋体" w:hint="default"/>
                            <w:sz w:val="18"/>
                            <w:szCs w:val="18"/>
                          </w:rPr>
                        </w:pPr>
                        <w:r>
                          <w:rPr>
                            <w:rFonts w:ascii="宋体" w:hAnsi="宋体" w:cs="宋体" w:eastAsia="宋体" w:hint="default"/>
                            <w:sz w:val="18"/>
                            <w:szCs w:val="18"/>
                          </w:rPr>
                          <w:t>募集资金投资项目实 施方式调整情况</w:t>
                        </w:r>
                      </w:p>
                    </w:tc>
                    <w:tc>
                      <w:tcPr>
                        <w:tcW w:w="7817" w:type="dxa"/>
                        <w:gridSpan w:val="10"/>
                        <w:tcBorders>
                          <w:top w:val="single" w:sz="4" w:space="0" w:color="000000"/>
                          <w:left w:val="single" w:sz="12" w:space="0" w:color="D2D2D2"/>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3" w:hRule="exact"/>
                    </w:trPr>
                    <w:tc>
                      <w:tcPr>
                        <w:tcW w:w="1742" w:type="dxa"/>
                        <w:tcBorders>
                          <w:top w:val="single" w:sz="4" w:space="0" w:color="000000"/>
                          <w:left w:val="single" w:sz="4" w:space="0" w:color="000000"/>
                          <w:bottom w:val="nil" w:sz="6" w:space="0" w:color="auto"/>
                          <w:right w:val="single" w:sz="4" w:space="0" w:color="000000"/>
                        </w:tcBorders>
                        <w:shd w:val="clear" w:color="auto" w:fill="D2D2D2"/>
                      </w:tcPr>
                      <w:p>
                        <w:pPr/>
                      </w:p>
                    </w:tc>
                    <w:tc>
                      <w:tcPr>
                        <w:tcW w:w="7817"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4"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665" w:hRule="exact"/>
                    </w:trPr>
                    <w:tc>
                      <w:tcPr>
                        <w:tcW w:w="174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8"/>
                          <w:ind w:left="12" w:right="99"/>
                          <w:jc w:val="left"/>
                          <w:rPr>
                            <w:rFonts w:ascii="宋体" w:hAnsi="宋体" w:cs="宋体" w:eastAsia="宋体" w:hint="default"/>
                            <w:sz w:val="18"/>
                            <w:szCs w:val="18"/>
                          </w:rPr>
                        </w:pPr>
                        <w:r>
                          <w:rPr>
                            <w:rFonts w:ascii="宋体" w:hAnsi="宋体" w:cs="宋体" w:eastAsia="宋体" w:hint="default"/>
                            <w:sz w:val="18"/>
                            <w:szCs w:val="18"/>
                          </w:rPr>
                          <w:t>募集资金投资项目先 期投入及置换情况</w:t>
                        </w:r>
                      </w:p>
                    </w:tc>
                    <w:tc>
                      <w:tcPr>
                        <w:tcW w:w="7817" w:type="dxa"/>
                        <w:gridSpan w:val="10"/>
                        <w:vMerge w:val="restart"/>
                        <w:tcBorders>
                          <w:top w:val="single" w:sz="4" w:space="0" w:color="000000"/>
                          <w:left w:val="single" w:sz="9" w:space="0" w:color="D2D2D2"/>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使用自有资金垫支本次非公开发行其他发行费用 </w:t>
                        </w:r>
                        <w:r>
                          <w:rPr>
                            <w:rFonts w:ascii="Times New Roman" w:hAnsi="Times New Roman" w:cs="Times New Roman" w:eastAsia="Times New Roman" w:hint="default"/>
                            <w:sz w:val="18"/>
                            <w:szCs w:val="18"/>
                          </w:rPr>
                          <w:t>121.43</w:t>
                        </w:r>
                        <w:r>
                          <w:rPr>
                            <w:rFonts w:ascii="Times New Roman" w:hAnsi="Times New Roman" w:cs="Times New Roman" w:eastAsia="Times New Roman" w:hint="default"/>
                            <w:spacing w:val="-26"/>
                            <w:sz w:val="18"/>
                            <w:szCs w:val="18"/>
                          </w:rPr>
                          <w:t> </w:t>
                        </w:r>
                        <w:r>
                          <w:rPr>
                            <w:rFonts w:ascii="宋体" w:hAnsi="宋体" w:cs="宋体" w:eastAsia="宋体" w:hint="default"/>
                            <w:spacing w:val="-3"/>
                            <w:sz w:val="18"/>
                            <w:szCs w:val="18"/>
                          </w:rPr>
                          <w:t>万元；中信建投证券股份有限公司在募集资</w:t>
                        </w:r>
                      </w:p>
                      <w:p>
                        <w:pPr>
                          <w:pStyle w:val="TableParagraph"/>
                          <w:spacing w:line="240" w:lineRule="auto" w:before="63"/>
                          <w:ind w:left="28" w:right="0"/>
                          <w:jc w:val="left"/>
                          <w:rPr>
                            <w:rFonts w:ascii="宋体" w:hAnsi="宋体" w:cs="宋体" w:eastAsia="宋体" w:hint="default"/>
                            <w:sz w:val="18"/>
                            <w:szCs w:val="18"/>
                          </w:rPr>
                        </w:pPr>
                        <w:r>
                          <w:rPr>
                            <w:rFonts w:ascii="宋体" w:hAnsi="宋体" w:cs="宋体" w:eastAsia="宋体" w:hint="default"/>
                            <w:sz w:val="18"/>
                            <w:szCs w:val="18"/>
                          </w:rPr>
                          <w:t>金总额中扣除了财务顾问费用 </w:t>
                        </w:r>
                        <w:r>
                          <w:rPr>
                            <w:rFonts w:ascii="Times New Roman" w:hAnsi="Times New Roman" w:cs="Times New Roman" w:eastAsia="Times New Roman" w:hint="default"/>
                            <w:sz w:val="18"/>
                            <w:szCs w:val="18"/>
                          </w:rPr>
                          <w:t>106.00   </w:t>
                        </w:r>
                        <w:r>
                          <w:rPr>
                            <w:rFonts w:ascii="宋体" w:hAnsi="宋体" w:cs="宋体" w:eastAsia="宋体" w:hint="default"/>
                            <w:sz w:val="18"/>
                            <w:szCs w:val="18"/>
                          </w:rPr>
                          <w:t>万元，财务顾问费应由自有资金支付；该部分垫支资金已于</w:t>
                        </w:r>
                      </w:p>
                      <w:p>
                        <w:pPr>
                          <w:pStyle w:val="TableParagraph"/>
                          <w:spacing w:line="240" w:lineRule="auto" w:before="63"/>
                          <w:ind w:left="2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月进行了资金置换。</w:t>
                        </w:r>
                      </w:p>
                    </w:tc>
                  </w:tr>
                  <w:tr>
                    <w:trPr>
                      <w:trHeight w:val="360" w:hRule="exact"/>
                    </w:trPr>
                    <w:tc>
                      <w:tcPr>
                        <w:tcW w:w="1742" w:type="dxa"/>
                        <w:tcBorders>
                          <w:top w:val="nil" w:sz="6" w:space="0" w:color="auto"/>
                          <w:left w:val="single" w:sz="4" w:space="0" w:color="000000"/>
                          <w:bottom w:val="single" w:sz="4" w:space="0" w:color="000000"/>
                          <w:right w:val="single" w:sz="4" w:space="0" w:color="000000"/>
                        </w:tcBorders>
                        <w:shd w:val="clear" w:color="auto" w:fill="D2D2D2"/>
                      </w:tcPr>
                      <w:p>
                        <w:pPr/>
                      </w:p>
                    </w:tc>
                    <w:tc>
                      <w:tcPr>
                        <w:tcW w:w="7817" w:type="dxa"/>
                        <w:gridSpan w:val="10"/>
                        <w:vMerge/>
                        <w:tcBorders>
                          <w:left w:val="single" w:sz="9" w:space="0" w:color="D2D2D2"/>
                          <w:bottom w:val="single" w:sz="4" w:space="0" w:color="000000"/>
                          <w:right w:val="single" w:sz="4" w:space="0" w:color="000000"/>
                        </w:tcBorders>
                      </w:tcPr>
                      <w:p>
                        <w:pPr/>
                      </w:p>
                    </w:tc>
                  </w:tr>
                  <w:tr>
                    <w:trPr>
                      <w:trHeight w:val="715" w:hRule="exact"/>
                    </w:trPr>
                    <w:tc>
                      <w:tcPr>
                        <w:tcW w:w="17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99"/>
                          <w:jc w:val="left"/>
                          <w:rPr>
                            <w:rFonts w:ascii="宋体" w:hAnsi="宋体" w:cs="宋体" w:eastAsia="宋体" w:hint="default"/>
                            <w:sz w:val="18"/>
                            <w:szCs w:val="18"/>
                          </w:rPr>
                        </w:pPr>
                        <w:r>
                          <w:rPr>
                            <w:rFonts w:ascii="宋体" w:hAnsi="宋体" w:cs="宋体" w:eastAsia="宋体" w:hint="default"/>
                            <w:sz w:val="18"/>
                            <w:szCs w:val="18"/>
                          </w:rPr>
                          <w:t>用闲置募集资金暂时 补充流动资金情况</w:t>
                        </w:r>
                      </w:p>
                    </w:tc>
                    <w:tc>
                      <w:tcPr>
                        <w:tcW w:w="7817" w:type="dxa"/>
                        <w:gridSpan w:val="10"/>
                        <w:tcBorders>
                          <w:top w:val="single" w:sz="4" w:space="0" w:color="000000"/>
                          <w:left w:val="single" w:sz="12" w:space="0" w:color="D2D2D2"/>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1429" w:hRule="exact"/>
                    </w:trPr>
                    <w:tc>
                      <w:tcPr>
                        <w:tcW w:w="1742" w:type="dxa"/>
                        <w:tcBorders>
                          <w:top w:val="single" w:sz="4" w:space="0" w:color="000000"/>
                          <w:left w:val="single" w:sz="4" w:space="0" w:color="000000"/>
                          <w:bottom w:val="nil" w:sz="6" w:space="0" w:color="auto"/>
                          <w:right w:val="single" w:sz="4" w:space="0" w:color="000000"/>
                        </w:tcBorders>
                        <w:shd w:val="clear" w:color="auto" w:fill="D2D2D2"/>
                      </w:tcPr>
                      <w:p>
                        <w:pPr/>
                      </w:p>
                    </w:tc>
                    <w:tc>
                      <w:tcPr>
                        <w:tcW w:w="7817" w:type="dxa"/>
                        <w:gridSpan w:val="10"/>
                        <w:vMerge w:val="restart"/>
                        <w:tcBorders>
                          <w:top w:val="single" w:sz="4" w:space="0" w:color="000000"/>
                          <w:left w:val="single" w:sz="9" w:space="0" w:color="D2D2D2"/>
                          <w:right w:val="single" w:sz="4" w:space="0" w:color="000000"/>
                        </w:tcBorders>
                      </w:tcPr>
                      <w:p>
                        <w:pPr>
                          <w:pStyle w:val="TableParagraph"/>
                          <w:spacing w:line="338" w:lineRule="auto" w:before="49"/>
                          <w:ind w:left="28" w:right="19"/>
                          <w:jc w:val="left"/>
                          <w:rPr>
                            <w:rFonts w:ascii="宋体" w:hAnsi="宋体" w:cs="宋体" w:eastAsia="宋体" w:hint="default"/>
                            <w:sz w:val="18"/>
                            <w:szCs w:val="18"/>
                          </w:rPr>
                        </w:pPr>
                        <w:r>
                          <w:rPr>
                            <w:rFonts w:ascii="宋体" w:hAnsi="宋体" w:cs="宋体" w:eastAsia="宋体" w:hint="default"/>
                            <w:sz w:val="18"/>
                            <w:szCs w:val="18"/>
                          </w:rPr>
                          <w:t>适用 </w:t>
                        </w:r>
                        <w:r>
                          <w:rPr>
                            <w:rFonts w:ascii="宋体" w:hAnsi="宋体" w:cs="宋体" w:eastAsia="宋体" w:hint="default"/>
                            <w:spacing w:val="-4"/>
                            <w:sz w:val="18"/>
                            <w:szCs w:val="18"/>
                          </w:rPr>
                          <w:t>根据公司与重大资产重组交易对方签署的《发行股份及支付现金购买资产暨利润补偿协议》（以下简</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25"/>
                            <w:sz w:val="18"/>
                            <w:szCs w:val="18"/>
                          </w:rPr>
                          <w:t>称“《资产购买协议》”）</w:t>
                        </w:r>
                        <w:r>
                          <w:rPr>
                            <w:rFonts w:ascii="Times New Roman" w:hAnsi="Times New Roman" w:cs="Times New Roman" w:eastAsia="Times New Roman" w:hint="default"/>
                            <w:spacing w:val="-25"/>
                            <w:sz w:val="18"/>
                            <w:szCs w:val="18"/>
                          </w:rPr>
                          <w:t>,</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6"/>
                            <w:sz w:val="18"/>
                            <w:szCs w:val="18"/>
                          </w:rPr>
                          <w:t> </w:t>
                        </w:r>
                        <w:r>
                          <w:rPr>
                            <w:rFonts w:ascii="宋体" w:hAnsi="宋体" w:cs="宋体" w:eastAsia="宋体" w:hint="default"/>
                            <w:spacing w:val="-2"/>
                            <w:sz w:val="18"/>
                            <w:szCs w:val="18"/>
                          </w:rPr>
                          <w:t>交易对方承诺：杰发科技</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4"/>
                            <w:sz w:val="18"/>
                            <w:szCs w:val="18"/>
                          </w:rPr>
                          <w:t> </w:t>
                        </w:r>
                        <w:r>
                          <w:rPr>
                            <w:rFonts w:ascii="宋体" w:hAnsi="宋体" w:cs="宋体" w:eastAsia="宋体" w:hint="default"/>
                            <w:spacing w:val="-4"/>
                            <w:sz w:val="18"/>
                            <w:szCs w:val="18"/>
                          </w:rPr>
                          <w:t>年、</w:t>
                        </w:r>
                        <w:r>
                          <w:rPr>
                            <w:rFonts w:ascii="Times New Roman" w:hAnsi="Times New Roman" w:cs="Times New Roman" w:eastAsia="Times New Roman" w:hint="default"/>
                            <w:spacing w:val="-4"/>
                            <w:sz w:val="18"/>
                            <w:szCs w:val="18"/>
                          </w:rPr>
                          <w:t>2017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年和</w:t>
                        </w:r>
                        <w:r>
                          <w:rPr>
                            <w:rFonts w:ascii="宋体" w:hAnsi="宋体" w:cs="宋体" w:eastAsia="宋体" w:hint="default"/>
                            <w:spacing w:val="-45"/>
                            <w:sz w:val="18"/>
                            <w:szCs w:val="18"/>
                          </w:rPr>
                          <w:t> </w:t>
                        </w:r>
                        <w:r>
                          <w:rPr>
                            <w:rFonts w:ascii="Times New Roman" w:hAnsi="Times New Roman" w:cs="Times New Roman" w:eastAsia="Times New Roman" w:hint="default"/>
                            <w:spacing w:val="-1"/>
                            <w:sz w:val="18"/>
                            <w:szCs w:val="18"/>
                          </w:rPr>
                          <w:t>2018</w:t>
                        </w:r>
                        <w:r>
                          <w:rPr>
                            <w:rFonts w:ascii="Times New Roman" w:hAnsi="Times New Roman" w:cs="Times New Roman" w:eastAsia="Times New Roman" w:hint="default"/>
                            <w:spacing w:val="4"/>
                            <w:sz w:val="18"/>
                            <w:szCs w:val="18"/>
                          </w:rPr>
                          <w:t> </w:t>
                        </w:r>
                        <w:r>
                          <w:rPr>
                            <w:rFonts w:ascii="宋体" w:hAnsi="宋体" w:cs="宋体" w:eastAsia="宋体" w:hint="default"/>
                            <w:spacing w:val="-1"/>
                            <w:sz w:val="18"/>
                            <w:szCs w:val="18"/>
                          </w:rPr>
                          <w:t>年实现的净利润分别为</w:t>
                        </w:r>
                      </w:p>
                      <w:p>
                        <w:pPr>
                          <w:pStyle w:val="TableParagraph"/>
                          <w:spacing w:line="230" w:lineRule="exact"/>
                          <w:ind w:left="2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18,665.07</w:t>
                        </w:r>
                        <w:r>
                          <w:rPr>
                            <w:rFonts w:ascii="Times New Roman" w:hAnsi="Times New Roman" w:cs="Times New Roman" w:eastAsia="Times New Roman" w:hint="default"/>
                            <w:spacing w:val="1"/>
                            <w:sz w:val="18"/>
                            <w:szCs w:val="18"/>
                          </w:rPr>
                          <w:t> </w:t>
                        </w:r>
                        <w:r>
                          <w:rPr>
                            <w:rFonts w:ascii="宋体" w:hAnsi="宋体" w:cs="宋体" w:eastAsia="宋体" w:hint="default"/>
                            <w:spacing w:val="-3"/>
                            <w:sz w:val="18"/>
                            <w:szCs w:val="18"/>
                          </w:rPr>
                          <w:t>万元、</w:t>
                        </w:r>
                        <w:r>
                          <w:rPr>
                            <w:rFonts w:ascii="Times New Roman" w:hAnsi="Times New Roman" w:cs="Times New Roman" w:eastAsia="Times New Roman" w:hint="default"/>
                            <w:spacing w:val="-3"/>
                            <w:sz w:val="18"/>
                            <w:szCs w:val="18"/>
                          </w:rPr>
                          <w:t>22,798.51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万元和</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30,290.37</w:t>
                        </w:r>
                        <w:r>
                          <w:rPr>
                            <w:rFonts w:ascii="Times New Roman" w:hAnsi="Times New Roman" w:cs="Times New Roman" w:eastAsia="Times New Roman" w:hint="default"/>
                            <w:spacing w:val="1"/>
                            <w:sz w:val="18"/>
                            <w:szCs w:val="18"/>
                          </w:rPr>
                          <w:t> </w:t>
                        </w:r>
                        <w:r>
                          <w:rPr>
                            <w:rFonts w:ascii="宋体" w:hAnsi="宋体" w:cs="宋体" w:eastAsia="宋体" w:hint="default"/>
                            <w:spacing w:val="-3"/>
                            <w:sz w:val="18"/>
                            <w:szCs w:val="18"/>
                          </w:rPr>
                          <w:t>万元，三年累计净利润为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71,753.94 </w:t>
                        </w:r>
                        <w:r>
                          <w:rPr>
                            <w:rFonts w:ascii="宋体" w:hAnsi="宋体" w:cs="宋体" w:eastAsia="宋体" w:hint="default"/>
                            <w:spacing w:val="-4"/>
                            <w:sz w:val="18"/>
                            <w:szCs w:val="18"/>
                          </w:rPr>
                          <w:t>万元。在业绩承诺期</w:t>
                        </w:r>
                      </w:p>
                      <w:p>
                        <w:pPr>
                          <w:pStyle w:val="TableParagraph"/>
                          <w:spacing w:line="316" w:lineRule="auto" w:before="63"/>
                          <w:ind w:left="28" w:right="23"/>
                          <w:jc w:val="left"/>
                          <w:rPr>
                            <w:rFonts w:ascii="宋体" w:hAnsi="宋体" w:cs="宋体" w:eastAsia="宋体" w:hint="default"/>
                            <w:sz w:val="18"/>
                            <w:szCs w:val="18"/>
                          </w:rPr>
                        </w:pPr>
                        <w:r>
                          <w:rPr>
                            <w:rFonts w:ascii="宋体" w:hAnsi="宋体" w:cs="宋体" w:eastAsia="宋体" w:hint="default"/>
                            <w:sz w:val="18"/>
                            <w:szCs w:val="18"/>
                          </w:rPr>
                          <w:t>满后，如杰发科技三年累计的净利润未达到承诺水平，将须根据《资产购买协议》的约定对交易对</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价予以调减。在此基础上，主要交易对方雷凌科技及其控股股东联发科于</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日出具补</w:t>
                        </w:r>
                      </w:p>
                      <w:p>
                        <w:pPr>
                          <w:pStyle w:val="TableParagraph"/>
                          <w:spacing w:line="248" w:lineRule="exact"/>
                          <w:ind w:left="2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充承诺</w:t>
                        </w:r>
                        <w:r>
                          <w:rPr>
                            <w:rFonts w:ascii="宋体" w:hAnsi="宋体" w:cs="宋体" w:eastAsia="宋体" w:hint="default"/>
                            <w:spacing w:val="-92"/>
                            <w:sz w:val="18"/>
                            <w:szCs w:val="18"/>
                          </w:rPr>
                          <w:t>：</w:t>
                        </w:r>
                        <w:r>
                          <w:rPr>
                            <w:rFonts w:ascii="宋体" w:hAnsi="宋体" w:cs="宋体" w:eastAsia="宋体" w:hint="default"/>
                            <w:sz w:val="18"/>
                            <w:szCs w:val="18"/>
                          </w:rPr>
                          <w:t>根</w:t>
                        </w:r>
                        <w:r>
                          <w:rPr>
                            <w:rFonts w:ascii="宋体" w:hAnsi="宋体" w:cs="宋体" w:eastAsia="宋体" w:hint="default"/>
                            <w:spacing w:val="-92"/>
                            <w:sz w:val="18"/>
                            <w:szCs w:val="18"/>
                          </w:rPr>
                          <w:t>据</w:t>
                        </w:r>
                        <w:r>
                          <w:rPr>
                            <w:rFonts w:ascii="宋体" w:hAnsi="宋体" w:cs="宋体" w:eastAsia="宋体" w:hint="default"/>
                            <w:sz w:val="18"/>
                            <w:szCs w:val="18"/>
                          </w:rPr>
                          <w:t>《资产购买协</w:t>
                        </w:r>
                        <w:r>
                          <w:rPr>
                            <w:rFonts w:ascii="宋体" w:hAnsi="宋体" w:cs="宋体" w:eastAsia="宋体" w:hint="default"/>
                            <w:spacing w:val="2"/>
                            <w:sz w:val="18"/>
                            <w:szCs w:val="18"/>
                          </w:rPr>
                          <w:t>议</w:t>
                        </w:r>
                        <w:r>
                          <w:rPr>
                            <w:rFonts w:ascii="宋体" w:hAnsi="宋体" w:cs="宋体" w:eastAsia="宋体" w:hint="default"/>
                            <w:spacing w:val="-92"/>
                            <w:sz w:val="18"/>
                            <w:szCs w:val="18"/>
                          </w:rPr>
                          <w:t>》</w:t>
                        </w:r>
                        <w:r>
                          <w:rPr>
                            <w:rFonts w:ascii="宋体" w:hAnsi="宋体" w:cs="宋体" w:eastAsia="宋体" w:hint="default"/>
                            <w:spacing w:val="2"/>
                            <w:sz w:val="18"/>
                            <w:szCs w:val="18"/>
                          </w:rPr>
                          <w:t>中</w:t>
                        </w:r>
                        <w:r>
                          <w:rPr>
                            <w:rFonts w:ascii="宋体" w:hAnsi="宋体" w:cs="宋体" w:eastAsia="宋体" w:hint="default"/>
                            <w:sz w:val="18"/>
                            <w:szCs w:val="18"/>
                          </w:rPr>
                          <w:t>约定公式计算的交易对价调减金</w:t>
                        </w:r>
                        <w:r>
                          <w:rPr>
                            <w:rFonts w:ascii="宋体" w:hAnsi="宋体" w:cs="宋体" w:eastAsia="宋体" w:hint="default"/>
                            <w:spacing w:val="1"/>
                            <w:sz w:val="18"/>
                            <w:szCs w:val="18"/>
                          </w:rPr>
                          <w:t>额</w:t>
                        </w:r>
                        <w:r>
                          <w:rPr>
                            <w:rFonts w:ascii="宋体" w:hAnsi="宋体" w:cs="宋体" w:eastAsia="宋体" w:hint="default"/>
                            <w:sz w:val="18"/>
                            <w:szCs w:val="18"/>
                          </w:rPr>
                          <w:t>如超过</w:t>
                        </w:r>
                        <w:r>
                          <w:rPr>
                            <w:rFonts w:ascii="宋体" w:hAnsi="宋体" w:cs="宋体" w:eastAsia="宋体" w:hint="default"/>
                            <w:spacing w:val="-57"/>
                            <w:sz w:val="18"/>
                            <w:szCs w:val="18"/>
                          </w:rPr>
                          <w:t> </w:t>
                        </w:r>
                        <w:r>
                          <w:rPr>
                            <w:rFonts w:ascii="Times New Roman" w:hAnsi="Times New Roman" w:cs="Times New Roman" w:eastAsia="Times New Roman" w:hint="default"/>
                            <w:spacing w:val="1"/>
                            <w:sz w:val="18"/>
                            <w:szCs w:val="18"/>
                          </w:rPr>
                          <w:t>6</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pacing w:val="1"/>
                            <w:sz w:val="18"/>
                            <w:szCs w:val="18"/>
                          </w:rPr>
                          <w:t>4</w:t>
                        </w:r>
                        <w:r>
                          <w:rPr>
                            <w:rFonts w:ascii="Times New Roman" w:hAnsi="Times New Roman" w:cs="Times New Roman" w:eastAsia="Times New Roman" w:hint="default"/>
                            <w:spacing w:val="-2"/>
                            <w:sz w:val="18"/>
                            <w:szCs w:val="18"/>
                          </w:rPr>
                          <w:t>5</w:t>
                        </w:r>
                        <w:r>
                          <w:rPr>
                            <w:rFonts w:ascii="Times New Roman" w:hAnsi="Times New Roman" w:cs="Times New Roman" w:eastAsia="Times New Roman" w:hint="default"/>
                            <w:spacing w:val="1"/>
                            <w:sz w:val="18"/>
                            <w:szCs w:val="18"/>
                          </w:rPr>
                          <w:t>8</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亿元</w:t>
                        </w:r>
                        <w:r>
                          <w:rPr>
                            <w:rFonts w:ascii="宋体" w:hAnsi="宋体" w:cs="宋体" w:eastAsia="宋体" w:hint="default"/>
                            <w:spacing w:val="-92"/>
                            <w:sz w:val="18"/>
                            <w:szCs w:val="18"/>
                          </w:rPr>
                          <w:t>，</w:t>
                        </w:r>
                        <w:r>
                          <w:rPr>
                            <w:rFonts w:ascii="宋体" w:hAnsi="宋体" w:cs="宋体" w:eastAsia="宋体" w:hint="default"/>
                            <w:sz w:val="18"/>
                            <w:szCs w:val="18"/>
                          </w:rPr>
                          <w:t>除</w:t>
                        </w:r>
                        <w:r>
                          <w:rPr>
                            <w:rFonts w:ascii="宋体" w:hAnsi="宋体" w:cs="宋体" w:eastAsia="宋体" w:hint="default"/>
                            <w:spacing w:val="-3"/>
                            <w:sz w:val="18"/>
                            <w:szCs w:val="18"/>
                          </w:rPr>
                          <w:t>其</w:t>
                        </w:r>
                        <w:r>
                          <w:rPr>
                            <w:rFonts w:ascii="宋体" w:hAnsi="宋体" w:cs="宋体" w:eastAsia="宋体" w:hint="default"/>
                            <w:sz w:val="18"/>
                            <w:szCs w:val="18"/>
                          </w:rPr>
                          <w:t>中</w:t>
                        </w:r>
                        <w:r>
                          <w:rPr>
                            <w:rFonts w:ascii="宋体" w:hAnsi="宋体" w:cs="宋体" w:eastAsia="宋体" w:hint="default"/>
                            <w:spacing w:val="-56"/>
                            <w:sz w:val="18"/>
                            <w:szCs w:val="18"/>
                          </w:rPr>
                          <w:t> </w:t>
                        </w:r>
                        <w:r>
                          <w:rPr>
                            <w:rFonts w:ascii="Times New Roman" w:hAnsi="Times New Roman" w:cs="Times New Roman" w:eastAsia="Times New Roman" w:hint="default"/>
                            <w:spacing w:val="1"/>
                            <w:sz w:val="18"/>
                            <w:szCs w:val="18"/>
                          </w:rPr>
                          <w:t>6</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pacing w:val="1"/>
                            <w:sz w:val="18"/>
                            <w:szCs w:val="18"/>
                          </w:rPr>
                          <w:t>4</w:t>
                        </w:r>
                        <w:r>
                          <w:rPr>
                            <w:rFonts w:ascii="Times New Roman" w:hAnsi="Times New Roman" w:cs="Times New Roman" w:eastAsia="Times New Roman" w:hint="default"/>
                            <w:spacing w:val="-2"/>
                            <w:sz w:val="18"/>
                            <w:szCs w:val="18"/>
                          </w:rPr>
                          <w:t>5</w:t>
                        </w:r>
                        <w:r>
                          <w:rPr>
                            <w:rFonts w:ascii="Times New Roman" w:hAnsi="Times New Roman" w:cs="Times New Roman" w:eastAsia="Times New Roman" w:hint="default"/>
                            <w:spacing w:val="1"/>
                            <w:sz w:val="18"/>
                            <w:szCs w:val="18"/>
                          </w:rPr>
                          <w:t>8</w:t>
                        </w:r>
                        <w:r>
                          <w:rPr>
                            <w:rFonts w:ascii="Times New Roman" w:hAnsi="Times New Roman" w:cs="Times New Roman" w:eastAsia="Times New Roman" w:hint="default"/>
                            <w:sz w:val="18"/>
                            <w:szCs w:val="18"/>
                          </w:rPr>
                          <w:t>5</w:t>
                        </w:r>
                      </w:p>
                      <w:p>
                        <w:pPr>
                          <w:pStyle w:val="TableParagraph"/>
                          <w:spacing w:line="300" w:lineRule="auto" w:before="63"/>
                          <w:ind w:left="28" w:right="17"/>
                          <w:jc w:val="both"/>
                          <w:rPr>
                            <w:rFonts w:ascii="宋体" w:hAnsi="宋体" w:cs="宋体" w:eastAsia="宋体" w:hint="default"/>
                            <w:sz w:val="18"/>
                            <w:szCs w:val="18"/>
                          </w:rPr>
                        </w:pPr>
                        <w:r>
                          <w:rPr>
                            <w:rFonts w:ascii="宋体" w:hAnsi="宋体" w:cs="宋体" w:eastAsia="宋体" w:hint="default"/>
                            <w:sz w:val="18"/>
                            <w:szCs w:val="18"/>
                          </w:rPr>
                          <w:t>亿元部分仍按《资产购买协议》的约定由杰发科技全体股东对上市公司予以补偿外，超出</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6.4585</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亿 元部分的</w:t>
                        </w:r>
                        <w:r>
                          <w:rPr>
                            <w:rFonts w:ascii="宋体" w:hAnsi="宋体" w:cs="宋体" w:eastAsia="宋体" w:hint="default"/>
                            <w:spacing w:val="-27"/>
                            <w:sz w:val="18"/>
                            <w:szCs w:val="18"/>
                          </w:rPr>
                          <w:t> </w:t>
                        </w:r>
                        <w:r>
                          <w:rPr>
                            <w:rFonts w:ascii="Times New Roman" w:hAnsi="Times New Roman" w:cs="Times New Roman" w:eastAsia="Times New Roman" w:hint="default"/>
                            <w:spacing w:val="-2"/>
                            <w:sz w:val="18"/>
                            <w:szCs w:val="18"/>
                          </w:rPr>
                          <w:t>82.90%</w:t>
                        </w:r>
                        <w:r>
                          <w:rPr>
                            <w:rFonts w:ascii="宋体" w:hAnsi="宋体" w:cs="宋体" w:eastAsia="宋体" w:hint="default"/>
                            <w:spacing w:val="-2"/>
                            <w:sz w:val="18"/>
                            <w:szCs w:val="18"/>
                          </w:rPr>
                          <w:t>将由雷凌科技以人民币现金对上市公司予以补偿，联发科将以连带责任方式承担前</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述补偿责任。</w:t>
                        </w:r>
                      </w:p>
                      <w:p>
                        <w:pPr>
                          <w:pStyle w:val="TableParagraph"/>
                          <w:spacing w:line="240" w:lineRule="auto" w:before="72"/>
                          <w:ind w:left="2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截至</w:t>
                        </w:r>
                        <w:r>
                          <w:rPr>
                            <w:rFonts w:ascii="宋体" w:hAnsi="宋体" w:cs="宋体" w:eastAsia="宋体" w:hint="default"/>
                            <w:spacing w:val="-54"/>
                            <w:sz w:val="18"/>
                            <w:szCs w:val="18"/>
                          </w:rPr>
                          <w:t> </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pacing w:val="1"/>
                            <w:sz w:val="18"/>
                            <w:szCs w:val="18"/>
                          </w:rPr>
                          <w:t>3</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w:t>
                        </w:r>
                        <w:r>
                          <w:rPr>
                            <w:rFonts w:ascii="宋体" w:hAnsi="宋体" w:cs="宋体" w:eastAsia="宋体" w:hint="default"/>
                            <w:sz w:val="18"/>
                            <w:szCs w:val="18"/>
                          </w:rPr>
                          <w:t>公司</w:t>
                        </w:r>
                        <w:r>
                          <w:rPr>
                            <w:rFonts w:ascii="宋体" w:hAnsi="宋体" w:cs="宋体" w:eastAsia="宋体" w:hint="default"/>
                            <w:spacing w:val="-3"/>
                            <w:sz w:val="18"/>
                            <w:szCs w:val="18"/>
                          </w:rPr>
                          <w:t>已</w:t>
                        </w:r>
                        <w:r>
                          <w:rPr>
                            <w:rFonts w:ascii="宋体" w:hAnsi="宋体" w:cs="宋体" w:eastAsia="宋体" w:hint="default"/>
                            <w:sz w:val="18"/>
                            <w:szCs w:val="18"/>
                          </w:rPr>
                          <w:t>累计支付现金对价</w:t>
                        </w:r>
                        <w:r>
                          <w:rPr>
                            <w:rFonts w:ascii="宋体" w:hAnsi="宋体" w:cs="宋体" w:eastAsia="宋体" w:hint="default"/>
                            <w:spacing w:val="-54"/>
                            <w:sz w:val="18"/>
                            <w:szCs w:val="18"/>
                          </w:rPr>
                          <w:t> </w:t>
                        </w:r>
                        <w:r>
                          <w:rPr>
                            <w:rFonts w:ascii="Times New Roman" w:hAnsi="Times New Roman" w:cs="Times New Roman" w:eastAsia="Times New Roman" w:hint="default"/>
                            <w:spacing w:val="1"/>
                            <w:sz w:val="18"/>
                            <w:szCs w:val="18"/>
                          </w:rPr>
                          <w:t>28</w:t>
                        </w:r>
                        <w:r>
                          <w:rPr>
                            <w:rFonts w:ascii="Times New Roman" w:hAnsi="Times New Roman" w:cs="Times New Roman" w:eastAsia="Times New Roman" w:hint="default"/>
                            <w:spacing w:val="-2"/>
                            <w:sz w:val="18"/>
                            <w:szCs w:val="18"/>
                          </w:rPr>
                          <w:t>9</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
                            <w:sz w:val="18"/>
                            <w:szCs w:val="18"/>
                          </w:rPr>
                          <w:t>8</w:t>
                        </w:r>
                        <w:r>
                          <w:rPr>
                            <w:rFonts w:ascii="Times New Roman" w:hAnsi="Times New Roman" w:cs="Times New Roman" w:eastAsia="Times New Roman" w:hint="default"/>
                            <w:spacing w:val="1"/>
                            <w:sz w:val="18"/>
                            <w:szCs w:val="18"/>
                          </w:rPr>
                          <w:t>74</w:t>
                        </w:r>
                        <w:r>
                          <w:rPr>
                            <w:rFonts w:ascii="Times New Roman" w:hAnsi="Times New Roman" w:cs="Times New Roman" w:eastAsia="Times New Roman" w:hint="default"/>
                            <w:spacing w:val="-2"/>
                            <w:sz w:val="18"/>
                            <w:szCs w:val="18"/>
                          </w:rPr>
                          <w:t>.3</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万元</w:t>
                        </w:r>
                        <w:r>
                          <w:rPr>
                            <w:rFonts w:ascii="宋体" w:hAnsi="宋体" w:cs="宋体" w:eastAsia="宋体" w:hint="default"/>
                            <w:spacing w:val="-92"/>
                            <w:sz w:val="18"/>
                            <w:szCs w:val="18"/>
                          </w:rPr>
                          <w:t>，</w:t>
                        </w:r>
                        <w:r>
                          <w:rPr>
                            <w:rFonts w:ascii="宋体" w:hAnsi="宋体" w:cs="宋体" w:eastAsia="宋体" w:hint="default"/>
                            <w:sz w:val="18"/>
                            <w:szCs w:val="18"/>
                          </w:rPr>
                          <w:t>尚未支付的现金对价为</w:t>
                        </w:r>
                        <w:r>
                          <w:rPr>
                            <w:rFonts w:ascii="宋体" w:hAnsi="宋体" w:cs="宋体" w:eastAsia="宋体" w:hint="default"/>
                            <w:spacing w:val="-54"/>
                            <w:sz w:val="18"/>
                            <w:szCs w:val="18"/>
                          </w:rPr>
                          <w:t> </w:t>
                        </w:r>
                        <w:r>
                          <w:rPr>
                            <w:rFonts w:ascii="Times New Roman" w:hAnsi="Times New Roman" w:cs="Times New Roman" w:eastAsia="Times New Roman" w:hint="default"/>
                            <w:spacing w:val="1"/>
                            <w:sz w:val="18"/>
                            <w:szCs w:val="18"/>
                          </w:rPr>
                          <w:t>64</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
                            <w:sz w:val="18"/>
                            <w:szCs w:val="18"/>
                          </w:rPr>
                          <w:t>5</w:t>
                        </w:r>
                        <w:r>
                          <w:rPr>
                            <w:rFonts w:ascii="Times New Roman" w:hAnsi="Times New Roman" w:cs="Times New Roman" w:eastAsia="Times New Roman" w:hint="default"/>
                            <w:spacing w:val="1"/>
                            <w:sz w:val="18"/>
                            <w:szCs w:val="18"/>
                          </w:rPr>
                          <w:t>85</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pacing w:val="1"/>
                            <w:sz w:val="18"/>
                            <w:szCs w:val="18"/>
                          </w:rPr>
                          <w:t>0</w:t>
                        </w:r>
                        <w:r>
                          <w:rPr>
                            <w:rFonts w:ascii="Times New Roman" w:hAnsi="Times New Roman" w:cs="Times New Roman" w:eastAsia="Times New Roman" w:hint="default"/>
                            <w:sz w:val="18"/>
                            <w:szCs w:val="18"/>
                          </w:rPr>
                          <w:t>0</w:t>
                        </w:r>
                      </w:p>
                    </w:tc>
                  </w:tr>
                  <w:tr>
                    <w:trPr>
                      <w:trHeight w:val="706" w:hRule="exact"/>
                    </w:trPr>
                    <w:tc>
                      <w:tcPr>
                        <w:tcW w:w="174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49"/>
                          <w:ind w:left="12" w:right="99"/>
                          <w:jc w:val="left"/>
                          <w:rPr>
                            <w:rFonts w:ascii="宋体" w:hAnsi="宋体" w:cs="宋体" w:eastAsia="宋体" w:hint="default"/>
                            <w:sz w:val="18"/>
                            <w:szCs w:val="18"/>
                          </w:rPr>
                        </w:pPr>
                        <w:r>
                          <w:rPr>
                            <w:rFonts w:ascii="宋体" w:hAnsi="宋体" w:cs="宋体" w:eastAsia="宋体" w:hint="default"/>
                            <w:sz w:val="18"/>
                            <w:szCs w:val="18"/>
                          </w:rPr>
                          <w:t>项目实施出现募集资 金结余的金额及原因</w:t>
                        </w:r>
                      </w:p>
                    </w:tc>
                    <w:tc>
                      <w:tcPr>
                        <w:tcW w:w="7817" w:type="dxa"/>
                        <w:gridSpan w:val="10"/>
                        <w:vMerge/>
                        <w:tcBorders>
                          <w:left w:val="single" w:sz="9" w:space="0" w:color="D2D2D2"/>
                          <w:right w:val="single" w:sz="4" w:space="0" w:color="000000"/>
                        </w:tcBorders>
                      </w:tcPr>
                      <w:p>
                        <w:pPr/>
                      </w:p>
                    </w:tc>
                  </w:tr>
                  <w:tr>
                    <w:trPr>
                      <w:trHeight w:val="1428" w:hRule="exact"/>
                    </w:trPr>
                    <w:tc>
                      <w:tcPr>
                        <w:tcW w:w="1742" w:type="dxa"/>
                        <w:tcBorders>
                          <w:top w:val="nil" w:sz="6" w:space="0" w:color="auto"/>
                          <w:left w:val="single" w:sz="4" w:space="0" w:color="000000"/>
                          <w:bottom w:val="single" w:sz="4" w:space="0" w:color="000000"/>
                          <w:right w:val="single" w:sz="4" w:space="0" w:color="000000"/>
                        </w:tcBorders>
                        <w:shd w:val="clear" w:color="auto" w:fill="D2D2D2"/>
                      </w:tcPr>
                      <w:p>
                        <w:pPr/>
                      </w:p>
                    </w:tc>
                    <w:tc>
                      <w:tcPr>
                        <w:tcW w:w="7817" w:type="dxa"/>
                        <w:gridSpan w:val="10"/>
                        <w:vMerge/>
                        <w:tcBorders>
                          <w:left w:val="single" w:sz="9" w:space="0" w:color="D2D2D2"/>
                          <w:bottom w:val="single" w:sz="4" w:space="0" w:color="000000"/>
                          <w:right w:val="single" w:sz="4" w:space="0" w:color="000000"/>
                        </w:tcBorders>
                      </w:tcPr>
                      <w:p>
                        <w:pPr/>
                      </w:p>
                    </w:tc>
                  </w:tr>
                </w:tbl>
                <w:p>
                  <w:pPr/>
                </w:p>
              </w:txbxContent>
            </v:textbox>
            <w10:wrap type="none"/>
          </v:shape>
        </w:pic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7"/>
          <w:szCs w:val="17"/>
        </w:rPr>
      </w:pPr>
    </w:p>
    <w:p>
      <w:pPr>
        <w:pStyle w:val="BodyText"/>
        <w:spacing w:line="240" w:lineRule="auto" w:before="44"/>
        <w:ind w:left="0" w:right="1139"/>
        <w:jc w:val="right"/>
      </w:pPr>
      <w:r>
        <w:rPr/>
        <w:t>》</w:t>
      </w:r>
    </w:p>
    <w:p>
      <w:pPr>
        <w:spacing w:after="0" w:line="240" w:lineRule="auto"/>
        <w:jc w:val="right"/>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8"/>
          <w:szCs w:val="28"/>
        </w:rPr>
      </w:pPr>
    </w:p>
    <w:p>
      <w:pPr>
        <w:pStyle w:val="BodyText"/>
        <w:spacing w:line="240" w:lineRule="auto" w:before="44"/>
        <w:ind w:left="0" w:right="1133"/>
        <w:jc w:val="right"/>
      </w:pPr>
      <w:r>
        <w:rPr/>
        <w:pict>
          <v:shape style="position:absolute;margin-left:56.459999pt;margin-top:-78.74826pt;width:479.2pt;height:421.65pt;mso-position-horizontal-relative:page;mso-position-vertical-relative:paragraph;z-index:126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763"/>
                    <w:gridCol w:w="7806"/>
                  </w:tblGrid>
                  <w:tr>
                    <w:trPr>
                      <w:trHeight w:val="2273" w:hRule="exact"/>
                    </w:trPr>
                    <w:tc>
                      <w:tcPr>
                        <w:tcW w:w="176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806"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8"/>
                          <w:ind w:left="23" w:right="23"/>
                          <w:jc w:val="left"/>
                          <w:rPr>
                            <w:rFonts w:ascii="宋体" w:hAnsi="宋体" w:cs="宋体" w:eastAsia="宋体" w:hint="default"/>
                            <w:sz w:val="18"/>
                            <w:szCs w:val="18"/>
                          </w:rPr>
                        </w:pPr>
                        <w:r>
                          <w:rPr>
                            <w:rFonts w:ascii="宋体" w:hAnsi="宋体" w:cs="宋体" w:eastAsia="宋体" w:hint="default"/>
                            <w:spacing w:val="-4"/>
                            <w:sz w:val="18"/>
                            <w:szCs w:val="18"/>
                          </w:rPr>
                          <w:t>万元。</w:t>
                        </w:r>
                        <w:r>
                          <w:rPr>
                            <w:rFonts w:ascii="Times New Roman" w:hAnsi="Times New Roman" w:cs="Times New Roman" w:eastAsia="Times New Roman" w:hint="default"/>
                            <w:spacing w:val="-4"/>
                            <w:sz w:val="18"/>
                            <w:szCs w:val="18"/>
                          </w:rPr>
                          <w:t>2018</w:t>
                        </w:r>
                        <w:r>
                          <w:rPr>
                            <w:rFonts w:ascii="Times New Roman" w:hAnsi="Times New Roman" w:cs="Times New Roman" w:eastAsia="Times New Roman" w:hint="default"/>
                            <w:spacing w:val="15"/>
                            <w:sz w:val="18"/>
                            <w:szCs w:val="18"/>
                          </w:rPr>
                          <w:t> </w:t>
                        </w:r>
                        <w:r>
                          <w:rPr>
                            <w:rFonts w:ascii="宋体" w:hAnsi="宋体" w:cs="宋体" w:eastAsia="宋体" w:hint="default"/>
                            <w:spacing w:val="-2"/>
                            <w:sz w:val="18"/>
                            <w:szCs w:val="18"/>
                          </w:rPr>
                          <w:t>年度结束后，杰发科技因三年累计净利润未达到承诺水平</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以及《资产购买协议》并经计</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算，交易对价应调减金额为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61,592.18 </w:t>
                        </w:r>
                        <w:r>
                          <w:rPr>
                            <w:rFonts w:ascii="宋体" w:hAnsi="宋体" w:cs="宋体" w:eastAsia="宋体" w:hint="default"/>
                            <w:sz w:val="18"/>
                            <w:szCs w:val="18"/>
                          </w:rPr>
                          <w:t>万元，将从公司尚未支付的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64,585.00 </w:t>
                        </w:r>
                        <w:r>
                          <w:rPr>
                            <w:rFonts w:ascii="宋体" w:hAnsi="宋体" w:cs="宋体" w:eastAsia="宋体" w:hint="default"/>
                            <w:sz w:val="18"/>
                            <w:szCs w:val="18"/>
                          </w:rPr>
                          <w:t>万元现金对价中扣除，</w:t>
                        </w:r>
                      </w:p>
                      <w:p>
                        <w:pPr>
                          <w:pStyle w:val="TableParagraph"/>
                          <w:spacing w:line="240" w:lineRule="auto" w:before="13"/>
                          <w:ind w:left="23" w:right="0"/>
                          <w:jc w:val="left"/>
                          <w:rPr>
                            <w:rFonts w:ascii="宋体" w:hAnsi="宋体" w:cs="宋体" w:eastAsia="宋体" w:hint="default"/>
                            <w:sz w:val="18"/>
                            <w:szCs w:val="18"/>
                          </w:rPr>
                        </w:pPr>
                        <w:r>
                          <w:rPr>
                            <w:rFonts w:ascii="宋体" w:hAnsi="宋体" w:cs="宋体" w:eastAsia="宋体" w:hint="default"/>
                            <w:sz w:val="18"/>
                            <w:szCs w:val="18"/>
                          </w:rPr>
                          <w:t>公司尚需支付现金对价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2,992.82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p>
                        <w:pPr>
                          <w:pStyle w:val="TableParagraph"/>
                          <w:spacing w:line="240" w:lineRule="auto" w:before="103"/>
                          <w:ind w:left="23" w:right="0"/>
                          <w:jc w:val="left"/>
                          <w:rPr>
                            <w:rFonts w:ascii="宋体" w:hAnsi="宋体" w:cs="宋体" w:eastAsia="宋体" w:hint="default"/>
                            <w:sz w:val="18"/>
                            <w:szCs w:val="18"/>
                          </w:rPr>
                        </w:pPr>
                        <w:r>
                          <w:rPr>
                            <w:rFonts w:ascii="宋体" w:hAnsi="宋体" w:cs="宋体" w:eastAsia="宋体" w:hint="default"/>
                            <w:sz w:val="18"/>
                            <w:szCs w:val="18"/>
                          </w:rPr>
                          <w:t>公司本次配套募集资金净额</w:t>
                        </w:r>
                        <w:r>
                          <w:rPr>
                            <w:rFonts w:ascii="宋体" w:hAnsi="宋体" w:cs="宋体" w:eastAsia="宋体" w:hint="default"/>
                            <w:spacing w:val="-44"/>
                            <w:sz w:val="18"/>
                            <w:szCs w:val="18"/>
                          </w:rPr>
                          <w:t> </w:t>
                        </w:r>
                        <w:r>
                          <w:rPr>
                            <w:rFonts w:ascii="Times New Roman" w:hAnsi="Times New Roman" w:cs="Times New Roman" w:eastAsia="Times New Roman" w:hint="default"/>
                            <w:spacing w:val="1"/>
                            <w:sz w:val="18"/>
                            <w:szCs w:val="18"/>
                          </w:rPr>
                          <w:t>3</w:t>
                        </w:r>
                        <w:r>
                          <w:rPr>
                            <w:rFonts w:ascii="Times New Roman" w:hAnsi="Times New Roman" w:cs="Times New Roman" w:eastAsia="Times New Roman" w:hint="default"/>
                            <w:spacing w:val="-2"/>
                            <w:sz w:val="18"/>
                            <w:szCs w:val="18"/>
                          </w:rPr>
                          <w:t>3</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
                            <w:sz w:val="18"/>
                            <w:szCs w:val="18"/>
                          </w:rPr>
                          <w:t>7</w:t>
                        </w:r>
                        <w:r>
                          <w:rPr>
                            <w:rFonts w:ascii="Times New Roman" w:hAnsi="Times New Roman" w:cs="Times New Roman" w:eastAsia="Times New Roman" w:hint="default"/>
                            <w:spacing w:val="1"/>
                            <w:sz w:val="18"/>
                            <w:szCs w:val="18"/>
                          </w:rPr>
                          <w:t>09</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pacing w:val="-1"/>
                            <w:sz w:val="18"/>
                            <w:szCs w:val="18"/>
                          </w:rPr>
                          <w:t>5</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r>
                          <w:rPr>
                            <w:rFonts w:ascii="宋体" w:hAnsi="宋体" w:cs="宋体" w:eastAsia="宋体" w:hint="default"/>
                            <w:spacing w:val="-82"/>
                            <w:sz w:val="18"/>
                            <w:szCs w:val="18"/>
                          </w:rPr>
                          <w:t>，</w:t>
                        </w:r>
                        <w:r>
                          <w:rPr>
                            <w:rFonts w:ascii="宋体" w:hAnsi="宋体" w:cs="宋体" w:eastAsia="宋体" w:hint="default"/>
                            <w:sz w:val="18"/>
                            <w:szCs w:val="18"/>
                          </w:rPr>
                          <w:t>截至</w:t>
                        </w:r>
                        <w:r>
                          <w:rPr>
                            <w:rFonts w:ascii="宋体" w:hAnsi="宋体" w:cs="宋体" w:eastAsia="宋体" w:hint="default"/>
                            <w:spacing w:val="-47"/>
                            <w:sz w:val="18"/>
                            <w:szCs w:val="18"/>
                          </w:rPr>
                          <w:t> </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pacing w:val="-2"/>
                            <w:sz w:val="18"/>
                            <w:szCs w:val="18"/>
                          </w:rPr>
                          <w:t>1</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pacing w:val="1"/>
                            <w:sz w:val="18"/>
                            <w:szCs w:val="18"/>
                          </w:rPr>
                          <w:t>3</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日已累计使用配套募集</w:t>
                        </w:r>
                        <w:r>
                          <w:rPr>
                            <w:rFonts w:ascii="宋体" w:hAnsi="宋体" w:cs="宋体" w:eastAsia="宋体" w:hint="default"/>
                            <w:spacing w:val="-3"/>
                            <w:sz w:val="18"/>
                            <w:szCs w:val="18"/>
                          </w:rPr>
                          <w:t>资</w:t>
                        </w:r>
                        <w:r>
                          <w:rPr>
                            <w:rFonts w:ascii="宋体" w:hAnsi="宋体" w:cs="宋体" w:eastAsia="宋体" w:hint="default"/>
                            <w:sz w:val="18"/>
                            <w:szCs w:val="18"/>
                          </w:rPr>
                          <w:t>金支付</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现金对价</w:t>
                        </w:r>
                        <w:r>
                          <w:rPr>
                            <w:rFonts w:ascii="宋体" w:hAnsi="宋体" w:cs="宋体" w:eastAsia="宋体" w:hint="default"/>
                            <w:spacing w:val="-52"/>
                            <w:sz w:val="18"/>
                            <w:szCs w:val="18"/>
                          </w:rPr>
                          <w:t> </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pacing w:val="-2"/>
                            <w:sz w:val="18"/>
                            <w:szCs w:val="18"/>
                          </w:rPr>
                          <w:t>8</w:t>
                        </w:r>
                        <w:r>
                          <w:rPr>
                            <w:rFonts w:ascii="Times New Roman" w:hAnsi="Times New Roman" w:cs="Times New Roman" w:eastAsia="Times New Roman" w:hint="default"/>
                            <w:spacing w:val="1"/>
                            <w:sz w:val="18"/>
                            <w:szCs w:val="18"/>
                          </w:rPr>
                          <w:t>9</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pacing w:val="1"/>
                            <w:sz w:val="18"/>
                            <w:szCs w:val="18"/>
                          </w:rPr>
                          <w:t>8</w:t>
                        </w:r>
                        <w:r>
                          <w:rPr>
                            <w:rFonts w:ascii="Times New Roman" w:hAnsi="Times New Roman" w:cs="Times New Roman" w:eastAsia="Times New Roman" w:hint="default"/>
                            <w:spacing w:val="-2"/>
                            <w:sz w:val="18"/>
                            <w:szCs w:val="18"/>
                          </w:rPr>
                          <w:t>7</w:t>
                        </w:r>
                        <w:r>
                          <w:rPr>
                            <w:rFonts w:ascii="Times New Roman" w:hAnsi="Times New Roman" w:cs="Times New Roman" w:eastAsia="Times New Roman" w:hint="default"/>
                            <w:spacing w:val="1"/>
                            <w:sz w:val="18"/>
                            <w:szCs w:val="18"/>
                          </w:rPr>
                          <w:t>4</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
                            <w:sz w:val="18"/>
                            <w:szCs w:val="18"/>
                          </w:rPr>
                          <w:t>3</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万元</w:t>
                        </w:r>
                        <w:r>
                          <w:rPr>
                            <w:rFonts w:ascii="宋体" w:hAnsi="宋体" w:cs="宋体" w:eastAsia="宋体" w:hint="default"/>
                            <w:spacing w:val="-92"/>
                            <w:sz w:val="18"/>
                            <w:szCs w:val="18"/>
                          </w:rPr>
                          <w:t>，</w:t>
                        </w:r>
                        <w:r>
                          <w:rPr>
                            <w:rFonts w:ascii="宋体" w:hAnsi="宋体" w:cs="宋体" w:eastAsia="宋体" w:hint="default"/>
                            <w:sz w:val="18"/>
                            <w:szCs w:val="18"/>
                          </w:rPr>
                          <w:t>扣</w:t>
                        </w:r>
                        <w:r>
                          <w:rPr>
                            <w:rFonts w:ascii="宋体" w:hAnsi="宋体" w:cs="宋体" w:eastAsia="宋体" w:hint="default"/>
                            <w:spacing w:val="-3"/>
                            <w:sz w:val="18"/>
                            <w:szCs w:val="18"/>
                          </w:rPr>
                          <w:t>除</w:t>
                        </w:r>
                        <w:r>
                          <w:rPr>
                            <w:rFonts w:ascii="宋体" w:hAnsi="宋体" w:cs="宋体" w:eastAsia="宋体" w:hint="default"/>
                            <w:sz w:val="18"/>
                            <w:szCs w:val="18"/>
                          </w:rPr>
                          <w:t>尚需支付的</w:t>
                        </w:r>
                        <w:r>
                          <w:rPr>
                            <w:rFonts w:ascii="宋体" w:hAnsi="宋体" w:cs="宋体" w:eastAsia="宋体" w:hint="default"/>
                            <w:spacing w:val="-52"/>
                            <w:sz w:val="18"/>
                            <w:szCs w:val="18"/>
                          </w:rPr>
                          <w:t> </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pacing w:val="1"/>
                            <w:sz w:val="18"/>
                            <w:szCs w:val="18"/>
                          </w:rPr>
                          <w:t>9</w:t>
                        </w:r>
                        <w:r>
                          <w:rPr>
                            <w:rFonts w:ascii="Times New Roman" w:hAnsi="Times New Roman" w:cs="Times New Roman" w:eastAsia="Times New Roman" w:hint="default"/>
                            <w:spacing w:val="-2"/>
                            <w:sz w:val="18"/>
                            <w:szCs w:val="18"/>
                          </w:rPr>
                          <w:t>9</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
                            <w:sz w:val="18"/>
                            <w:szCs w:val="18"/>
                          </w:rPr>
                          <w:t>8</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万元现</w:t>
                        </w:r>
                        <w:r>
                          <w:rPr>
                            <w:rFonts w:ascii="宋体" w:hAnsi="宋体" w:cs="宋体" w:eastAsia="宋体" w:hint="default"/>
                            <w:spacing w:val="-3"/>
                            <w:sz w:val="18"/>
                            <w:szCs w:val="18"/>
                          </w:rPr>
                          <w:t>金</w:t>
                        </w:r>
                        <w:r>
                          <w:rPr>
                            <w:rFonts w:ascii="宋体" w:hAnsi="宋体" w:cs="宋体" w:eastAsia="宋体" w:hint="default"/>
                            <w:sz w:val="18"/>
                            <w:szCs w:val="18"/>
                          </w:rPr>
                          <w:t>对价后</w:t>
                        </w:r>
                        <w:r>
                          <w:rPr>
                            <w:rFonts w:ascii="宋体" w:hAnsi="宋体" w:cs="宋体" w:eastAsia="宋体" w:hint="default"/>
                            <w:spacing w:val="-92"/>
                            <w:sz w:val="18"/>
                            <w:szCs w:val="18"/>
                          </w:rPr>
                          <w:t>，</w:t>
                        </w:r>
                        <w:r>
                          <w:rPr>
                            <w:rFonts w:ascii="宋体" w:hAnsi="宋体" w:cs="宋体" w:eastAsia="宋体" w:hint="default"/>
                            <w:sz w:val="18"/>
                            <w:szCs w:val="18"/>
                          </w:rPr>
                          <w:t>配套募集资金节余为</w:t>
                        </w:r>
                        <w:r>
                          <w:rPr>
                            <w:rFonts w:ascii="宋体" w:hAnsi="宋体" w:cs="宋体" w:eastAsia="宋体" w:hint="default"/>
                            <w:spacing w:val="-51"/>
                            <w:sz w:val="18"/>
                            <w:szCs w:val="18"/>
                          </w:rPr>
                          <w:t> </w:t>
                        </w:r>
                        <w:r>
                          <w:rPr>
                            <w:rFonts w:ascii="Times New Roman" w:hAnsi="Times New Roman" w:cs="Times New Roman" w:eastAsia="Times New Roman" w:hint="default"/>
                            <w:spacing w:val="1"/>
                            <w:sz w:val="18"/>
                            <w:szCs w:val="18"/>
                          </w:rPr>
                          <w:t>39</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
                            <w:sz w:val="18"/>
                            <w:szCs w:val="18"/>
                          </w:rPr>
                          <w:t>8</w:t>
                        </w:r>
                        <w:r>
                          <w:rPr>
                            <w:rFonts w:ascii="Times New Roman" w:hAnsi="Times New Roman" w:cs="Times New Roman" w:eastAsia="Times New Roman" w:hint="default"/>
                            <w:spacing w:val="1"/>
                            <w:sz w:val="18"/>
                            <w:szCs w:val="18"/>
                          </w:rPr>
                          <w:t>42</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pacing w:val="1"/>
                            <w:sz w:val="18"/>
                            <w:szCs w:val="18"/>
                          </w:rPr>
                          <w:t>4</w:t>
                        </w:r>
                        <w:r>
                          <w:rPr>
                            <w:rFonts w:ascii="Times New Roman" w:hAnsi="Times New Roman" w:cs="Times New Roman" w:eastAsia="Times New Roman" w:hint="default"/>
                            <w:sz w:val="18"/>
                            <w:szCs w:val="18"/>
                          </w:rPr>
                          <w:t>2</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pacing w:val="-4"/>
                            <w:sz w:val="18"/>
                            <w:szCs w:val="18"/>
                          </w:rPr>
                          <w:t>万元，加上配套募集资金累计利息及理财收益</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6,958.10</w:t>
                        </w:r>
                        <w:r>
                          <w:rPr>
                            <w:rFonts w:ascii="Times New Roman" w:hAnsi="Times New Roman" w:cs="Times New Roman" w:eastAsia="Times New Roman" w:hint="default"/>
                            <w:spacing w:val="8"/>
                            <w:sz w:val="18"/>
                            <w:szCs w:val="18"/>
                          </w:rPr>
                          <w:t> </w:t>
                        </w:r>
                        <w:r>
                          <w:rPr>
                            <w:rFonts w:ascii="宋体" w:hAnsi="宋体" w:cs="宋体" w:eastAsia="宋体" w:hint="default"/>
                            <w:spacing w:val="-5"/>
                            <w:sz w:val="18"/>
                            <w:szCs w:val="18"/>
                          </w:rPr>
                          <w:t>万元，减去累计支付的手续费支出</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2.13</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万元</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配套募集资金节余及利息、理财收益金额合计为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46,798.39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tc>
                  </w:tr>
                  <w:tr>
                    <w:trPr>
                      <w:trHeight w:val="2588" w:hRule="exact"/>
                    </w:trPr>
                    <w:tc>
                      <w:tcPr>
                        <w:tcW w:w="1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316" w:lineRule="auto"/>
                          <w:ind w:left="22" w:right="108"/>
                          <w:jc w:val="left"/>
                          <w:rPr>
                            <w:rFonts w:ascii="宋体" w:hAnsi="宋体" w:cs="宋体" w:eastAsia="宋体" w:hint="default"/>
                            <w:sz w:val="18"/>
                            <w:szCs w:val="18"/>
                          </w:rPr>
                        </w:pPr>
                        <w:r>
                          <w:rPr>
                            <w:rFonts w:ascii="宋体" w:hAnsi="宋体" w:cs="宋体" w:eastAsia="宋体" w:hint="default"/>
                            <w:sz w:val="18"/>
                            <w:szCs w:val="18"/>
                          </w:rPr>
                          <w:t>尚未使用的募集资金 用途及去向</w:t>
                        </w:r>
                      </w:p>
                    </w:tc>
                    <w:tc>
                      <w:tcPr>
                        <w:tcW w:w="7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月</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日公司第四届董事会第三次会议，审议通过了《关于使用部分闲置募集资金和自有</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资金购买理财产品的议案</w:t>
                        </w:r>
                        <w:r>
                          <w:rPr>
                            <w:rFonts w:ascii="宋体" w:hAnsi="宋体" w:cs="宋体" w:eastAsia="宋体" w:hint="default"/>
                            <w:spacing w:val="-92"/>
                            <w:sz w:val="18"/>
                            <w:szCs w:val="18"/>
                          </w:rPr>
                          <w:t>》</w:t>
                        </w:r>
                        <w:r>
                          <w:rPr>
                            <w:rFonts w:ascii="宋体" w:hAnsi="宋体" w:cs="宋体" w:eastAsia="宋体" w:hint="default"/>
                            <w:spacing w:val="-82"/>
                            <w:sz w:val="18"/>
                            <w:szCs w:val="18"/>
                          </w:rPr>
                          <w:t>，</w:t>
                        </w:r>
                        <w:r>
                          <w:rPr>
                            <w:rFonts w:ascii="宋体" w:hAnsi="宋体" w:cs="宋体" w:eastAsia="宋体" w:hint="default"/>
                            <w:sz w:val="18"/>
                            <w:szCs w:val="18"/>
                          </w:rPr>
                          <w:t>同意公司使用不超过人民币</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pacing w:val="-3"/>
                            <w:sz w:val="18"/>
                            <w:szCs w:val="18"/>
                          </w:rPr>
                          <w:t>亿</w:t>
                        </w:r>
                        <w:r>
                          <w:rPr>
                            <w:rFonts w:ascii="宋体" w:hAnsi="宋体" w:cs="宋体" w:eastAsia="宋体" w:hint="default"/>
                            <w:sz w:val="18"/>
                            <w:szCs w:val="18"/>
                          </w:rPr>
                          <w:t>元额度的短期闲置募集资金和不超过人</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民币</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亿元额度的短期闲置自有资金购买安全性高、流动性好、有保本约定、一年以内的短期保本</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型理财产品。在上述额度内，资金可以在</w:t>
                        </w:r>
                        <w:r>
                          <w:rPr>
                            <w:rFonts w:ascii="宋体" w:hAnsi="宋体" w:cs="宋体" w:eastAsia="宋体" w:hint="default"/>
                            <w:spacing w:val="-13"/>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日前进行滚动使用，相关决议自董事会审</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议通过之日起至</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pacing w:val="-5"/>
                            <w:sz w:val="18"/>
                            <w:szCs w:val="18"/>
                          </w:rPr>
                          <w:t>日前有效。</w:t>
                        </w:r>
                        <w:r>
                          <w:rPr>
                            <w:rFonts w:ascii="Times New Roman" w:hAnsi="Times New Roman" w:cs="Times New Roman" w:eastAsia="Times New Roman" w:hint="default"/>
                            <w:spacing w:val="-5"/>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年公司根据前述决议使用募集资金购买银行理财产</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品的收益为</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1,404.95</w:t>
                        </w:r>
                        <w:r>
                          <w:rPr>
                            <w:rFonts w:ascii="Times New Roman" w:hAnsi="Times New Roman" w:cs="Times New Roman" w:eastAsia="Times New Roman" w:hint="default"/>
                            <w:spacing w:val="3"/>
                            <w:sz w:val="18"/>
                            <w:szCs w:val="18"/>
                          </w:rPr>
                          <w:t> </w:t>
                        </w:r>
                        <w:r>
                          <w:rPr>
                            <w:rFonts w:ascii="宋体" w:hAnsi="宋体" w:cs="宋体" w:eastAsia="宋体" w:hint="default"/>
                            <w:spacing w:val="-9"/>
                            <w:sz w:val="18"/>
                            <w:szCs w:val="18"/>
                          </w:rPr>
                          <w:t>万元。截至</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3"/>
                            <w:sz w:val="18"/>
                            <w:szCs w:val="18"/>
                          </w:rPr>
                          <w:t> </w:t>
                        </w:r>
                        <w:r>
                          <w:rPr>
                            <w:rFonts w:ascii="宋体" w:hAnsi="宋体" w:cs="宋体" w:eastAsia="宋体" w:hint="default"/>
                            <w:spacing w:val="-3"/>
                            <w:sz w:val="18"/>
                            <w:szCs w:val="18"/>
                          </w:rPr>
                          <w:t>日，公司使用非公开发行募集资金购买银行理财产</w:t>
                        </w:r>
                      </w:p>
                      <w:p>
                        <w:pPr>
                          <w:pStyle w:val="TableParagraph"/>
                          <w:spacing w:line="300" w:lineRule="auto" w:before="63"/>
                          <w:ind w:left="23" w:right="22"/>
                          <w:jc w:val="left"/>
                          <w:rPr>
                            <w:rFonts w:ascii="宋体" w:hAnsi="宋体" w:cs="宋体" w:eastAsia="宋体" w:hint="default"/>
                            <w:sz w:val="18"/>
                            <w:szCs w:val="18"/>
                          </w:rPr>
                        </w:pPr>
                        <w:r>
                          <w:rPr>
                            <w:rFonts w:ascii="宋体" w:hAnsi="宋体" w:cs="宋体" w:eastAsia="宋体" w:hint="default"/>
                            <w:sz w:val="18"/>
                            <w:szCs w:val="18"/>
                          </w:rPr>
                          <w:t>品的份额余额为</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元，尚未使用的募集资金存放在募集资金专户中，用于募集资金投资项目的后续 投入。</w:t>
                        </w:r>
                      </w:p>
                    </w:tc>
                  </w:tr>
                  <w:tr>
                    <w:trPr>
                      <w:trHeight w:val="3562" w:hRule="exact"/>
                    </w:trPr>
                    <w:tc>
                      <w:tcPr>
                        <w:tcW w:w="1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38"/>
                          <w:ind w:left="22" w:right="108"/>
                          <w:jc w:val="both"/>
                          <w:rPr>
                            <w:rFonts w:ascii="宋体" w:hAnsi="宋体" w:cs="宋体" w:eastAsia="宋体" w:hint="default"/>
                            <w:sz w:val="18"/>
                            <w:szCs w:val="18"/>
                          </w:rPr>
                        </w:pPr>
                        <w:r>
                          <w:rPr>
                            <w:rFonts w:ascii="宋体" w:hAnsi="宋体" w:cs="宋体" w:eastAsia="宋体" w:hint="default"/>
                            <w:sz w:val="18"/>
                            <w:szCs w:val="18"/>
                          </w:rPr>
                          <w:t>募集资金使用及披露 中存在的问题或其他 情况</w:t>
                        </w:r>
                      </w:p>
                    </w:tc>
                    <w:tc>
                      <w:tcPr>
                        <w:tcW w:w="7806"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3" w:right="17"/>
                          <w:jc w:val="both"/>
                          <w:rPr>
                            <w:rFonts w:ascii="宋体" w:hAnsi="宋体" w:cs="宋体" w:eastAsia="宋体" w:hint="default"/>
                            <w:sz w:val="18"/>
                            <w:szCs w:val="18"/>
                          </w:rPr>
                        </w:pPr>
                        <w:r>
                          <w:rPr>
                            <w:rFonts w:ascii="宋体" w:hAnsi="宋体" w:cs="宋体" w:eastAsia="宋体" w:hint="default"/>
                            <w:sz w:val="18"/>
                            <w:szCs w:val="18"/>
                          </w:rPr>
                          <w:t>经</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日公司第三届董事会第二十一次会议、</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日公司</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年年度股东大 会审议通过，公司本次重组拟非公开发行募集配套资金不超过</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380,000</w:t>
                        </w:r>
                        <w:r>
                          <w:rPr>
                            <w:rFonts w:ascii="Times New Roman" w:hAnsi="Times New Roman" w:cs="Times New Roman" w:eastAsia="Times New Roman" w:hint="default"/>
                            <w:spacing w:val="-6"/>
                            <w:sz w:val="18"/>
                            <w:szCs w:val="18"/>
                          </w:rPr>
                          <w:t> </w:t>
                        </w:r>
                        <w:r>
                          <w:rPr>
                            <w:rFonts w:ascii="宋体" w:hAnsi="宋体" w:cs="宋体" w:eastAsia="宋体" w:hint="default"/>
                            <w:spacing w:val="-4"/>
                            <w:sz w:val="18"/>
                            <w:szCs w:val="18"/>
                          </w:rPr>
                          <w:t>万元，其中，</w:t>
                        </w:r>
                        <w:r>
                          <w:rPr>
                            <w:rFonts w:ascii="Times New Roman" w:hAnsi="Times New Roman" w:cs="Times New Roman" w:eastAsia="Times New Roman" w:hint="default"/>
                            <w:spacing w:val="-4"/>
                            <w:sz w:val="18"/>
                            <w:szCs w:val="18"/>
                          </w:rPr>
                          <w:t>354,459.33</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万元 拟用于支付本次交易标的资产现金对价，</w:t>
                        </w:r>
                        <w:r>
                          <w:rPr>
                            <w:rFonts w:ascii="Times New Roman" w:hAnsi="Times New Roman" w:cs="Times New Roman" w:eastAsia="Times New Roman" w:hint="default"/>
                            <w:sz w:val="18"/>
                            <w:szCs w:val="18"/>
                          </w:rPr>
                          <w:t>22,000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万元用于趣驾</w:t>
                        </w:r>
                        <w:r>
                          <w:rPr>
                            <w:rFonts w:ascii="宋体" w:hAnsi="宋体" w:cs="宋体" w:eastAsia="宋体" w:hint="default"/>
                            <w:spacing w:val="-52"/>
                            <w:sz w:val="18"/>
                            <w:szCs w:val="18"/>
                          </w:rPr>
                          <w:t> </w:t>
                        </w:r>
                        <w:r>
                          <w:rPr>
                            <w:rFonts w:ascii="Times New Roman" w:hAnsi="Times New Roman" w:cs="Times New Roman" w:eastAsia="Times New Roman" w:hint="default"/>
                            <w:spacing w:val="-3"/>
                            <w:sz w:val="18"/>
                            <w:szCs w:val="18"/>
                          </w:rPr>
                          <w:t>Welink</w:t>
                        </w:r>
                        <w:r>
                          <w:rPr>
                            <w:rFonts w:ascii="Times New Roman" w:hAnsi="Times New Roman" w:cs="Times New Roman" w:eastAsia="Times New Roman" w:hint="default"/>
                            <w:spacing w:val="-7"/>
                            <w:sz w:val="18"/>
                            <w:szCs w:val="18"/>
                          </w:rPr>
                          <w:t> </w:t>
                        </w:r>
                        <w:r>
                          <w:rPr>
                            <w:rFonts w:ascii="宋体" w:hAnsi="宋体" w:cs="宋体" w:eastAsia="宋体" w:hint="default"/>
                            <w:spacing w:val="-6"/>
                            <w:sz w:val="18"/>
                            <w:szCs w:val="18"/>
                          </w:rPr>
                          <w:t>项目，剩余</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3,540.67</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万元用于 </w:t>
                        </w:r>
                        <w:r>
                          <w:rPr>
                            <w:rFonts w:ascii="宋体" w:hAnsi="宋体" w:cs="宋体" w:eastAsia="宋体" w:hint="default"/>
                            <w:spacing w:val="18"/>
                            <w:sz w:val="18"/>
                            <w:szCs w:val="18"/>
                          </w:rPr>
                          <w:t>支付本次交易相关费用。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 </w:t>
                        </w:r>
                        <w:r>
                          <w:rPr>
                            <w:rFonts w:ascii="Times New Roman" w:hAnsi="Times New Roman" w:cs="Times New Roman" w:eastAsia="Times New Roman" w:hint="default"/>
                            <w:sz w:val="18"/>
                            <w:szCs w:val="18"/>
                          </w:rPr>
                          <w:t>3  </w:t>
                        </w:r>
                        <w:r>
                          <w:rPr>
                            <w:rFonts w:ascii="宋体" w:hAnsi="宋体" w:cs="宋体" w:eastAsia="宋体" w:hint="default"/>
                            <w:sz w:val="18"/>
                            <w:szCs w:val="18"/>
                          </w:rPr>
                          <w:t>月 </w:t>
                        </w:r>
                        <w:r>
                          <w:rPr>
                            <w:rFonts w:ascii="Times New Roman" w:hAnsi="Times New Roman" w:cs="Times New Roman" w:eastAsia="Times New Roman" w:hint="default"/>
                            <w:sz w:val="18"/>
                            <w:szCs w:val="18"/>
                          </w:rPr>
                          <w:t>10  </w:t>
                        </w:r>
                        <w:r>
                          <w:rPr>
                            <w:rFonts w:ascii="宋体" w:hAnsi="宋体" w:cs="宋体" w:eastAsia="宋体" w:hint="default"/>
                            <w:spacing w:val="18"/>
                            <w:sz w:val="18"/>
                            <w:szCs w:val="18"/>
                          </w:rPr>
                          <w:t>日公司完成配套募集资金，</w:t>
                        </w:r>
                        <w:r>
                          <w:rPr>
                            <w:rFonts w:ascii="宋体" w:hAnsi="宋体" w:cs="宋体" w:eastAsia="宋体" w:hint="default"/>
                            <w:spacing w:val="-36"/>
                            <w:sz w:val="18"/>
                            <w:szCs w:val="18"/>
                          </w:rPr>
                          <w:t> </w:t>
                        </w:r>
                        <w:r>
                          <w:rPr>
                            <w:rFonts w:ascii="宋体" w:hAnsi="宋体" w:cs="宋体" w:eastAsia="宋体" w:hint="default"/>
                            <w:spacing w:val="17"/>
                            <w:sz w:val="18"/>
                            <w:szCs w:val="18"/>
                          </w:rPr>
                          <w:t>实际募集资金净额</w:t>
                        </w:r>
                      </w:p>
                      <w:p>
                        <w:pPr>
                          <w:pStyle w:val="TableParagraph"/>
                          <w:spacing w:line="300" w:lineRule="auto" w:before="13"/>
                          <w:ind w:left="23" w:right="22"/>
                          <w:jc w:val="both"/>
                          <w:rPr>
                            <w:rFonts w:ascii="宋体" w:hAnsi="宋体" w:cs="宋体" w:eastAsia="宋体" w:hint="default"/>
                            <w:sz w:val="18"/>
                            <w:szCs w:val="18"/>
                          </w:rPr>
                        </w:pPr>
                        <w:r>
                          <w:rPr>
                            <w:rFonts w:ascii="Times New Roman" w:hAnsi="Times New Roman" w:cs="Times New Roman" w:eastAsia="Times New Roman" w:hint="default"/>
                            <w:spacing w:val="-1"/>
                            <w:sz w:val="18"/>
                            <w:szCs w:val="18"/>
                          </w:rPr>
                          <w:t>3,327,095,658.25</w:t>
                        </w:r>
                        <w:r>
                          <w:rPr>
                            <w:rFonts w:ascii="Times New Roman" w:hAnsi="Times New Roman" w:cs="Times New Roman" w:eastAsia="Times New Roman" w:hint="default"/>
                            <w:spacing w:val="30"/>
                            <w:sz w:val="18"/>
                            <w:szCs w:val="18"/>
                          </w:rPr>
                          <w:t> </w:t>
                        </w:r>
                        <w:r>
                          <w:rPr>
                            <w:rFonts w:ascii="宋体" w:hAnsi="宋体" w:cs="宋体" w:eastAsia="宋体" w:hint="default"/>
                            <w:spacing w:val="-2"/>
                            <w:sz w:val="18"/>
                            <w:szCs w:val="18"/>
                          </w:rPr>
                          <w:t>元。公司拟将前述募集资金净额全部用于支付本次交易标的资产现金对价，差额部</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分公司将以自有资金支付；此外，公司拟以自有资金投资于趣驾</w:t>
                        </w:r>
                        <w:r>
                          <w:rPr>
                            <w:rFonts w:ascii="宋体" w:hAnsi="宋体" w:cs="宋体" w:eastAsia="宋体" w:hint="default"/>
                            <w:spacing w:val="-69"/>
                            <w:sz w:val="18"/>
                            <w:szCs w:val="18"/>
                          </w:rPr>
                          <w:t> </w:t>
                        </w:r>
                        <w:r>
                          <w:rPr>
                            <w:rFonts w:ascii="Times New Roman" w:hAnsi="Times New Roman" w:cs="Times New Roman" w:eastAsia="Times New Roman" w:hint="default"/>
                            <w:spacing w:val="-3"/>
                            <w:sz w:val="18"/>
                            <w:szCs w:val="18"/>
                          </w:rPr>
                          <w:t>Welink</w:t>
                        </w:r>
                        <w:r>
                          <w:rPr>
                            <w:rFonts w:ascii="Times New Roman" w:hAnsi="Times New Roman" w:cs="Times New Roman" w:eastAsia="Times New Roman" w:hint="default"/>
                            <w:spacing w:val="-25"/>
                            <w:sz w:val="18"/>
                            <w:szCs w:val="18"/>
                          </w:rPr>
                          <w:t> </w:t>
                        </w:r>
                        <w:r>
                          <w:rPr>
                            <w:rFonts w:ascii="宋体" w:hAnsi="宋体" w:cs="宋体" w:eastAsia="宋体" w:hint="default"/>
                            <w:sz w:val="18"/>
                            <w:szCs w:val="18"/>
                          </w:rPr>
                          <w:t>项目，以及支付本次交易相 关费用。</w:t>
                        </w:r>
                      </w:p>
                      <w:p>
                        <w:pPr>
                          <w:pStyle w:val="TableParagraph"/>
                          <w:spacing w:line="240" w:lineRule="auto" w:before="70"/>
                          <w:ind w:left="23" w:right="0"/>
                          <w:jc w:val="both"/>
                          <w:rPr>
                            <w:rFonts w:ascii="宋体" w:hAnsi="宋体" w:cs="宋体" w:eastAsia="宋体" w:hint="default"/>
                            <w:sz w:val="18"/>
                            <w:szCs w:val="18"/>
                          </w:rPr>
                        </w:pPr>
                        <w:r>
                          <w:rPr>
                            <w:rFonts w:ascii="宋体" w:hAnsi="宋体" w:cs="宋体" w:eastAsia="宋体" w:hint="default"/>
                            <w:sz w:val="18"/>
                            <w:szCs w:val="18"/>
                          </w:rPr>
                          <w:t>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15 </w:t>
                        </w:r>
                        <w:r>
                          <w:rPr>
                            <w:rFonts w:ascii="宋体" w:hAnsi="宋体" w:cs="宋体" w:eastAsia="宋体" w:hint="default"/>
                            <w:sz w:val="18"/>
                            <w:szCs w:val="18"/>
                          </w:rPr>
                          <w:t>日公司第四届董事会第十五次会议审议通过，同意公司追加北京中关村永丰高新</w:t>
                        </w:r>
                      </w:p>
                      <w:p>
                        <w:pPr>
                          <w:pStyle w:val="TableParagraph"/>
                          <w:spacing w:line="309" w:lineRule="auto" w:before="63"/>
                          <w:ind w:left="23" w:right="17"/>
                          <w:jc w:val="both"/>
                          <w:rPr>
                            <w:rFonts w:ascii="宋体" w:hAnsi="宋体" w:cs="宋体" w:eastAsia="宋体" w:hint="default"/>
                            <w:sz w:val="18"/>
                            <w:szCs w:val="18"/>
                          </w:rPr>
                        </w:pPr>
                        <w:r>
                          <w:rPr>
                            <w:rFonts w:ascii="宋体" w:hAnsi="宋体" w:cs="宋体" w:eastAsia="宋体" w:hint="default"/>
                            <w:sz w:val="18"/>
                            <w:szCs w:val="18"/>
                          </w:rPr>
                          <w:t>技术产业基地建设项目的投资，由原计划总投资不超过 </w:t>
                        </w:r>
                        <w:r>
                          <w:rPr>
                            <w:rFonts w:ascii="Times New Roman" w:hAnsi="Times New Roman" w:cs="Times New Roman" w:eastAsia="Times New Roman" w:hint="default"/>
                            <w:sz w:val="18"/>
                            <w:szCs w:val="18"/>
                          </w:rPr>
                          <w:t>74,340.00 </w:t>
                        </w:r>
                        <w:r>
                          <w:rPr>
                            <w:rFonts w:ascii="宋体" w:hAnsi="宋体" w:cs="宋体" w:eastAsia="宋体" w:hint="default"/>
                            <w:sz w:val="18"/>
                            <w:szCs w:val="18"/>
                          </w:rPr>
                          <w:t>万元变更为不超过 </w:t>
                        </w:r>
                        <w:r>
                          <w:rPr>
                            <w:rFonts w:ascii="Times New Roman" w:hAnsi="Times New Roman" w:cs="Times New Roman" w:eastAsia="Times New Roman" w:hint="default"/>
                            <w:sz w:val="18"/>
                            <w:szCs w:val="18"/>
                          </w:rPr>
                          <w:t>120,302.00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万 元，计划增加使用重大资产重组配套募集资金投资项目节余的募集资金及累计利息及理财收益，不</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超过</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45,962.00 </w:t>
                        </w:r>
                        <w:r>
                          <w:rPr>
                            <w:rFonts w:ascii="宋体" w:hAnsi="宋体" w:cs="宋体" w:eastAsia="宋体" w:hint="default"/>
                            <w:sz w:val="18"/>
                            <w:szCs w:val="18"/>
                          </w:rPr>
                          <w:t>万元，用于北京中关村永丰高新技术产业基地建设项目。</w:t>
                        </w:r>
                      </w:p>
                    </w:tc>
                  </w:tr>
                </w:tbl>
                <w:p>
                  <w:pPr/>
                </w:p>
              </w:txbxContent>
            </v:textbox>
            <w10:wrap type="none"/>
          </v:shape>
        </w:pict>
      </w: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6"/>
          <w:szCs w:val="26"/>
        </w:rPr>
      </w:pPr>
    </w:p>
    <w:p>
      <w:pPr>
        <w:spacing w:line="429" w:lineRule="auto" w:before="32"/>
        <w:ind w:left="3492" w:right="2920" w:hanging="495"/>
        <w:jc w:val="left"/>
        <w:rPr>
          <w:rFonts w:ascii="宋体" w:hAnsi="宋体" w:cs="宋体" w:eastAsia="宋体" w:hint="default"/>
          <w:sz w:val="22"/>
          <w:szCs w:val="22"/>
        </w:rPr>
      </w:pPr>
      <w:r>
        <w:rPr>
          <w:rFonts w:ascii="宋体" w:hAnsi="宋体" w:cs="宋体" w:eastAsia="宋体" w:hint="default"/>
          <w:b/>
          <w:bCs/>
          <w:sz w:val="22"/>
          <w:szCs w:val="22"/>
        </w:rPr>
        <w:t>面向合格投资者公开发行公司债券（第一期）</w:t>
      </w:r>
      <w:r>
        <w:rPr>
          <w:rFonts w:ascii="宋体" w:hAnsi="宋体" w:cs="宋体" w:eastAsia="宋体" w:hint="default"/>
          <w:b/>
          <w:bCs/>
          <w:w w:val="99"/>
          <w:sz w:val="22"/>
          <w:szCs w:val="22"/>
        </w:rPr>
        <w:t> </w:t>
      </w:r>
      <w:r>
        <w:rPr>
          <w:rFonts w:ascii="宋体" w:hAnsi="宋体" w:cs="宋体" w:eastAsia="宋体" w:hint="default"/>
          <w:b/>
          <w:bCs/>
          <w:sz w:val="22"/>
          <w:szCs w:val="22"/>
        </w:rPr>
        <w:t>募集资金</w:t>
      </w:r>
      <w:r>
        <w:rPr>
          <w:rFonts w:ascii="宋体" w:hAnsi="宋体" w:cs="宋体" w:eastAsia="宋体" w:hint="default"/>
          <w:b/>
          <w:bCs/>
          <w:spacing w:val="-57"/>
          <w:sz w:val="22"/>
          <w:szCs w:val="22"/>
        </w:rPr>
        <w:t> </w:t>
      </w:r>
      <w:r>
        <w:rPr>
          <w:rFonts w:ascii="宋体" w:hAnsi="宋体" w:cs="宋体" w:eastAsia="宋体" w:hint="default"/>
          <w:b/>
          <w:bCs/>
          <w:sz w:val="22"/>
          <w:szCs w:val="22"/>
        </w:rPr>
        <w:t>2018</w:t>
      </w:r>
      <w:r>
        <w:rPr>
          <w:rFonts w:ascii="宋体" w:hAnsi="宋体" w:cs="宋体" w:eastAsia="宋体" w:hint="default"/>
          <w:b/>
          <w:bCs/>
          <w:spacing w:val="-57"/>
          <w:sz w:val="22"/>
          <w:szCs w:val="22"/>
        </w:rPr>
        <w:t> </w:t>
      </w:r>
      <w:r>
        <w:rPr>
          <w:rFonts w:ascii="宋体" w:hAnsi="宋体" w:cs="宋体" w:eastAsia="宋体" w:hint="default"/>
          <w:b/>
          <w:bCs/>
          <w:sz w:val="22"/>
          <w:szCs w:val="22"/>
        </w:rPr>
        <w:t>年度使用情况对照表</w:t>
      </w:r>
      <w:r>
        <w:rPr>
          <w:rFonts w:ascii="宋体" w:hAnsi="宋体" w:cs="宋体" w:eastAsia="宋体" w:hint="default"/>
          <w:b/>
          <w:bCs/>
          <w:w w:val="99"/>
          <w:sz w:val="22"/>
          <w:szCs w:val="22"/>
        </w:rPr>
        <w:t> </w:t>
      </w:r>
      <w:r>
        <w:rPr>
          <w:rFonts w:ascii="宋体" w:hAnsi="宋体" w:cs="宋体" w:eastAsia="宋体" w:hint="default"/>
          <w:sz w:val="22"/>
          <w:szCs w:val="22"/>
        </w:rPr>
      </w:r>
    </w:p>
    <w:p>
      <w:pPr>
        <w:pStyle w:val="BodyText"/>
        <w:spacing w:line="240" w:lineRule="auto" w:before="113"/>
        <w:ind w:left="0" w:right="1131"/>
        <w:jc w:val="right"/>
      </w:pPr>
      <w:r>
        <w:rPr/>
        <w:t>单位：万元</w:t>
      </w:r>
    </w:p>
    <w:p>
      <w:pPr>
        <w:spacing w:line="240" w:lineRule="auto" w:before="0"/>
        <w:rPr>
          <w:rFonts w:ascii="宋体" w:hAnsi="宋体" w:cs="宋体" w:eastAsia="宋体" w:hint="default"/>
          <w:sz w:val="14"/>
          <w:szCs w:val="14"/>
        </w:rPr>
      </w:pPr>
    </w:p>
    <w:tbl>
      <w:tblPr>
        <w:tblW w:w="0" w:type="auto"/>
        <w:jc w:val="left"/>
        <w:tblInd w:w="149" w:type="dxa"/>
        <w:tblLayout w:type="fixed"/>
        <w:tblCellMar>
          <w:top w:w="0" w:type="dxa"/>
          <w:left w:w="0" w:type="dxa"/>
          <w:bottom w:w="0" w:type="dxa"/>
          <w:right w:w="0" w:type="dxa"/>
        </w:tblCellMar>
        <w:tblLook w:val="01E0"/>
      </w:tblPr>
      <w:tblGrid>
        <w:gridCol w:w="1763"/>
        <w:gridCol w:w="646"/>
        <w:gridCol w:w="905"/>
        <w:gridCol w:w="938"/>
        <w:gridCol w:w="850"/>
        <w:gridCol w:w="852"/>
        <w:gridCol w:w="708"/>
        <w:gridCol w:w="708"/>
        <w:gridCol w:w="853"/>
        <w:gridCol w:w="708"/>
        <w:gridCol w:w="638"/>
      </w:tblGrid>
      <w:tr>
        <w:trPr>
          <w:trHeight w:val="1652" w:hRule="exact"/>
        </w:trPr>
        <w:tc>
          <w:tcPr>
            <w:tcW w:w="1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517" w:right="65" w:hanging="452"/>
              <w:jc w:val="left"/>
              <w:rPr>
                <w:rFonts w:ascii="宋体" w:hAnsi="宋体" w:cs="宋体" w:eastAsia="宋体" w:hint="default"/>
                <w:sz w:val="18"/>
                <w:szCs w:val="18"/>
              </w:rPr>
            </w:pPr>
            <w:r>
              <w:rPr>
                <w:rFonts w:ascii="宋体" w:hAnsi="宋体" w:cs="宋体" w:eastAsia="宋体" w:hint="default"/>
                <w:sz w:val="18"/>
                <w:szCs w:val="18"/>
              </w:rPr>
              <w:t>承诺投资项目和超募 资金投向</w:t>
            </w:r>
          </w:p>
        </w:tc>
        <w:tc>
          <w:tcPr>
            <w:tcW w:w="6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47" w:right="47"/>
              <w:jc w:val="center"/>
              <w:rPr>
                <w:rFonts w:ascii="Times New Roman" w:hAnsi="Times New Roman" w:cs="Times New Roman" w:eastAsia="Times New Roman" w:hint="default"/>
                <w:sz w:val="18"/>
                <w:szCs w:val="18"/>
              </w:rPr>
            </w:pPr>
            <w:r>
              <w:rPr>
                <w:rFonts w:ascii="宋体" w:hAnsi="宋体" w:cs="宋体" w:eastAsia="宋体" w:hint="default"/>
                <w:sz w:val="18"/>
                <w:szCs w:val="18"/>
              </w:rPr>
              <w:t>是否已 变更项 目</w:t>
            </w:r>
            <w:r>
              <w:rPr>
                <w:rFonts w:ascii="Times New Roman" w:hAnsi="Times New Roman" w:cs="Times New Roman" w:eastAsia="Times New Roman" w:hint="default"/>
                <w:sz w:val="18"/>
                <w:szCs w:val="18"/>
              </w:rPr>
              <w:t>(</w:t>
            </w:r>
            <w:r>
              <w:rPr>
                <w:rFonts w:ascii="宋体" w:hAnsi="宋体" w:cs="宋体" w:eastAsia="宋体" w:hint="default"/>
                <w:sz w:val="18"/>
                <w:szCs w:val="18"/>
              </w:rPr>
              <w:t>含 部分变 更</w:t>
            </w:r>
            <w:r>
              <w:rPr>
                <w:rFonts w:ascii="Times New Roman" w:hAnsi="Times New Roman" w:cs="Times New Roman" w:eastAsia="Times New Roman" w:hint="default"/>
                <w:sz w:val="18"/>
                <w:szCs w:val="18"/>
              </w:rPr>
              <w:t>)</w:t>
            </w:r>
          </w:p>
        </w:tc>
        <w:tc>
          <w:tcPr>
            <w:tcW w:w="9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6"/>
              <w:ind w:left="88" w:right="86"/>
              <w:jc w:val="center"/>
              <w:rPr>
                <w:rFonts w:ascii="宋体" w:hAnsi="宋体" w:cs="宋体" w:eastAsia="宋体" w:hint="default"/>
                <w:sz w:val="18"/>
                <w:szCs w:val="18"/>
              </w:rPr>
            </w:pPr>
            <w:r>
              <w:rPr>
                <w:rFonts w:ascii="宋体" w:hAnsi="宋体" w:cs="宋体" w:eastAsia="宋体" w:hint="default"/>
                <w:sz w:val="18"/>
                <w:szCs w:val="18"/>
              </w:rPr>
              <w:t>募集资金 承诺投资 总额</w:t>
            </w:r>
          </w:p>
        </w:tc>
        <w:tc>
          <w:tcPr>
            <w:tcW w:w="9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91" w:right="84" w:firstLine="14"/>
              <w:jc w:val="left"/>
              <w:rPr>
                <w:rFonts w:ascii="Times New Roman" w:hAnsi="Times New Roman" w:cs="Times New Roman" w:eastAsia="Times New Roman" w:hint="default"/>
                <w:sz w:val="18"/>
                <w:szCs w:val="18"/>
              </w:rPr>
            </w:pPr>
            <w:r>
              <w:rPr>
                <w:rFonts w:ascii="宋体" w:hAnsi="宋体" w:cs="宋体" w:eastAsia="宋体" w:hint="default"/>
                <w:sz w:val="18"/>
                <w:szCs w:val="18"/>
              </w:rPr>
              <w:t>调整后投 资总额</w:t>
            </w:r>
            <w:r>
              <w:rPr>
                <w:rFonts w:ascii="Times New Roman" w:hAnsi="Times New Roman" w:cs="Times New Roman" w:eastAsia="Times New Roman" w:hint="default"/>
                <w:sz w:val="18"/>
                <w:szCs w:val="18"/>
              </w:rPr>
              <w:t>(1)</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60" w:right="59"/>
              <w:jc w:val="left"/>
              <w:rPr>
                <w:rFonts w:ascii="宋体" w:hAnsi="宋体" w:cs="宋体" w:eastAsia="宋体" w:hint="default"/>
                <w:sz w:val="18"/>
                <w:szCs w:val="18"/>
              </w:rPr>
            </w:pPr>
            <w:r>
              <w:rPr>
                <w:rFonts w:ascii="宋体" w:hAnsi="宋体" w:cs="宋体" w:eastAsia="宋体" w:hint="default"/>
                <w:sz w:val="18"/>
                <w:szCs w:val="18"/>
              </w:rPr>
              <w:t>本报告期 投入金额</w:t>
            </w:r>
          </w:p>
        </w:tc>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6"/>
              <w:ind w:left="59" w:right="60"/>
              <w:jc w:val="both"/>
              <w:rPr>
                <w:rFonts w:ascii="Times New Roman" w:hAnsi="Times New Roman" w:cs="Times New Roman" w:eastAsia="Times New Roman" w:hint="default"/>
                <w:sz w:val="18"/>
                <w:szCs w:val="18"/>
              </w:rPr>
            </w:pPr>
            <w:r>
              <w:rPr>
                <w:rFonts w:ascii="宋体" w:hAnsi="宋体" w:cs="宋体" w:eastAsia="宋体" w:hint="default"/>
                <w:sz w:val="18"/>
                <w:szCs w:val="18"/>
              </w:rPr>
              <w:t>截至期末 累计投入 金额</w:t>
            </w:r>
            <w:r>
              <w:rPr>
                <w:rFonts w:ascii="Times New Roman" w:hAnsi="Times New Roman" w:cs="Times New Roman" w:eastAsia="Times New Roman" w:hint="default"/>
                <w:sz w:val="18"/>
                <w:szCs w:val="18"/>
              </w:rPr>
              <w:t>(2)</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64" w:right="60" w:firstLine="14"/>
              <w:jc w:val="both"/>
              <w:rPr>
                <w:rFonts w:ascii="Times New Roman" w:hAnsi="Times New Roman" w:cs="Times New Roman" w:eastAsia="Times New Roman" w:hint="default"/>
                <w:sz w:val="18"/>
                <w:szCs w:val="18"/>
              </w:rPr>
            </w:pPr>
            <w:r>
              <w:rPr>
                <w:rFonts w:ascii="宋体" w:hAnsi="宋体" w:cs="宋体" w:eastAsia="宋体" w:hint="default"/>
                <w:sz w:val="18"/>
                <w:szCs w:val="18"/>
              </w:rPr>
              <w:t>截至期 末投资 进度</w:t>
            </w:r>
            <w:r>
              <w:rPr>
                <w:rFonts w:ascii="Times New Roman" w:hAnsi="Times New Roman" w:cs="Times New Roman" w:eastAsia="Times New Roman" w:hint="default"/>
                <w:sz w:val="18"/>
                <w:szCs w:val="18"/>
              </w:rPr>
              <w:t>(3)</w:t>
            </w:r>
          </w:p>
          <w:p>
            <w:pPr>
              <w:pStyle w:val="TableParagraph"/>
              <w:spacing w:line="248" w:lineRule="exact"/>
              <w:ind w:left="24" w:right="0"/>
              <w:jc w:val="both"/>
              <w:rPr>
                <w:rFonts w:ascii="Times New Roman" w:hAnsi="Times New Roman" w:cs="Times New Roman" w:eastAsia="Times New Roman"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(2)/(1)</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79" w:right="77"/>
              <w:jc w:val="center"/>
              <w:rPr>
                <w:rFonts w:ascii="宋体" w:hAnsi="宋体" w:cs="宋体" w:eastAsia="宋体" w:hint="default"/>
                <w:sz w:val="18"/>
                <w:szCs w:val="18"/>
              </w:rPr>
            </w:pPr>
            <w:r>
              <w:rPr>
                <w:rFonts w:ascii="宋体" w:hAnsi="宋体" w:cs="宋体" w:eastAsia="宋体" w:hint="default"/>
                <w:sz w:val="18"/>
                <w:szCs w:val="18"/>
              </w:rPr>
              <w:t>项目达 到预定 可使用 状态日 期</w:t>
            </w:r>
          </w:p>
        </w:tc>
        <w:tc>
          <w:tcPr>
            <w:tcW w:w="8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6"/>
              <w:ind w:left="59" w:right="62"/>
              <w:jc w:val="center"/>
              <w:rPr>
                <w:rFonts w:ascii="宋体" w:hAnsi="宋体" w:cs="宋体" w:eastAsia="宋体" w:hint="default"/>
                <w:sz w:val="18"/>
                <w:szCs w:val="18"/>
              </w:rPr>
            </w:pPr>
            <w:r>
              <w:rPr>
                <w:rFonts w:ascii="宋体" w:hAnsi="宋体" w:cs="宋体" w:eastAsia="宋体" w:hint="default"/>
                <w:sz w:val="18"/>
                <w:szCs w:val="18"/>
              </w:rPr>
              <w:t>本报告期 实现的效 益</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6"/>
              <w:ind w:left="79" w:right="77"/>
              <w:jc w:val="both"/>
              <w:rPr>
                <w:rFonts w:ascii="宋体" w:hAnsi="宋体" w:cs="宋体" w:eastAsia="宋体" w:hint="default"/>
                <w:sz w:val="18"/>
                <w:szCs w:val="18"/>
              </w:rPr>
            </w:pPr>
            <w:r>
              <w:rPr>
                <w:rFonts w:ascii="宋体" w:hAnsi="宋体" w:cs="宋体" w:eastAsia="宋体" w:hint="default"/>
                <w:sz w:val="18"/>
                <w:szCs w:val="18"/>
              </w:rPr>
              <w:t>是否达 到预计 效益</w:t>
            </w:r>
          </w:p>
        </w:tc>
        <w:tc>
          <w:tcPr>
            <w:tcW w:w="6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43" w:right="43"/>
              <w:jc w:val="center"/>
              <w:rPr>
                <w:rFonts w:ascii="宋体" w:hAnsi="宋体" w:cs="宋体" w:eastAsia="宋体" w:hint="default"/>
                <w:sz w:val="18"/>
                <w:szCs w:val="18"/>
              </w:rPr>
            </w:pPr>
            <w:r>
              <w:rPr>
                <w:rFonts w:ascii="宋体" w:hAnsi="宋体" w:cs="宋体" w:eastAsia="宋体" w:hint="default"/>
                <w:sz w:val="18"/>
                <w:szCs w:val="18"/>
              </w:rPr>
              <w:t>项目可 行性是 否发生 重大变 化</w:t>
            </w:r>
          </w:p>
        </w:tc>
      </w:tr>
      <w:tr>
        <w:trPr>
          <w:trHeight w:val="401" w:hRule="exact"/>
        </w:trPr>
        <w:tc>
          <w:tcPr>
            <w:tcW w:w="9570"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承诺投资项目</w:t>
            </w:r>
          </w:p>
        </w:tc>
      </w:tr>
      <w:tr>
        <w:trPr>
          <w:trHeight w:val="403" w:hRule="exact"/>
        </w:trPr>
        <w:tc>
          <w:tcPr>
            <w:tcW w:w="1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补充流动资金</w:t>
            </w:r>
          </w:p>
        </w:tc>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6"/>
                <w:sz w:val="18"/>
              </w:rPr>
              <w:t>5,000.00</w:t>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5"/>
              <w:jc w:val="right"/>
              <w:rPr>
                <w:rFonts w:ascii="Times New Roman" w:hAnsi="Times New Roman" w:cs="Times New Roman" w:eastAsia="Times New Roman" w:hint="default"/>
                <w:sz w:val="18"/>
                <w:szCs w:val="18"/>
              </w:rPr>
            </w:pPr>
            <w:r>
              <w:rPr>
                <w:rFonts w:ascii="Times New Roman"/>
                <w:spacing w:val="-6"/>
                <w:sz w:val="18"/>
              </w:rPr>
              <w:t>5,000.00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6"/>
                <w:sz w:val="18"/>
              </w:rPr>
              <w:t>2,014.90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6"/>
                <w:sz w:val="18"/>
              </w:rPr>
              <w:t>5,000.00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6" w:hRule="exact"/>
        </w:trPr>
        <w:tc>
          <w:tcPr>
            <w:tcW w:w="1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2" w:right="0"/>
              <w:jc w:val="left"/>
              <w:rPr>
                <w:rFonts w:ascii="宋体" w:hAnsi="宋体" w:cs="宋体" w:eastAsia="宋体" w:hint="default"/>
                <w:sz w:val="18"/>
                <w:szCs w:val="18"/>
              </w:rPr>
            </w:pPr>
            <w:r>
              <w:rPr>
                <w:rFonts w:ascii="宋体" w:hAnsi="宋体" w:cs="宋体" w:eastAsia="宋体" w:hint="default"/>
                <w:sz w:val="18"/>
                <w:szCs w:val="18"/>
              </w:rPr>
              <w:t>承诺投资项目小计</w:t>
            </w:r>
          </w:p>
        </w:tc>
        <w:tc>
          <w:tcPr>
            <w:tcW w:w="6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05"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6"/>
                <w:sz w:val="18"/>
              </w:rPr>
              <w:t>5,000.00</w:t>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5"/>
              <w:jc w:val="right"/>
              <w:rPr>
                <w:rFonts w:ascii="Times New Roman" w:hAnsi="Times New Roman" w:cs="Times New Roman" w:eastAsia="Times New Roman" w:hint="default"/>
                <w:sz w:val="18"/>
                <w:szCs w:val="18"/>
              </w:rPr>
            </w:pPr>
            <w:r>
              <w:rPr>
                <w:rFonts w:ascii="Times New Roman"/>
                <w:spacing w:val="-6"/>
                <w:sz w:val="18"/>
              </w:rPr>
              <w:t>5,000.00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6"/>
                <w:sz w:val="18"/>
              </w:rPr>
              <w:t>2,014.90</w:t>
            </w:r>
          </w:p>
        </w:tc>
        <w:tc>
          <w:tcPr>
            <w:tcW w:w="852"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6"/>
              <w:jc w:val="right"/>
              <w:rPr>
                <w:rFonts w:ascii="Times New Roman" w:hAnsi="Times New Roman" w:cs="Times New Roman" w:eastAsia="Times New Roman" w:hint="default"/>
                <w:sz w:val="18"/>
                <w:szCs w:val="18"/>
              </w:rPr>
            </w:pPr>
            <w:r>
              <w:rPr>
                <w:rFonts w:ascii="Times New Roman"/>
                <w:spacing w:val="-6"/>
                <w:sz w:val="18"/>
              </w:rPr>
              <w:t>5,000.00</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3" w:type="dxa"/>
            <w:tcBorders>
              <w:top w:val="single" w:sz="4" w:space="0" w:color="000000"/>
              <w:left w:val="single" w:sz="10" w:space="0" w:color="D2D2D2"/>
              <w:bottom w:val="single" w:sz="4" w:space="0" w:color="000000"/>
              <w:right w:val="single" w:sz="10" w:space="0" w:color="D2D2D2"/>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pacing w:val="-1"/>
                <w:sz w:val="18"/>
              </w:rPr>
              <w:t>0.00</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98" w:hRule="exact"/>
        </w:trPr>
        <w:tc>
          <w:tcPr>
            <w:tcW w:w="9570"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22" w:right="0"/>
              <w:jc w:val="left"/>
              <w:rPr>
                <w:rFonts w:ascii="宋体" w:hAnsi="宋体" w:cs="宋体" w:eastAsia="宋体" w:hint="default"/>
                <w:sz w:val="18"/>
                <w:szCs w:val="18"/>
              </w:rPr>
            </w:pPr>
            <w:r>
              <w:rPr>
                <w:rFonts w:ascii="宋体" w:hAnsi="宋体" w:cs="宋体" w:eastAsia="宋体" w:hint="default"/>
                <w:sz w:val="18"/>
                <w:szCs w:val="18"/>
              </w:rPr>
              <w:t>超募资金投向</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1742"/>
        <w:gridCol w:w="174"/>
        <w:gridCol w:w="472"/>
        <w:gridCol w:w="916"/>
        <w:gridCol w:w="938"/>
        <w:gridCol w:w="850"/>
        <w:gridCol w:w="852"/>
        <w:gridCol w:w="709"/>
        <w:gridCol w:w="696"/>
        <w:gridCol w:w="865"/>
        <w:gridCol w:w="708"/>
        <w:gridCol w:w="637"/>
      </w:tblGrid>
      <w:tr>
        <w:trPr>
          <w:trHeight w:val="401" w:hRule="exact"/>
        </w:trPr>
        <w:tc>
          <w:tcPr>
            <w:tcW w:w="17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归还银行贷款（如有</w:t>
            </w:r>
          </w:p>
        </w:tc>
        <w:tc>
          <w:tcPr>
            <w:tcW w:w="174" w:type="dxa"/>
            <w:tcBorders>
              <w:top w:val="single" w:sz="4" w:space="0" w:color="000000"/>
              <w:left w:val="single" w:sz="4" w:space="0" w:color="000000"/>
              <w:bottom w:val="single" w:sz="4" w:space="0" w:color="000000"/>
              <w:right w:val="nil" w:sz="6" w:space="0" w:color="auto"/>
            </w:tcBorders>
            <w:shd w:val="clear" w:color="auto" w:fill="D2D2D2"/>
          </w:tcPr>
          <w:p>
            <w:pPr>
              <w:pStyle w:val="TableParagraph"/>
              <w:spacing w:line="240" w:lineRule="auto" w:before="49"/>
              <w:ind w:left="-112" w:right="0"/>
              <w:jc w:val="left"/>
              <w:rPr>
                <w:rFonts w:ascii="宋体" w:hAnsi="宋体" w:cs="宋体" w:eastAsia="宋体" w:hint="default"/>
                <w:sz w:val="18"/>
                <w:szCs w:val="18"/>
              </w:rPr>
            </w:pPr>
            <w:r>
              <w:rPr>
                <w:rFonts w:ascii="宋体" w:hAnsi="宋体" w:cs="宋体" w:eastAsia="宋体" w:hint="default"/>
                <w:sz w:val="18"/>
                <w:szCs w:val="18"/>
              </w:rPr>
              <w:t>）</w:t>
            </w:r>
          </w:p>
        </w:tc>
        <w:tc>
          <w:tcPr>
            <w:tcW w:w="472" w:type="dxa"/>
            <w:tcBorders>
              <w:top w:val="single" w:sz="4" w:space="0" w:color="000000"/>
              <w:left w:val="nil" w:sz="6" w:space="0" w:color="auto"/>
              <w:bottom w:val="single" w:sz="4" w:space="0" w:color="000000"/>
              <w:right w:val="single" w:sz="4" w:space="0" w:color="000000"/>
            </w:tcBorders>
            <w:shd w:val="clear" w:color="auto" w:fill="D2D2D2"/>
          </w:tcPr>
          <w:p>
            <w:pPr>
              <w:pStyle w:val="TableParagraph"/>
              <w:spacing w:line="240" w:lineRule="auto" w:before="91"/>
              <w:ind w:left="100" w:right="0"/>
              <w:jc w:val="left"/>
              <w:rPr>
                <w:rFonts w:ascii="Times New Roman" w:hAnsi="Times New Roman" w:cs="Times New Roman" w:eastAsia="Times New Roman" w:hint="default"/>
                <w:sz w:val="18"/>
                <w:szCs w:val="18"/>
              </w:rPr>
            </w:pPr>
            <w:r>
              <w:rPr>
                <w:rFonts w:ascii="Times New Roman"/>
                <w:sz w:val="18"/>
              </w:rPr>
              <w:t>--</w:t>
            </w:r>
          </w:p>
        </w:tc>
        <w:tc>
          <w:tcPr>
            <w:tcW w:w="9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0.00</w:t>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709"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8"/>
              <w:jc w:val="right"/>
              <w:rPr>
                <w:rFonts w:ascii="Times New Roman" w:hAnsi="Times New Roman" w:cs="Times New Roman" w:eastAsia="Times New Roman" w:hint="default"/>
                <w:sz w:val="18"/>
                <w:szCs w:val="18"/>
              </w:rPr>
            </w:pPr>
            <w:r>
              <w:rPr>
                <w:rFonts w:ascii="Times New Roman"/>
                <w:sz w:val="18"/>
              </w:rPr>
              <w:t>0.00%</w:t>
            </w:r>
          </w:p>
        </w:tc>
        <w:tc>
          <w:tcPr>
            <w:tcW w:w="6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2" w:right="0"/>
              <w:jc w:val="center"/>
              <w:rPr>
                <w:rFonts w:ascii="Times New Roman" w:hAnsi="Times New Roman" w:cs="Times New Roman" w:eastAsia="Times New Roman" w:hint="default"/>
                <w:sz w:val="18"/>
                <w:szCs w:val="18"/>
              </w:rPr>
            </w:pPr>
            <w:r>
              <w:rPr>
                <w:rFonts w:ascii="Times New Roman"/>
                <w:sz w:val="18"/>
              </w:rPr>
              <w:t>--</w:t>
            </w:r>
          </w:p>
        </w:tc>
        <w:tc>
          <w:tcPr>
            <w:tcW w:w="8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370" w:right="0"/>
              <w:jc w:val="left"/>
              <w:rPr>
                <w:rFonts w:ascii="Times New Roman" w:hAnsi="Times New Roman" w:cs="Times New Roman" w:eastAsia="Times New Roman" w:hint="default"/>
                <w:sz w:val="18"/>
                <w:szCs w:val="18"/>
              </w:rPr>
            </w:pPr>
            <w:r>
              <w:rPr>
                <w:rFonts w:ascii="Times New Roman"/>
                <w:sz w:val="18"/>
              </w:rPr>
              <w:t>--</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r>
        <w:trPr>
          <w:trHeight w:val="403" w:hRule="exact"/>
        </w:trPr>
        <w:tc>
          <w:tcPr>
            <w:tcW w:w="17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补充流动资金（如有</w:t>
            </w:r>
          </w:p>
        </w:tc>
        <w:tc>
          <w:tcPr>
            <w:tcW w:w="174" w:type="dxa"/>
            <w:tcBorders>
              <w:top w:val="single" w:sz="4" w:space="0" w:color="000000"/>
              <w:left w:val="single" w:sz="4" w:space="0" w:color="000000"/>
              <w:bottom w:val="single" w:sz="4" w:space="0" w:color="000000"/>
              <w:right w:val="nil" w:sz="6" w:space="0" w:color="auto"/>
            </w:tcBorders>
            <w:shd w:val="clear" w:color="auto" w:fill="D2D2D2"/>
          </w:tcPr>
          <w:p>
            <w:pPr>
              <w:pStyle w:val="TableParagraph"/>
              <w:spacing w:line="240" w:lineRule="auto" w:before="51"/>
              <w:ind w:left="-112" w:right="0"/>
              <w:jc w:val="left"/>
              <w:rPr>
                <w:rFonts w:ascii="宋体" w:hAnsi="宋体" w:cs="宋体" w:eastAsia="宋体" w:hint="default"/>
                <w:sz w:val="18"/>
                <w:szCs w:val="18"/>
              </w:rPr>
            </w:pPr>
            <w:r>
              <w:rPr>
                <w:rFonts w:ascii="宋体" w:hAnsi="宋体" w:cs="宋体" w:eastAsia="宋体" w:hint="default"/>
                <w:sz w:val="18"/>
                <w:szCs w:val="18"/>
              </w:rPr>
              <w:t>）</w:t>
            </w:r>
          </w:p>
        </w:tc>
        <w:tc>
          <w:tcPr>
            <w:tcW w:w="472" w:type="dxa"/>
            <w:tcBorders>
              <w:top w:val="single" w:sz="4" w:space="0" w:color="000000"/>
              <w:left w:val="nil" w:sz="6" w:space="0" w:color="auto"/>
              <w:bottom w:val="single" w:sz="4" w:space="0" w:color="000000"/>
              <w:right w:val="single" w:sz="4" w:space="0" w:color="000000"/>
            </w:tcBorders>
            <w:shd w:val="clear" w:color="auto" w:fill="D2D2D2"/>
          </w:tcPr>
          <w:p>
            <w:pPr>
              <w:pStyle w:val="TableParagraph"/>
              <w:spacing w:line="240" w:lineRule="auto" w:before="93"/>
              <w:ind w:left="100" w:right="0"/>
              <w:jc w:val="left"/>
              <w:rPr>
                <w:rFonts w:ascii="Times New Roman" w:hAnsi="Times New Roman" w:cs="Times New Roman" w:eastAsia="Times New Roman" w:hint="default"/>
                <w:sz w:val="18"/>
                <w:szCs w:val="18"/>
              </w:rPr>
            </w:pPr>
            <w:r>
              <w:rPr>
                <w:rFonts w:ascii="Times New Roman"/>
                <w:sz w:val="18"/>
              </w:rPr>
              <w:t>--</w:t>
            </w:r>
          </w:p>
        </w:tc>
        <w:tc>
          <w:tcPr>
            <w:tcW w:w="9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z w:val="18"/>
              </w:rPr>
              <w:t>0.00</w:t>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z w:val="18"/>
              </w:rPr>
              <w:t>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0.00</w:t>
            </w:r>
          </w:p>
        </w:tc>
        <w:tc>
          <w:tcPr>
            <w:tcW w:w="709"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3"/>
              <w:ind w:right="8"/>
              <w:jc w:val="right"/>
              <w:rPr>
                <w:rFonts w:ascii="Times New Roman" w:hAnsi="Times New Roman" w:cs="Times New Roman" w:eastAsia="Times New Roman" w:hint="default"/>
                <w:sz w:val="18"/>
                <w:szCs w:val="18"/>
              </w:rPr>
            </w:pPr>
            <w:r>
              <w:rPr>
                <w:rFonts w:ascii="Times New Roman"/>
                <w:sz w:val="18"/>
              </w:rPr>
              <w:t>0.00%</w:t>
            </w:r>
          </w:p>
        </w:tc>
        <w:tc>
          <w:tcPr>
            <w:tcW w:w="6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left="12" w:right="0"/>
              <w:jc w:val="center"/>
              <w:rPr>
                <w:rFonts w:ascii="Times New Roman" w:hAnsi="Times New Roman" w:cs="Times New Roman" w:eastAsia="Times New Roman" w:hint="default"/>
                <w:sz w:val="18"/>
                <w:szCs w:val="18"/>
              </w:rPr>
            </w:pPr>
            <w:r>
              <w:rPr>
                <w:rFonts w:ascii="Times New Roman"/>
                <w:sz w:val="18"/>
              </w:rPr>
              <w:t>--</w:t>
            </w:r>
          </w:p>
        </w:tc>
        <w:tc>
          <w:tcPr>
            <w:tcW w:w="8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left="370" w:right="0"/>
              <w:jc w:val="left"/>
              <w:rPr>
                <w:rFonts w:ascii="Times New Roman" w:hAnsi="Times New Roman" w:cs="Times New Roman" w:eastAsia="Times New Roman" w:hint="default"/>
                <w:sz w:val="18"/>
                <w:szCs w:val="18"/>
              </w:rPr>
            </w:pPr>
            <w:r>
              <w:rPr>
                <w:rFonts w:ascii="Times New Roman"/>
                <w:sz w:val="18"/>
              </w:rPr>
              <w:t>--</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w:t>
            </w:r>
          </w:p>
        </w:tc>
        <w:tc>
          <w:tcPr>
            <w:tcW w:w="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1"/>
              <w:jc w:val="center"/>
              <w:rPr>
                <w:rFonts w:ascii="Times New Roman" w:hAnsi="Times New Roman" w:cs="Times New Roman" w:eastAsia="Times New Roman" w:hint="default"/>
                <w:sz w:val="18"/>
                <w:szCs w:val="18"/>
              </w:rPr>
            </w:pPr>
            <w:r>
              <w:rPr>
                <w:rFonts w:ascii="Times New Roman"/>
                <w:sz w:val="18"/>
              </w:rPr>
              <w:t>--</w:t>
            </w:r>
          </w:p>
        </w:tc>
      </w:tr>
      <w:tr>
        <w:trPr>
          <w:trHeight w:val="401" w:hRule="exact"/>
        </w:trPr>
        <w:tc>
          <w:tcPr>
            <w:tcW w:w="17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超募资金投向小计</w:t>
            </w:r>
          </w:p>
        </w:tc>
        <w:tc>
          <w:tcPr>
            <w:tcW w:w="64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4" w:right="0"/>
              <w:jc w:val="center"/>
              <w:rPr>
                <w:rFonts w:ascii="Times New Roman" w:hAnsi="Times New Roman" w:cs="Times New Roman" w:eastAsia="Times New Roman" w:hint="default"/>
                <w:sz w:val="18"/>
                <w:szCs w:val="18"/>
              </w:rPr>
            </w:pPr>
            <w:r>
              <w:rPr>
                <w:rFonts w:ascii="Times New Roman"/>
                <w:sz w:val="18"/>
              </w:rPr>
              <w:t>--</w:t>
            </w:r>
          </w:p>
        </w:tc>
        <w:tc>
          <w:tcPr>
            <w:tcW w:w="9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0.00</w:t>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0.00</w:t>
            </w:r>
          </w:p>
        </w:tc>
        <w:tc>
          <w:tcPr>
            <w:tcW w:w="852"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8"/>
              <w:jc w:val="right"/>
              <w:rPr>
                <w:rFonts w:ascii="Times New Roman" w:hAnsi="Times New Roman" w:cs="Times New Roman" w:eastAsia="Times New Roman" w:hint="default"/>
                <w:sz w:val="18"/>
                <w:szCs w:val="18"/>
              </w:rPr>
            </w:pPr>
            <w:r>
              <w:rPr>
                <w:rFonts w:ascii="Times New Roman"/>
                <w:sz w:val="18"/>
              </w:rPr>
              <w:t>0.00</w:t>
            </w:r>
          </w:p>
        </w:tc>
        <w:tc>
          <w:tcPr>
            <w:tcW w:w="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c>
          <w:tcPr>
            <w:tcW w:w="6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2" w:right="0"/>
              <w:jc w:val="center"/>
              <w:rPr>
                <w:rFonts w:ascii="Times New Roman" w:hAnsi="Times New Roman" w:cs="Times New Roman" w:eastAsia="Times New Roman" w:hint="default"/>
                <w:sz w:val="18"/>
                <w:szCs w:val="18"/>
              </w:rPr>
            </w:pPr>
            <w:r>
              <w:rPr>
                <w:rFonts w:ascii="Times New Roman"/>
                <w:sz w:val="18"/>
              </w:rPr>
              <w:t>--</w:t>
            </w:r>
          </w:p>
        </w:tc>
        <w:tc>
          <w:tcPr>
            <w:tcW w:w="865" w:type="dxa"/>
            <w:tcBorders>
              <w:top w:val="single" w:sz="4" w:space="0" w:color="000000"/>
              <w:left w:val="single" w:sz="10" w:space="0" w:color="D2D2D2"/>
              <w:bottom w:val="single" w:sz="4" w:space="0" w:color="000000"/>
              <w:right w:val="single" w:sz="10" w:space="0" w:color="D2D2D2"/>
            </w:tcBorders>
          </w:tcPr>
          <w:p>
            <w:pPr>
              <w:pStyle w:val="TableParagraph"/>
              <w:spacing w:line="240" w:lineRule="auto" w:before="91"/>
              <w:ind w:right="15"/>
              <w:jc w:val="right"/>
              <w:rPr>
                <w:rFonts w:ascii="Times New Roman" w:hAnsi="Times New Roman" w:cs="Times New Roman" w:eastAsia="Times New Roman" w:hint="default"/>
                <w:sz w:val="18"/>
                <w:szCs w:val="18"/>
              </w:rPr>
            </w:pPr>
            <w:r>
              <w:rPr>
                <w:rFonts w:ascii="Times New Roman"/>
                <w:spacing w:val="-1"/>
                <w:sz w:val="18"/>
              </w:rPr>
              <w:t>0.00</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r>
        <w:trPr>
          <w:trHeight w:val="403" w:hRule="exact"/>
        </w:trPr>
        <w:tc>
          <w:tcPr>
            <w:tcW w:w="17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64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left="24" w:right="0"/>
              <w:jc w:val="center"/>
              <w:rPr>
                <w:rFonts w:ascii="Times New Roman" w:hAnsi="Times New Roman" w:cs="Times New Roman" w:eastAsia="Times New Roman" w:hint="default"/>
                <w:sz w:val="18"/>
                <w:szCs w:val="18"/>
              </w:rPr>
            </w:pPr>
            <w:r>
              <w:rPr>
                <w:rFonts w:ascii="Times New Roman"/>
                <w:sz w:val="18"/>
              </w:rPr>
              <w:t>--</w:t>
            </w:r>
          </w:p>
        </w:tc>
        <w:tc>
          <w:tcPr>
            <w:tcW w:w="91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6"/>
                <w:sz w:val="18"/>
              </w:rPr>
              <w:t>5,000.00</w:t>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5"/>
              <w:jc w:val="right"/>
              <w:rPr>
                <w:rFonts w:ascii="Times New Roman" w:hAnsi="Times New Roman" w:cs="Times New Roman" w:eastAsia="Times New Roman" w:hint="default"/>
                <w:sz w:val="18"/>
                <w:szCs w:val="18"/>
              </w:rPr>
            </w:pPr>
            <w:r>
              <w:rPr>
                <w:rFonts w:ascii="Times New Roman"/>
                <w:spacing w:val="-6"/>
                <w:sz w:val="18"/>
              </w:rPr>
              <w:t>5,000.00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pacing w:val="-6"/>
                <w:sz w:val="18"/>
              </w:rPr>
              <w:t>2,014.90</w:t>
            </w:r>
          </w:p>
        </w:tc>
        <w:tc>
          <w:tcPr>
            <w:tcW w:w="852"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3"/>
              <w:ind w:right="6"/>
              <w:jc w:val="right"/>
              <w:rPr>
                <w:rFonts w:ascii="Times New Roman" w:hAnsi="Times New Roman" w:cs="Times New Roman" w:eastAsia="Times New Roman" w:hint="default"/>
                <w:sz w:val="18"/>
                <w:szCs w:val="18"/>
              </w:rPr>
            </w:pPr>
            <w:r>
              <w:rPr>
                <w:rFonts w:ascii="Times New Roman"/>
                <w:spacing w:val="-6"/>
                <w:sz w:val="18"/>
              </w:rPr>
              <w:t>5,000.00</w:t>
            </w:r>
          </w:p>
        </w:tc>
        <w:tc>
          <w:tcPr>
            <w:tcW w:w="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left="9"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65" w:type="dxa"/>
            <w:tcBorders>
              <w:top w:val="single" w:sz="4" w:space="0" w:color="000000"/>
              <w:left w:val="single" w:sz="10" w:space="0" w:color="D2D2D2"/>
              <w:bottom w:val="single" w:sz="4" w:space="0" w:color="000000"/>
              <w:right w:val="single" w:sz="10" w:space="0" w:color="D2D2D2"/>
            </w:tcBorders>
          </w:tcPr>
          <w:p>
            <w:pPr>
              <w:pStyle w:val="TableParagraph"/>
              <w:spacing w:line="240" w:lineRule="auto" w:before="93"/>
              <w:ind w:right="15"/>
              <w:jc w:val="right"/>
              <w:rPr>
                <w:rFonts w:ascii="Times New Roman" w:hAnsi="Times New Roman" w:cs="Times New Roman" w:eastAsia="Times New Roman" w:hint="default"/>
                <w:sz w:val="18"/>
                <w:szCs w:val="18"/>
              </w:rPr>
            </w:pPr>
            <w:r>
              <w:rPr>
                <w:rFonts w:ascii="Times New Roman"/>
                <w:spacing w:val="-1"/>
                <w:sz w:val="18"/>
              </w:rPr>
              <w:t>0.00</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37"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1025" w:hRule="exact"/>
        </w:trPr>
        <w:tc>
          <w:tcPr>
            <w:tcW w:w="17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99"/>
              <w:jc w:val="left"/>
              <w:rPr>
                <w:rFonts w:ascii="宋体" w:hAnsi="宋体" w:cs="宋体" w:eastAsia="宋体" w:hint="default"/>
                <w:sz w:val="18"/>
                <w:szCs w:val="18"/>
              </w:rPr>
            </w:pPr>
            <w:r>
              <w:rPr>
                <w:rFonts w:ascii="宋体" w:hAnsi="宋体" w:cs="宋体" w:eastAsia="宋体" w:hint="default"/>
                <w:sz w:val="18"/>
                <w:szCs w:val="18"/>
              </w:rPr>
              <w:t>未达到计划进度或预 计收益的情况和原因</w:t>
            </w:r>
          </w:p>
          <w:p>
            <w:pPr>
              <w:pStyle w:val="TableParagraph"/>
              <w:spacing w:line="240" w:lineRule="auto" w:before="19"/>
              <w:ind w:left="12" w:right="0"/>
              <w:jc w:val="left"/>
              <w:rPr>
                <w:rFonts w:ascii="宋体" w:hAnsi="宋体" w:cs="宋体" w:eastAsia="宋体" w:hint="default"/>
                <w:sz w:val="18"/>
                <w:szCs w:val="18"/>
              </w:rPr>
            </w:pPr>
            <w:r>
              <w:rPr>
                <w:rFonts w:ascii="宋体" w:hAnsi="宋体" w:cs="宋体" w:eastAsia="宋体" w:hint="default"/>
                <w:sz w:val="18"/>
                <w:szCs w:val="18"/>
              </w:rPr>
              <w:t>（分具体项目）</w:t>
            </w:r>
          </w:p>
        </w:tc>
        <w:tc>
          <w:tcPr>
            <w:tcW w:w="7817" w:type="dxa"/>
            <w:gridSpan w:val="11"/>
            <w:tcBorders>
              <w:top w:val="single" w:sz="4" w:space="0" w:color="000000"/>
              <w:left w:val="single" w:sz="12"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无此情况</w:t>
            </w:r>
          </w:p>
        </w:tc>
      </w:tr>
      <w:tr>
        <w:trPr>
          <w:trHeight w:val="715" w:hRule="exact"/>
        </w:trPr>
        <w:tc>
          <w:tcPr>
            <w:tcW w:w="17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99"/>
              <w:jc w:val="left"/>
              <w:rPr>
                <w:rFonts w:ascii="宋体" w:hAnsi="宋体" w:cs="宋体" w:eastAsia="宋体" w:hint="default"/>
                <w:sz w:val="18"/>
                <w:szCs w:val="18"/>
              </w:rPr>
            </w:pPr>
            <w:r>
              <w:rPr>
                <w:rFonts w:ascii="宋体" w:hAnsi="宋体" w:cs="宋体" w:eastAsia="宋体" w:hint="default"/>
                <w:sz w:val="18"/>
                <w:szCs w:val="18"/>
              </w:rPr>
              <w:t>项目可行性发生重大 变化的情况说明</w:t>
            </w:r>
          </w:p>
        </w:tc>
        <w:tc>
          <w:tcPr>
            <w:tcW w:w="7817" w:type="dxa"/>
            <w:gridSpan w:val="11"/>
            <w:tcBorders>
              <w:top w:val="single" w:sz="4" w:space="0" w:color="000000"/>
              <w:left w:val="single" w:sz="12"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无重大变化</w:t>
            </w:r>
          </w:p>
        </w:tc>
      </w:tr>
      <w:tr>
        <w:trPr>
          <w:trHeight w:val="713" w:hRule="exact"/>
        </w:trPr>
        <w:tc>
          <w:tcPr>
            <w:tcW w:w="17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12" w:right="99"/>
              <w:jc w:val="left"/>
              <w:rPr>
                <w:rFonts w:ascii="宋体" w:hAnsi="宋体" w:cs="宋体" w:eastAsia="宋体" w:hint="default"/>
                <w:sz w:val="18"/>
                <w:szCs w:val="18"/>
              </w:rPr>
            </w:pPr>
            <w:r>
              <w:rPr>
                <w:rFonts w:ascii="宋体" w:hAnsi="宋体" w:cs="宋体" w:eastAsia="宋体" w:hint="default"/>
                <w:sz w:val="18"/>
                <w:szCs w:val="18"/>
              </w:rPr>
              <w:t>超募资金的金额、用 途及使用进展情况</w:t>
            </w:r>
          </w:p>
        </w:tc>
        <w:tc>
          <w:tcPr>
            <w:tcW w:w="7817" w:type="dxa"/>
            <w:gridSpan w:val="11"/>
            <w:tcBorders>
              <w:top w:val="single" w:sz="4" w:space="0" w:color="000000"/>
              <w:left w:val="single" w:sz="12" w:space="0" w:color="D2D2D2"/>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715" w:hRule="exact"/>
        </w:trPr>
        <w:tc>
          <w:tcPr>
            <w:tcW w:w="17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99"/>
              <w:jc w:val="left"/>
              <w:rPr>
                <w:rFonts w:ascii="宋体" w:hAnsi="宋体" w:cs="宋体" w:eastAsia="宋体" w:hint="default"/>
                <w:sz w:val="18"/>
                <w:szCs w:val="18"/>
              </w:rPr>
            </w:pPr>
            <w:r>
              <w:rPr>
                <w:rFonts w:ascii="宋体" w:hAnsi="宋体" w:cs="宋体" w:eastAsia="宋体" w:hint="default"/>
                <w:sz w:val="18"/>
                <w:szCs w:val="18"/>
              </w:rPr>
              <w:t>募集资金投资项目实 施地点变更情况</w:t>
            </w:r>
          </w:p>
        </w:tc>
        <w:tc>
          <w:tcPr>
            <w:tcW w:w="7817" w:type="dxa"/>
            <w:gridSpan w:val="11"/>
            <w:tcBorders>
              <w:top w:val="single" w:sz="4" w:space="0" w:color="000000"/>
              <w:left w:val="single" w:sz="12"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713" w:hRule="exact"/>
        </w:trPr>
        <w:tc>
          <w:tcPr>
            <w:tcW w:w="17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99"/>
              <w:jc w:val="left"/>
              <w:rPr>
                <w:rFonts w:ascii="宋体" w:hAnsi="宋体" w:cs="宋体" w:eastAsia="宋体" w:hint="default"/>
                <w:sz w:val="18"/>
                <w:szCs w:val="18"/>
              </w:rPr>
            </w:pPr>
            <w:r>
              <w:rPr>
                <w:rFonts w:ascii="宋体" w:hAnsi="宋体" w:cs="宋体" w:eastAsia="宋体" w:hint="default"/>
                <w:sz w:val="18"/>
                <w:szCs w:val="18"/>
              </w:rPr>
              <w:t>募集资金投资项目实 施方式调整情况</w:t>
            </w:r>
          </w:p>
        </w:tc>
        <w:tc>
          <w:tcPr>
            <w:tcW w:w="7817" w:type="dxa"/>
            <w:gridSpan w:val="11"/>
            <w:tcBorders>
              <w:top w:val="single" w:sz="4" w:space="0" w:color="000000"/>
              <w:left w:val="single" w:sz="12" w:space="0" w:color="D2D2D2"/>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715" w:hRule="exact"/>
        </w:trPr>
        <w:tc>
          <w:tcPr>
            <w:tcW w:w="17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99"/>
              <w:jc w:val="left"/>
              <w:rPr>
                <w:rFonts w:ascii="宋体" w:hAnsi="宋体" w:cs="宋体" w:eastAsia="宋体" w:hint="default"/>
                <w:sz w:val="18"/>
                <w:szCs w:val="18"/>
              </w:rPr>
            </w:pPr>
            <w:r>
              <w:rPr>
                <w:rFonts w:ascii="宋体" w:hAnsi="宋体" w:cs="宋体" w:eastAsia="宋体" w:hint="default"/>
                <w:sz w:val="18"/>
                <w:szCs w:val="18"/>
              </w:rPr>
              <w:t>募集资金投资项目先 期投入及置换情况</w:t>
            </w:r>
          </w:p>
        </w:tc>
        <w:tc>
          <w:tcPr>
            <w:tcW w:w="7817" w:type="dxa"/>
            <w:gridSpan w:val="11"/>
            <w:tcBorders>
              <w:top w:val="single" w:sz="4" w:space="0" w:color="000000"/>
              <w:left w:val="single" w:sz="12"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713" w:hRule="exact"/>
        </w:trPr>
        <w:tc>
          <w:tcPr>
            <w:tcW w:w="17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99"/>
              <w:jc w:val="left"/>
              <w:rPr>
                <w:rFonts w:ascii="宋体" w:hAnsi="宋体" w:cs="宋体" w:eastAsia="宋体" w:hint="default"/>
                <w:sz w:val="18"/>
                <w:szCs w:val="18"/>
              </w:rPr>
            </w:pPr>
            <w:r>
              <w:rPr>
                <w:rFonts w:ascii="宋体" w:hAnsi="宋体" w:cs="宋体" w:eastAsia="宋体" w:hint="default"/>
                <w:sz w:val="18"/>
                <w:szCs w:val="18"/>
              </w:rPr>
              <w:t>用闲置募集资金暂时 补充流动资金情况</w:t>
            </w:r>
          </w:p>
        </w:tc>
        <w:tc>
          <w:tcPr>
            <w:tcW w:w="7817" w:type="dxa"/>
            <w:gridSpan w:val="11"/>
            <w:tcBorders>
              <w:top w:val="single" w:sz="4" w:space="0" w:color="000000"/>
              <w:left w:val="single" w:sz="12" w:space="0" w:color="D2D2D2"/>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716" w:hRule="exact"/>
        </w:trPr>
        <w:tc>
          <w:tcPr>
            <w:tcW w:w="17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99"/>
              <w:jc w:val="left"/>
              <w:rPr>
                <w:rFonts w:ascii="宋体" w:hAnsi="宋体" w:cs="宋体" w:eastAsia="宋体" w:hint="default"/>
                <w:sz w:val="18"/>
                <w:szCs w:val="18"/>
              </w:rPr>
            </w:pPr>
            <w:r>
              <w:rPr>
                <w:rFonts w:ascii="宋体" w:hAnsi="宋体" w:cs="宋体" w:eastAsia="宋体" w:hint="default"/>
                <w:sz w:val="18"/>
                <w:szCs w:val="18"/>
              </w:rPr>
              <w:t>项目实施出现募集资 金结余的金额及原因</w:t>
            </w:r>
          </w:p>
        </w:tc>
        <w:tc>
          <w:tcPr>
            <w:tcW w:w="7817" w:type="dxa"/>
            <w:gridSpan w:val="11"/>
            <w:tcBorders>
              <w:top w:val="single" w:sz="4" w:space="0" w:color="000000"/>
              <w:left w:val="single" w:sz="12"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161" w:hRule="exact"/>
        </w:trPr>
        <w:tc>
          <w:tcPr>
            <w:tcW w:w="1742" w:type="dxa"/>
            <w:tcBorders>
              <w:top w:val="single" w:sz="4" w:space="0" w:color="000000"/>
              <w:left w:val="single" w:sz="4" w:space="0" w:color="000000"/>
              <w:bottom w:val="nil" w:sz="6" w:space="0" w:color="auto"/>
              <w:right w:val="single" w:sz="4" w:space="0" w:color="000000"/>
            </w:tcBorders>
            <w:shd w:val="clear" w:color="auto" w:fill="D2D2D2"/>
          </w:tcPr>
          <w:p>
            <w:pPr/>
          </w:p>
        </w:tc>
        <w:tc>
          <w:tcPr>
            <w:tcW w:w="7817" w:type="dxa"/>
            <w:gridSpan w:val="11"/>
            <w:vMerge w:val="restart"/>
            <w:tcBorders>
              <w:top w:val="single" w:sz="4" w:space="0" w:color="000000"/>
              <w:left w:val="single" w:sz="9" w:space="0" w:color="D2D2D2"/>
              <w:right w:val="single" w:sz="4" w:space="0" w:color="000000"/>
            </w:tcBorders>
          </w:tcPr>
          <w:p>
            <w:pPr>
              <w:pStyle w:val="TableParagraph"/>
              <w:spacing w:line="309" w:lineRule="auto" w:before="49"/>
              <w:ind w:left="28" w:right="21"/>
              <w:jc w:val="both"/>
              <w:rPr>
                <w:rFonts w:ascii="宋体" w:hAnsi="宋体" w:cs="宋体" w:eastAsia="宋体"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 </w:t>
            </w:r>
            <w:r>
              <w:rPr>
                <w:rFonts w:ascii="Times New Roman" w:hAnsi="Times New Roman" w:cs="Times New Roman" w:eastAsia="Times New Roman" w:hint="default"/>
                <w:sz w:val="18"/>
                <w:szCs w:val="18"/>
              </w:rPr>
              <w:t>8 </w:t>
            </w:r>
            <w:r>
              <w:rPr>
                <w:rFonts w:ascii="宋体" w:hAnsi="宋体" w:cs="宋体" w:eastAsia="宋体" w:hint="default"/>
                <w:sz w:val="18"/>
                <w:szCs w:val="18"/>
              </w:rPr>
              <w:t>月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日公司第三届董事会第二十二次会议，审议通过《关于公司符合面向合格投资者 </w:t>
            </w:r>
            <w:r>
              <w:rPr>
                <w:rFonts w:ascii="宋体" w:hAnsi="宋体" w:cs="宋体" w:eastAsia="宋体" w:hint="default"/>
                <w:spacing w:val="-4"/>
                <w:sz w:val="18"/>
                <w:szCs w:val="18"/>
              </w:rPr>
              <w:t>公开发行公司债券条件的议案》，本次公司债券的募集资金拟用于补充公司流动资金。具体募集资金</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用途提请股东大会授权董事会根据公司财务状况与资金需求情况，在上述范围内确定。</w:t>
            </w:r>
          </w:p>
        </w:tc>
      </w:tr>
      <w:tr>
        <w:trPr>
          <w:trHeight w:val="703" w:hRule="exact"/>
        </w:trPr>
        <w:tc>
          <w:tcPr>
            <w:tcW w:w="174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49"/>
              <w:ind w:left="12" w:right="99"/>
              <w:jc w:val="left"/>
              <w:rPr>
                <w:rFonts w:ascii="宋体" w:hAnsi="宋体" w:cs="宋体" w:eastAsia="宋体" w:hint="default"/>
                <w:sz w:val="18"/>
                <w:szCs w:val="18"/>
              </w:rPr>
            </w:pPr>
            <w:r>
              <w:rPr>
                <w:rFonts w:ascii="宋体" w:hAnsi="宋体" w:cs="宋体" w:eastAsia="宋体" w:hint="default"/>
                <w:sz w:val="18"/>
                <w:szCs w:val="18"/>
              </w:rPr>
              <w:t>尚未使用的募集资金 用途及去向</w:t>
            </w:r>
          </w:p>
        </w:tc>
        <w:tc>
          <w:tcPr>
            <w:tcW w:w="7817" w:type="dxa"/>
            <w:gridSpan w:val="11"/>
            <w:vMerge/>
            <w:tcBorders>
              <w:left w:val="single" w:sz="9" w:space="0" w:color="D2D2D2"/>
              <w:right w:val="single" w:sz="4" w:space="0" w:color="000000"/>
            </w:tcBorders>
          </w:tcPr>
          <w:p>
            <w:pPr/>
          </w:p>
        </w:tc>
      </w:tr>
      <w:tr>
        <w:trPr>
          <w:trHeight w:val="161" w:hRule="exact"/>
        </w:trPr>
        <w:tc>
          <w:tcPr>
            <w:tcW w:w="1742" w:type="dxa"/>
            <w:tcBorders>
              <w:top w:val="nil" w:sz="6" w:space="0" w:color="auto"/>
              <w:left w:val="single" w:sz="4" w:space="0" w:color="000000"/>
              <w:bottom w:val="single" w:sz="4" w:space="0" w:color="000000"/>
              <w:right w:val="single" w:sz="4" w:space="0" w:color="000000"/>
            </w:tcBorders>
            <w:shd w:val="clear" w:color="auto" w:fill="D2D2D2"/>
          </w:tcPr>
          <w:p>
            <w:pPr/>
          </w:p>
        </w:tc>
        <w:tc>
          <w:tcPr>
            <w:tcW w:w="7817" w:type="dxa"/>
            <w:gridSpan w:val="11"/>
            <w:vMerge/>
            <w:tcBorders>
              <w:left w:val="single" w:sz="9" w:space="0" w:color="D2D2D2"/>
              <w:bottom w:val="single" w:sz="4" w:space="0" w:color="000000"/>
              <w:right w:val="single" w:sz="4" w:space="0" w:color="000000"/>
            </w:tcBorders>
          </w:tcPr>
          <w:p>
            <w:pPr/>
          </w:p>
        </w:tc>
      </w:tr>
      <w:tr>
        <w:trPr>
          <w:trHeight w:val="1027" w:hRule="exact"/>
        </w:trPr>
        <w:tc>
          <w:tcPr>
            <w:tcW w:w="17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2" w:right="99"/>
              <w:jc w:val="both"/>
              <w:rPr>
                <w:rFonts w:ascii="宋体" w:hAnsi="宋体" w:cs="宋体" w:eastAsia="宋体" w:hint="default"/>
                <w:sz w:val="18"/>
                <w:szCs w:val="18"/>
              </w:rPr>
            </w:pPr>
            <w:r>
              <w:rPr>
                <w:rFonts w:ascii="宋体" w:hAnsi="宋体" w:cs="宋体" w:eastAsia="宋体" w:hint="default"/>
                <w:sz w:val="18"/>
                <w:szCs w:val="18"/>
              </w:rPr>
              <w:t>募集资金使用及披露 中存在的问题或其他 情况</w:t>
            </w:r>
          </w:p>
        </w:tc>
        <w:tc>
          <w:tcPr>
            <w:tcW w:w="7817" w:type="dxa"/>
            <w:gridSpan w:val="11"/>
            <w:tcBorders>
              <w:top w:val="single" w:sz="4" w:space="0" w:color="000000"/>
              <w:left w:val="single" w:sz="12"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t>（</w:t>
      </w:r>
      <w:r>
        <w:rPr>
          <w:rFonts w:ascii="Times New Roman" w:hAnsi="Times New Roman" w:cs="Times New Roman" w:eastAsia="Times New Roman" w:hint="default"/>
        </w:rPr>
        <w:t>3</w:t>
      </w:r>
      <w:r>
        <w:rPr/>
        <w:t>）募集资金变更项目情况</w:t>
      </w:r>
      <w:r>
        <w:rPr>
          <w:b w:val="0"/>
          <w:bCs w:val="0"/>
        </w:rPr>
      </w:r>
    </w:p>
    <w:p>
      <w:pPr>
        <w:spacing w:line="240" w:lineRule="auto" w:before="5"/>
        <w:rPr>
          <w:rFonts w:ascii="宋体" w:hAnsi="宋体" w:cs="宋体" w:eastAsia="宋体" w:hint="default"/>
          <w:b/>
          <w:bCs/>
          <w:sz w:val="26"/>
          <w:szCs w:val="26"/>
        </w:rPr>
      </w:pPr>
    </w:p>
    <w:p>
      <w:pPr>
        <w:pStyle w:val="BodyText"/>
        <w:spacing w:line="338" w:lineRule="auto"/>
        <w:ind w:right="73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公司报告期不存在募集资金变更项目情况。</w:t>
      </w:r>
    </w:p>
    <w:p>
      <w:pPr>
        <w:spacing w:line="240" w:lineRule="auto" w:before="8"/>
        <w:rPr>
          <w:rFonts w:ascii="宋体" w:hAnsi="宋体" w:cs="宋体" w:eastAsia="宋体" w:hint="default"/>
          <w:sz w:val="19"/>
          <w:szCs w:val="19"/>
        </w:rPr>
      </w:pPr>
    </w:p>
    <w:p>
      <w:pPr>
        <w:pStyle w:val="Heading2"/>
        <w:spacing w:line="240" w:lineRule="auto"/>
        <w:ind w:right="982"/>
        <w:jc w:val="left"/>
        <w:rPr>
          <w:b w:val="0"/>
          <w:bCs w:val="0"/>
        </w:rPr>
      </w:pPr>
      <w:r>
        <w:rPr/>
        <w:t>六、重大资产和股权出售</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982"/>
        <w:jc w:val="left"/>
        <w:rPr>
          <w:b w:val="0"/>
          <w:bCs w:val="0"/>
        </w:rPr>
      </w:pPr>
      <w:r>
        <w:rPr>
          <w:rFonts w:ascii="Times New Roman" w:hAnsi="Times New Roman" w:cs="Times New Roman" w:eastAsia="Times New Roman" w:hint="default"/>
        </w:rPr>
        <w:t>1</w:t>
      </w:r>
      <w:r>
        <w:rPr/>
        <w:t>、出售重大资产情况</w:t>
      </w:r>
      <w:r>
        <w:rPr>
          <w:b w:val="0"/>
          <w:bCs w:val="0"/>
        </w:rPr>
      </w:r>
    </w:p>
    <w:p>
      <w:pPr>
        <w:spacing w:line="240" w:lineRule="auto" w:before="2"/>
        <w:rPr>
          <w:rFonts w:ascii="宋体" w:hAnsi="宋体" w:cs="宋体" w:eastAsia="宋体" w:hint="default"/>
          <w:b/>
          <w:bCs/>
          <w:sz w:val="26"/>
          <w:szCs w:val="26"/>
        </w:rPr>
      </w:pPr>
    </w:p>
    <w:p>
      <w:pPr>
        <w:pStyle w:val="BodyText"/>
        <w:spacing w:line="340" w:lineRule="auto"/>
        <w:ind w:right="841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公司报告期未出售重大资产。</w:t>
      </w:r>
    </w:p>
    <w:p>
      <w:pPr>
        <w:spacing w:after="0" w:line="340" w:lineRule="auto"/>
        <w:jc w:val="left"/>
        <w:sectPr>
          <w:pgSz w:w="11910" w:h="16840"/>
          <w:pgMar w:header="745" w:footer="979"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2"/>
        <w:jc w:val="left"/>
        <w:rPr>
          <w:b w:val="0"/>
          <w:bCs w:val="0"/>
        </w:rPr>
      </w:pPr>
      <w:r>
        <w:rPr>
          <w:rFonts w:ascii="Times New Roman" w:hAnsi="Times New Roman" w:cs="Times New Roman" w:eastAsia="Times New Roman" w:hint="default"/>
        </w:rPr>
        <w:t>2</w:t>
      </w:r>
      <w:r>
        <w:rPr/>
        <w:t>、出售重大股权情况</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right="982"/>
        <w:jc w:val="left"/>
      </w:pPr>
      <w:r>
        <w:rPr>
          <w:rFonts w:ascii="Times New Roman" w:hAnsi="Times New Roman" w:cs="Times New Roman" w:eastAsia="Times New Roman" w:hint="default"/>
        </w:rPr>
        <w:t>√</w:t>
      </w:r>
      <w:r>
        <w:rPr/>
        <w:t>适用 </w:t>
      </w:r>
      <w:r>
        <w:rPr>
          <w:rFonts w:ascii="Times New Roman" w:hAnsi="Times New Roman" w:cs="Times New Roman" w:eastAsia="Times New Roman" w:hint="default"/>
        </w:rPr>
        <w:t>□  </w:t>
      </w:r>
      <w:r>
        <w:rPr/>
        <w:t>不适用</w:t>
      </w:r>
    </w:p>
    <w:p>
      <w:pPr>
        <w:spacing w:line="240" w:lineRule="auto" w:before="1"/>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684"/>
        <w:gridCol w:w="684"/>
        <w:gridCol w:w="684"/>
        <w:gridCol w:w="682"/>
        <w:gridCol w:w="685"/>
        <w:gridCol w:w="682"/>
        <w:gridCol w:w="684"/>
        <w:gridCol w:w="684"/>
        <w:gridCol w:w="682"/>
        <w:gridCol w:w="684"/>
        <w:gridCol w:w="682"/>
        <w:gridCol w:w="685"/>
        <w:gridCol w:w="682"/>
        <w:gridCol w:w="684"/>
      </w:tblGrid>
      <w:tr>
        <w:trPr>
          <w:trHeight w:val="3836" w:hRule="exact"/>
        </w:trPr>
        <w:tc>
          <w:tcPr>
            <w:tcW w:w="6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4"/>
                <w:szCs w:val="14"/>
              </w:rPr>
            </w:pPr>
          </w:p>
          <w:p>
            <w:pPr>
              <w:pStyle w:val="TableParagraph"/>
              <w:spacing w:line="316" w:lineRule="auto"/>
              <w:ind w:left="247" w:right="65" w:hanging="181"/>
              <w:jc w:val="left"/>
              <w:rPr>
                <w:rFonts w:ascii="宋体" w:hAnsi="宋体" w:cs="宋体" w:eastAsia="宋体" w:hint="default"/>
                <w:sz w:val="18"/>
                <w:szCs w:val="18"/>
              </w:rPr>
            </w:pPr>
            <w:r>
              <w:rPr>
                <w:rFonts w:ascii="宋体" w:hAnsi="宋体" w:cs="宋体" w:eastAsia="宋体" w:hint="default"/>
                <w:sz w:val="18"/>
                <w:szCs w:val="18"/>
              </w:rPr>
              <w:t>交易对 方</w:t>
            </w:r>
          </w:p>
        </w:tc>
        <w:tc>
          <w:tcPr>
            <w:tcW w:w="6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4"/>
                <w:szCs w:val="14"/>
              </w:rPr>
            </w:pPr>
          </w:p>
          <w:p>
            <w:pPr>
              <w:pStyle w:val="TableParagraph"/>
              <w:spacing w:line="316" w:lineRule="auto"/>
              <w:ind w:left="158" w:right="62" w:hanging="89"/>
              <w:jc w:val="left"/>
              <w:rPr>
                <w:rFonts w:ascii="宋体" w:hAnsi="宋体" w:cs="宋体" w:eastAsia="宋体" w:hint="default"/>
                <w:sz w:val="18"/>
                <w:szCs w:val="18"/>
              </w:rPr>
            </w:pPr>
            <w:r>
              <w:rPr>
                <w:rFonts w:ascii="宋体" w:hAnsi="宋体" w:cs="宋体" w:eastAsia="宋体" w:hint="default"/>
                <w:sz w:val="18"/>
                <w:szCs w:val="18"/>
              </w:rPr>
              <w:t>被出售 股权</w:t>
            </w:r>
          </w:p>
        </w:tc>
        <w:tc>
          <w:tcPr>
            <w:tcW w:w="6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6"/>
                <w:szCs w:val="26"/>
              </w:rPr>
            </w:pPr>
          </w:p>
          <w:p>
            <w:pPr>
              <w:pStyle w:val="TableParagraph"/>
              <w:spacing w:line="240" w:lineRule="auto"/>
              <w:ind w:left="67" w:right="0"/>
              <w:jc w:val="left"/>
              <w:rPr>
                <w:rFonts w:ascii="宋体" w:hAnsi="宋体" w:cs="宋体" w:eastAsia="宋体" w:hint="default"/>
                <w:sz w:val="18"/>
                <w:szCs w:val="18"/>
              </w:rPr>
            </w:pPr>
            <w:r>
              <w:rPr>
                <w:rFonts w:ascii="宋体" w:hAnsi="宋体" w:cs="宋体" w:eastAsia="宋体" w:hint="default"/>
                <w:sz w:val="18"/>
                <w:szCs w:val="18"/>
              </w:rPr>
              <w:t>出售日</w:t>
            </w:r>
          </w:p>
        </w:tc>
        <w:tc>
          <w:tcPr>
            <w:tcW w:w="6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1"/>
                <w:szCs w:val="21"/>
              </w:rPr>
            </w:pPr>
          </w:p>
          <w:p>
            <w:pPr>
              <w:pStyle w:val="TableParagraph"/>
              <w:spacing w:line="316" w:lineRule="auto"/>
              <w:ind w:left="67" w:right="62"/>
              <w:jc w:val="both"/>
              <w:rPr>
                <w:rFonts w:ascii="宋体" w:hAnsi="宋体" w:cs="宋体" w:eastAsia="宋体" w:hint="default"/>
                <w:sz w:val="18"/>
                <w:szCs w:val="18"/>
              </w:rPr>
            </w:pPr>
            <w:r>
              <w:rPr>
                <w:rFonts w:ascii="宋体" w:hAnsi="宋体" w:cs="宋体" w:eastAsia="宋体" w:hint="default"/>
                <w:sz w:val="18"/>
                <w:szCs w:val="18"/>
              </w:rPr>
              <w:t>交易价 格（万 元）</w:t>
            </w:r>
          </w:p>
        </w:tc>
        <w:tc>
          <w:tcPr>
            <w:tcW w:w="6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67" w:right="65"/>
              <w:jc w:val="both"/>
              <w:rPr>
                <w:rFonts w:ascii="宋体" w:hAnsi="宋体" w:cs="宋体" w:eastAsia="宋体" w:hint="default"/>
                <w:sz w:val="18"/>
                <w:szCs w:val="18"/>
              </w:rPr>
            </w:pPr>
            <w:r>
              <w:rPr>
                <w:rFonts w:ascii="宋体" w:hAnsi="宋体" w:cs="宋体" w:eastAsia="宋体" w:hint="default"/>
                <w:sz w:val="18"/>
                <w:szCs w:val="18"/>
              </w:rPr>
              <w:t>本期初 起至出 售日该 股权为 上市公 司贡献 的净利 润（万 元）</w:t>
            </w:r>
          </w:p>
        </w:tc>
        <w:tc>
          <w:tcPr>
            <w:tcW w:w="6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1"/>
                <w:szCs w:val="21"/>
              </w:rPr>
            </w:pPr>
          </w:p>
          <w:p>
            <w:pPr>
              <w:pStyle w:val="TableParagraph"/>
              <w:spacing w:line="316" w:lineRule="auto"/>
              <w:ind w:left="67" w:right="62"/>
              <w:jc w:val="both"/>
              <w:rPr>
                <w:rFonts w:ascii="宋体" w:hAnsi="宋体" w:cs="宋体" w:eastAsia="宋体" w:hint="default"/>
                <w:sz w:val="18"/>
                <w:szCs w:val="18"/>
              </w:rPr>
            </w:pPr>
            <w:r>
              <w:rPr>
                <w:rFonts w:ascii="宋体" w:hAnsi="宋体" w:cs="宋体" w:eastAsia="宋体" w:hint="default"/>
                <w:sz w:val="18"/>
                <w:szCs w:val="18"/>
              </w:rPr>
              <w:t>出售对 公司的 影响</w:t>
            </w:r>
          </w:p>
        </w:tc>
        <w:tc>
          <w:tcPr>
            <w:tcW w:w="6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316" w:lineRule="auto"/>
              <w:ind w:left="67" w:right="65"/>
              <w:jc w:val="both"/>
              <w:rPr>
                <w:rFonts w:ascii="宋体" w:hAnsi="宋体" w:cs="宋体" w:eastAsia="宋体" w:hint="default"/>
                <w:sz w:val="18"/>
                <w:szCs w:val="18"/>
              </w:rPr>
            </w:pPr>
            <w:r>
              <w:rPr>
                <w:rFonts w:ascii="宋体" w:hAnsi="宋体" w:cs="宋体" w:eastAsia="宋体" w:hint="default"/>
                <w:sz w:val="18"/>
                <w:szCs w:val="18"/>
              </w:rPr>
              <w:t>股权出 售为上 市公司 贡献的 净利润 占净利 润总额 的比例</w:t>
            </w:r>
          </w:p>
        </w:tc>
        <w:tc>
          <w:tcPr>
            <w:tcW w:w="6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1"/>
                <w:szCs w:val="21"/>
              </w:rPr>
            </w:pPr>
          </w:p>
          <w:p>
            <w:pPr>
              <w:pStyle w:val="TableParagraph"/>
              <w:spacing w:line="316" w:lineRule="auto"/>
              <w:ind w:left="67" w:right="65"/>
              <w:jc w:val="both"/>
              <w:rPr>
                <w:rFonts w:ascii="宋体" w:hAnsi="宋体" w:cs="宋体" w:eastAsia="宋体" w:hint="default"/>
                <w:sz w:val="18"/>
                <w:szCs w:val="18"/>
              </w:rPr>
            </w:pPr>
            <w:r>
              <w:rPr>
                <w:rFonts w:ascii="宋体" w:hAnsi="宋体" w:cs="宋体" w:eastAsia="宋体" w:hint="default"/>
                <w:sz w:val="18"/>
                <w:szCs w:val="18"/>
              </w:rPr>
              <w:t>股权出 售定价 原则</w:t>
            </w:r>
          </w:p>
        </w:tc>
        <w:tc>
          <w:tcPr>
            <w:tcW w:w="6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1"/>
                <w:szCs w:val="21"/>
              </w:rPr>
            </w:pPr>
          </w:p>
          <w:p>
            <w:pPr>
              <w:pStyle w:val="TableParagraph"/>
              <w:spacing w:line="316" w:lineRule="auto"/>
              <w:ind w:left="67" w:right="62"/>
              <w:jc w:val="center"/>
              <w:rPr>
                <w:rFonts w:ascii="宋体" w:hAnsi="宋体" w:cs="宋体" w:eastAsia="宋体" w:hint="default"/>
                <w:sz w:val="18"/>
                <w:szCs w:val="18"/>
              </w:rPr>
            </w:pPr>
            <w:r>
              <w:rPr>
                <w:rFonts w:ascii="宋体" w:hAnsi="宋体" w:cs="宋体" w:eastAsia="宋体" w:hint="default"/>
                <w:sz w:val="18"/>
                <w:szCs w:val="18"/>
              </w:rPr>
              <w:t>是否为 关联交 易</w:t>
            </w:r>
          </w:p>
        </w:tc>
        <w:tc>
          <w:tcPr>
            <w:tcW w:w="6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19"/>
              <w:ind w:left="67" w:right="65"/>
              <w:jc w:val="center"/>
              <w:rPr>
                <w:rFonts w:ascii="宋体" w:hAnsi="宋体" w:cs="宋体" w:eastAsia="宋体" w:hint="default"/>
                <w:sz w:val="18"/>
                <w:szCs w:val="18"/>
              </w:rPr>
            </w:pPr>
            <w:r>
              <w:rPr>
                <w:rFonts w:ascii="宋体" w:hAnsi="宋体" w:cs="宋体" w:eastAsia="宋体" w:hint="default"/>
                <w:sz w:val="18"/>
                <w:szCs w:val="18"/>
              </w:rPr>
              <w:t>与交易 对方的 关联关 系</w:t>
            </w:r>
          </w:p>
        </w:tc>
        <w:tc>
          <w:tcPr>
            <w:tcW w:w="6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316" w:lineRule="auto"/>
              <w:ind w:left="67" w:right="62"/>
              <w:jc w:val="center"/>
              <w:rPr>
                <w:rFonts w:ascii="宋体" w:hAnsi="宋体" w:cs="宋体" w:eastAsia="宋体" w:hint="default"/>
                <w:sz w:val="18"/>
                <w:szCs w:val="18"/>
              </w:rPr>
            </w:pPr>
            <w:r>
              <w:rPr>
                <w:rFonts w:ascii="宋体" w:hAnsi="宋体" w:cs="宋体" w:eastAsia="宋体" w:hint="default"/>
                <w:sz w:val="18"/>
                <w:szCs w:val="18"/>
              </w:rPr>
              <w:t>所涉及 的股权 是否已 全部过 户</w:t>
            </w:r>
          </w:p>
        </w:tc>
        <w:tc>
          <w:tcPr>
            <w:tcW w:w="6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67" w:right="65"/>
              <w:jc w:val="center"/>
              <w:rPr>
                <w:rFonts w:ascii="宋体" w:hAnsi="宋体" w:cs="宋体" w:eastAsia="宋体" w:hint="default"/>
                <w:sz w:val="18"/>
                <w:szCs w:val="18"/>
              </w:rPr>
            </w:pPr>
            <w:r>
              <w:rPr>
                <w:rFonts w:ascii="宋体" w:hAnsi="宋体" w:cs="宋体" w:eastAsia="宋体" w:hint="default"/>
                <w:sz w:val="18"/>
                <w:szCs w:val="18"/>
              </w:rPr>
              <w:t>是否按 计划如 期实 施，如 未按计 划实 施，应 当说明 原因及 公司已 采取的 措施</w:t>
            </w:r>
          </w:p>
        </w:tc>
        <w:tc>
          <w:tcPr>
            <w:tcW w:w="6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4"/>
                <w:szCs w:val="14"/>
              </w:rPr>
            </w:pPr>
          </w:p>
          <w:p>
            <w:pPr>
              <w:pStyle w:val="TableParagraph"/>
              <w:spacing w:line="316" w:lineRule="auto"/>
              <w:ind w:left="247" w:right="62" w:hanging="180"/>
              <w:jc w:val="left"/>
              <w:rPr>
                <w:rFonts w:ascii="宋体" w:hAnsi="宋体" w:cs="宋体" w:eastAsia="宋体" w:hint="default"/>
                <w:sz w:val="18"/>
                <w:szCs w:val="18"/>
              </w:rPr>
            </w:pPr>
            <w:r>
              <w:rPr>
                <w:rFonts w:ascii="宋体" w:hAnsi="宋体" w:cs="宋体" w:eastAsia="宋体" w:hint="default"/>
                <w:sz w:val="18"/>
                <w:szCs w:val="18"/>
              </w:rPr>
              <w:t>披露日 期</w:t>
            </w:r>
          </w:p>
        </w:tc>
        <w:tc>
          <w:tcPr>
            <w:tcW w:w="6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4"/>
                <w:szCs w:val="14"/>
              </w:rPr>
            </w:pPr>
          </w:p>
          <w:p>
            <w:pPr>
              <w:pStyle w:val="TableParagraph"/>
              <w:spacing w:line="316" w:lineRule="auto"/>
              <w:ind w:left="249" w:right="62" w:hanging="180"/>
              <w:jc w:val="left"/>
              <w:rPr>
                <w:rFonts w:ascii="宋体" w:hAnsi="宋体" w:cs="宋体" w:eastAsia="宋体" w:hint="default"/>
                <w:sz w:val="18"/>
                <w:szCs w:val="18"/>
              </w:rPr>
            </w:pPr>
            <w:r>
              <w:rPr>
                <w:rFonts w:ascii="宋体" w:hAnsi="宋体" w:cs="宋体" w:eastAsia="宋体" w:hint="default"/>
                <w:sz w:val="18"/>
                <w:szCs w:val="18"/>
              </w:rPr>
              <w:t>披露索 引</w:t>
            </w:r>
          </w:p>
        </w:tc>
      </w:tr>
      <w:tr>
        <w:trPr>
          <w:trHeight w:val="4769" w:hRule="exact"/>
        </w:trPr>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4" w:right="81"/>
              <w:jc w:val="left"/>
              <w:rPr>
                <w:rFonts w:ascii="Times New Roman" w:hAnsi="Times New Roman" w:cs="Times New Roman" w:eastAsia="Times New Roman" w:hint="default"/>
                <w:sz w:val="18"/>
                <w:szCs w:val="18"/>
              </w:rPr>
            </w:pPr>
            <w:r>
              <w:rPr>
                <w:rFonts w:ascii="Times New Roman"/>
                <w:spacing w:val="-5"/>
                <w:sz w:val="18"/>
              </w:rPr>
              <w:t>Top</w:t>
            </w:r>
            <w:r>
              <w:rPr>
                <w:rFonts w:ascii="Times New Roman"/>
                <w:spacing w:val="-43"/>
                <w:sz w:val="18"/>
              </w:rPr>
              <w:t> </w:t>
            </w:r>
            <w:r>
              <w:rPr>
                <w:rFonts w:ascii="Times New Roman"/>
                <w:spacing w:val="-43"/>
                <w:sz w:val="18"/>
              </w:rPr>
            </w:r>
            <w:r>
              <w:rPr>
                <w:rFonts w:ascii="Times New Roman"/>
                <w:sz w:val="18"/>
              </w:rPr>
              <w:t>Grove</w:t>
            </w:r>
            <w:r>
              <w:rPr>
                <w:rFonts w:ascii="Times New Roman"/>
                <w:w w:val="99"/>
                <w:sz w:val="18"/>
              </w:rPr>
              <w:t> </w:t>
            </w:r>
            <w:r>
              <w:rPr>
                <w:rFonts w:ascii="Times New Roman"/>
                <w:sz w:val="18"/>
              </w:rPr>
              <w:t>Limited</w:t>
            </w:r>
          </w:p>
          <w:p>
            <w:pPr>
              <w:pStyle w:val="TableParagraph"/>
              <w:spacing w:line="197" w:lineRule="exact"/>
              <w:ind w:left="24"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362" w:lineRule="auto" w:before="118"/>
              <w:ind w:left="24" w:right="41"/>
              <w:jc w:val="left"/>
              <w:rPr>
                <w:rFonts w:ascii="Times New Roman" w:hAnsi="Times New Roman" w:cs="Times New Roman" w:eastAsia="Times New Roman" w:hint="default"/>
                <w:sz w:val="18"/>
                <w:szCs w:val="18"/>
              </w:rPr>
            </w:pPr>
            <w:r>
              <w:rPr>
                <w:rFonts w:ascii="Times New Roman"/>
                <w:sz w:val="18"/>
              </w:rPr>
              <w:t>Advante ch</w:t>
            </w:r>
            <w:r>
              <w:rPr>
                <w:rFonts w:ascii="Times New Roman"/>
                <w:spacing w:val="-1"/>
                <w:sz w:val="18"/>
              </w:rPr>
              <w:t> </w:t>
            </w:r>
            <w:r>
              <w:rPr>
                <w:rFonts w:ascii="Times New Roman"/>
                <w:sz w:val="18"/>
              </w:rPr>
              <w:t>Capital</w:t>
            </w:r>
            <w:r>
              <w:rPr>
                <w:rFonts w:ascii="Times New Roman"/>
                <w:sz w:val="18"/>
              </w:rPr>
              <w:t> Investm ent</w:t>
            </w:r>
            <w:r>
              <w:rPr>
                <w:rFonts w:ascii="Times New Roman"/>
                <w:spacing w:val="-1"/>
                <w:sz w:val="18"/>
              </w:rPr>
              <w:t> </w:t>
            </w:r>
            <w:r>
              <w:rPr>
                <w:rFonts w:ascii="Times New Roman"/>
                <w:sz w:val="18"/>
              </w:rPr>
              <w:t>IV</w:t>
            </w:r>
            <w:r>
              <w:rPr>
                <w:rFonts w:ascii="Times New Roman"/>
                <w:w w:val="99"/>
                <w:sz w:val="18"/>
              </w:rPr>
              <w:t> </w:t>
            </w:r>
            <w:r>
              <w:rPr>
                <w:rFonts w:ascii="Times New Roman"/>
                <w:sz w:val="18"/>
              </w:rPr>
              <w:t>Limited</w:t>
            </w:r>
          </w:p>
          <w:p>
            <w:pPr>
              <w:pStyle w:val="TableParagraph"/>
              <w:spacing w:line="210" w:lineRule="exact"/>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Nio</w:t>
            </w:r>
          </w:p>
          <w:p>
            <w:pPr>
              <w:pStyle w:val="TableParagraph"/>
              <w:spacing w:line="362" w:lineRule="auto" w:before="105"/>
              <w:ind w:left="24" w:right="67"/>
              <w:jc w:val="left"/>
              <w:rPr>
                <w:rFonts w:ascii="Times New Roman" w:hAnsi="Times New Roman" w:cs="Times New Roman" w:eastAsia="Times New Roman" w:hint="default"/>
                <w:sz w:val="18"/>
                <w:szCs w:val="18"/>
              </w:rPr>
            </w:pPr>
            <w:r>
              <w:rPr>
                <w:rFonts w:ascii="Times New Roman"/>
                <w:sz w:val="18"/>
              </w:rPr>
              <w:t>Changji ang</w:t>
            </w:r>
            <w:r>
              <w:rPr>
                <w:rFonts w:ascii="Times New Roman"/>
                <w:spacing w:val="-1"/>
                <w:sz w:val="18"/>
              </w:rPr>
              <w:t> </w:t>
            </w:r>
            <w:r>
              <w:rPr>
                <w:rFonts w:ascii="Times New Roman"/>
                <w:sz w:val="18"/>
              </w:rPr>
              <w:t>1st</w:t>
            </w:r>
            <w:r>
              <w:rPr>
                <w:rFonts w:ascii="Times New Roman"/>
                <w:w w:val="99"/>
                <w:sz w:val="18"/>
              </w:rPr>
              <w:t> </w:t>
            </w:r>
            <w:r>
              <w:rPr>
                <w:rFonts w:ascii="Times New Roman"/>
                <w:sz w:val="18"/>
              </w:rPr>
              <w:t>Investm</w:t>
            </w:r>
            <w:r>
              <w:rPr>
                <w:rFonts w:ascii="Times New Roman"/>
                <w:sz w:val="18"/>
              </w:rPr>
              <w:t> ent</w:t>
            </w:r>
            <w:r>
              <w:rPr>
                <w:rFonts w:ascii="Times New Roman"/>
                <w:spacing w:val="-2"/>
                <w:sz w:val="18"/>
              </w:rPr>
              <w:t> </w:t>
            </w:r>
            <w:r>
              <w:rPr>
                <w:rFonts w:ascii="Times New Roman"/>
                <w:sz w:val="18"/>
              </w:rPr>
              <w:t>Ltd</w:t>
            </w:r>
          </w:p>
        </w:tc>
        <w:tc>
          <w:tcPr>
            <w:tcW w:w="68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4"/>
                <w:szCs w:val="24"/>
              </w:rPr>
            </w:pPr>
          </w:p>
          <w:p>
            <w:pPr>
              <w:pStyle w:val="TableParagraph"/>
              <w:spacing w:line="338" w:lineRule="auto"/>
              <w:ind w:left="26" w:right="68"/>
              <w:jc w:val="both"/>
              <w:rPr>
                <w:rFonts w:ascii="Times New Roman" w:hAnsi="Times New Roman" w:cs="Times New Roman" w:eastAsia="Times New Roman" w:hint="default"/>
                <w:sz w:val="18"/>
                <w:szCs w:val="18"/>
              </w:rPr>
            </w:pPr>
            <w:r>
              <w:rPr>
                <w:rFonts w:ascii="宋体" w:hAnsi="宋体" w:cs="宋体" w:eastAsia="宋体" w:hint="default"/>
                <w:sz w:val="18"/>
                <w:szCs w:val="18"/>
              </w:rPr>
              <w:t>公司所 持有的 </w:t>
            </w:r>
            <w:r>
              <w:rPr>
                <w:rFonts w:ascii="Times New Roman" w:hAnsi="Times New Roman" w:cs="Times New Roman" w:eastAsia="Times New Roman" w:hint="default"/>
                <w:sz w:val="18"/>
                <w:szCs w:val="18"/>
              </w:rPr>
              <w:t>Mapbar</w:t>
            </w:r>
          </w:p>
          <w:p>
            <w:pPr>
              <w:pStyle w:val="TableParagraph"/>
              <w:spacing w:line="362" w:lineRule="auto" w:before="23"/>
              <w:ind w:left="26" w:right="68"/>
              <w:jc w:val="left"/>
              <w:rPr>
                <w:rFonts w:ascii="Times New Roman" w:hAnsi="Times New Roman" w:cs="Times New Roman" w:eastAsia="Times New Roman" w:hint="default"/>
                <w:sz w:val="18"/>
                <w:szCs w:val="18"/>
              </w:rPr>
            </w:pPr>
            <w:r>
              <w:rPr>
                <w:rFonts w:ascii="Times New Roman"/>
                <w:spacing w:val="-2"/>
                <w:sz w:val="18"/>
              </w:rPr>
              <w:t>Technol</w:t>
            </w:r>
            <w:r>
              <w:rPr>
                <w:rFonts w:ascii="Times New Roman"/>
                <w:sz w:val="18"/>
              </w:rPr>
              <w:t> ogy Limited 13.4%</w:t>
            </w:r>
          </w:p>
          <w:p>
            <w:pPr>
              <w:pStyle w:val="TableParagraph"/>
              <w:spacing w:line="197" w:lineRule="exact"/>
              <w:ind w:left="26" w:right="0"/>
              <w:jc w:val="left"/>
              <w:rPr>
                <w:rFonts w:ascii="宋体" w:hAnsi="宋体" w:cs="宋体" w:eastAsia="宋体" w:hint="default"/>
                <w:sz w:val="18"/>
                <w:szCs w:val="18"/>
              </w:rPr>
            </w:pPr>
            <w:r>
              <w:rPr>
                <w:rFonts w:ascii="宋体" w:hAnsi="宋体" w:cs="宋体" w:eastAsia="宋体" w:hint="default"/>
                <w:sz w:val="18"/>
                <w:szCs w:val="18"/>
              </w:rPr>
              <w:t>的股权</w:t>
            </w:r>
          </w:p>
        </w:tc>
        <w:tc>
          <w:tcPr>
            <w:tcW w:w="68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6"/>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0"/>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3"/>
                <w:sz w:val="18"/>
                <w:szCs w:val="18"/>
              </w:rPr>
              <w:t>11 </w:t>
            </w:r>
            <w:r>
              <w:rPr>
                <w:rFonts w:ascii="宋体" w:hAnsi="宋体" w:cs="宋体" w:eastAsia="宋体" w:hint="default"/>
                <w:sz w:val="18"/>
                <w:szCs w:val="18"/>
              </w:rPr>
              <w:t>月</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23</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68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8"/>
              <w:ind w:right="18"/>
              <w:jc w:val="right"/>
              <w:rPr>
                <w:rFonts w:ascii="Times New Roman" w:hAnsi="Times New Roman" w:cs="Times New Roman" w:eastAsia="Times New Roman" w:hint="default"/>
                <w:sz w:val="18"/>
                <w:szCs w:val="18"/>
              </w:rPr>
            </w:pPr>
            <w:r>
              <w:rPr>
                <w:rFonts w:ascii="Times New Roman"/>
                <w:sz w:val="18"/>
              </w:rPr>
              <w:t>57,930.</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35</w:t>
            </w:r>
          </w:p>
        </w:tc>
        <w:tc>
          <w:tcPr>
            <w:tcW w:w="68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8"/>
              <w:ind w:right="21"/>
              <w:jc w:val="right"/>
              <w:rPr>
                <w:rFonts w:ascii="Times New Roman" w:hAnsi="Times New Roman" w:cs="Times New Roman" w:eastAsia="Times New Roman" w:hint="default"/>
                <w:sz w:val="18"/>
                <w:szCs w:val="18"/>
              </w:rPr>
            </w:pPr>
            <w:r>
              <w:rPr>
                <w:rFonts w:ascii="Times New Roman"/>
                <w:spacing w:val="-1"/>
                <w:sz w:val="18"/>
              </w:rPr>
              <w:t>-7,712.2</w:t>
            </w:r>
          </w:p>
          <w:p>
            <w:pPr>
              <w:pStyle w:val="TableParagraph"/>
              <w:spacing w:line="240" w:lineRule="auto" w:before="102"/>
              <w:ind w:right="23"/>
              <w:jc w:val="right"/>
              <w:rPr>
                <w:rFonts w:ascii="Times New Roman" w:hAnsi="Times New Roman" w:cs="Times New Roman" w:eastAsia="Times New Roman" w:hint="default"/>
                <w:sz w:val="18"/>
                <w:szCs w:val="18"/>
              </w:rPr>
            </w:pPr>
            <w:r>
              <w:rPr>
                <w:rFonts w:ascii="Times New Roman"/>
                <w:sz w:val="18"/>
              </w:rPr>
              <w:t>4</w:t>
            </w:r>
          </w:p>
        </w:tc>
        <w:tc>
          <w:tcPr>
            <w:tcW w:w="68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2"/>
                <w:szCs w:val="12"/>
              </w:rPr>
            </w:pPr>
          </w:p>
          <w:p>
            <w:pPr>
              <w:pStyle w:val="TableParagraph"/>
              <w:spacing w:line="316" w:lineRule="auto"/>
              <w:ind w:left="23" w:right="59"/>
              <w:jc w:val="both"/>
              <w:rPr>
                <w:rFonts w:ascii="宋体" w:hAnsi="宋体" w:cs="宋体" w:eastAsia="宋体" w:hint="default"/>
                <w:sz w:val="18"/>
                <w:szCs w:val="18"/>
              </w:rPr>
            </w:pPr>
            <w:r>
              <w:rPr>
                <w:rFonts w:ascii="宋体" w:hAnsi="宋体" w:cs="宋体" w:eastAsia="宋体" w:hint="default"/>
                <w:sz w:val="18"/>
                <w:szCs w:val="18"/>
              </w:rPr>
              <w:t>出售对 公司连 续性、 稳定性 均无影 响，交 易导致 公司净 利润增 加</w:t>
            </w:r>
          </w:p>
          <w:p>
            <w:pPr>
              <w:pStyle w:val="TableParagraph"/>
              <w:spacing w:line="240" w:lineRule="auto" w:before="61"/>
              <w:ind w:left="23" w:right="0"/>
              <w:jc w:val="both"/>
              <w:rPr>
                <w:rFonts w:ascii="Times New Roman" w:hAnsi="Times New Roman" w:cs="Times New Roman" w:eastAsia="Times New Roman" w:hint="default"/>
                <w:sz w:val="18"/>
                <w:szCs w:val="18"/>
              </w:rPr>
            </w:pPr>
            <w:r>
              <w:rPr>
                <w:rFonts w:ascii="Times New Roman"/>
                <w:sz w:val="18"/>
              </w:rPr>
              <w:t>107,627</w:t>
            </w:r>
          </w:p>
          <w:p>
            <w:pPr>
              <w:pStyle w:val="TableParagraph"/>
              <w:spacing w:line="240" w:lineRule="auto" w:before="63"/>
              <w:ind w:left="23"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.78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万元</w:t>
            </w:r>
          </w:p>
        </w:tc>
        <w:tc>
          <w:tcPr>
            <w:tcW w:w="68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8"/>
              <w:ind w:right="23"/>
              <w:jc w:val="right"/>
              <w:rPr>
                <w:rFonts w:ascii="Times New Roman" w:hAnsi="Times New Roman" w:cs="Times New Roman" w:eastAsia="Times New Roman" w:hint="default"/>
                <w:sz w:val="18"/>
                <w:szCs w:val="18"/>
              </w:rPr>
            </w:pPr>
            <w:r>
              <w:rPr>
                <w:rFonts w:ascii="Times New Roman"/>
                <w:spacing w:val="-1"/>
                <w:sz w:val="18"/>
              </w:rPr>
              <w:t>285.17</w:t>
            </w:r>
            <w:r>
              <w:rPr>
                <w:rFonts w:ascii="Times New Roman"/>
                <w:sz w:val="18"/>
              </w:rPr>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8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3"/>
                <w:szCs w:val="23"/>
              </w:rPr>
            </w:pPr>
          </w:p>
          <w:p>
            <w:pPr>
              <w:pStyle w:val="TableParagraph"/>
              <w:spacing w:line="314" w:lineRule="auto"/>
              <w:ind w:left="23" w:right="108"/>
              <w:jc w:val="left"/>
              <w:rPr>
                <w:rFonts w:ascii="宋体" w:hAnsi="宋体" w:cs="宋体" w:eastAsia="宋体" w:hint="default"/>
                <w:sz w:val="18"/>
                <w:szCs w:val="18"/>
              </w:rPr>
            </w:pPr>
            <w:r>
              <w:rPr>
                <w:rFonts w:ascii="宋体" w:hAnsi="宋体" w:cs="宋体" w:eastAsia="宋体" w:hint="default"/>
                <w:sz w:val="18"/>
                <w:szCs w:val="18"/>
              </w:rPr>
              <w:t>协议价 格</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6"/>
                <w:szCs w:val="26"/>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6"/>
                <w:szCs w:val="26"/>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无</w:t>
            </w:r>
          </w:p>
        </w:tc>
        <w:tc>
          <w:tcPr>
            <w:tcW w:w="68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68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是</w:t>
            </w:r>
          </w:p>
        </w:tc>
        <w:tc>
          <w:tcPr>
            <w:tcW w:w="68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6"/>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0"/>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9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pacing w:val="-9"/>
                <w:sz w:val="18"/>
                <w:szCs w:val="18"/>
              </w:rPr>
              <w:t>11</w:t>
            </w:r>
            <w:r>
              <w:rPr>
                <w:rFonts w:ascii="Times New Roman" w:hAnsi="Times New Roman" w:cs="Times New Roman" w:eastAsia="Times New Roman" w:hint="default"/>
                <w:sz w:val="18"/>
                <w:szCs w:val="18"/>
              </w:rPr>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684" w:type="dxa"/>
            <w:vMerge w:val="restart"/>
            <w:tcBorders>
              <w:top w:val="single" w:sz="4" w:space="0" w:color="000000"/>
              <w:left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362" w:lineRule="auto"/>
              <w:ind w:left="26" w:right="44"/>
              <w:jc w:val="left"/>
              <w:rPr>
                <w:rFonts w:ascii="Times New Roman" w:hAnsi="Times New Roman" w:cs="Times New Roman" w:eastAsia="Times New Roman" w:hint="default"/>
                <w:sz w:val="18"/>
                <w:szCs w:val="18"/>
              </w:rPr>
            </w:pPr>
            <w:hyperlink r:id="rId31">
              <w:r>
                <w:rPr>
                  <w:rFonts w:ascii="Times New Roman"/>
                  <w:sz w:val="18"/>
                </w:rPr>
                <w:t>http://w</w:t>
              </w:r>
            </w:hyperlink>
            <w:r>
              <w:rPr>
                <w:rFonts w:ascii="Times New Roman"/>
                <w:w w:val="99"/>
                <w:sz w:val="18"/>
              </w:rPr>
              <w:t> </w:t>
            </w:r>
            <w:r>
              <w:rPr>
                <w:rFonts w:ascii="Times New Roman"/>
                <w:spacing w:val="-2"/>
                <w:sz w:val="18"/>
              </w:rPr>
              <w:t>ww.cnin</w:t>
            </w:r>
            <w:r>
              <w:rPr>
                <w:rFonts w:ascii="Times New Roman"/>
                <w:sz w:val="18"/>
              </w:rPr>
              <w:t> fo.com. cn/new/ disclosu</w:t>
            </w:r>
            <w:r>
              <w:rPr>
                <w:rFonts w:ascii="Times New Roman"/>
                <w:w w:val="99"/>
                <w:sz w:val="18"/>
              </w:rPr>
              <w:t> </w:t>
            </w:r>
            <w:r>
              <w:rPr>
                <w:rFonts w:ascii="Times New Roman"/>
                <w:sz w:val="18"/>
              </w:rPr>
              <w:t>re/detail</w:t>
            </w:r>
          </w:p>
          <w:p>
            <w:pPr>
              <w:pStyle w:val="TableParagraph"/>
              <w:spacing w:line="362" w:lineRule="auto" w:before="3"/>
              <w:ind w:left="26" w:right="45"/>
              <w:jc w:val="both"/>
              <w:rPr>
                <w:rFonts w:ascii="Times New Roman" w:hAnsi="Times New Roman" w:cs="Times New Roman" w:eastAsia="Times New Roman" w:hint="default"/>
                <w:sz w:val="18"/>
                <w:szCs w:val="18"/>
              </w:rPr>
            </w:pPr>
            <w:r>
              <w:rPr>
                <w:rFonts w:ascii="Times New Roman"/>
                <w:sz w:val="18"/>
              </w:rPr>
              <w:t>?plate=s</w:t>
            </w:r>
            <w:r>
              <w:rPr>
                <w:rFonts w:ascii="Times New Roman"/>
                <w:w w:val="99"/>
                <w:sz w:val="18"/>
              </w:rPr>
              <w:t> </w:t>
            </w:r>
            <w:r>
              <w:rPr>
                <w:rFonts w:ascii="Times New Roman"/>
                <w:sz w:val="18"/>
              </w:rPr>
              <w:t>zse&amp;sto</w:t>
            </w:r>
            <w:r>
              <w:rPr>
                <w:rFonts w:ascii="Times New Roman"/>
                <w:w w:val="99"/>
                <w:sz w:val="18"/>
              </w:rPr>
              <w:t> </w:t>
            </w:r>
            <w:r>
              <w:rPr>
                <w:rFonts w:ascii="Times New Roman"/>
                <w:sz w:val="18"/>
              </w:rPr>
              <w:t>ckCode</w:t>
            </w:r>
          </w:p>
          <w:p>
            <w:pPr>
              <w:pStyle w:val="TableParagraph"/>
              <w:spacing w:line="240" w:lineRule="auto" w:before="3"/>
              <w:ind w:left="26" w:right="0"/>
              <w:jc w:val="both"/>
              <w:rPr>
                <w:rFonts w:ascii="Times New Roman" w:hAnsi="Times New Roman" w:cs="Times New Roman" w:eastAsia="Times New Roman" w:hint="default"/>
                <w:sz w:val="18"/>
                <w:szCs w:val="18"/>
              </w:rPr>
            </w:pPr>
            <w:r>
              <w:rPr>
                <w:rFonts w:ascii="Times New Roman"/>
                <w:sz w:val="18"/>
              </w:rPr>
              <w:t>=00240</w:t>
            </w:r>
          </w:p>
          <w:p>
            <w:pPr>
              <w:pStyle w:val="TableParagraph"/>
              <w:spacing w:line="362" w:lineRule="auto" w:before="105"/>
              <w:ind w:left="26" w:right="64"/>
              <w:jc w:val="both"/>
              <w:rPr>
                <w:rFonts w:ascii="Times New Roman" w:hAnsi="Times New Roman" w:cs="Times New Roman" w:eastAsia="Times New Roman" w:hint="default"/>
                <w:sz w:val="18"/>
                <w:szCs w:val="18"/>
              </w:rPr>
            </w:pPr>
            <w:r>
              <w:rPr>
                <w:rFonts w:ascii="Times New Roman"/>
                <w:sz w:val="18"/>
              </w:rPr>
              <w:t>5&amp;anno unceme ntId=12 054275</w:t>
            </w:r>
          </w:p>
          <w:p>
            <w:pPr>
              <w:pStyle w:val="TableParagraph"/>
              <w:spacing w:line="362" w:lineRule="auto" w:before="3"/>
              <w:ind w:left="26" w:right="55"/>
              <w:jc w:val="both"/>
              <w:rPr>
                <w:rFonts w:ascii="Times New Roman" w:hAnsi="Times New Roman" w:cs="Times New Roman" w:eastAsia="Times New Roman" w:hint="default"/>
                <w:sz w:val="18"/>
                <w:szCs w:val="18"/>
              </w:rPr>
            </w:pPr>
            <w:r>
              <w:rPr>
                <w:rFonts w:ascii="Times New Roman"/>
                <w:sz w:val="18"/>
              </w:rPr>
              <w:t>24&amp;ann ouncem </w:t>
            </w:r>
            <w:r>
              <w:rPr>
                <w:rFonts w:ascii="Times New Roman"/>
                <w:spacing w:val="-2"/>
                <w:sz w:val="18"/>
              </w:rPr>
              <w:t>entTime</w:t>
            </w:r>
          </w:p>
          <w:p>
            <w:pPr>
              <w:pStyle w:val="TableParagraph"/>
              <w:spacing w:line="240" w:lineRule="auto" w:before="3"/>
              <w:ind w:left="26" w:right="0"/>
              <w:jc w:val="both"/>
              <w:rPr>
                <w:rFonts w:ascii="Times New Roman" w:hAnsi="Times New Roman" w:cs="Times New Roman" w:eastAsia="Times New Roman" w:hint="default"/>
                <w:sz w:val="18"/>
                <w:szCs w:val="18"/>
              </w:rPr>
            </w:pPr>
            <w:r>
              <w:rPr>
                <w:rFonts w:ascii="Times New Roman"/>
                <w:sz w:val="18"/>
              </w:rPr>
              <w:t>=2018-0</w:t>
            </w:r>
          </w:p>
          <w:p>
            <w:pPr>
              <w:pStyle w:val="TableParagraph"/>
              <w:spacing w:line="240" w:lineRule="auto" w:before="105"/>
              <w:ind w:left="26" w:right="0"/>
              <w:jc w:val="both"/>
              <w:rPr>
                <w:rFonts w:ascii="Times New Roman" w:hAnsi="Times New Roman" w:cs="Times New Roman" w:eastAsia="Times New Roman" w:hint="default"/>
                <w:sz w:val="18"/>
                <w:szCs w:val="18"/>
              </w:rPr>
            </w:pPr>
            <w:r>
              <w:rPr>
                <w:rFonts w:ascii="Times New Roman"/>
                <w:spacing w:val="-3"/>
                <w:sz w:val="18"/>
              </w:rPr>
              <w:t>9-11</w:t>
            </w:r>
            <w:r>
              <w:rPr>
                <w:rFonts w:ascii="Times New Roman"/>
                <w:sz w:val="18"/>
              </w:rPr>
            </w:r>
          </w:p>
        </w:tc>
      </w:tr>
      <w:tr>
        <w:trPr>
          <w:trHeight w:val="1652" w:hRule="exact"/>
        </w:trPr>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4" w:right="48"/>
              <w:jc w:val="left"/>
              <w:rPr>
                <w:rFonts w:ascii="Times New Roman" w:hAnsi="Times New Roman" w:cs="Times New Roman" w:eastAsia="Times New Roman" w:hint="default"/>
                <w:sz w:val="18"/>
                <w:szCs w:val="18"/>
              </w:rPr>
            </w:pPr>
            <w:r>
              <w:rPr>
                <w:rFonts w:ascii="Times New Roman"/>
                <w:sz w:val="18"/>
              </w:rPr>
              <w:t>Image</w:t>
            </w:r>
            <w:r>
              <w:rPr>
                <w:rFonts w:ascii="Times New Roman"/>
                <w:w w:val="99"/>
                <w:sz w:val="18"/>
              </w:rPr>
              <w:t> </w:t>
            </w:r>
            <w:r>
              <w:rPr>
                <w:rFonts w:ascii="Times New Roman"/>
                <w:sz w:val="18"/>
              </w:rPr>
              <w:t>Cyber</w:t>
            </w:r>
            <w:r>
              <w:rPr>
                <w:rFonts w:ascii="Times New Roman"/>
                <w:w w:val="99"/>
                <w:sz w:val="18"/>
              </w:rPr>
              <w:t> </w:t>
            </w:r>
            <w:r>
              <w:rPr>
                <w:rFonts w:ascii="Times New Roman"/>
                <w:sz w:val="18"/>
              </w:rPr>
              <w:t>Investm</w:t>
            </w:r>
            <w:r>
              <w:rPr>
                <w:rFonts w:ascii="Times New Roman"/>
                <w:sz w:val="18"/>
              </w:rPr>
              <w:t> ent(HK)</w:t>
            </w:r>
            <w:r>
              <w:rPr>
                <w:rFonts w:ascii="Times New Roman"/>
                <w:w w:val="99"/>
                <w:sz w:val="18"/>
              </w:rPr>
              <w:t> </w:t>
            </w:r>
            <w:r>
              <w:rPr>
                <w:rFonts w:ascii="Times New Roman"/>
                <w:sz w:val="18"/>
              </w:rPr>
              <w:t>Limited</w:t>
            </w:r>
          </w:p>
        </w:tc>
        <w:tc>
          <w:tcPr>
            <w:tcW w:w="684" w:type="dxa"/>
            <w:vMerge/>
            <w:tcBorders>
              <w:left w:val="single" w:sz="4" w:space="0" w:color="000000"/>
              <w:bottom w:val="single" w:sz="4" w:space="0" w:color="000000"/>
              <w:right w:val="single" w:sz="4" w:space="0" w:color="000000"/>
            </w:tcBorders>
          </w:tcPr>
          <w:p>
            <w:pPr/>
          </w:p>
        </w:tc>
        <w:tc>
          <w:tcPr>
            <w:tcW w:w="684" w:type="dxa"/>
            <w:vMerge/>
            <w:tcBorders>
              <w:left w:val="single" w:sz="4" w:space="0" w:color="000000"/>
              <w:bottom w:val="single" w:sz="4" w:space="0" w:color="000000"/>
              <w:right w:val="single" w:sz="4" w:space="0" w:color="000000"/>
            </w:tcBorders>
          </w:tcPr>
          <w:p>
            <w:pPr/>
          </w:p>
        </w:tc>
        <w:tc>
          <w:tcPr>
            <w:tcW w:w="682" w:type="dxa"/>
            <w:vMerge/>
            <w:tcBorders>
              <w:left w:val="single" w:sz="4" w:space="0" w:color="000000"/>
              <w:bottom w:val="single" w:sz="4" w:space="0" w:color="000000"/>
              <w:right w:val="single" w:sz="4" w:space="0" w:color="000000"/>
            </w:tcBorders>
          </w:tcPr>
          <w:p>
            <w:pPr/>
          </w:p>
        </w:tc>
        <w:tc>
          <w:tcPr>
            <w:tcW w:w="685" w:type="dxa"/>
            <w:vMerge/>
            <w:tcBorders>
              <w:left w:val="single" w:sz="4" w:space="0" w:color="000000"/>
              <w:bottom w:val="single" w:sz="4" w:space="0" w:color="000000"/>
              <w:right w:val="single" w:sz="4" w:space="0" w:color="000000"/>
            </w:tcBorders>
          </w:tcPr>
          <w:p>
            <w:pPr/>
          </w:p>
        </w:tc>
        <w:tc>
          <w:tcPr>
            <w:tcW w:w="682" w:type="dxa"/>
            <w:vMerge/>
            <w:tcBorders>
              <w:left w:val="single" w:sz="4" w:space="0" w:color="000000"/>
              <w:bottom w:val="single" w:sz="4" w:space="0" w:color="000000"/>
              <w:right w:val="single" w:sz="4" w:space="0" w:color="000000"/>
            </w:tcBorders>
          </w:tcPr>
          <w:p>
            <w:pPr/>
          </w:p>
        </w:tc>
        <w:tc>
          <w:tcPr>
            <w:tcW w:w="684" w:type="dxa"/>
            <w:vMerge/>
            <w:tcBorders>
              <w:left w:val="single" w:sz="4" w:space="0" w:color="000000"/>
              <w:bottom w:val="single" w:sz="4" w:space="0" w:color="000000"/>
              <w:right w:val="single" w:sz="4" w:space="0" w:color="000000"/>
            </w:tcBorders>
          </w:tcPr>
          <w:p>
            <w:pPr/>
          </w:p>
        </w:tc>
        <w:tc>
          <w:tcPr>
            <w:tcW w:w="684" w:type="dxa"/>
            <w:vMerge/>
            <w:tcBorders>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19" w:lineRule="auto"/>
              <w:ind w:left="24" w:right="108"/>
              <w:jc w:val="both"/>
              <w:rPr>
                <w:rFonts w:ascii="宋体" w:hAnsi="宋体" w:cs="宋体" w:eastAsia="宋体" w:hint="default"/>
                <w:sz w:val="18"/>
                <w:szCs w:val="18"/>
              </w:rPr>
            </w:pPr>
            <w:r>
              <w:rPr>
                <w:rFonts w:ascii="宋体" w:hAnsi="宋体" w:cs="宋体" w:eastAsia="宋体" w:hint="default"/>
                <w:sz w:val="18"/>
                <w:szCs w:val="18"/>
              </w:rPr>
              <w:t>公司第 二大股 东之附 属公司</w:t>
            </w:r>
          </w:p>
        </w:tc>
        <w:tc>
          <w:tcPr>
            <w:tcW w:w="682" w:type="dxa"/>
            <w:vMerge/>
            <w:tcBorders>
              <w:left w:val="single" w:sz="4" w:space="0" w:color="000000"/>
              <w:bottom w:val="single" w:sz="4" w:space="0" w:color="000000"/>
              <w:right w:val="single" w:sz="4" w:space="0" w:color="000000"/>
            </w:tcBorders>
          </w:tcPr>
          <w:p>
            <w:pPr/>
          </w:p>
        </w:tc>
        <w:tc>
          <w:tcPr>
            <w:tcW w:w="685" w:type="dxa"/>
            <w:vMerge/>
            <w:tcBorders>
              <w:left w:val="single" w:sz="4" w:space="0" w:color="000000"/>
              <w:bottom w:val="single" w:sz="4" w:space="0" w:color="000000"/>
              <w:right w:val="single" w:sz="4" w:space="0" w:color="000000"/>
            </w:tcBorders>
          </w:tcPr>
          <w:p>
            <w:pPr/>
          </w:p>
        </w:tc>
        <w:tc>
          <w:tcPr>
            <w:tcW w:w="682" w:type="dxa"/>
            <w:vMerge/>
            <w:tcBorders>
              <w:left w:val="single" w:sz="4" w:space="0" w:color="000000"/>
              <w:bottom w:val="single" w:sz="4" w:space="0" w:color="000000"/>
              <w:right w:val="single" w:sz="4" w:space="0" w:color="000000"/>
            </w:tcBorders>
          </w:tcPr>
          <w:p>
            <w:pPr/>
          </w:p>
        </w:tc>
        <w:tc>
          <w:tcPr>
            <w:tcW w:w="684" w:type="dxa"/>
            <w:vMerge/>
            <w:tcBorders>
              <w:left w:val="single" w:sz="4" w:space="0" w:color="000000"/>
              <w:bottom w:val="single" w:sz="4" w:space="0" w:color="000000"/>
              <w:right w:val="single" w:sz="4" w:space="0" w:color="000000"/>
            </w:tcBorders>
          </w:tcPr>
          <w:p>
            <w:pP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4"/>
          <w:szCs w:val="24"/>
        </w:rPr>
      </w:pPr>
    </w:p>
    <w:p>
      <w:pPr>
        <w:pStyle w:val="Heading2"/>
        <w:spacing w:line="240" w:lineRule="auto" w:before="26"/>
        <w:ind w:right="982"/>
        <w:jc w:val="left"/>
        <w:rPr>
          <w:b w:val="0"/>
          <w:bCs w:val="0"/>
        </w:rPr>
      </w:pPr>
      <w:r>
        <w:rPr/>
        <w:t>七、主要控股参股公司分析</w:t>
      </w:r>
      <w:r>
        <w:rPr>
          <w:b w:val="0"/>
          <w:bCs w:val="0"/>
        </w:rPr>
      </w:r>
    </w:p>
    <w:p>
      <w:pPr>
        <w:spacing w:line="240" w:lineRule="auto" w:before="1"/>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745" w:footer="979" w:top="1060" w:bottom="1160" w:left="980" w:right="0"/>
        </w:sectPr>
      </w:pPr>
    </w:p>
    <w:p>
      <w:pPr>
        <w:pStyle w:val="BodyText"/>
        <w:spacing w:line="240" w:lineRule="auto" w:before="44"/>
        <w:ind w:right="-19"/>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240" w:lineRule="auto" w:before="103"/>
        <w:ind w:right="-19"/>
        <w:jc w:val="left"/>
      </w:pPr>
      <w:r>
        <w:rPr/>
        <w:t>主要子公司及对公司净利润影响达</w:t>
      </w:r>
      <w:r>
        <w:rPr>
          <w:spacing w:val="-43"/>
        </w:rPr>
        <w:t> </w:t>
      </w:r>
      <w:r>
        <w:rPr>
          <w:rFonts w:ascii="Times New Roman" w:hAnsi="Times New Roman" w:cs="Times New Roman" w:eastAsia="Times New Roman" w:hint="default"/>
        </w:rPr>
        <w:t>10%</w:t>
      </w:r>
      <w:r>
        <w:rPr/>
        <w:t>以上的参股公司情况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pStyle w:val="BodyText"/>
        <w:spacing w:line="240" w:lineRule="auto"/>
        <w:ind w:right="0"/>
        <w:jc w:val="left"/>
      </w:pPr>
      <w:r>
        <w:rPr/>
        <w:t>单位：元</w:t>
      </w:r>
    </w:p>
    <w:p>
      <w:pPr>
        <w:spacing w:after="0" w:line="240" w:lineRule="auto"/>
        <w:jc w:val="left"/>
        <w:sectPr>
          <w:type w:val="continuous"/>
          <w:pgSz w:w="11910" w:h="16840"/>
          <w:pgMar w:top="1060" w:bottom="1160" w:left="980" w:right="0"/>
          <w:cols w:num="2" w:equalWidth="0">
            <w:col w:w="4851" w:space="4069"/>
            <w:col w:w="2010"/>
          </w:cols>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054"/>
        <w:gridCol w:w="1198"/>
        <w:gridCol w:w="1045"/>
        <w:gridCol w:w="1044"/>
        <w:gridCol w:w="1046"/>
        <w:gridCol w:w="1047"/>
        <w:gridCol w:w="1044"/>
        <w:gridCol w:w="1045"/>
        <w:gridCol w:w="1046"/>
      </w:tblGrid>
      <w:tr>
        <w:trPr>
          <w:trHeight w:val="401" w:hRule="exact"/>
        </w:trPr>
        <w:tc>
          <w:tcPr>
            <w:tcW w:w="10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63" w:right="0"/>
              <w:jc w:val="left"/>
              <w:rPr>
                <w:rFonts w:ascii="宋体" w:hAnsi="宋体" w:cs="宋体" w:eastAsia="宋体" w:hint="default"/>
                <w:sz w:val="18"/>
                <w:szCs w:val="18"/>
              </w:rPr>
            </w:pPr>
            <w:r>
              <w:rPr>
                <w:rFonts w:ascii="宋体" w:hAnsi="宋体" w:cs="宋体" w:eastAsia="宋体" w:hint="default"/>
                <w:sz w:val="18"/>
                <w:szCs w:val="18"/>
              </w:rPr>
              <w:t>公司名称</w:t>
            </w:r>
          </w:p>
        </w:tc>
        <w:tc>
          <w:tcPr>
            <w:tcW w:w="11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32" w:right="0"/>
              <w:jc w:val="left"/>
              <w:rPr>
                <w:rFonts w:ascii="宋体" w:hAnsi="宋体" w:cs="宋体" w:eastAsia="宋体" w:hint="default"/>
                <w:sz w:val="18"/>
                <w:szCs w:val="18"/>
              </w:rPr>
            </w:pPr>
            <w:r>
              <w:rPr>
                <w:rFonts w:ascii="宋体" w:hAnsi="宋体" w:cs="宋体" w:eastAsia="宋体" w:hint="default"/>
                <w:sz w:val="18"/>
                <w:szCs w:val="18"/>
              </w:rPr>
              <w:t>公司类型</w:t>
            </w:r>
          </w:p>
        </w:tc>
        <w:tc>
          <w:tcPr>
            <w:tcW w:w="10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54"/>
              <w:jc w:val="right"/>
              <w:rPr>
                <w:rFonts w:ascii="宋体" w:hAnsi="宋体" w:cs="宋体" w:eastAsia="宋体" w:hint="default"/>
                <w:sz w:val="18"/>
                <w:szCs w:val="18"/>
              </w:rPr>
            </w:pPr>
            <w:r>
              <w:rPr>
                <w:rFonts w:ascii="宋体" w:hAnsi="宋体" w:cs="宋体" w:eastAsia="宋体" w:hint="default"/>
                <w:sz w:val="18"/>
                <w:szCs w:val="18"/>
              </w:rPr>
              <w:t>主要业务</w:t>
            </w:r>
          </w:p>
        </w:tc>
        <w:tc>
          <w:tcPr>
            <w:tcW w:w="10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58"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10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9" w:right="0"/>
              <w:jc w:val="left"/>
              <w:rPr>
                <w:rFonts w:ascii="宋体" w:hAnsi="宋体" w:cs="宋体" w:eastAsia="宋体" w:hint="default"/>
                <w:sz w:val="18"/>
                <w:szCs w:val="18"/>
              </w:rPr>
            </w:pPr>
            <w:r>
              <w:rPr>
                <w:rFonts w:ascii="宋体" w:hAnsi="宋体" w:cs="宋体" w:eastAsia="宋体" w:hint="default"/>
                <w:sz w:val="18"/>
                <w:szCs w:val="18"/>
              </w:rPr>
              <w:t>总资产</w:t>
            </w:r>
          </w:p>
        </w:tc>
        <w:tc>
          <w:tcPr>
            <w:tcW w:w="10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7" w:right="0"/>
              <w:jc w:val="left"/>
              <w:rPr>
                <w:rFonts w:ascii="宋体" w:hAnsi="宋体" w:cs="宋体" w:eastAsia="宋体" w:hint="default"/>
                <w:sz w:val="18"/>
                <w:szCs w:val="18"/>
              </w:rPr>
            </w:pPr>
            <w:r>
              <w:rPr>
                <w:rFonts w:ascii="宋体" w:hAnsi="宋体" w:cs="宋体" w:eastAsia="宋体" w:hint="default"/>
                <w:sz w:val="18"/>
                <w:szCs w:val="18"/>
              </w:rPr>
              <w:t>净资产</w:t>
            </w:r>
          </w:p>
        </w:tc>
        <w:tc>
          <w:tcPr>
            <w:tcW w:w="10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58"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58" w:right="0"/>
              <w:jc w:val="left"/>
              <w:rPr>
                <w:rFonts w:ascii="宋体" w:hAnsi="宋体" w:cs="宋体" w:eastAsia="宋体" w:hint="default"/>
                <w:sz w:val="18"/>
                <w:szCs w:val="18"/>
              </w:rPr>
            </w:pPr>
            <w:r>
              <w:rPr>
                <w:rFonts w:ascii="宋体" w:hAnsi="宋体" w:cs="宋体" w:eastAsia="宋体" w:hint="default"/>
                <w:sz w:val="18"/>
                <w:szCs w:val="18"/>
              </w:rPr>
              <w:t>营业利润</w:t>
            </w:r>
          </w:p>
        </w:tc>
        <w:tc>
          <w:tcPr>
            <w:tcW w:w="10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51" w:right="0"/>
              <w:jc w:val="left"/>
              <w:rPr>
                <w:rFonts w:ascii="宋体" w:hAnsi="宋体" w:cs="宋体" w:eastAsia="宋体" w:hint="default"/>
                <w:sz w:val="18"/>
                <w:szCs w:val="18"/>
              </w:rPr>
            </w:pPr>
            <w:r>
              <w:rPr>
                <w:rFonts w:ascii="宋体" w:hAnsi="宋体" w:cs="宋体" w:eastAsia="宋体" w:hint="default"/>
                <w:sz w:val="18"/>
                <w:szCs w:val="18"/>
              </w:rPr>
              <w:t>净利润</w:t>
            </w:r>
          </w:p>
        </w:tc>
      </w:tr>
      <w:tr>
        <w:trPr>
          <w:trHeight w:val="715"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18"/>
              <w:jc w:val="left"/>
              <w:rPr>
                <w:rFonts w:ascii="宋体" w:hAnsi="宋体" w:cs="宋体" w:eastAsia="宋体" w:hint="default"/>
                <w:sz w:val="18"/>
                <w:szCs w:val="18"/>
              </w:rPr>
            </w:pPr>
            <w:r>
              <w:rPr>
                <w:rFonts w:ascii="宋体" w:hAnsi="宋体" w:cs="宋体" w:eastAsia="宋体" w:hint="default"/>
                <w:sz w:val="18"/>
                <w:szCs w:val="18"/>
              </w:rPr>
              <w:t>合肥杰发科 技有限公司</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10"/>
              <w:jc w:val="left"/>
              <w:rPr>
                <w:rFonts w:ascii="宋体" w:hAnsi="宋体" w:cs="宋体" w:eastAsia="宋体" w:hint="default"/>
                <w:sz w:val="18"/>
                <w:szCs w:val="18"/>
              </w:rPr>
            </w:pPr>
            <w:r>
              <w:rPr>
                <w:rFonts w:ascii="宋体" w:hAnsi="宋体" w:cs="宋体" w:eastAsia="宋体" w:hint="default"/>
                <w:sz w:val="18"/>
                <w:szCs w:val="18"/>
              </w:rPr>
              <w:t>汽车电子芯 片</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40,414,277.0</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1,197,473,70</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pacing w:val="-1"/>
                <w:sz w:val="18"/>
              </w:rPr>
              <w:t>7.24</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1,031,044,53</w:t>
            </w:r>
          </w:p>
          <w:p>
            <w:pPr>
              <w:pStyle w:val="TableParagraph"/>
              <w:spacing w:line="240" w:lineRule="auto" w:before="102"/>
              <w:ind w:right="21"/>
              <w:jc w:val="right"/>
              <w:rPr>
                <w:rFonts w:ascii="Times New Roman" w:hAnsi="Times New Roman" w:cs="Times New Roman" w:eastAsia="Times New Roman" w:hint="default"/>
                <w:sz w:val="18"/>
                <w:szCs w:val="18"/>
              </w:rPr>
            </w:pPr>
            <w:r>
              <w:rPr>
                <w:rFonts w:ascii="Times New Roman"/>
                <w:spacing w:val="-1"/>
                <w:sz w:val="18"/>
              </w:rPr>
              <w:t>8.22</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579,114,690.</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64</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218,307,812.</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41</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199,061,172.</w:t>
            </w:r>
          </w:p>
          <w:p>
            <w:pPr>
              <w:pStyle w:val="TableParagraph"/>
              <w:spacing w:line="240" w:lineRule="auto" w:before="102"/>
              <w:ind w:right="14"/>
              <w:jc w:val="right"/>
              <w:rPr>
                <w:rFonts w:ascii="Times New Roman" w:hAnsi="Times New Roman" w:cs="Times New Roman" w:eastAsia="Times New Roman" w:hint="default"/>
                <w:sz w:val="18"/>
                <w:szCs w:val="18"/>
              </w:rPr>
            </w:pPr>
            <w:r>
              <w:rPr>
                <w:rFonts w:ascii="Times New Roman"/>
                <w:sz w:val="18"/>
              </w:rPr>
              <w:t>47</w:t>
            </w:r>
          </w:p>
        </w:tc>
      </w:tr>
      <w:tr>
        <w:trPr>
          <w:trHeight w:val="1025"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18"/>
              <w:jc w:val="both"/>
              <w:rPr>
                <w:rFonts w:ascii="宋体" w:hAnsi="宋体" w:cs="宋体" w:eastAsia="宋体" w:hint="default"/>
                <w:sz w:val="18"/>
                <w:szCs w:val="18"/>
              </w:rPr>
            </w:pPr>
            <w:r>
              <w:rPr>
                <w:rFonts w:ascii="宋体" w:hAnsi="宋体" w:cs="宋体" w:eastAsia="宋体" w:hint="default"/>
                <w:sz w:val="18"/>
                <w:szCs w:val="18"/>
              </w:rPr>
              <w:t>北京世纪高 通科技有限 公司</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4" w:right="110"/>
              <w:jc w:val="left"/>
              <w:rPr>
                <w:rFonts w:ascii="宋体" w:hAnsi="宋体" w:cs="宋体" w:eastAsia="宋体" w:hint="default"/>
                <w:sz w:val="18"/>
                <w:szCs w:val="18"/>
              </w:rPr>
            </w:pPr>
            <w:r>
              <w:rPr>
                <w:rFonts w:ascii="宋体" w:hAnsi="宋体" w:cs="宋体" w:eastAsia="宋体" w:hint="default"/>
                <w:sz w:val="18"/>
                <w:szCs w:val="18"/>
              </w:rPr>
              <w:t>动态交通信 息服务</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46,000,000.0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232,028,848.</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15</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170,293,104.</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23</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247,560,634.</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82</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89,234,246.0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9</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79,037,919.5</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7</w:t>
            </w:r>
          </w:p>
        </w:tc>
      </w:tr>
      <w:tr>
        <w:trPr>
          <w:trHeight w:val="1027"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360" w:lineRule="auto"/>
              <w:ind w:left="24" w:right="26"/>
              <w:jc w:val="left"/>
              <w:rPr>
                <w:rFonts w:ascii="Times New Roman" w:hAnsi="Times New Roman" w:cs="Times New Roman" w:eastAsia="Times New Roman" w:hint="default"/>
                <w:sz w:val="18"/>
                <w:szCs w:val="18"/>
              </w:rPr>
            </w:pPr>
            <w:r>
              <w:rPr>
                <w:rFonts w:ascii="Times New Roman" w:hAnsi="Times New Roman"/>
                <w:sz w:val="18"/>
              </w:rPr>
              <w:t>Coöperatieve NavInfo</w:t>
            </w:r>
            <w:r>
              <w:rPr>
                <w:rFonts w:ascii="Times New Roman" w:hAnsi="Times New Roman"/>
                <w:spacing w:val="-7"/>
                <w:sz w:val="18"/>
              </w:rPr>
              <w:t> </w:t>
            </w:r>
            <w:r>
              <w:rPr>
                <w:rFonts w:ascii="Times New Roman" w:hAnsi="Times New Roman"/>
                <w:sz w:val="18"/>
              </w:rPr>
              <w:t>U.A.</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110"/>
              <w:jc w:val="both"/>
              <w:rPr>
                <w:rFonts w:ascii="宋体" w:hAnsi="宋体" w:cs="宋体" w:eastAsia="宋体" w:hint="default"/>
                <w:sz w:val="18"/>
                <w:szCs w:val="18"/>
              </w:rPr>
            </w:pPr>
            <w:r>
              <w:rPr>
                <w:rFonts w:ascii="宋体" w:hAnsi="宋体" w:cs="宋体" w:eastAsia="宋体" w:hint="default"/>
                <w:sz w:val="18"/>
                <w:szCs w:val="18"/>
              </w:rPr>
              <w:t>电子地图产 品和服务的 研发和销售</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536,779,973.</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29</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396,571,581.</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18</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262,501,594.</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29</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57,545,522.1</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1</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43,344,237.0</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5</w:t>
            </w:r>
          </w:p>
        </w:tc>
      </w:tr>
      <w:tr>
        <w:trPr>
          <w:trHeight w:val="1025"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118"/>
              <w:jc w:val="both"/>
              <w:rPr>
                <w:rFonts w:ascii="宋体" w:hAnsi="宋体" w:cs="宋体" w:eastAsia="宋体" w:hint="default"/>
                <w:sz w:val="18"/>
                <w:szCs w:val="18"/>
              </w:rPr>
            </w:pPr>
            <w:r>
              <w:rPr>
                <w:rFonts w:ascii="宋体" w:hAnsi="宋体" w:cs="宋体" w:eastAsia="宋体" w:hint="default"/>
                <w:sz w:val="18"/>
                <w:szCs w:val="18"/>
              </w:rPr>
              <w:t>中寰卫星导 航通信有限 公司</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110"/>
              <w:jc w:val="right"/>
              <w:rPr>
                <w:rFonts w:ascii="宋体" w:hAnsi="宋体" w:cs="宋体" w:eastAsia="宋体" w:hint="default"/>
                <w:sz w:val="18"/>
                <w:szCs w:val="18"/>
              </w:rPr>
            </w:pPr>
            <w:r>
              <w:rPr>
                <w:rFonts w:ascii="宋体" w:hAnsi="宋体" w:cs="宋体" w:eastAsia="宋体" w:hint="default"/>
                <w:sz w:val="18"/>
                <w:szCs w:val="18"/>
              </w:rPr>
              <w:t>商用车联网</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152,257,200.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00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319,988,834.</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13</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230,325,653.</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78</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229,806,355.</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94</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-61,786,973.</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19</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-63,796,253.</w:t>
            </w:r>
          </w:p>
          <w:p>
            <w:pPr>
              <w:pStyle w:val="TableParagraph"/>
              <w:spacing w:line="240" w:lineRule="auto" w:before="105"/>
              <w:ind w:right="14"/>
              <w:jc w:val="right"/>
              <w:rPr>
                <w:rFonts w:ascii="Times New Roman" w:hAnsi="Times New Roman" w:cs="Times New Roman" w:eastAsia="Times New Roman" w:hint="default"/>
                <w:sz w:val="18"/>
                <w:szCs w:val="18"/>
              </w:rPr>
            </w:pPr>
            <w:r>
              <w:rPr>
                <w:rFonts w:ascii="Times New Roman"/>
                <w:sz w:val="18"/>
              </w:rPr>
              <w:t>44</w:t>
            </w:r>
          </w:p>
        </w:tc>
      </w:tr>
      <w:tr>
        <w:trPr>
          <w:trHeight w:val="1339"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360" w:lineRule="auto"/>
              <w:ind w:left="24" w:right="170"/>
              <w:jc w:val="left"/>
              <w:rPr>
                <w:rFonts w:ascii="Times New Roman" w:hAnsi="Times New Roman" w:cs="Times New Roman" w:eastAsia="Times New Roman" w:hint="default"/>
                <w:sz w:val="18"/>
                <w:szCs w:val="18"/>
              </w:rPr>
            </w:pPr>
            <w:r>
              <w:rPr>
                <w:rFonts w:ascii="Times New Roman"/>
                <w:sz w:val="18"/>
              </w:rPr>
              <w:t>Mapbar </w:t>
            </w:r>
            <w:r>
              <w:rPr>
                <w:rFonts w:ascii="Times New Roman"/>
                <w:spacing w:val="-2"/>
                <w:sz w:val="18"/>
              </w:rPr>
              <w:t>Technology</w:t>
            </w:r>
            <w:r>
              <w:rPr>
                <w:rFonts w:ascii="Times New Roman"/>
                <w:spacing w:val="-39"/>
                <w:sz w:val="18"/>
              </w:rPr>
              <w:t> </w:t>
            </w:r>
            <w:r>
              <w:rPr>
                <w:rFonts w:ascii="Times New Roman"/>
                <w:spacing w:val="-39"/>
                <w:sz w:val="18"/>
              </w:rPr>
            </w:r>
            <w:r>
              <w:rPr>
                <w:rFonts w:ascii="Times New Roman"/>
                <w:sz w:val="18"/>
              </w:rPr>
              <w:t>Limited</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参股公司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110"/>
              <w:jc w:val="both"/>
              <w:rPr>
                <w:rFonts w:ascii="宋体" w:hAnsi="宋体" w:cs="宋体" w:eastAsia="宋体" w:hint="default"/>
                <w:sz w:val="18"/>
                <w:szCs w:val="18"/>
              </w:rPr>
            </w:pPr>
            <w:r>
              <w:rPr>
                <w:rFonts w:ascii="宋体" w:hAnsi="宋体" w:cs="宋体" w:eastAsia="宋体" w:hint="default"/>
                <w:sz w:val="18"/>
                <w:szCs w:val="18"/>
              </w:rPr>
              <w:t>移动互联网 导航及车联 网产品的技 术开发服务</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$47,882.03</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804,899,079.</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53</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529,755,390.</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50</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105,481,203.</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89</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-169,859,193</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.13</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-170,290,436</w:t>
            </w:r>
          </w:p>
          <w:p>
            <w:pPr>
              <w:pStyle w:val="TableParagraph"/>
              <w:spacing w:line="240" w:lineRule="auto" w:before="102"/>
              <w:ind w:right="16"/>
              <w:jc w:val="right"/>
              <w:rPr>
                <w:rFonts w:ascii="Times New Roman" w:hAnsi="Times New Roman" w:cs="Times New Roman" w:eastAsia="Times New Roman" w:hint="default"/>
                <w:sz w:val="18"/>
                <w:szCs w:val="18"/>
              </w:rPr>
            </w:pPr>
            <w:r>
              <w:rPr>
                <w:rFonts w:ascii="Times New Roman"/>
                <w:sz w:val="18"/>
              </w:rPr>
              <w:t>.64</w:t>
            </w:r>
          </w:p>
        </w:tc>
      </w:tr>
    </w:tbl>
    <w:p>
      <w:pPr>
        <w:pStyle w:val="BodyText"/>
        <w:spacing w:line="240" w:lineRule="auto" w:before="49"/>
        <w:ind w:right="982"/>
        <w:jc w:val="left"/>
      </w:pPr>
      <w:r>
        <w:rPr/>
        <w:t>报告期内取得和处置子公司的情况</w:t>
      </w:r>
    </w:p>
    <w:p>
      <w:pPr>
        <w:pStyle w:val="BodyText"/>
        <w:spacing w:line="240" w:lineRule="auto" w:before="115"/>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4"/>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公司名称</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31" w:right="0"/>
              <w:jc w:val="left"/>
              <w:rPr>
                <w:rFonts w:ascii="宋体" w:hAnsi="宋体" w:cs="宋体" w:eastAsia="宋体" w:hint="default"/>
                <w:sz w:val="18"/>
                <w:szCs w:val="18"/>
              </w:rPr>
            </w:pPr>
            <w:r>
              <w:rPr>
                <w:rFonts w:ascii="宋体" w:hAnsi="宋体" w:cs="宋体" w:eastAsia="宋体" w:hint="default"/>
                <w:sz w:val="18"/>
                <w:szCs w:val="18"/>
              </w:rPr>
              <w:t>报告期内取得和处置子公司方式</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19" w:right="0"/>
              <w:jc w:val="left"/>
              <w:rPr>
                <w:rFonts w:ascii="宋体" w:hAnsi="宋体" w:cs="宋体" w:eastAsia="宋体" w:hint="default"/>
                <w:sz w:val="18"/>
                <w:szCs w:val="18"/>
              </w:rPr>
            </w:pPr>
            <w:r>
              <w:rPr>
                <w:rFonts w:ascii="宋体" w:hAnsi="宋体" w:cs="宋体" w:eastAsia="宋体" w:hint="default"/>
                <w:sz w:val="18"/>
                <w:szCs w:val="18"/>
              </w:rPr>
              <w:t>对整体生产经营和业绩的影响</w:t>
            </w:r>
          </w:p>
        </w:tc>
      </w:tr>
      <w:tr>
        <w:trPr>
          <w:trHeight w:val="71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北京六分科技有限公司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新设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94"/>
              <w:jc w:val="left"/>
              <w:rPr>
                <w:rFonts w:ascii="宋体" w:hAnsi="宋体" w:cs="宋体" w:eastAsia="宋体" w:hint="default"/>
                <w:sz w:val="18"/>
                <w:szCs w:val="18"/>
              </w:rPr>
            </w:pPr>
            <w:r>
              <w:rPr>
                <w:rFonts w:ascii="宋体" w:hAnsi="宋体" w:cs="宋体" w:eastAsia="宋体" w:hint="default"/>
                <w:sz w:val="18"/>
                <w:szCs w:val="18"/>
              </w:rPr>
              <w:t>从事高精度定位运营服务，增加未来收 入和回报</w:t>
            </w:r>
          </w:p>
        </w:tc>
      </w:tr>
      <w:tr>
        <w:trPr>
          <w:trHeight w:val="715"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四维图新日本有限公司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新设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94"/>
              <w:jc w:val="left"/>
              <w:rPr>
                <w:rFonts w:ascii="宋体" w:hAnsi="宋体" w:cs="宋体" w:eastAsia="宋体" w:hint="default"/>
                <w:sz w:val="18"/>
                <w:szCs w:val="18"/>
              </w:rPr>
            </w:pPr>
            <w:r>
              <w:rPr>
                <w:rFonts w:ascii="宋体" w:hAnsi="宋体" w:cs="宋体" w:eastAsia="宋体" w:hint="default"/>
                <w:sz w:val="18"/>
                <w:szCs w:val="18"/>
              </w:rPr>
              <w:t>从事自动驾驶技术研究，增加未来收入 和回报</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西安四维图新实业有限公司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注销</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无重大影响</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北京图新智盛信息技术有限公司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转让股权</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无重大影响</w:t>
            </w:r>
          </w:p>
        </w:tc>
      </w:tr>
      <w:tr>
        <w:trPr>
          <w:trHeight w:val="1337"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sz w:val="18"/>
              </w:rPr>
              <w:t>Mapbar Technology</w:t>
            </w:r>
            <w:r>
              <w:rPr>
                <w:rFonts w:ascii="Times New Roman"/>
                <w:spacing w:val="-28"/>
                <w:sz w:val="18"/>
              </w:rPr>
              <w:t> </w:t>
            </w:r>
            <w:r>
              <w:rPr>
                <w:rFonts w:ascii="Times New Roman"/>
                <w:sz w:val="18"/>
              </w:rPr>
              <w:t>Limited</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第三方股东单方增资（控股转参股）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304" w:lineRule="auto" w:before="49"/>
              <w:ind w:left="23" w:right="53"/>
              <w:jc w:val="both"/>
              <w:rPr>
                <w:rFonts w:ascii="宋体" w:hAnsi="宋体" w:cs="宋体" w:eastAsia="宋体" w:hint="default"/>
                <w:sz w:val="18"/>
                <w:szCs w:val="18"/>
              </w:rPr>
            </w:pPr>
            <w:r>
              <w:rPr>
                <w:rFonts w:ascii="宋体" w:hAnsi="宋体" w:cs="宋体" w:eastAsia="宋体" w:hint="default"/>
                <w:sz w:val="18"/>
                <w:szCs w:val="18"/>
              </w:rPr>
              <w:t>图吧</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BVI</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获得充分的战略资源和资金支</w:t>
            </w:r>
            <w:r>
              <w:rPr>
                <w:rFonts w:ascii="宋体" w:hAnsi="宋体" w:cs="宋体" w:eastAsia="宋体" w:hint="default"/>
                <w:w w:val="99"/>
                <w:sz w:val="18"/>
                <w:szCs w:val="18"/>
              </w:rPr>
              <w:t> </w:t>
            </w:r>
            <w:r>
              <w:rPr>
                <w:rFonts w:ascii="宋体" w:hAnsi="宋体" w:cs="宋体" w:eastAsia="宋体" w:hint="default"/>
                <w:sz w:val="18"/>
                <w:szCs w:val="18"/>
              </w:rPr>
              <w:t>持，在战略和经营决策方面获得独立性</w:t>
            </w:r>
            <w:r>
              <w:rPr>
                <w:rFonts w:ascii="宋体" w:hAnsi="宋体" w:cs="宋体" w:eastAsia="宋体" w:hint="default"/>
                <w:w w:val="99"/>
                <w:sz w:val="18"/>
                <w:szCs w:val="18"/>
              </w:rPr>
              <w:t> </w:t>
            </w:r>
            <w:r>
              <w:rPr>
                <w:rFonts w:ascii="宋体" w:hAnsi="宋体" w:cs="宋体" w:eastAsia="宋体" w:hint="default"/>
                <w:sz w:val="18"/>
                <w:szCs w:val="18"/>
              </w:rPr>
              <w:t>和灵活性，有助于提高图吧</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BVI</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在车联</w:t>
            </w:r>
            <w:r>
              <w:rPr>
                <w:rFonts w:ascii="宋体" w:hAnsi="宋体" w:cs="宋体" w:eastAsia="宋体" w:hint="default"/>
                <w:w w:val="99"/>
                <w:sz w:val="18"/>
                <w:szCs w:val="18"/>
              </w:rPr>
              <w:t> </w:t>
            </w:r>
            <w:r>
              <w:rPr>
                <w:rFonts w:ascii="宋体" w:hAnsi="宋体" w:cs="宋体" w:eastAsia="宋体" w:hint="default"/>
                <w:sz w:val="18"/>
                <w:szCs w:val="18"/>
              </w:rPr>
              <w:t>网业务的竞争力，增加未来收入和回报</w:t>
            </w:r>
          </w:p>
        </w:tc>
      </w:tr>
    </w:tbl>
    <w:p>
      <w:pPr>
        <w:pStyle w:val="BodyText"/>
        <w:spacing w:line="240" w:lineRule="auto" w:before="49"/>
        <w:ind w:right="0"/>
        <w:jc w:val="both"/>
      </w:pPr>
      <w:r>
        <w:rPr/>
        <w:t>主要控股参股公司情况说明</w:t>
      </w:r>
    </w:p>
    <w:p>
      <w:pPr>
        <w:pStyle w:val="BodyText"/>
        <w:spacing w:line="300" w:lineRule="auto" w:before="118"/>
        <w:ind w:right="1128"/>
        <w:jc w:val="both"/>
      </w:pPr>
      <w:r>
        <w:rPr/>
        <w:t>本报告期，因第三方股东增资导致本公司在 </w:t>
      </w:r>
      <w:r>
        <w:rPr>
          <w:rFonts w:ascii="Times New Roman" w:hAnsi="Times New Roman" w:cs="Times New Roman" w:eastAsia="Times New Roman" w:hint="default"/>
        </w:rPr>
        <w:t>Mapbar Technology Limited</w:t>
      </w:r>
      <w:r>
        <w:rPr/>
        <w:t>（以下简称图吧 </w:t>
      </w:r>
      <w:r>
        <w:rPr>
          <w:rFonts w:ascii="Times New Roman" w:hAnsi="Times New Roman" w:cs="Times New Roman" w:eastAsia="Times New Roman" w:hint="default"/>
        </w:rPr>
        <w:t>BVI</w:t>
      </w:r>
      <w:r>
        <w:rPr/>
        <w:t>）的持股比例由</w:t>
      </w:r>
      <w:r>
        <w:rPr>
          <w:spacing w:val="-61"/>
        </w:rPr>
        <w:t> </w:t>
      </w:r>
      <w:r>
        <w:rPr>
          <w:rFonts w:ascii="Times New Roman" w:hAnsi="Times New Roman" w:cs="Times New Roman" w:eastAsia="Times New Roman" w:hint="default"/>
        </w:rPr>
        <w:t>60.33%</w:t>
      </w:r>
      <w:r>
        <w:rPr/>
        <w:t>减少到</w:t>
      </w:r>
      <w:r>
        <w:rPr>
          <w:w w:val="99"/>
        </w:rPr>
        <w:t> </w:t>
      </w:r>
      <w:r>
        <w:rPr>
          <w:rFonts w:ascii="Times New Roman" w:hAnsi="Times New Roman" w:cs="Times New Roman" w:eastAsia="Times New Roman" w:hint="default"/>
        </w:rPr>
        <w:t>46.93%</w:t>
      </w:r>
      <w:r>
        <w:rPr/>
        <w:t>，本公司失去对图吧</w:t>
      </w:r>
      <w:r>
        <w:rPr>
          <w:spacing w:val="-52"/>
        </w:rPr>
        <w:t> </w:t>
      </w:r>
      <w:r>
        <w:rPr>
          <w:rFonts w:ascii="Times New Roman" w:hAnsi="Times New Roman" w:cs="Times New Roman" w:eastAsia="Times New Roman" w:hint="default"/>
        </w:rPr>
        <w:t>BVI</w:t>
      </w:r>
      <w:r>
        <w:rPr>
          <w:rFonts w:ascii="Times New Roman" w:hAnsi="Times New Roman" w:cs="Times New Roman" w:eastAsia="Times New Roman" w:hint="default"/>
          <w:spacing w:val="-7"/>
        </w:rPr>
        <w:t> </w:t>
      </w:r>
      <w:r>
        <w:rPr/>
        <w:t>的控制权，截至</w:t>
      </w:r>
      <w:r>
        <w:rPr>
          <w:spacing w:val="-51"/>
        </w:rPr>
        <w:t> </w:t>
      </w:r>
      <w:r>
        <w:rPr>
          <w:rFonts w:ascii="Times New Roman" w:hAnsi="Times New Roman" w:cs="Times New Roman" w:eastAsia="Times New Roman" w:hint="default"/>
        </w:rPr>
        <w:t>2018</w:t>
      </w:r>
      <w:r>
        <w:rPr>
          <w:rFonts w:ascii="Times New Roman" w:hAnsi="Times New Roman" w:cs="Times New Roman" w:eastAsia="Times New Roman" w:hint="default"/>
          <w:spacing w:val="-5"/>
        </w:rPr>
        <w:t> </w:t>
      </w:r>
      <w:r>
        <w:rPr/>
        <w:t>年</w:t>
      </w:r>
      <w:r>
        <w:rPr>
          <w:spacing w:val="-52"/>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7"/>
        </w:rPr>
        <w:t> </w:t>
      </w:r>
      <w:r>
        <w:rPr/>
        <w:t>月</w:t>
      </w:r>
      <w:r>
        <w:rPr>
          <w:spacing w:val="-52"/>
        </w:rPr>
        <w:t> </w:t>
      </w:r>
      <w:r>
        <w:rPr>
          <w:rFonts w:ascii="Times New Roman" w:hAnsi="Times New Roman" w:cs="Times New Roman" w:eastAsia="Times New Roman" w:hint="default"/>
        </w:rPr>
        <w:t>23</w:t>
      </w:r>
      <w:r>
        <w:rPr>
          <w:rFonts w:ascii="Times New Roman" w:hAnsi="Times New Roman" w:cs="Times New Roman" w:eastAsia="Times New Roman" w:hint="default"/>
          <w:spacing w:val="-6"/>
        </w:rPr>
        <w:t> </w:t>
      </w:r>
      <w:r>
        <w:rPr/>
        <w:t>日，本次协议各方增资款已全部到账，相关交割手续已办</w:t>
      </w:r>
      <w:r>
        <w:rPr>
          <w:w w:val="99"/>
        </w:rPr>
        <w:t> </w:t>
      </w:r>
      <w:r>
        <w:rPr/>
        <w:t>理完毕，图吧</w:t>
      </w:r>
      <w:r>
        <w:rPr>
          <w:spacing w:val="-47"/>
        </w:rPr>
        <w:t> </w:t>
      </w:r>
      <w:r>
        <w:rPr>
          <w:rFonts w:ascii="Times New Roman" w:hAnsi="Times New Roman" w:cs="Times New Roman" w:eastAsia="Times New Roman" w:hint="default"/>
        </w:rPr>
        <w:t>BVI</w:t>
      </w:r>
      <w:r>
        <w:rPr>
          <w:rFonts w:ascii="Times New Roman" w:hAnsi="Times New Roman" w:cs="Times New Roman" w:eastAsia="Times New Roman" w:hint="default"/>
          <w:spacing w:val="-2"/>
        </w:rPr>
        <w:t> </w:t>
      </w:r>
      <w:r>
        <w:rPr/>
        <w:t>变更为本公司之参股公司。</w:t>
      </w:r>
    </w:p>
    <w:p>
      <w:pPr>
        <w:spacing w:line="240" w:lineRule="auto" w:before="3"/>
        <w:rPr>
          <w:rFonts w:ascii="宋体" w:hAnsi="宋体" w:cs="宋体" w:eastAsia="宋体" w:hint="default"/>
          <w:sz w:val="20"/>
          <w:szCs w:val="20"/>
        </w:rPr>
      </w:pPr>
    </w:p>
    <w:p>
      <w:pPr>
        <w:pStyle w:val="Heading2"/>
        <w:spacing w:line="240" w:lineRule="auto"/>
        <w:ind w:right="0"/>
        <w:jc w:val="both"/>
        <w:rPr>
          <w:b w:val="0"/>
          <w:bCs w:val="0"/>
        </w:rPr>
      </w:pPr>
      <w:r>
        <w:rPr/>
        <w:t>八、公司控制的结构化主体情况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both"/>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after="0" w:line="240" w:lineRule="auto"/>
        <w:jc w:val="both"/>
        <w:sectPr>
          <w:pgSz w:w="11910" w:h="16840"/>
          <w:pgMar w:header="745" w:footer="979" w:top="1060" w:bottom="116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0"/>
        <w:jc w:val="both"/>
        <w:rPr>
          <w:b w:val="0"/>
          <w:bCs w:val="0"/>
        </w:rPr>
      </w:pPr>
      <w:r>
        <w:rPr/>
        <w:t>九、公司未来发展的展望</w:t>
      </w:r>
      <w:r>
        <w:rPr>
          <w:b w:val="0"/>
          <w:bCs w:val="0"/>
        </w:rPr>
      </w:r>
    </w:p>
    <w:p>
      <w:pPr>
        <w:spacing w:line="240" w:lineRule="auto" w:before="10"/>
        <w:rPr>
          <w:rFonts w:ascii="宋体" w:hAnsi="宋体" w:cs="宋体" w:eastAsia="宋体" w:hint="default"/>
          <w:b/>
          <w:bCs/>
          <w:sz w:val="30"/>
          <w:szCs w:val="30"/>
        </w:rPr>
      </w:pPr>
    </w:p>
    <w:p>
      <w:pPr>
        <w:spacing w:line="408" w:lineRule="auto" w:before="0"/>
        <w:ind w:left="573" w:right="982" w:hanging="421"/>
        <w:jc w:val="left"/>
        <w:rPr>
          <w:rFonts w:ascii="宋体" w:hAnsi="宋体" w:cs="宋体" w:eastAsia="宋体" w:hint="default"/>
          <w:sz w:val="21"/>
          <w:szCs w:val="21"/>
        </w:rPr>
      </w:pPr>
      <w:r>
        <w:rPr>
          <w:rFonts w:ascii="宋体" w:hAnsi="宋体" w:cs="宋体" w:eastAsia="宋体" w:hint="default"/>
          <w:b/>
          <w:bCs/>
          <w:sz w:val="21"/>
          <w:szCs w:val="21"/>
        </w:rPr>
        <w:t>（一）公司“智能汽车大脑”发展战略</w:t>
      </w:r>
      <w:r>
        <w:rPr>
          <w:rFonts w:ascii="宋体" w:hAnsi="宋体" w:cs="宋体" w:eastAsia="宋体" w:hint="default"/>
          <w:b/>
          <w:bCs/>
          <w:w w:val="99"/>
          <w:sz w:val="21"/>
          <w:szCs w:val="21"/>
        </w:rPr>
        <w:t> </w:t>
      </w:r>
      <w:r>
        <w:rPr>
          <w:rFonts w:ascii="宋体" w:hAnsi="宋体" w:cs="宋体" w:eastAsia="宋体" w:hint="default"/>
          <w:spacing w:val="-2"/>
          <w:sz w:val="21"/>
          <w:szCs w:val="21"/>
        </w:rPr>
        <w:t>随着人们对安全、舒适的驾驶体验的不断追求，自动驾驶成为汽车发展的新方向。作为人工智能技术</w:t>
      </w:r>
    </w:p>
    <w:p>
      <w:pPr>
        <w:pStyle w:val="Heading5"/>
        <w:spacing w:line="408" w:lineRule="auto"/>
        <w:ind w:right="1126" w:firstLine="0"/>
        <w:jc w:val="both"/>
        <w:rPr>
          <w:rFonts w:ascii="宋体" w:hAnsi="宋体" w:cs="宋体" w:eastAsia="宋体" w:hint="default"/>
        </w:rPr>
      </w:pPr>
      <w:r>
        <w:rPr>
          <w:spacing w:val="-2"/>
        </w:rPr>
        <w:t>周期演进过程最被看好的领域之一，自动驾驶的来临或将改变汽车产业原有格局，为产业链各环节参与者</w:t>
      </w:r>
      <w:r>
        <w:rPr>
          <w:spacing w:val="-42"/>
        </w:rPr>
        <w:t> </w:t>
      </w:r>
      <w:r>
        <w:rPr>
          <w:spacing w:val="-42"/>
        </w:rPr>
      </w:r>
      <w:r>
        <w:rPr>
          <w:spacing w:val="-3"/>
        </w:rPr>
        <w:t>带来新的发展机会。为了迎接自动驾驶时代的来临，</w:t>
      </w:r>
      <w:r>
        <w:rPr>
          <w:rFonts w:ascii="宋体" w:hAnsi="宋体" w:cs="宋体" w:eastAsia="宋体" w:hint="default"/>
          <w:spacing w:val="-3"/>
        </w:rPr>
        <w:t>2017 </w:t>
      </w:r>
      <w:r>
        <w:rPr>
          <w:spacing w:val="-4"/>
        </w:rPr>
        <w:t>年，公司明确提出要实现“智能汽车大脑”的战</w:t>
      </w:r>
      <w:r>
        <w:rPr>
          <w:spacing w:val="-76"/>
        </w:rPr>
        <w:t> </w:t>
      </w:r>
      <w:r>
        <w:rPr>
          <w:spacing w:val="-76"/>
        </w:rPr>
      </w:r>
      <w:r>
        <w:rPr>
          <w:spacing w:val="-2"/>
        </w:rPr>
        <w:t>略愿景，通过加大创新研发和借助产业投融资双轮动力引擎，积极打造高精度地图、高精度定位以及应用</w:t>
      </w:r>
      <w:r>
        <w:rPr>
          <w:spacing w:val="-43"/>
        </w:rPr>
        <w:t> </w:t>
      </w:r>
      <w:r>
        <w:rPr>
          <w:spacing w:val="-43"/>
        </w:rPr>
      </w:r>
      <w:r>
        <w:rPr/>
        <w:t>于 </w:t>
      </w:r>
      <w:r>
        <w:rPr>
          <w:rFonts w:ascii="宋体" w:hAnsi="宋体" w:cs="宋体" w:eastAsia="宋体" w:hint="default"/>
        </w:rPr>
        <w:t>ADAS</w:t>
      </w:r>
      <w:r>
        <w:rPr>
          <w:rFonts w:ascii="宋体" w:hAnsi="宋体" w:cs="宋体" w:eastAsia="宋体" w:hint="default"/>
          <w:spacing w:val="-28"/>
        </w:rPr>
        <w:t> </w:t>
      </w:r>
      <w:r>
        <w:rPr/>
        <w:t>和自动驾驶的车规级芯片等核心业务，致力于成为中国乃至全球值得信赖的自动驾驶解决方案提</w:t>
      </w:r>
      <w:r>
        <w:rPr>
          <w:w w:val="100"/>
        </w:rPr>
        <w:t> </w:t>
      </w:r>
      <w:r>
        <w:rPr>
          <w:spacing w:val="-2"/>
        </w:rPr>
        <w:t>供商，为车企和科技型企业提供一流的产品和服务。面向未来，公司将继续围绕“智能汽车大脑”战略愿</w:t>
      </w:r>
      <w:r>
        <w:rPr>
          <w:spacing w:val="-43"/>
        </w:rPr>
        <w:t> </w:t>
      </w:r>
      <w:r>
        <w:rPr>
          <w:spacing w:val="-43"/>
        </w:rPr>
      </w:r>
      <w:r>
        <w:rPr>
          <w:spacing w:val="-2"/>
        </w:rPr>
        <w:t>景，加速布局导航、车联网、自动驾驶、汽车芯片及位置大数据服务等领域，并为各业务的有序发展制定</w:t>
      </w:r>
      <w:r>
        <w:rPr>
          <w:spacing w:val="-43"/>
        </w:rPr>
        <w:t> </w:t>
      </w:r>
      <w:r>
        <w:rPr>
          <w:spacing w:val="-43"/>
        </w:rPr>
      </w:r>
      <w:r>
        <w:rPr/>
        <w:t>清晰的发展路径和实施计划。</w:t>
      </w:r>
      <w:r>
        <w:rPr>
          <w:rFonts w:ascii="宋体" w:hAnsi="宋体" w:cs="宋体" w:eastAsia="宋体" w:hint="default"/>
        </w:rPr>
        <w:t> </w:t>
      </w:r>
    </w:p>
    <w:p>
      <w:pPr>
        <w:pStyle w:val="Heading5"/>
        <w:spacing w:line="408" w:lineRule="auto"/>
        <w:ind w:right="982"/>
        <w:jc w:val="left"/>
        <w:rPr>
          <w:rFonts w:ascii="宋体" w:hAnsi="宋体" w:cs="宋体" w:eastAsia="宋体" w:hint="default"/>
        </w:rPr>
      </w:pPr>
      <w:r>
        <w:rPr/>
        <w:t>在导航业务板块，持续提升地图数据的品质、生产效率和导航软件的用户体验，开拓新兴应用领域，</w:t>
      </w:r>
      <w:r>
        <w:rPr>
          <w:w w:val="100"/>
        </w:rPr>
        <w:t> </w:t>
      </w:r>
      <w:r>
        <w:rPr>
          <w:spacing w:val="-2"/>
        </w:rPr>
        <w:t>挖掘地图数据的潜在价值，加速提升可满足高等级复杂场景需求的服务能力和快速响应能力，成为世界一</w:t>
      </w:r>
      <w:r>
        <w:rPr>
          <w:spacing w:val="-44"/>
        </w:rPr>
        <w:t> </w:t>
      </w:r>
      <w:r>
        <w:rPr>
          <w:spacing w:val="-44"/>
        </w:rPr>
      </w:r>
      <w:r>
        <w:rPr/>
        <w:t>流的地图数据与导航软件供应商。</w:t>
      </w:r>
      <w:r>
        <w:rPr>
          <w:rFonts w:ascii="宋体" w:hAnsi="宋体" w:cs="宋体" w:eastAsia="宋体" w:hint="default"/>
        </w:rPr>
        <w:t> </w:t>
      </w:r>
    </w:p>
    <w:p>
      <w:pPr>
        <w:pStyle w:val="Heading5"/>
        <w:spacing w:line="408" w:lineRule="auto"/>
        <w:ind w:right="1126"/>
        <w:jc w:val="both"/>
        <w:rPr>
          <w:rFonts w:ascii="宋体" w:hAnsi="宋体" w:cs="宋体" w:eastAsia="宋体" w:hint="default"/>
        </w:rPr>
      </w:pPr>
      <w:r>
        <w:rPr>
          <w:spacing w:val="-2"/>
        </w:rPr>
        <w:t>在车联网业务板块，以车联网云平台为基础服务，以智能网联系统为载体，以围绕智能汽车大数据融</w:t>
      </w:r>
      <w:r>
        <w:rPr>
          <w:w w:val="100"/>
        </w:rPr>
        <w:t> </w:t>
      </w:r>
      <w:r>
        <w:rPr>
          <w:spacing w:val="-2"/>
        </w:rPr>
        <w:t>合为核心诉求，打造可同时提供模块化产品组件及可满足高等级定制化需求的综合服务能力，面向新能源</w:t>
      </w:r>
      <w:r>
        <w:rPr>
          <w:spacing w:val="-43"/>
        </w:rPr>
        <w:t> </w:t>
      </w:r>
      <w:r>
        <w:rPr>
          <w:spacing w:val="-43"/>
        </w:rPr>
      </w:r>
      <w:r>
        <w:rPr>
          <w:spacing w:val="-2"/>
        </w:rPr>
        <w:t>汽车、智能座舱、自动驾驶、智慧物流、金融保险等应用场景，建立与车厂以及第三方合作伙伴共生共荣</w:t>
      </w:r>
      <w:r>
        <w:rPr>
          <w:spacing w:val="-43"/>
        </w:rPr>
        <w:t> </w:t>
      </w:r>
      <w:r>
        <w:rPr>
          <w:spacing w:val="-43"/>
        </w:rPr>
      </w:r>
      <w:r>
        <w:rPr/>
        <w:t>的新兴生态关系，致力于成为国内领先的车联网综合服务提供商和运营商。</w:t>
      </w:r>
      <w:r>
        <w:rPr>
          <w:rFonts w:ascii="宋体" w:hAnsi="宋体" w:cs="宋体" w:eastAsia="宋体" w:hint="default"/>
        </w:rPr>
        <w:t> </w:t>
      </w:r>
    </w:p>
    <w:p>
      <w:pPr>
        <w:pStyle w:val="Heading5"/>
        <w:spacing w:line="408" w:lineRule="auto"/>
        <w:ind w:right="1126"/>
        <w:jc w:val="both"/>
        <w:rPr>
          <w:rFonts w:ascii="宋体" w:hAnsi="宋体" w:cs="宋体" w:eastAsia="宋体" w:hint="default"/>
        </w:rPr>
      </w:pPr>
      <w:r>
        <w:rPr>
          <w:spacing w:val="-2"/>
        </w:rPr>
        <w:t>在汽车芯片业务板块，面向主动安全、智能网联、自动驾驶等芯片应用领域，提升新产品研发和设计</w:t>
      </w:r>
      <w:r>
        <w:rPr>
          <w:w w:val="100"/>
        </w:rPr>
        <w:t> </w:t>
      </w:r>
      <w:r>
        <w:rPr>
          <w:spacing w:val="-7"/>
        </w:rPr>
        <w:t>能力，与上下游企业建立可持续发展的产业联系，加速推进车身控制芯片、传感器芯片、智能芯片的研发、</w:t>
      </w:r>
      <w:r>
        <w:rPr>
          <w:spacing w:val="-21"/>
        </w:rPr>
        <w:t> </w:t>
      </w:r>
      <w:r>
        <w:rPr>
          <w:spacing w:val="-21"/>
        </w:rPr>
      </w:r>
      <w:r>
        <w:rPr>
          <w:spacing w:val="-2"/>
        </w:rPr>
        <w:t>联合验证和商业化量产进度，充分发挥公司多年积累的产业资源和优势，提升市场发展空间，并拓展新型</w:t>
      </w:r>
      <w:r>
        <w:rPr>
          <w:spacing w:val="-44"/>
        </w:rPr>
        <w:t> </w:t>
      </w:r>
      <w:r>
        <w:rPr>
          <w:spacing w:val="-44"/>
        </w:rPr>
      </w:r>
      <w:r>
        <w:rPr/>
        <w:t>应用领域。</w:t>
      </w:r>
      <w:r>
        <w:rPr>
          <w:rFonts w:ascii="宋体" w:hAnsi="宋体" w:cs="宋体" w:eastAsia="宋体" w:hint="default"/>
        </w:rPr>
        <w:t> </w:t>
      </w:r>
    </w:p>
    <w:p>
      <w:pPr>
        <w:pStyle w:val="Heading5"/>
        <w:spacing w:line="408" w:lineRule="auto"/>
        <w:ind w:right="1126"/>
        <w:jc w:val="both"/>
        <w:rPr>
          <w:rFonts w:ascii="宋体" w:hAnsi="宋体" w:cs="宋体" w:eastAsia="宋体" w:hint="default"/>
        </w:rPr>
      </w:pPr>
      <w:r>
        <w:rPr>
          <w:spacing w:val="-2"/>
        </w:rPr>
        <w:t>在高级辅助驾驶和自动驾驶业务板块，面向不同等级自动驾驶应用场景，加强引进技术攻关和创新人</w:t>
      </w:r>
      <w:r>
        <w:rPr>
          <w:w w:val="100"/>
        </w:rPr>
        <w:t> </w:t>
      </w:r>
      <w:r>
        <w:rPr>
          <w:spacing w:val="-7"/>
        </w:rPr>
        <w:t>才，提升在高精度地图、高精度定位及自动驾驶整体解决方案等领域的综合服务能力，协同产业优势资源，</w:t>
      </w:r>
      <w:r>
        <w:rPr>
          <w:spacing w:val="-20"/>
        </w:rPr>
        <w:t> </w:t>
      </w:r>
      <w:r>
        <w:rPr>
          <w:spacing w:val="-20"/>
        </w:rPr>
      </w:r>
      <w:r>
        <w:rPr>
          <w:spacing w:val="-2"/>
        </w:rPr>
        <w:t>持续打造公司自动驾驶行业优势，致力于成为中国市场乃至全球值得信赖的自动驾驶解决方案提供商，为</w:t>
      </w:r>
      <w:r>
        <w:rPr>
          <w:spacing w:val="-44"/>
        </w:rPr>
        <w:t> </w:t>
      </w:r>
      <w:r>
        <w:rPr>
          <w:spacing w:val="-44"/>
        </w:rPr>
      </w:r>
      <w:r>
        <w:rPr/>
        <w:t>各车企的自动驾驶业务发展赋能。</w:t>
      </w:r>
      <w:r>
        <w:rPr>
          <w:rFonts w:ascii="宋体" w:hAnsi="宋体" w:cs="宋体" w:eastAsia="宋体" w:hint="default"/>
        </w:rPr>
        <w:t> </w:t>
      </w:r>
    </w:p>
    <w:p>
      <w:pPr>
        <w:pStyle w:val="Heading5"/>
        <w:spacing w:line="408" w:lineRule="auto"/>
        <w:ind w:right="1126"/>
        <w:jc w:val="both"/>
        <w:rPr>
          <w:rFonts w:ascii="宋体" w:hAnsi="宋体" w:cs="宋体" w:eastAsia="宋体" w:hint="default"/>
        </w:rPr>
      </w:pPr>
      <w:r>
        <w:rPr/>
        <w:t>在位置大数据服务业务板块，基于海量多源位置大数据，持续推进 </w:t>
      </w:r>
      <w:r>
        <w:rPr>
          <w:rFonts w:ascii="宋体" w:hAnsi="宋体" w:cs="宋体" w:eastAsia="宋体" w:hint="default"/>
        </w:rPr>
        <w:t>Minedata</w:t>
      </w:r>
      <w:r>
        <w:rPr>
          <w:rFonts w:ascii="宋体" w:hAnsi="宋体" w:cs="宋体" w:eastAsia="宋体" w:hint="default"/>
          <w:spacing w:val="-28"/>
        </w:rPr>
        <w:t> </w:t>
      </w:r>
      <w:r>
        <w:rPr/>
        <w:t>位置大数据平台产品升</w:t>
      </w:r>
      <w:r>
        <w:rPr>
          <w:w w:val="100"/>
        </w:rPr>
        <w:t> </w:t>
      </w:r>
      <w:r>
        <w:rPr>
          <w:spacing w:val="-2"/>
        </w:rPr>
        <w:t>级及递进演化，聚焦重点领域，建立客户集群和行业生态，打造具有行业特色的平台级解决方案，致力于</w:t>
      </w:r>
      <w:r>
        <w:rPr>
          <w:spacing w:val="-49"/>
        </w:rPr>
        <w:t> </w:t>
      </w:r>
      <w:r>
        <w:rPr>
          <w:spacing w:val="-49"/>
        </w:rPr>
      </w:r>
      <w:r>
        <w:rPr/>
        <w:t>成为国内最大的一站式企业级位置大数据智能方案供应商。</w:t>
      </w:r>
      <w:r>
        <w:rPr>
          <w:rFonts w:ascii="宋体" w:hAnsi="宋体" w:cs="宋体" w:eastAsia="宋体" w:hint="default"/>
        </w:rPr>
        <w:t> </w:t>
      </w:r>
    </w:p>
    <w:p>
      <w:pPr>
        <w:pStyle w:val="Heading4"/>
        <w:spacing w:line="240" w:lineRule="auto" w:before="46"/>
        <w:ind w:right="0"/>
        <w:jc w:val="both"/>
        <w:rPr>
          <w:rFonts w:ascii="宋体" w:hAnsi="宋体" w:cs="宋体" w:eastAsia="宋体" w:hint="default"/>
          <w:b w:val="0"/>
          <w:bCs w:val="0"/>
        </w:rPr>
      </w:pPr>
      <w:r>
        <w:rPr>
          <w:rFonts w:ascii="宋体"/>
          <w:w w:val="99"/>
        </w:rPr>
        <w:t> </w:t>
      </w:r>
      <w:r>
        <w:rPr>
          <w:rFonts w:ascii="宋体"/>
          <w:b w:val="0"/>
        </w:rPr>
      </w:r>
    </w:p>
    <w:p>
      <w:pPr>
        <w:spacing w:after="0" w:line="240" w:lineRule="auto"/>
        <w:jc w:val="both"/>
        <w:rPr>
          <w:rFonts w:ascii="宋体" w:hAnsi="宋体" w:cs="宋体" w:eastAsia="宋体" w:hint="default"/>
        </w:rPr>
        <w:sectPr>
          <w:pgSz w:w="11910" w:h="16840"/>
          <w:pgMar w:header="745" w:footer="979" w:top="1060" w:bottom="1160" w:left="980" w:right="0"/>
        </w:sectPr>
      </w:pPr>
    </w:p>
    <w:p>
      <w:pPr>
        <w:spacing w:line="240" w:lineRule="auto" w:before="0"/>
        <w:rPr>
          <w:rFonts w:ascii="宋体" w:hAnsi="宋体" w:cs="宋体" w:eastAsia="宋体" w:hint="default"/>
          <w:b/>
          <w:bCs/>
          <w:sz w:val="20"/>
          <w:szCs w:val="20"/>
        </w:rPr>
      </w:pPr>
    </w:p>
    <w:p>
      <w:pPr>
        <w:spacing w:line="408" w:lineRule="auto" w:before="176"/>
        <w:ind w:left="573" w:right="982" w:hanging="421"/>
        <w:jc w:val="left"/>
        <w:rPr>
          <w:rFonts w:ascii="宋体" w:hAnsi="宋体" w:cs="宋体" w:eastAsia="宋体" w:hint="default"/>
          <w:sz w:val="21"/>
          <w:szCs w:val="21"/>
        </w:rPr>
      </w:pPr>
      <w:r>
        <w:rPr>
          <w:rFonts w:ascii="宋体" w:hAnsi="宋体" w:cs="宋体" w:eastAsia="宋体" w:hint="default"/>
          <w:b/>
          <w:bCs/>
          <w:sz w:val="21"/>
          <w:szCs w:val="21"/>
        </w:rPr>
        <w:t>（二）公司</w:t>
      </w:r>
      <w:r>
        <w:rPr>
          <w:rFonts w:ascii="宋体" w:hAnsi="宋体" w:cs="宋体" w:eastAsia="宋体" w:hint="default"/>
          <w:b/>
          <w:bCs/>
          <w:spacing w:val="-53"/>
          <w:sz w:val="21"/>
          <w:szCs w:val="21"/>
        </w:rPr>
        <w:t> </w:t>
      </w:r>
      <w:r>
        <w:rPr>
          <w:rFonts w:ascii="宋体" w:hAnsi="宋体" w:cs="宋体" w:eastAsia="宋体" w:hint="default"/>
          <w:b/>
          <w:bCs/>
          <w:sz w:val="21"/>
          <w:szCs w:val="21"/>
        </w:rPr>
        <w:t>2019</w:t>
      </w:r>
      <w:r>
        <w:rPr>
          <w:rFonts w:ascii="宋体" w:hAnsi="宋体" w:cs="宋体" w:eastAsia="宋体" w:hint="default"/>
          <w:b/>
          <w:bCs/>
          <w:spacing w:val="-54"/>
          <w:sz w:val="21"/>
          <w:szCs w:val="21"/>
        </w:rPr>
        <w:t> </w:t>
      </w:r>
      <w:r>
        <w:rPr>
          <w:rFonts w:ascii="宋体" w:hAnsi="宋体" w:cs="宋体" w:eastAsia="宋体" w:hint="default"/>
          <w:b/>
          <w:bCs/>
          <w:sz w:val="21"/>
          <w:szCs w:val="21"/>
        </w:rPr>
        <w:t>年度主要经营计划</w:t>
      </w:r>
      <w:r>
        <w:rPr>
          <w:rFonts w:ascii="宋体" w:hAnsi="宋体" w:cs="宋体" w:eastAsia="宋体" w:hint="default"/>
          <w:b/>
          <w:bCs/>
          <w:w w:val="99"/>
          <w:sz w:val="21"/>
          <w:szCs w:val="21"/>
        </w:rPr>
        <w:t> </w:t>
      </w:r>
      <w:r>
        <w:rPr>
          <w:rFonts w:ascii="宋体" w:hAnsi="宋体" w:cs="宋体" w:eastAsia="宋体" w:hint="default"/>
          <w:spacing w:val="-2"/>
          <w:sz w:val="21"/>
          <w:szCs w:val="21"/>
        </w:rPr>
        <w:t>在导航电子地图及导航服务业务方面，继续加强新一代导航电子地图生产流程的工艺升级及自动化改</w:t>
      </w:r>
    </w:p>
    <w:p>
      <w:pPr>
        <w:pStyle w:val="Heading5"/>
        <w:spacing w:line="408" w:lineRule="auto"/>
        <w:ind w:right="982" w:firstLine="0"/>
        <w:jc w:val="left"/>
        <w:rPr>
          <w:rFonts w:ascii="宋体" w:hAnsi="宋体" w:cs="宋体" w:eastAsia="宋体" w:hint="default"/>
        </w:rPr>
      </w:pPr>
      <w:r>
        <w:rPr>
          <w:spacing w:val="-15"/>
        </w:rPr>
        <w:t>造，加强</w:t>
      </w:r>
      <w:r>
        <w:rPr>
          <w:spacing w:val="-40"/>
        </w:rPr>
        <w:t> </w:t>
      </w:r>
      <w:r>
        <w:rPr>
          <w:rFonts w:ascii="宋体" w:hAnsi="宋体" w:cs="宋体" w:eastAsia="宋体" w:hint="default"/>
        </w:rPr>
        <w:t>UGC</w:t>
      </w:r>
      <w:r>
        <w:rPr>
          <w:rFonts w:ascii="宋体" w:hAnsi="宋体" w:cs="宋体" w:eastAsia="宋体" w:hint="default"/>
          <w:spacing w:val="-40"/>
        </w:rPr>
        <w:t> </w:t>
      </w:r>
      <w:r>
        <w:rPr>
          <w:spacing w:val="-6"/>
        </w:rPr>
        <w:t>收集方式，缩短数据采集周期，提升地图数据鲜度，提升数据编译和混合导航动态联调能力，</w:t>
      </w:r>
      <w:r>
        <w:rPr>
          <w:spacing w:val="-67"/>
        </w:rPr>
        <w:t> </w:t>
      </w:r>
      <w:r>
        <w:rPr>
          <w:spacing w:val="-67"/>
        </w:rPr>
      </w:r>
      <w:r>
        <w:rPr/>
        <w:t>满足高等级响应需求。保持车载前装地图市场的领先地位，满足细分市场、新型市场及国际化市场需求，</w:t>
      </w:r>
      <w:r>
        <w:rPr>
          <w:spacing w:val="-24"/>
        </w:rPr>
        <w:t> </w:t>
      </w:r>
      <w:r>
        <w:rPr>
          <w:spacing w:val="-24"/>
        </w:rPr>
      </w:r>
      <w:r>
        <w:rPr/>
        <w:t>加速推进重点项目实施。</w:t>
      </w:r>
      <w:r>
        <w:rPr>
          <w:rFonts w:ascii="宋体" w:hAnsi="宋体" w:cs="宋体" w:eastAsia="宋体" w:hint="default"/>
        </w:rPr>
        <w:t> </w:t>
      </w:r>
    </w:p>
    <w:p>
      <w:pPr>
        <w:pStyle w:val="Heading5"/>
        <w:spacing w:line="408" w:lineRule="auto"/>
        <w:ind w:right="1126"/>
        <w:jc w:val="both"/>
        <w:rPr>
          <w:rFonts w:ascii="宋体" w:hAnsi="宋体" w:cs="宋体" w:eastAsia="宋体" w:hint="default"/>
        </w:rPr>
      </w:pPr>
      <w:r>
        <w:rPr/>
        <w:t>在乘用车联网服务业务方面，以大数据</w:t>
      </w:r>
      <w:r>
        <w:rPr>
          <w:rFonts w:ascii="宋体" w:hAnsi="宋体" w:cs="宋体" w:eastAsia="宋体" w:hint="default"/>
        </w:rPr>
        <w:t>/AI</w:t>
      </w:r>
      <w:r>
        <w:rPr>
          <w:rFonts w:ascii="宋体" w:hAnsi="宋体" w:cs="宋体" w:eastAsia="宋体" w:hint="default"/>
          <w:spacing w:val="34"/>
        </w:rPr>
        <w:t> </w:t>
      </w:r>
      <w:r>
        <w:rPr>
          <w:spacing w:val="-3"/>
        </w:rPr>
        <w:t>为驱动，加大生态资源整合力度，打造通用型车联网云平</w:t>
      </w:r>
      <w:r>
        <w:rPr>
          <w:w w:val="100"/>
        </w:rPr>
        <w:t> </w:t>
      </w:r>
      <w:r>
        <w:rPr>
          <w:spacing w:val="-2"/>
        </w:rPr>
        <w:t>台及服务组件，并面向智能出行、软硬一体、大数据运营等领域，打造具有市场竞争优势的产品和服务体</w:t>
      </w:r>
      <w:r>
        <w:rPr>
          <w:spacing w:val="-47"/>
        </w:rPr>
        <w:t> </w:t>
      </w:r>
      <w:r>
        <w:rPr>
          <w:spacing w:val="-47"/>
        </w:rPr>
      </w:r>
      <w:r>
        <w:rPr>
          <w:spacing w:val="-5"/>
        </w:rPr>
        <w:t>系，持续推进 </w:t>
      </w:r>
      <w:r>
        <w:rPr>
          <w:rFonts w:ascii="宋体" w:hAnsi="宋体" w:cs="宋体" w:eastAsia="宋体" w:hint="default"/>
          <w:spacing w:val="-3"/>
        </w:rPr>
        <w:t>FOTA</w:t>
      </w:r>
      <w:r>
        <w:rPr>
          <w:spacing w:val="-3"/>
        </w:rPr>
        <w:t>、新能源监控平台、轻车联网方案等核心产品市场拓展，加大在新能源汽车充电领域的</w:t>
      </w:r>
      <w:r>
        <w:rPr>
          <w:spacing w:val="-80"/>
        </w:rPr>
        <w:t> </w:t>
      </w:r>
      <w:r>
        <w:rPr>
          <w:spacing w:val="-80"/>
        </w:rPr>
      </w:r>
      <w:r>
        <w:rPr/>
        <w:t>重点投入力度，面向后装市场尝试推广智能车机产品。</w:t>
      </w:r>
      <w:r>
        <w:rPr>
          <w:rFonts w:ascii="宋体" w:hAnsi="宋体" w:cs="宋体" w:eastAsia="宋体" w:hint="default"/>
        </w:rPr>
        <w:t> </w:t>
      </w:r>
    </w:p>
    <w:p>
      <w:pPr>
        <w:pStyle w:val="Heading5"/>
        <w:spacing w:line="408" w:lineRule="auto"/>
        <w:ind w:right="1126"/>
        <w:jc w:val="both"/>
        <w:rPr>
          <w:rFonts w:ascii="宋体" w:hAnsi="宋体" w:cs="宋体" w:eastAsia="宋体" w:hint="default"/>
        </w:rPr>
      </w:pPr>
      <w:r>
        <w:rPr>
          <w:spacing w:val="-2"/>
        </w:rPr>
        <w:t>在商用车联网服务业务方面，围绕“智能运力大脑”愿景，发挥智能网联大数据技术优势，助力商用</w:t>
      </w:r>
      <w:r>
        <w:rPr>
          <w:w w:val="100"/>
        </w:rPr>
        <w:t> </w:t>
      </w:r>
      <w:r>
        <w:rPr/>
        <w:t>车厂智能网联生态建设，扩大用户规模，提升数据赋能能力，推进 </w:t>
      </w:r>
      <w:r>
        <w:rPr>
          <w:rFonts w:ascii="宋体" w:hAnsi="宋体" w:cs="宋体" w:eastAsia="宋体" w:hint="default"/>
        </w:rPr>
        <w:t>L2</w:t>
      </w:r>
      <w:r>
        <w:rPr>
          <w:rFonts w:ascii="宋体" w:hAnsi="宋体" w:cs="宋体" w:eastAsia="宋体" w:hint="default"/>
          <w:spacing w:val="-29"/>
        </w:rPr>
        <w:t> </w:t>
      </w:r>
      <w:r>
        <w:rPr/>
        <w:t>级自动驾驶技术的商业落地，加强</w:t>
      </w:r>
      <w:r>
        <w:rPr>
          <w:w w:val="100"/>
        </w:rPr>
        <w:t> </w:t>
      </w:r>
      <w:r>
        <w:rPr/>
        <w:t>在车辆后服务市场及物流产业链上下游领域等多场景的赋能效果及盈利能力。</w:t>
      </w:r>
      <w:r>
        <w:rPr>
          <w:rFonts w:ascii="宋体" w:hAnsi="宋体" w:cs="宋体" w:eastAsia="宋体" w:hint="default"/>
        </w:rPr>
        <w:t> </w:t>
      </w:r>
    </w:p>
    <w:p>
      <w:pPr>
        <w:pStyle w:val="Heading5"/>
        <w:spacing w:line="408" w:lineRule="auto"/>
        <w:ind w:right="1126"/>
        <w:jc w:val="both"/>
        <w:rPr>
          <w:rFonts w:ascii="宋体" w:hAnsi="宋体" w:cs="宋体" w:eastAsia="宋体" w:hint="default"/>
        </w:rPr>
      </w:pPr>
      <w:r>
        <w:rPr>
          <w:spacing w:val="-2"/>
        </w:rPr>
        <w:t>在交通信息服务业务方面，提升事件信息准确度和完整度，提升车载用户搭载数量，保持车载市场领</w:t>
      </w:r>
      <w:r>
        <w:rPr>
          <w:w w:val="100"/>
        </w:rPr>
        <w:t> </w:t>
      </w:r>
      <w:r>
        <w:rPr/>
        <w:t>先地位，提升服务质量及运营服务能力，加大新型产品及服务的商业化孵化力度。</w:t>
      </w:r>
      <w:r>
        <w:rPr>
          <w:rFonts w:ascii="宋体" w:hAnsi="宋体" w:cs="宋体" w:eastAsia="宋体" w:hint="default"/>
        </w:rPr>
        <w:t> </w:t>
      </w:r>
    </w:p>
    <w:p>
      <w:pPr>
        <w:pStyle w:val="Heading5"/>
        <w:spacing w:line="408" w:lineRule="auto"/>
        <w:ind w:right="1126"/>
        <w:jc w:val="both"/>
        <w:rPr>
          <w:rFonts w:ascii="宋体" w:hAnsi="宋体" w:cs="宋体" w:eastAsia="宋体" w:hint="default"/>
        </w:rPr>
      </w:pPr>
      <w:r>
        <w:rPr>
          <w:spacing w:val="-2"/>
        </w:rPr>
        <w:t>在高级辅助驾驶和自动驾驶相关业务方面，加大研发投入力度和底层核心技术的攻关力度，提升高精</w:t>
      </w:r>
      <w:r>
        <w:rPr>
          <w:w w:val="100"/>
        </w:rPr>
        <w:t> </w:t>
      </w:r>
      <w:r>
        <w:rPr/>
        <w:t>度地图数据覆盖范围、更新能力和商用化能力，围绕通用化及轻量化 </w:t>
      </w:r>
      <w:r>
        <w:rPr>
          <w:rFonts w:ascii="宋体" w:hAnsi="宋体" w:cs="宋体" w:eastAsia="宋体" w:hint="default"/>
        </w:rPr>
        <w:t>L3</w:t>
      </w:r>
      <w:r>
        <w:rPr>
          <w:rFonts w:ascii="宋体" w:hAnsi="宋体" w:cs="宋体" w:eastAsia="宋体" w:hint="default"/>
          <w:spacing w:val="-29"/>
        </w:rPr>
        <w:t> </w:t>
      </w:r>
      <w:r>
        <w:rPr/>
        <w:t>级自动驾驶解决方案进行能力升</w:t>
      </w:r>
      <w:r>
        <w:rPr>
          <w:w w:val="100"/>
        </w:rPr>
        <w:t> </w:t>
      </w:r>
      <w:r>
        <w:rPr/>
        <w:t>级，打造以 </w:t>
      </w:r>
      <w:r>
        <w:rPr>
          <w:rFonts w:ascii="宋体" w:hAnsi="宋体" w:cs="宋体" w:eastAsia="宋体" w:hint="default"/>
        </w:rPr>
        <w:t>HD</w:t>
      </w:r>
      <w:r>
        <w:rPr>
          <w:rFonts w:ascii="宋体" w:hAnsi="宋体" w:cs="宋体" w:eastAsia="宋体" w:hint="default"/>
          <w:spacing w:val="-29"/>
        </w:rPr>
        <w:t> </w:t>
      </w:r>
      <w:r>
        <w:rPr/>
        <w:t>地图引擎为核心的产品集群，推进高精度定位、感知、决策等各模块产品化发展，增加实</w:t>
      </w:r>
      <w:r>
        <w:rPr>
          <w:w w:val="100"/>
        </w:rPr>
        <w:t> </w:t>
      </w:r>
      <w:r>
        <w:rPr/>
        <w:t>车真实道路测试里程。</w:t>
      </w:r>
      <w:r>
        <w:rPr>
          <w:rFonts w:ascii="宋体" w:hAnsi="宋体" w:cs="宋体" w:eastAsia="宋体" w:hint="default"/>
        </w:rPr>
        <w:t> </w:t>
      </w:r>
    </w:p>
    <w:p>
      <w:pPr>
        <w:pStyle w:val="Heading5"/>
        <w:spacing w:line="408" w:lineRule="auto"/>
        <w:ind w:right="1017"/>
        <w:jc w:val="left"/>
        <w:rPr>
          <w:rFonts w:ascii="宋体" w:hAnsi="宋体" w:cs="宋体" w:eastAsia="宋体" w:hint="default"/>
        </w:rPr>
      </w:pPr>
      <w:r>
        <w:rPr/>
        <w:t>在芯片业务方面，提升产品设计能力，提速新产品评估、开发及商业验证进度，加速推进</w:t>
      </w:r>
      <w:r>
        <w:rPr>
          <w:spacing w:val="-28"/>
        </w:rPr>
        <w:t> </w:t>
      </w:r>
      <w:r>
        <w:rPr>
          <w:rFonts w:ascii="宋体" w:hAnsi="宋体" w:cs="宋体" w:eastAsia="宋体" w:hint="default"/>
        </w:rPr>
        <w:t>IVI</w:t>
      </w:r>
      <w:r>
        <w:rPr/>
        <w:t>、</w:t>
      </w:r>
      <w:r>
        <w:rPr>
          <w:rFonts w:ascii="宋体" w:hAnsi="宋体" w:cs="宋体" w:eastAsia="宋体" w:hint="default"/>
        </w:rPr>
        <w:t>AMP</w:t>
      </w:r>
      <w:r>
        <w:rPr/>
        <w:t>、</w:t>
      </w:r>
      <w:r>
        <w:rPr>
          <w:w w:val="100"/>
        </w:rPr>
        <w:t> </w:t>
      </w:r>
      <w:r>
        <w:rPr>
          <w:rFonts w:ascii="宋体" w:hAnsi="宋体" w:cs="宋体" w:eastAsia="宋体" w:hint="default"/>
        </w:rPr>
        <w:t>MCU</w:t>
      </w:r>
      <w:r>
        <w:rPr>
          <w:rFonts w:ascii="宋体" w:hAnsi="宋体" w:cs="宋体" w:eastAsia="宋体" w:hint="default"/>
          <w:spacing w:val="-60"/>
        </w:rPr>
        <w:t> </w:t>
      </w:r>
      <w:r>
        <w:rPr/>
        <w:t>等已有产品的客户规模和量产订单，</w:t>
      </w:r>
      <w:r>
        <w:rPr>
          <w:rFonts w:ascii="宋体" w:hAnsi="宋体" w:cs="宋体" w:eastAsia="宋体" w:hint="default"/>
        </w:rPr>
        <w:t>TPMS</w:t>
      </w:r>
      <w:r>
        <w:rPr>
          <w:rFonts w:ascii="宋体" w:hAnsi="宋体" w:cs="宋体" w:eastAsia="宋体" w:hint="default"/>
          <w:spacing w:val="-60"/>
        </w:rPr>
        <w:t> </w:t>
      </w:r>
      <w:r>
        <w:rPr/>
        <w:t>按期实现量产。在稳定后装市场已有竞争优势的同时，拓展</w:t>
      </w:r>
      <w:r>
        <w:rPr>
          <w:w w:val="100"/>
        </w:rPr>
        <w:t> </w:t>
      </w:r>
      <w:r>
        <w:rPr/>
        <w:t>前装市场份额，探索新产品市场机会。</w:t>
      </w:r>
      <w:r>
        <w:rPr>
          <w:rFonts w:ascii="宋体" w:hAnsi="宋体" w:cs="宋体" w:eastAsia="宋体" w:hint="default"/>
        </w:rPr>
        <w:t> </w:t>
      </w:r>
    </w:p>
    <w:p>
      <w:pPr>
        <w:pStyle w:val="Heading5"/>
        <w:spacing w:line="408" w:lineRule="auto"/>
        <w:ind w:right="1126"/>
        <w:jc w:val="both"/>
        <w:rPr>
          <w:rFonts w:ascii="宋体" w:hAnsi="宋体" w:cs="宋体" w:eastAsia="宋体" w:hint="default"/>
        </w:rPr>
      </w:pPr>
      <w:r>
        <w:rPr/>
        <w:t>在位置大数据服务业务方面，推进 </w:t>
      </w:r>
      <w:r>
        <w:rPr>
          <w:rFonts w:ascii="宋体" w:hAnsi="宋体" w:cs="宋体" w:eastAsia="宋体" w:hint="default"/>
        </w:rPr>
        <w:t>Minedata</w:t>
      </w:r>
      <w:r>
        <w:rPr>
          <w:rFonts w:ascii="宋体" w:hAnsi="宋体" w:cs="宋体" w:eastAsia="宋体" w:hint="default"/>
          <w:spacing w:val="-28"/>
        </w:rPr>
        <w:t> </w:t>
      </w:r>
      <w:r>
        <w:rPr/>
        <w:t>平台升级及递进演化，探索可持续发展的商业模式，聚</w:t>
      </w:r>
      <w:r>
        <w:rPr>
          <w:w w:val="100"/>
        </w:rPr>
        <w:t> </w:t>
      </w:r>
      <w:r>
        <w:rPr>
          <w:spacing w:val="-2"/>
        </w:rPr>
        <w:t>焦重点应用领域，加大公安、交警、交通、规划等领域市场份额，建立客户集群和行业生态，拓展国际合</w:t>
      </w:r>
      <w:r>
        <w:rPr>
          <w:spacing w:val="-45"/>
        </w:rPr>
        <w:t> </w:t>
      </w:r>
      <w:r>
        <w:rPr>
          <w:spacing w:val="-45"/>
        </w:rPr>
      </w:r>
      <w:r>
        <w:rPr/>
        <w:t>作通道，提升业务变现能力。</w:t>
      </w:r>
      <w:r>
        <w:rPr>
          <w:rFonts w:ascii="宋体" w:hAnsi="宋体" w:cs="宋体" w:eastAsia="宋体" w:hint="default"/>
        </w:rPr>
        <w:t> </w:t>
      </w:r>
    </w:p>
    <w:p>
      <w:pPr>
        <w:pStyle w:val="Heading5"/>
        <w:spacing w:line="408" w:lineRule="auto"/>
        <w:ind w:right="1126"/>
        <w:jc w:val="both"/>
        <w:rPr>
          <w:rFonts w:ascii="宋体" w:hAnsi="宋体" w:cs="宋体" w:eastAsia="宋体" w:hint="default"/>
        </w:rPr>
      </w:pPr>
      <w:r>
        <w:rPr>
          <w:spacing w:val="-2"/>
        </w:rPr>
        <w:t>在云服务能力方面，加大集团内部数据资源和计算资源整合力度，共享中台服务能力，提升安全化信</w:t>
      </w:r>
      <w:r>
        <w:rPr>
          <w:w w:val="100"/>
        </w:rPr>
        <w:t> </w:t>
      </w:r>
      <w:r>
        <w:rPr>
          <w:spacing w:val="-2"/>
        </w:rPr>
        <w:t>息水平，降低企业运维成本，与市场主流公有云企业建立合作关系，打造基于混合云的商业级云平台服务</w:t>
      </w:r>
      <w:r>
        <w:rPr>
          <w:spacing w:val="-43"/>
        </w:rPr>
        <w:t> </w:t>
      </w:r>
      <w:r>
        <w:rPr>
          <w:spacing w:val="-43"/>
        </w:rPr>
      </w:r>
      <w:r>
        <w:rPr/>
        <w:t>能力，协助自动驾驶、高精度地图等业务共同为车厂提供云解决方案。</w:t>
      </w:r>
      <w:r>
        <w:rPr>
          <w:rFonts w:ascii="宋体" w:hAnsi="宋体" w:cs="宋体" w:eastAsia="宋体" w:hint="default"/>
        </w:rPr>
        <w:t> </w:t>
      </w:r>
    </w:p>
    <w:p>
      <w:pPr>
        <w:pStyle w:val="Heading5"/>
        <w:spacing w:line="408" w:lineRule="auto"/>
        <w:ind w:right="1126"/>
        <w:jc w:val="both"/>
        <w:rPr>
          <w:rFonts w:ascii="宋体" w:hAnsi="宋体" w:cs="宋体" w:eastAsia="宋体" w:hint="default"/>
        </w:rPr>
      </w:pPr>
      <w:r>
        <w:rPr/>
        <w:t>上述经营计划、经营目标并不代表本公司对 </w:t>
      </w:r>
      <w:r>
        <w:rPr>
          <w:rFonts w:ascii="宋体" w:hAnsi="宋体" w:cs="宋体" w:eastAsia="宋体" w:hint="default"/>
        </w:rPr>
        <w:t>2019</w:t>
      </w:r>
      <w:r>
        <w:rPr>
          <w:rFonts w:ascii="宋体" w:hAnsi="宋体" w:cs="宋体" w:eastAsia="宋体" w:hint="default"/>
          <w:spacing w:val="-29"/>
        </w:rPr>
        <w:t> </w:t>
      </w:r>
      <w:r>
        <w:rPr/>
        <w:t>年度的盈利做出了预测，其是否实现将取决于市场</w:t>
      </w:r>
      <w:r>
        <w:rPr>
          <w:w w:val="100"/>
        </w:rPr>
        <w:t> </w:t>
      </w:r>
      <w:r>
        <w:rPr/>
        <w:t>状况变化、经营团队的努力程度等多种因素，存在很大的不确定性，特提请投资者注意。</w:t>
      </w:r>
      <w:r>
        <w:rPr>
          <w:rFonts w:ascii="宋体" w:hAnsi="宋体" w:cs="宋体" w:eastAsia="宋体" w:hint="default"/>
        </w:rPr>
        <w:t> </w:t>
      </w:r>
    </w:p>
    <w:p>
      <w:pPr>
        <w:pStyle w:val="Heading4"/>
        <w:spacing w:line="240" w:lineRule="auto" w:before="46"/>
        <w:ind w:right="0"/>
        <w:jc w:val="left"/>
        <w:rPr>
          <w:rFonts w:ascii="宋体" w:hAnsi="宋体" w:cs="宋体" w:eastAsia="宋体" w:hint="default"/>
          <w:b w:val="0"/>
          <w:bCs w:val="0"/>
        </w:rPr>
      </w:pPr>
      <w:r>
        <w:rPr>
          <w:rFonts w:ascii="宋体"/>
          <w:w w:val="99"/>
        </w:rPr>
        <w:t> </w:t>
      </w:r>
      <w:r>
        <w:rPr>
          <w:rFonts w:ascii="宋体"/>
          <w:b w:val="0"/>
        </w:rPr>
      </w:r>
    </w:p>
    <w:p>
      <w:pPr>
        <w:spacing w:after="0" w:line="240" w:lineRule="auto"/>
        <w:jc w:val="left"/>
        <w:rPr>
          <w:rFonts w:ascii="宋体" w:hAnsi="宋体" w:cs="宋体" w:eastAsia="宋体" w:hint="default"/>
        </w:rPr>
        <w:sectPr>
          <w:pgSz w:w="11910" w:h="16840"/>
          <w:pgMar w:header="745" w:footer="979" w:top="1060" w:bottom="1160" w:left="980" w:right="0"/>
        </w:sectPr>
      </w:pPr>
    </w:p>
    <w:p>
      <w:pPr>
        <w:spacing w:line="240" w:lineRule="auto" w:before="0"/>
        <w:rPr>
          <w:rFonts w:ascii="宋体" w:hAnsi="宋体" w:cs="宋体" w:eastAsia="宋体" w:hint="default"/>
          <w:b/>
          <w:bCs/>
          <w:sz w:val="20"/>
          <w:szCs w:val="20"/>
        </w:rPr>
      </w:pPr>
    </w:p>
    <w:p>
      <w:pPr>
        <w:pStyle w:val="Heading4"/>
        <w:spacing w:line="408" w:lineRule="auto" w:before="176"/>
        <w:ind w:right="982"/>
        <w:jc w:val="left"/>
        <w:rPr>
          <w:rFonts w:ascii="宋体" w:hAnsi="宋体" w:cs="宋体" w:eastAsia="宋体" w:hint="default"/>
          <w:b w:val="0"/>
          <w:bCs w:val="0"/>
        </w:rPr>
      </w:pPr>
      <w:r>
        <w:rPr/>
        <w:t>（三）可能对公司未来发展战略和经营目标的实现产生不利影响的主要风险</w:t>
      </w:r>
      <w:r>
        <w:rPr>
          <w:rFonts w:ascii="宋体" w:hAnsi="宋体" w:cs="宋体" w:eastAsia="宋体" w:hint="default"/>
          <w:w w:val="99"/>
        </w:rPr>
        <w:t> </w:t>
      </w:r>
      <w:r>
        <w:rPr>
          <w:rFonts w:ascii="宋体" w:hAnsi="宋体" w:cs="宋体" w:eastAsia="宋体" w:hint="default"/>
        </w:rPr>
        <w:t>1</w:t>
      </w:r>
      <w:r>
        <w:rPr/>
        <w:t>、市场发展及经营环境不确定性增加的风险</w:t>
      </w:r>
      <w:r>
        <w:rPr>
          <w:rFonts w:ascii="宋体" w:hAnsi="宋体" w:cs="宋体" w:eastAsia="宋体" w:hint="default"/>
          <w:w w:val="99"/>
        </w:rPr>
        <w:t> </w:t>
      </w:r>
      <w:r>
        <w:rPr>
          <w:rFonts w:ascii="宋体" w:hAnsi="宋体" w:cs="宋体" w:eastAsia="宋体" w:hint="default"/>
          <w:b w:val="0"/>
          <w:bCs w:val="0"/>
        </w:rPr>
      </w:r>
    </w:p>
    <w:p>
      <w:pPr>
        <w:pStyle w:val="Heading5"/>
        <w:spacing w:line="408" w:lineRule="auto"/>
        <w:ind w:right="982"/>
        <w:jc w:val="left"/>
        <w:rPr>
          <w:rFonts w:ascii="宋体" w:hAnsi="宋体" w:cs="宋体" w:eastAsia="宋体" w:hint="default"/>
        </w:rPr>
      </w:pPr>
      <w:r>
        <w:rPr>
          <w:spacing w:val="-7"/>
        </w:rPr>
        <w:t>国家经济增速下行压力增加，中美贸易关系不稳定，汽车产业产销承受压力，新旧动能转化加速推进，</w:t>
      </w:r>
      <w:r>
        <w:rPr>
          <w:w w:val="100"/>
        </w:rPr>
        <w:t> </w:t>
      </w:r>
      <w:r>
        <w:rPr/>
        <w:t>能否及时洞察国家宏观经济环境的变化并做出即时响应，将在很大程度上影响公司的未来发展态势。伴随</w:t>
      </w:r>
      <w:r>
        <w:rPr>
          <w:w w:val="100"/>
        </w:rPr>
        <w:t> </w:t>
      </w:r>
      <w:r>
        <w:rPr>
          <w:spacing w:val="-5"/>
        </w:rPr>
        <w:t>行业壁垒优势日渐减弱，国际巨头领先企业跨行业布局不断加强，国际化的市场冲击和市场竞争日益激烈， </w:t>
      </w:r>
      <w:r>
        <w:rPr>
          <w:spacing w:val="-5"/>
        </w:rPr>
      </w:r>
      <w:r>
        <w:rPr/>
        <w:t>公司新产品研发及产品化路径是否能够经受市场验证并快速形成竞争优势，以及公司能否快速突破传统商</w:t>
      </w:r>
      <w:r>
        <w:rPr>
          <w:w w:val="100"/>
        </w:rPr>
        <w:t> </w:t>
      </w:r>
      <w:r>
        <w:rPr/>
        <w:t>业模式禁锢、有效培育极具增长潜力的新兴业务，面临巨大挑战。</w:t>
      </w:r>
      <w:r>
        <w:rPr>
          <w:rFonts w:ascii="宋体" w:hAnsi="宋体" w:cs="宋体" w:eastAsia="宋体" w:hint="default"/>
        </w:rPr>
        <w:t> </w:t>
      </w:r>
    </w:p>
    <w:p>
      <w:pPr>
        <w:pStyle w:val="Heading5"/>
        <w:spacing w:line="408" w:lineRule="auto"/>
        <w:ind w:right="1126"/>
        <w:jc w:val="both"/>
        <w:rPr>
          <w:rFonts w:ascii="宋体" w:hAnsi="宋体" w:cs="宋体" w:eastAsia="宋体" w:hint="default"/>
        </w:rPr>
      </w:pPr>
      <w:r>
        <w:rPr>
          <w:spacing w:val="-2"/>
        </w:rPr>
        <w:t>公司在经营策略上将密切关注市场及国际形势的变化及走向，并积极做出相应改变，以降低市场发展</w:t>
      </w:r>
      <w:r>
        <w:rPr>
          <w:w w:val="100"/>
        </w:rPr>
        <w:t> </w:t>
      </w:r>
      <w:r>
        <w:rPr>
          <w:spacing w:val="-2"/>
        </w:rPr>
        <w:t>和经济环境变化给公司带来的经营风险。同时，公司将继续加大自主研发的投入力度，不断提升自主科研</w:t>
      </w:r>
      <w:r>
        <w:rPr>
          <w:spacing w:val="-44"/>
        </w:rPr>
        <w:t> </w:t>
      </w:r>
      <w:r>
        <w:rPr>
          <w:spacing w:val="-44"/>
        </w:rPr>
      </w:r>
      <w:r>
        <w:rPr>
          <w:spacing w:val="-2"/>
        </w:rPr>
        <w:t>能力和商业化能力。进一步拓展全球化战略布局。加强与欧洲、以色列等不同行业领先区域的产业联系和</w:t>
      </w:r>
      <w:r>
        <w:rPr>
          <w:spacing w:val="-42"/>
        </w:rPr>
        <w:t> </w:t>
      </w:r>
      <w:r>
        <w:rPr>
          <w:spacing w:val="-42"/>
        </w:rPr>
      </w:r>
      <w:r>
        <w:rPr/>
        <w:t>沟通合作。</w:t>
      </w:r>
      <w:r>
        <w:rPr>
          <w:rFonts w:ascii="宋体" w:hAnsi="宋体" w:cs="宋体" w:eastAsia="宋体" w:hint="default"/>
        </w:rPr>
        <w:t> </w:t>
      </w:r>
    </w:p>
    <w:p>
      <w:pPr>
        <w:spacing w:line="408" w:lineRule="auto" w:before="46"/>
        <w:ind w:left="573" w:right="1123" w:hanging="421"/>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、新业务、新产品研发投入变现速度不及预期的风险</w:t>
      </w:r>
      <w:r>
        <w:rPr>
          <w:rFonts w:ascii="宋体" w:hAnsi="宋体" w:cs="宋体" w:eastAsia="宋体" w:hint="default"/>
          <w:b/>
          <w:bCs/>
          <w:w w:val="99"/>
          <w:sz w:val="21"/>
          <w:szCs w:val="21"/>
        </w:rPr>
        <w:t> </w:t>
      </w:r>
      <w:r>
        <w:rPr>
          <w:rFonts w:ascii="宋体" w:hAnsi="宋体" w:cs="宋体" w:eastAsia="宋体" w:hint="default"/>
          <w:spacing w:val="-3"/>
          <w:sz w:val="21"/>
          <w:szCs w:val="21"/>
        </w:rPr>
        <w:t>公司为推进未来发展战略，将继续保持对高精度地图、高精度定位、自动驾驶整体解决方案、</w:t>
      </w:r>
      <w:r>
        <w:rPr>
          <w:rFonts w:ascii="宋体" w:hAnsi="宋体" w:cs="宋体" w:eastAsia="宋体" w:hint="default"/>
          <w:spacing w:val="-3"/>
          <w:sz w:val="21"/>
          <w:szCs w:val="21"/>
        </w:rPr>
        <w:t>TPMS</w:t>
      </w:r>
      <w:r>
        <w:rPr>
          <w:rFonts w:ascii="宋体" w:hAnsi="宋体" w:cs="宋体" w:eastAsia="宋体" w:hint="default"/>
          <w:sz w:val="21"/>
          <w:szCs w:val="21"/>
        </w:rPr>
        <w:t> </w:t>
      </w:r>
      <w:r>
        <w:rPr>
          <w:rFonts w:ascii="宋体" w:hAnsi="宋体" w:cs="宋体" w:eastAsia="宋体" w:hint="default"/>
          <w:sz w:val="21"/>
          <w:szCs w:val="21"/>
        </w:rPr>
        <w:t>芯</w:t>
      </w:r>
    </w:p>
    <w:p>
      <w:pPr>
        <w:pStyle w:val="Heading5"/>
        <w:spacing w:line="408" w:lineRule="auto"/>
        <w:ind w:right="1021" w:firstLine="0"/>
        <w:jc w:val="both"/>
        <w:rPr>
          <w:rFonts w:ascii="宋体" w:hAnsi="宋体" w:cs="宋体" w:eastAsia="宋体" w:hint="default"/>
        </w:rPr>
      </w:pPr>
      <w:r>
        <w:rPr/>
        <w:t>片等车相关领域及业务的投入力度。新产品研发投入大，会相应增加公司经营成本，新产品研发周期长，</w:t>
      </w:r>
      <w:r>
        <w:rPr>
          <w:spacing w:val="-24"/>
        </w:rPr>
        <w:t> </w:t>
      </w:r>
      <w:r>
        <w:rPr>
          <w:spacing w:val="-24"/>
        </w:rPr>
      </w:r>
      <w:r>
        <w:rPr>
          <w:spacing w:val="-5"/>
        </w:rPr>
        <w:t>新业务的经济产出需要一定的市场培育期，甚至会长于预期时间。新业务及产品是否能被市场认可和接受， </w:t>
      </w:r>
      <w:r>
        <w:rPr>
          <w:spacing w:val="-5"/>
        </w:rPr>
      </w:r>
      <w:r>
        <w:rPr/>
        <w:t>面临一定的风险。产业协同及资本合作若不能及时到位，也将影响新业务、新产品的商业化进程。</w:t>
      </w:r>
      <w:r>
        <w:rPr>
          <w:rFonts w:ascii="宋体" w:hAnsi="宋体" w:cs="宋体" w:eastAsia="宋体" w:hint="default"/>
        </w:rPr>
        <w:t> </w:t>
      </w:r>
    </w:p>
    <w:p>
      <w:pPr>
        <w:pStyle w:val="Heading5"/>
        <w:spacing w:line="408" w:lineRule="auto"/>
        <w:ind w:right="982"/>
        <w:jc w:val="left"/>
        <w:rPr>
          <w:rFonts w:ascii="宋体" w:hAnsi="宋体" w:cs="宋体" w:eastAsia="宋体" w:hint="default"/>
        </w:rPr>
      </w:pPr>
      <w:r>
        <w:rPr>
          <w:spacing w:val="-2"/>
        </w:rPr>
        <w:t>公司将通过跟踪新业务市场发展趋势、定期进行新业务研讨、审慎研判新业务投入等措施提高新业务</w:t>
      </w:r>
      <w:r>
        <w:rPr>
          <w:w w:val="100"/>
        </w:rPr>
        <w:t> </w:t>
      </w:r>
      <w:r>
        <w:rPr>
          <w:spacing w:val="-2"/>
        </w:rPr>
        <w:t>开展的预见性。通过在内部建立类似风险投资的项目评估机制，以及加强对早期项目的风险把控，降低由</w:t>
      </w:r>
      <w:r>
        <w:rPr>
          <w:spacing w:val="-44"/>
        </w:rPr>
        <w:t> </w:t>
      </w:r>
      <w:r>
        <w:rPr>
          <w:spacing w:val="-44"/>
        </w:rPr>
      </w:r>
      <w:r>
        <w:rPr>
          <w:spacing w:val="-2"/>
        </w:rPr>
        <w:t>此带来的经营风险。主导建立产业基金，积极探索与外部战略合作者或投资机构风险与收益共担的产业投</w:t>
      </w:r>
      <w:r>
        <w:rPr>
          <w:spacing w:val="-42"/>
        </w:rPr>
        <w:t> </w:t>
      </w:r>
      <w:r>
        <w:rPr>
          <w:spacing w:val="-42"/>
        </w:rPr>
      </w:r>
      <w:r>
        <w:rPr>
          <w:spacing w:val="-2"/>
        </w:rPr>
        <w:t>资和发展模式。在美国硅谷、荷兰、新加坡、日本等地建立分支机构，从全球视角洞察行业发展动态，紧</w:t>
      </w:r>
      <w:r>
        <w:rPr>
          <w:spacing w:val="-45"/>
        </w:rPr>
        <w:t> </w:t>
      </w:r>
      <w:r>
        <w:rPr>
          <w:spacing w:val="-45"/>
        </w:rPr>
      </w:r>
      <w:r>
        <w:rPr>
          <w:spacing w:val="-2"/>
        </w:rPr>
        <w:t>密联系车厂、互联网及行业客户，并与优秀企业建立可持续的战略合作关系。积极参与国家平台建设及国</w:t>
      </w:r>
      <w:r>
        <w:rPr>
          <w:spacing w:val="-43"/>
        </w:rPr>
        <w:t> </w:t>
      </w:r>
      <w:r>
        <w:rPr>
          <w:spacing w:val="-43"/>
        </w:rPr>
      </w:r>
      <w:r>
        <w:rPr>
          <w:spacing w:val="-2"/>
        </w:rPr>
        <w:t>家标准制定，掌握行业发展话语权。通过分拆融资等方式，引进产业优势资源和资金支持，共同助力新产</w:t>
      </w:r>
      <w:r>
        <w:rPr>
          <w:spacing w:val="-50"/>
        </w:rPr>
        <w:t> </w:t>
      </w:r>
      <w:r>
        <w:rPr>
          <w:spacing w:val="-50"/>
        </w:rPr>
      </w:r>
      <w:r>
        <w:rPr/>
        <w:t>品和新业务孵化，同时缓解上市公司资金压力。</w:t>
      </w:r>
      <w:r>
        <w:rPr>
          <w:rFonts w:ascii="宋体" w:hAnsi="宋体" w:cs="宋体" w:eastAsia="宋体" w:hint="default"/>
          <w:w w:val="100"/>
        </w:rPr>
        <w:t> </w:t>
      </w:r>
      <w:r>
        <w:rPr>
          <w:rFonts w:ascii="宋体" w:hAnsi="宋体" w:cs="宋体" w:eastAsia="宋体" w:hint="default"/>
          <w:b/>
          <w:bCs/>
        </w:rPr>
        <w:t>3</w:t>
      </w:r>
      <w:r>
        <w:rPr>
          <w:rFonts w:ascii="宋体" w:hAnsi="宋体" w:cs="宋体" w:eastAsia="宋体" w:hint="default"/>
          <w:b/>
          <w:bCs/>
        </w:rPr>
        <w:t>、优秀人才的选育用留机制不能及时满足公司快速发展需求的风险</w:t>
      </w:r>
      <w:r>
        <w:rPr>
          <w:rFonts w:ascii="宋体" w:hAnsi="宋体" w:cs="宋体" w:eastAsia="宋体" w:hint="default"/>
          <w:b/>
          <w:bCs/>
          <w:w w:val="99"/>
        </w:rPr>
        <w:t> </w:t>
      </w:r>
      <w:r>
        <w:rPr>
          <w:rFonts w:ascii="宋体" w:hAnsi="宋体" w:cs="宋体" w:eastAsia="宋体" w:hint="default"/>
        </w:rPr>
      </w:r>
    </w:p>
    <w:p>
      <w:pPr>
        <w:pStyle w:val="Heading5"/>
        <w:spacing w:line="408" w:lineRule="auto"/>
        <w:ind w:right="982"/>
        <w:jc w:val="left"/>
        <w:rPr>
          <w:rFonts w:ascii="宋体" w:hAnsi="宋体" w:cs="宋体" w:eastAsia="宋体" w:hint="default"/>
        </w:rPr>
      </w:pPr>
      <w:r>
        <w:rPr>
          <w:spacing w:val="-2"/>
        </w:rPr>
        <w:t>面对新一轮科技发展浪潮，以及国家对人工智能、高端芯片等新兴产业不断加大扶持力度带来的发展</w:t>
      </w:r>
      <w:r>
        <w:rPr>
          <w:w w:val="100"/>
        </w:rPr>
        <w:t> </w:t>
      </w:r>
      <w:r>
        <w:rPr/>
        <w:t>契机，传统车企、互联网公司及新造车势力等科技企业加速推进智能网联及自动驾驶的战略部署和落地，</w:t>
      </w:r>
      <w:r>
        <w:rPr>
          <w:spacing w:val="-24"/>
        </w:rPr>
        <w:t> </w:t>
      </w:r>
      <w:r>
        <w:rPr>
          <w:spacing w:val="-24"/>
        </w:rPr>
      </w:r>
      <w:r>
        <w:rPr>
          <w:spacing w:val="-2"/>
        </w:rPr>
        <w:t>“人才”正在超过“资本”成为新一轮产业资源争夺的热点。公司关注的面向未来的高精度地图、高精度</w:t>
      </w:r>
      <w:r>
        <w:rPr>
          <w:spacing w:val="-43"/>
        </w:rPr>
        <w:t> </w:t>
      </w:r>
      <w:r>
        <w:rPr>
          <w:spacing w:val="-43"/>
        </w:rPr>
      </w:r>
      <w:r>
        <w:rPr>
          <w:spacing w:val="-2"/>
        </w:rPr>
        <w:t>定位、自动驾驶、人工智能等领域，需要吸引大批掌握核心关键技术及前沿攻关能力的专业研发及技术人</w:t>
      </w:r>
      <w:r>
        <w:rPr>
          <w:spacing w:val="-44"/>
        </w:rPr>
        <w:t> </w:t>
      </w:r>
      <w:r>
        <w:rPr>
          <w:spacing w:val="-44"/>
        </w:rPr>
      </w:r>
      <w:r>
        <w:rPr>
          <w:spacing w:val="-2"/>
        </w:rPr>
        <w:t>才。公司在国际化快速发展的过程中，也亟需大批在产品研发、技术攻关、市场拓展等方面具有国际视野</w:t>
      </w:r>
      <w:r>
        <w:rPr>
          <w:spacing w:val="-47"/>
        </w:rPr>
        <w:t> </w:t>
      </w:r>
      <w:r>
        <w:rPr>
          <w:spacing w:val="-47"/>
        </w:rPr>
      </w:r>
      <w:r>
        <w:rPr/>
        <w:t>的行业顶尖人才。因此，面对激烈的人才竞争，公司在打造吸引人才的发展平台方面面临很大挑战。</w:t>
      </w:r>
      <w:r>
        <w:rPr>
          <w:rFonts w:ascii="宋体" w:hAnsi="宋体" w:cs="宋体" w:eastAsia="宋体" w:hint="default"/>
        </w:rPr>
        <w:t> </w:t>
      </w:r>
    </w:p>
    <w:p>
      <w:pPr>
        <w:spacing w:after="0" w:line="408" w:lineRule="auto"/>
        <w:jc w:val="left"/>
        <w:rPr>
          <w:rFonts w:ascii="宋体" w:hAnsi="宋体" w:cs="宋体" w:eastAsia="宋体" w:hint="default"/>
        </w:rPr>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pStyle w:val="Heading5"/>
        <w:spacing w:line="408" w:lineRule="auto" w:before="176"/>
        <w:ind w:right="982"/>
        <w:jc w:val="left"/>
        <w:rPr>
          <w:rFonts w:ascii="宋体" w:hAnsi="宋体" w:cs="宋体" w:eastAsia="宋体" w:hint="default"/>
        </w:rPr>
      </w:pPr>
      <w:r>
        <w:rPr>
          <w:spacing w:val="-2"/>
        </w:rPr>
        <w:t>公司将积极拓展国内外人才引进渠道，与行业知名院校及重点学科单位建立人才培养和共建机制。持</w:t>
      </w:r>
      <w:r>
        <w:rPr>
          <w:w w:val="100"/>
        </w:rPr>
        <w:t> </w:t>
      </w:r>
      <w:r>
        <w:rPr>
          <w:spacing w:val="-2"/>
        </w:rPr>
        <w:t>续优化在组织能力和人才选育用留方面的机制建设，提升雇主品牌形象。创新人才激励机制，充分利用资</w:t>
      </w:r>
      <w:r>
        <w:rPr>
          <w:spacing w:val="-44"/>
        </w:rPr>
        <w:t> </w:t>
      </w:r>
      <w:r>
        <w:rPr>
          <w:spacing w:val="-44"/>
        </w:rPr>
      </w:r>
      <w:r>
        <w:rPr/>
        <w:t>本市场的资源加大对创新业务板块的人才激励力度，为高端优秀人才提供更为广阔的事业发展平台。</w:t>
      </w:r>
      <w:r>
        <w:rPr>
          <w:rFonts w:ascii="宋体" w:hAnsi="宋体" w:cs="宋体" w:eastAsia="宋体" w:hint="default"/>
          <w:w w:val="100"/>
        </w:rPr>
        <w:t> </w:t>
      </w:r>
      <w:r>
        <w:rPr>
          <w:rFonts w:ascii="宋体" w:hAnsi="宋体" w:cs="宋体" w:eastAsia="宋体" w:hint="default"/>
          <w:b/>
          <w:bCs/>
        </w:rPr>
        <w:t>4</w:t>
      </w:r>
      <w:r>
        <w:rPr>
          <w:rFonts w:ascii="宋体" w:hAnsi="宋体" w:cs="宋体" w:eastAsia="宋体" w:hint="default"/>
          <w:b/>
          <w:bCs/>
        </w:rPr>
        <w:t>、知识产权被侵犯的风险</w:t>
      </w:r>
      <w:r>
        <w:rPr>
          <w:rFonts w:ascii="宋体" w:hAnsi="宋体" w:cs="宋体" w:eastAsia="宋体" w:hint="default"/>
          <w:b/>
          <w:bCs/>
          <w:w w:val="99"/>
        </w:rPr>
        <w:t> </w:t>
      </w:r>
      <w:r>
        <w:rPr>
          <w:rFonts w:ascii="宋体" w:hAnsi="宋体" w:cs="宋体" w:eastAsia="宋体" w:hint="default"/>
        </w:rPr>
      </w:r>
    </w:p>
    <w:p>
      <w:pPr>
        <w:pStyle w:val="Heading5"/>
        <w:spacing w:line="408" w:lineRule="auto"/>
        <w:ind w:right="1126"/>
        <w:jc w:val="both"/>
        <w:rPr>
          <w:rFonts w:ascii="宋体" w:hAnsi="宋体" w:cs="宋体" w:eastAsia="宋体" w:hint="default"/>
        </w:rPr>
      </w:pPr>
      <w:r>
        <w:rPr>
          <w:spacing w:val="-2"/>
        </w:rPr>
        <w:t>伴随互联网技术的快速发展，低成本获取电子数据资源的渠道和方式更加多样化、便捷化，新型电子</w:t>
      </w:r>
      <w:r>
        <w:rPr>
          <w:w w:val="100"/>
        </w:rPr>
        <w:t> </w:t>
      </w:r>
      <w:r>
        <w:rPr>
          <w:spacing w:val="-2"/>
        </w:rPr>
        <w:t>地图版权侵权案件时有发生，对于公司电子地图业务及软件产品的经济收入造成巨大威胁。公司在自动驾</w:t>
      </w:r>
      <w:r>
        <w:rPr>
          <w:spacing w:val="-43"/>
        </w:rPr>
        <w:t> </w:t>
      </w:r>
      <w:r>
        <w:rPr>
          <w:spacing w:val="-43"/>
        </w:rPr>
      </w:r>
      <w:r>
        <w:rPr>
          <w:spacing w:val="-2"/>
        </w:rPr>
        <w:t>驶、智能网联、新能源汽车等领域不断加大新技术及产品研发力度和对外交流合作，在研发工具及基础协</w:t>
      </w:r>
      <w:r>
        <w:rPr>
          <w:spacing w:val="-43"/>
        </w:rPr>
        <w:t> </w:t>
      </w:r>
      <w:r>
        <w:rPr>
          <w:spacing w:val="-43"/>
        </w:rPr>
      </w:r>
      <w:r>
        <w:rPr>
          <w:spacing w:val="-2"/>
        </w:rPr>
        <w:t>议的调取和使用、研发成果的保护和二次开发利用、掌握核心技术的关键人员的流动和转岗等过程中，将</w:t>
      </w:r>
      <w:r>
        <w:rPr>
          <w:spacing w:val="-44"/>
        </w:rPr>
        <w:t> </w:t>
      </w:r>
      <w:r>
        <w:rPr>
          <w:spacing w:val="-44"/>
        </w:rPr>
      </w:r>
      <w:r>
        <w:rPr/>
        <w:t>面临软件著作权、专利权、商标权、商业秘密等权益未被合理保护及被侵犯的风险。</w:t>
      </w:r>
      <w:r>
        <w:rPr>
          <w:rFonts w:ascii="宋体" w:hAnsi="宋体" w:cs="宋体" w:eastAsia="宋体" w:hint="default"/>
        </w:rPr>
        <w:t> </w:t>
      </w:r>
    </w:p>
    <w:p>
      <w:pPr>
        <w:pStyle w:val="Heading5"/>
        <w:spacing w:line="408" w:lineRule="auto"/>
        <w:ind w:right="1025"/>
        <w:jc w:val="both"/>
        <w:rPr>
          <w:rFonts w:ascii="宋体" w:hAnsi="宋体" w:cs="宋体" w:eastAsia="宋体" w:hint="default"/>
        </w:rPr>
      </w:pPr>
      <w:r>
        <w:rPr>
          <w:spacing w:val="-2"/>
        </w:rPr>
        <w:t>公司将加大知识产权保护力度，针对侵权行为，及时采取法律行动，维护公司合法权益。同时，完善</w:t>
      </w:r>
      <w:r>
        <w:rPr>
          <w:w w:val="100"/>
        </w:rPr>
        <w:t> </w:t>
      </w:r>
      <w:r>
        <w:rPr>
          <w:spacing w:val="-2"/>
        </w:rPr>
        <w:t>公司知识产权战略布局、实施策略及管理流程，将知识权利风险防御及保护机制嵌入运用到技术创新、产</w:t>
      </w:r>
      <w:r>
        <w:rPr>
          <w:spacing w:val="-43"/>
        </w:rPr>
        <w:t> </w:t>
      </w:r>
      <w:r>
        <w:rPr>
          <w:spacing w:val="-43"/>
        </w:rPr>
      </w:r>
      <w:r>
        <w:rPr>
          <w:spacing w:val="-2"/>
          <w:w w:val="100"/>
        </w:rPr>
        <w:t>品创新、组织创新和商业模式创新当中，从源头即建立起有效措施，避免权利被侵害所带来的经济损失。</w:t>
      </w:r>
      <w:r>
        <w:rPr>
          <w:rFonts w:ascii="宋体" w:hAnsi="宋体" w:cs="宋体" w:eastAsia="宋体" w:hint="default"/>
          <w:w w:val="100"/>
        </w:rPr>
        <w:t> </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6"/>
          <w:szCs w:val="16"/>
        </w:rPr>
      </w:pPr>
    </w:p>
    <w:p>
      <w:pPr>
        <w:spacing w:line="408" w:lineRule="auto" w:before="36"/>
        <w:ind w:left="575" w:right="982" w:hanging="423"/>
        <w:jc w:val="left"/>
        <w:rPr>
          <w:rFonts w:ascii="宋体" w:hAnsi="宋体" w:cs="宋体" w:eastAsia="宋体" w:hint="default"/>
          <w:sz w:val="21"/>
          <w:szCs w:val="21"/>
        </w:rPr>
      </w:pPr>
      <w:r>
        <w:rPr>
          <w:rFonts w:ascii="宋体" w:hAnsi="宋体" w:cs="宋体" w:eastAsia="宋体" w:hint="default"/>
          <w:b/>
          <w:bCs/>
          <w:sz w:val="21"/>
          <w:szCs w:val="21"/>
        </w:rPr>
        <w:t>（四）公司回顾总结前期披露的发展战略和经营计划在报告期内的进展情况</w:t>
      </w:r>
      <w:r>
        <w:rPr>
          <w:rFonts w:ascii="宋体" w:hAnsi="宋体" w:cs="宋体" w:eastAsia="宋体" w:hint="default"/>
          <w:b/>
          <w:bCs/>
          <w:w w:val="99"/>
          <w:sz w:val="21"/>
          <w:szCs w:val="21"/>
        </w:rPr>
        <w:t> </w:t>
      </w:r>
      <w:r>
        <w:rPr>
          <w:rFonts w:ascii="宋体" w:hAnsi="宋体" w:cs="宋体" w:eastAsia="宋体" w:hint="default"/>
          <w:b/>
          <w:bCs/>
          <w:spacing w:val="-2"/>
          <w:sz w:val="21"/>
          <w:szCs w:val="21"/>
        </w:rPr>
        <w:t>在导航电子地图及导航服务方面</w:t>
      </w:r>
      <w:r>
        <w:rPr>
          <w:rFonts w:ascii="宋体" w:hAnsi="宋体" w:cs="宋体" w:eastAsia="宋体" w:hint="default"/>
          <w:spacing w:val="-2"/>
          <w:sz w:val="21"/>
          <w:szCs w:val="21"/>
        </w:rPr>
        <w:t>，公司着力打造行业领先的地图数据动态服务能力和云端大数据处理</w:t>
      </w:r>
    </w:p>
    <w:p>
      <w:pPr>
        <w:pStyle w:val="Heading5"/>
        <w:spacing w:line="408" w:lineRule="auto"/>
        <w:ind w:right="1126" w:firstLine="0"/>
        <w:jc w:val="both"/>
      </w:pPr>
      <w:r>
        <w:rPr/>
        <w:t>能力，在自主研发的企业级</w:t>
      </w:r>
      <w:r>
        <w:rPr>
          <w:spacing w:val="-65"/>
        </w:rPr>
        <w:t> </w:t>
      </w:r>
      <w:r>
        <w:rPr>
          <w:rFonts w:ascii="宋体" w:hAnsi="宋体" w:cs="宋体" w:eastAsia="宋体" w:hint="default"/>
        </w:rPr>
        <w:t>FastMap</w:t>
      </w:r>
      <w:r>
        <w:rPr>
          <w:rFonts w:ascii="宋体" w:hAnsi="宋体" w:cs="宋体" w:eastAsia="宋体" w:hint="default"/>
          <w:spacing w:val="-67"/>
        </w:rPr>
        <w:t> </w:t>
      </w:r>
      <w:r>
        <w:rPr/>
        <w:t>在线生产平台及快速更新体系稳定运行的基础上，应用图像识别、语</w:t>
      </w:r>
      <w:r>
        <w:rPr>
          <w:w w:val="100"/>
        </w:rPr>
        <w:t> </w:t>
      </w:r>
      <w:r>
        <w:rPr>
          <w:spacing w:val="-2"/>
        </w:rPr>
        <w:t>音识别、大数据挖掘及采集成果自动录入技术等对生产流程进行工艺升级及自动化改造，在提升工效的同</w:t>
      </w:r>
      <w:r>
        <w:rPr>
          <w:spacing w:val="-44"/>
        </w:rPr>
        <w:t> </w:t>
      </w:r>
      <w:r>
        <w:rPr>
          <w:spacing w:val="-44"/>
        </w:rPr>
      </w:r>
      <w:r>
        <w:rPr>
          <w:spacing w:val="-2"/>
        </w:rPr>
        <w:t>时，减少数据流转等待，全面提升底层数据基础服务能力和日更新联测能力，满足新型应用场景对地图数</w:t>
      </w:r>
      <w:r>
        <w:rPr>
          <w:spacing w:val="-43"/>
        </w:rPr>
        <w:t> </w:t>
      </w:r>
      <w:r>
        <w:rPr>
          <w:spacing w:val="-43"/>
        </w:rPr>
      </w:r>
      <w:r>
        <w:rPr>
          <w:spacing w:val="-2"/>
        </w:rPr>
        <w:t>据精度、鲜度、精细化程度、数据品质及服务水平等提出的高等级应用要求。公司积极推进可以同时支撑</w:t>
      </w:r>
      <w:r>
        <w:rPr>
          <w:spacing w:val="-47"/>
        </w:rPr>
        <w:t> </w:t>
      </w:r>
      <w:r>
        <w:rPr>
          <w:spacing w:val="-47"/>
        </w:rPr>
      </w:r>
      <w:r>
        <w:rPr>
          <w:spacing w:val="-2"/>
        </w:rPr>
        <w:t>不同精度地图数据的采编出平台一体化整合，在提升数据采集效率、降低单位作业成本的同时，实现多源</w:t>
      </w:r>
      <w:r>
        <w:rPr>
          <w:spacing w:val="-43"/>
        </w:rPr>
        <w:t> </w:t>
      </w:r>
      <w:r>
        <w:rPr>
          <w:spacing w:val="-43"/>
        </w:rPr>
      </w:r>
      <w:r>
        <w:rPr/>
        <w:t>数据快速获取、融合和应用服务一体化支撑。截止</w:t>
      </w:r>
      <w:r>
        <w:rPr>
          <w:spacing w:val="-58"/>
        </w:rPr>
        <w:t> </w:t>
      </w:r>
      <w:r>
        <w:rPr>
          <w:rFonts w:ascii="宋体" w:hAnsi="宋体" w:cs="宋体" w:eastAsia="宋体" w:hint="default"/>
        </w:rPr>
        <w:t>2018</w:t>
      </w:r>
      <w:r>
        <w:rPr>
          <w:rFonts w:ascii="宋体" w:hAnsi="宋体" w:cs="宋体" w:eastAsia="宋体" w:hint="default"/>
          <w:spacing w:val="-58"/>
        </w:rPr>
        <w:t> </w:t>
      </w:r>
      <w:r>
        <w:rPr/>
        <w:t>年底，公司基础地图数据已覆盖全国高速公路、</w:t>
      </w:r>
    </w:p>
    <w:p>
      <w:pPr>
        <w:pStyle w:val="Heading5"/>
        <w:spacing w:line="408" w:lineRule="auto"/>
        <w:ind w:right="982" w:firstLine="0"/>
        <w:jc w:val="left"/>
        <w:rPr>
          <w:rFonts w:ascii="宋体" w:hAnsi="宋体" w:cs="宋体" w:eastAsia="宋体" w:hint="default"/>
        </w:rPr>
      </w:pPr>
      <w:r>
        <w:rPr/>
        <w:t>国道、省道等，可通行道路里程超过</w:t>
      </w:r>
      <w:r>
        <w:rPr>
          <w:spacing w:val="-48"/>
        </w:rPr>
        <w:t> </w:t>
      </w:r>
      <w:r>
        <w:rPr>
          <w:rFonts w:ascii="宋体" w:hAnsi="宋体" w:cs="宋体" w:eastAsia="宋体" w:hint="default"/>
        </w:rPr>
        <w:t>740</w:t>
      </w:r>
      <w:r>
        <w:rPr>
          <w:rFonts w:ascii="宋体" w:hAnsi="宋体" w:cs="宋体" w:eastAsia="宋体" w:hint="default"/>
          <w:spacing w:val="-51"/>
        </w:rPr>
        <w:t> </w:t>
      </w:r>
      <w:r>
        <w:rPr/>
        <w:t>万公里，</w:t>
      </w:r>
      <w:r>
        <w:rPr>
          <w:rFonts w:ascii="宋体" w:hAnsi="宋体" w:cs="宋体" w:eastAsia="宋体" w:hint="default"/>
        </w:rPr>
        <w:t>POI</w:t>
      </w:r>
      <w:r>
        <w:rPr>
          <w:rFonts w:ascii="宋体" w:hAnsi="宋体" w:cs="宋体" w:eastAsia="宋体" w:hint="default"/>
          <w:spacing w:val="-49"/>
        </w:rPr>
        <w:t> </w:t>
      </w:r>
      <w:r>
        <w:rPr/>
        <w:t>等点要素总量近</w:t>
      </w:r>
      <w:r>
        <w:rPr>
          <w:spacing w:val="-49"/>
        </w:rPr>
        <w:t> </w:t>
      </w:r>
      <w:r>
        <w:rPr>
          <w:rFonts w:ascii="宋体" w:hAnsi="宋体" w:cs="宋体" w:eastAsia="宋体" w:hint="default"/>
        </w:rPr>
        <w:t>4000</w:t>
      </w:r>
      <w:r>
        <w:rPr>
          <w:rFonts w:ascii="宋体" w:hAnsi="宋体" w:cs="宋体" w:eastAsia="宋体" w:hint="default"/>
          <w:spacing w:val="-51"/>
        </w:rPr>
        <w:t> </w:t>
      </w:r>
      <w:r>
        <w:rPr/>
        <w:t>万个，可支持全国（含港澳）</w:t>
      </w:r>
      <w:r>
        <w:rPr>
          <w:w w:val="100"/>
        </w:rPr>
        <w:t> </w:t>
      </w:r>
      <w:r>
        <w:rPr>
          <w:spacing w:val="-2"/>
        </w:rPr>
        <w:t>城县村乡无间断引导。体系化日更新和动态服务能力持续提升，可满足不同客户日益复杂化、个性化的快</w:t>
      </w:r>
      <w:r>
        <w:rPr>
          <w:spacing w:val="-44"/>
        </w:rPr>
        <w:t> </w:t>
      </w:r>
      <w:r>
        <w:rPr>
          <w:spacing w:val="-44"/>
        </w:rPr>
      </w:r>
      <w:r>
        <w:rPr/>
        <w:t>速响应需求。</w:t>
      </w:r>
      <w:r>
        <w:rPr>
          <w:rFonts w:ascii="宋体" w:hAnsi="宋体" w:cs="宋体" w:eastAsia="宋体" w:hint="default"/>
        </w:rPr>
        <w:t> </w:t>
      </w:r>
    </w:p>
    <w:p>
      <w:pPr>
        <w:spacing w:after="0" w:line="408" w:lineRule="auto"/>
        <w:jc w:val="left"/>
        <w:rPr>
          <w:rFonts w:ascii="宋体" w:hAnsi="宋体" w:cs="宋体" w:eastAsia="宋体" w:hint="default"/>
        </w:rPr>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5"/>
          <w:szCs w:val="15"/>
        </w:rPr>
      </w:pPr>
    </w:p>
    <w:p>
      <w:pPr>
        <w:spacing w:line="4507" w:lineRule="exact"/>
        <w:ind w:left="154" w:right="0" w:firstLine="0"/>
        <w:rPr>
          <w:rFonts w:ascii="宋体" w:hAnsi="宋体" w:cs="宋体" w:eastAsia="宋体" w:hint="default"/>
          <w:sz w:val="20"/>
          <w:szCs w:val="20"/>
        </w:rPr>
      </w:pPr>
      <w:r>
        <w:rPr>
          <w:rFonts w:ascii="宋体" w:hAnsi="宋体" w:cs="宋体" w:eastAsia="宋体" w:hint="default"/>
          <w:position w:val="-89"/>
          <w:sz w:val="20"/>
          <w:szCs w:val="20"/>
        </w:rPr>
        <w:drawing>
          <wp:inline distT="0" distB="0" distL="0" distR="0">
            <wp:extent cx="6058710" cy="2862262"/>
            <wp:effectExtent l="0" t="0" r="0" b="0"/>
            <wp:docPr id="35" name="image19.jpeg" descr=""/>
            <wp:cNvGraphicFramePr>
              <a:graphicFrameLocks noChangeAspect="1"/>
            </wp:cNvGraphicFramePr>
            <a:graphic>
              <a:graphicData uri="http://schemas.openxmlformats.org/drawingml/2006/picture">
                <pic:pic>
                  <pic:nvPicPr>
                    <pic:cNvPr id="36" name="image19.jpeg"/>
                    <pic:cNvPicPr/>
                  </pic:nvPicPr>
                  <pic:blipFill>
                    <a:blip r:embed="rId32" cstate="print"/>
                    <a:stretch>
                      <a:fillRect/>
                    </a:stretch>
                  </pic:blipFill>
                  <pic:spPr>
                    <a:xfrm>
                      <a:off x="0" y="0"/>
                      <a:ext cx="6058710" cy="2862262"/>
                    </a:xfrm>
                    <a:prstGeom prst="rect">
                      <a:avLst/>
                    </a:prstGeom>
                  </pic:spPr>
                </pic:pic>
              </a:graphicData>
            </a:graphic>
          </wp:inline>
        </w:drawing>
      </w:r>
      <w:r>
        <w:rPr>
          <w:rFonts w:ascii="宋体" w:hAnsi="宋体" w:cs="宋体" w:eastAsia="宋体" w:hint="default"/>
          <w:position w:val="-89"/>
          <w:sz w:val="20"/>
          <w:szCs w:val="20"/>
        </w:rPr>
      </w:r>
    </w:p>
    <w:p>
      <w:pPr>
        <w:spacing w:line="240" w:lineRule="auto" w:before="7"/>
        <w:rPr>
          <w:rFonts w:ascii="宋体" w:hAnsi="宋体" w:cs="宋体" w:eastAsia="宋体" w:hint="default"/>
          <w:sz w:val="8"/>
          <w:szCs w:val="8"/>
        </w:rPr>
      </w:pPr>
    </w:p>
    <w:p>
      <w:pPr>
        <w:spacing w:line="408" w:lineRule="auto" w:before="36"/>
        <w:ind w:left="573" w:right="982" w:firstLine="1972"/>
        <w:jc w:val="left"/>
        <w:rPr>
          <w:rFonts w:ascii="宋体" w:hAnsi="宋体" w:cs="宋体" w:eastAsia="宋体" w:hint="default"/>
          <w:sz w:val="21"/>
          <w:szCs w:val="21"/>
        </w:rPr>
      </w:pPr>
      <w:r>
        <w:rPr>
          <w:rFonts w:ascii="宋体" w:hAnsi="宋体" w:cs="宋体" w:eastAsia="宋体" w:hint="default"/>
          <w:b/>
          <w:bCs/>
          <w:sz w:val="21"/>
          <w:szCs w:val="21"/>
        </w:rPr>
        <w:t>四维图新</w:t>
      </w:r>
      <w:r>
        <w:rPr>
          <w:rFonts w:ascii="宋体" w:hAnsi="宋体" w:cs="宋体" w:eastAsia="宋体" w:hint="default"/>
          <w:b/>
          <w:bCs/>
          <w:spacing w:val="-53"/>
          <w:sz w:val="21"/>
          <w:szCs w:val="21"/>
        </w:rPr>
        <w:t> </w:t>
      </w:r>
      <w:r>
        <w:rPr>
          <w:rFonts w:ascii="宋体" w:hAnsi="宋体" w:cs="宋体" w:eastAsia="宋体" w:hint="default"/>
          <w:b/>
          <w:bCs/>
          <w:sz w:val="21"/>
          <w:szCs w:val="21"/>
        </w:rPr>
        <w:t>FastMap</w:t>
      </w:r>
      <w:r>
        <w:rPr>
          <w:rFonts w:ascii="宋体" w:hAnsi="宋体" w:cs="宋体" w:eastAsia="宋体" w:hint="default"/>
          <w:b/>
          <w:bCs/>
          <w:spacing w:val="-54"/>
          <w:sz w:val="21"/>
          <w:szCs w:val="21"/>
        </w:rPr>
        <w:t> </w:t>
      </w:r>
      <w:r>
        <w:rPr>
          <w:rFonts w:ascii="宋体" w:hAnsi="宋体" w:cs="宋体" w:eastAsia="宋体" w:hint="default"/>
          <w:b/>
          <w:bCs/>
          <w:sz w:val="21"/>
          <w:szCs w:val="21"/>
        </w:rPr>
        <w:t>生产体系全面支撑在线一体化生产</w:t>
      </w:r>
      <w:r>
        <w:rPr>
          <w:rFonts w:ascii="宋体" w:hAnsi="宋体" w:cs="宋体" w:eastAsia="宋体" w:hint="default"/>
          <w:b/>
          <w:bCs/>
          <w:w w:val="99"/>
          <w:sz w:val="21"/>
          <w:szCs w:val="21"/>
        </w:rPr>
        <w:t> </w:t>
      </w:r>
      <w:r>
        <w:rPr>
          <w:rFonts w:ascii="宋体" w:hAnsi="宋体" w:cs="宋体" w:eastAsia="宋体" w:hint="default"/>
          <w:spacing w:val="-2"/>
          <w:sz w:val="21"/>
          <w:szCs w:val="21"/>
        </w:rPr>
        <w:t>面对快速爆发的共享出行服务、智慧园区</w:t>
      </w:r>
      <w:r>
        <w:rPr>
          <w:rFonts w:ascii="宋体" w:hAnsi="宋体" w:cs="宋体" w:eastAsia="宋体" w:hint="default"/>
          <w:spacing w:val="-2"/>
          <w:sz w:val="21"/>
          <w:szCs w:val="21"/>
        </w:rPr>
        <w:t>/</w:t>
      </w:r>
      <w:r>
        <w:rPr>
          <w:rFonts w:ascii="宋体" w:hAnsi="宋体" w:cs="宋体" w:eastAsia="宋体" w:hint="default"/>
          <w:spacing w:val="-2"/>
          <w:sz w:val="21"/>
          <w:szCs w:val="21"/>
        </w:rPr>
        <w:t>景区</w:t>
      </w:r>
      <w:r>
        <w:rPr>
          <w:rFonts w:ascii="宋体" w:hAnsi="宋体" w:cs="宋体" w:eastAsia="宋体" w:hint="default"/>
          <w:spacing w:val="-2"/>
          <w:sz w:val="21"/>
          <w:szCs w:val="21"/>
        </w:rPr>
        <w:t>/</w:t>
      </w:r>
      <w:r>
        <w:rPr>
          <w:rFonts w:ascii="宋体" w:hAnsi="宋体" w:cs="宋体" w:eastAsia="宋体" w:hint="default"/>
          <w:spacing w:val="-2"/>
          <w:sz w:val="21"/>
          <w:szCs w:val="21"/>
        </w:rPr>
        <w:t>小区精细化数据、新能源汽车充电、卡车出行、网络</w:t>
      </w:r>
    </w:p>
    <w:p>
      <w:pPr>
        <w:pStyle w:val="Heading5"/>
        <w:spacing w:line="408" w:lineRule="auto"/>
        <w:ind w:right="982" w:firstLine="0"/>
        <w:jc w:val="left"/>
        <w:rPr>
          <w:rFonts w:ascii="宋体" w:hAnsi="宋体" w:cs="宋体" w:eastAsia="宋体" w:hint="default"/>
        </w:rPr>
      </w:pPr>
      <w:r>
        <w:rPr/>
        <w:t>游戏等应用型数据服务需求，公司积极推进产品创新和持续性开发，加速推进可面向服务型产品的</w:t>
      </w:r>
      <w:r>
        <w:rPr>
          <w:spacing w:val="-56"/>
        </w:rPr>
        <w:t> </w:t>
      </w:r>
      <w:r>
        <w:rPr>
          <w:rFonts w:ascii="宋体" w:hAnsi="宋体" w:cs="宋体" w:eastAsia="宋体" w:hint="default"/>
        </w:rPr>
        <w:t>SMap</w:t>
      </w:r>
      <w:r>
        <w:rPr>
          <w:rFonts w:ascii="宋体" w:hAnsi="宋体" w:cs="宋体" w:eastAsia="宋体" w:hint="default"/>
          <w:w w:val="100"/>
        </w:rPr>
        <w:t> </w:t>
      </w:r>
      <w:r>
        <w:rPr/>
        <w:t>平台体系架构和能力建设。报告期内，</w:t>
      </w:r>
      <w:r>
        <w:rPr>
          <w:rFonts w:ascii="宋体" w:hAnsi="宋体" w:cs="宋体" w:eastAsia="宋体" w:hint="default"/>
        </w:rPr>
        <w:t>SMap</w:t>
      </w:r>
      <w:r>
        <w:rPr>
          <w:rFonts w:ascii="宋体" w:hAnsi="宋体" w:cs="宋体" w:eastAsia="宋体" w:hint="default"/>
          <w:spacing w:val="-58"/>
        </w:rPr>
        <w:t> </w:t>
      </w:r>
      <w:r>
        <w:rPr/>
        <w:t>平台架构已经搭建完成，基于</w:t>
      </w:r>
      <w:r>
        <w:rPr>
          <w:spacing w:val="-56"/>
        </w:rPr>
        <w:t> </w:t>
      </w:r>
      <w:r>
        <w:rPr>
          <w:rFonts w:ascii="宋体" w:hAnsi="宋体" w:cs="宋体" w:eastAsia="宋体" w:hint="default"/>
        </w:rPr>
        <w:t>SMap</w:t>
      </w:r>
      <w:r>
        <w:rPr>
          <w:rFonts w:ascii="宋体" w:hAnsi="宋体" w:cs="宋体" w:eastAsia="宋体" w:hint="default"/>
          <w:spacing w:val="-56"/>
        </w:rPr>
        <w:t> </w:t>
      </w:r>
      <w:r>
        <w:rPr/>
        <w:t>平台的限行、施工、高速</w:t>
      </w:r>
      <w:r>
        <w:rPr>
          <w:w w:val="100"/>
        </w:rPr>
        <w:t> </w:t>
      </w:r>
      <w:r>
        <w:rPr/>
        <w:t>收费、新能源汽车充电等服务型产品已经通过项目落地实现商业闭环。精细化地图数据已经覆盖国内</w:t>
      </w:r>
      <w:r>
        <w:rPr>
          <w:spacing w:val="-57"/>
        </w:rPr>
        <w:t> </w:t>
      </w:r>
      <w:r>
        <w:rPr>
          <w:rFonts w:ascii="宋体" w:hAnsi="宋体" w:cs="宋体" w:eastAsia="宋体" w:hint="default"/>
        </w:rPr>
        <w:t>30</w:t>
      </w:r>
      <w:r>
        <w:rPr>
          <w:rFonts w:ascii="宋体" w:hAnsi="宋体" w:cs="宋体" w:eastAsia="宋体" w:hint="default"/>
          <w:w w:val="100"/>
        </w:rPr>
        <w:t> </w:t>
      </w:r>
      <w:r>
        <w:rPr>
          <w:spacing w:val="-2"/>
        </w:rPr>
        <w:t>多个城市重点区域，精细化数据应用及服务能力在与云南智慧景区、故宫小程序、长隆野生动物园等项目</w:t>
      </w:r>
      <w:r>
        <w:rPr>
          <w:spacing w:val="-44"/>
        </w:rPr>
        <w:t> </w:t>
      </w:r>
      <w:r>
        <w:rPr>
          <w:spacing w:val="-44"/>
        </w:rPr>
      </w:r>
      <w:r>
        <w:rPr/>
        <w:t>合作过程中获得认可。</w:t>
      </w:r>
      <w:r>
        <w:rPr>
          <w:rFonts w:ascii="宋体" w:hAnsi="宋体" w:cs="宋体" w:eastAsia="宋体" w:hint="default"/>
        </w:rPr>
        <w:t> </w:t>
      </w:r>
    </w:p>
    <w:p>
      <w:pPr>
        <w:spacing w:line="240" w:lineRule="auto" w:before="12"/>
        <w:rPr>
          <w:rFonts w:ascii="宋体" w:hAnsi="宋体" w:cs="宋体" w:eastAsia="宋体" w:hint="default"/>
          <w:sz w:val="7"/>
          <w:szCs w:val="7"/>
        </w:rPr>
      </w:pPr>
    </w:p>
    <w:p>
      <w:pPr>
        <w:spacing w:line="2539" w:lineRule="exact"/>
        <w:ind w:left="574" w:right="0" w:firstLine="0"/>
        <w:rPr>
          <w:rFonts w:ascii="宋体" w:hAnsi="宋体" w:cs="宋体" w:eastAsia="宋体" w:hint="default"/>
          <w:sz w:val="20"/>
          <w:szCs w:val="20"/>
        </w:rPr>
      </w:pPr>
      <w:r>
        <w:rPr>
          <w:rFonts w:ascii="宋体" w:hAnsi="宋体" w:cs="宋体" w:eastAsia="宋体" w:hint="default"/>
          <w:position w:val="-50"/>
          <w:sz w:val="20"/>
          <w:szCs w:val="20"/>
        </w:rPr>
        <w:drawing>
          <wp:inline distT="0" distB="0" distL="0" distR="0">
            <wp:extent cx="5274057" cy="1612773"/>
            <wp:effectExtent l="0" t="0" r="0" b="0"/>
            <wp:docPr id="37" name="image20.png" descr=""/>
            <wp:cNvGraphicFramePr>
              <a:graphicFrameLocks noChangeAspect="1"/>
            </wp:cNvGraphicFramePr>
            <a:graphic>
              <a:graphicData uri="http://schemas.openxmlformats.org/drawingml/2006/picture">
                <pic:pic>
                  <pic:nvPicPr>
                    <pic:cNvPr id="38" name="image20.png"/>
                    <pic:cNvPicPr/>
                  </pic:nvPicPr>
                  <pic:blipFill>
                    <a:blip r:embed="rId33" cstate="print"/>
                    <a:stretch>
                      <a:fillRect/>
                    </a:stretch>
                  </pic:blipFill>
                  <pic:spPr>
                    <a:xfrm>
                      <a:off x="0" y="0"/>
                      <a:ext cx="5274057" cy="1612773"/>
                    </a:xfrm>
                    <a:prstGeom prst="rect">
                      <a:avLst/>
                    </a:prstGeom>
                  </pic:spPr>
                </pic:pic>
              </a:graphicData>
            </a:graphic>
          </wp:inline>
        </w:drawing>
      </w:r>
      <w:r>
        <w:rPr>
          <w:rFonts w:ascii="宋体" w:hAnsi="宋体" w:cs="宋体" w:eastAsia="宋体" w:hint="default"/>
          <w:position w:val="-50"/>
          <w:sz w:val="20"/>
          <w:szCs w:val="20"/>
        </w:rPr>
      </w:r>
    </w:p>
    <w:p>
      <w:pPr>
        <w:spacing w:line="240" w:lineRule="auto" w:before="3"/>
        <w:rPr>
          <w:rFonts w:ascii="宋体" w:hAnsi="宋体" w:cs="宋体" w:eastAsia="宋体" w:hint="default"/>
          <w:sz w:val="16"/>
          <w:szCs w:val="16"/>
        </w:rPr>
      </w:pPr>
    </w:p>
    <w:p>
      <w:pPr>
        <w:spacing w:line="408" w:lineRule="auto" w:before="0"/>
        <w:ind w:left="573" w:right="982" w:firstLine="3451"/>
        <w:jc w:val="left"/>
        <w:rPr>
          <w:rFonts w:ascii="宋体" w:hAnsi="宋体" w:cs="宋体" w:eastAsia="宋体" w:hint="default"/>
          <w:sz w:val="21"/>
          <w:szCs w:val="21"/>
        </w:rPr>
      </w:pPr>
      <w:r>
        <w:rPr>
          <w:rFonts w:ascii="宋体" w:hAnsi="宋体" w:cs="宋体" w:eastAsia="宋体" w:hint="default"/>
          <w:b/>
          <w:bCs/>
          <w:sz w:val="21"/>
          <w:szCs w:val="21"/>
        </w:rPr>
        <w:t>服务型产品和精细化产品</w:t>
      </w:r>
      <w:r>
        <w:rPr>
          <w:rFonts w:ascii="宋体" w:hAnsi="宋体" w:cs="宋体" w:eastAsia="宋体" w:hint="default"/>
          <w:b/>
          <w:bCs/>
          <w:w w:val="99"/>
          <w:sz w:val="21"/>
          <w:szCs w:val="21"/>
        </w:rPr>
        <w:t> </w:t>
      </w:r>
      <w:r>
        <w:rPr>
          <w:rFonts w:ascii="宋体" w:hAnsi="宋体" w:cs="宋体" w:eastAsia="宋体" w:hint="default"/>
          <w:spacing w:val="-2"/>
          <w:sz w:val="21"/>
          <w:szCs w:val="21"/>
        </w:rPr>
        <w:t>公司积极推进导航引擎算法、数据格式、服务器架构等技术和能力的迭代升级，不断增强地图数据与</w:t>
      </w:r>
    </w:p>
    <w:p>
      <w:pPr>
        <w:pStyle w:val="Heading5"/>
        <w:spacing w:line="408" w:lineRule="auto"/>
        <w:ind w:right="1126" w:firstLine="0"/>
        <w:jc w:val="both"/>
        <w:rPr>
          <w:rFonts w:ascii="宋体" w:hAnsi="宋体" w:cs="宋体" w:eastAsia="宋体" w:hint="default"/>
        </w:rPr>
      </w:pPr>
      <w:r>
        <w:rPr>
          <w:spacing w:val="-2"/>
        </w:rPr>
        <w:t>导航数据编译服务及混合导航调用服务的动态融合及整体解决方案服务能力。报告期内，公司加速推进导</w:t>
      </w:r>
      <w:r>
        <w:rPr>
          <w:spacing w:val="-43"/>
        </w:rPr>
        <w:t> </w:t>
      </w:r>
      <w:r>
        <w:rPr>
          <w:spacing w:val="-43"/>
        </w:rPr>
      </w:r>
      <w:r>
        <w:rPr/>
        <w:t>航终端应用与后台服务平台的整合能力，初步建立可面向自动驾驶的</w:t>
      </w:r>
      <w:r>
        <w:rPr>
          <w:spacing w:val="-48"/>
        </w:rPr>
        <w:t> </w:t>
      </w:r>
      <w:r>
        <w:rPr>
          <w:rFonts w:ascii="宋体" w:hAnsi="宋体" w:cs="宋体" w:eastAsia="宋体" w:hint="default"/>
        </w:rPr>
        <w:t>NDS</w:t>
      </w:r>
      <w:r>
        <w:rPr>
          <w:rFonts w:ascii="宋体" w:hAnsi="宋体" w:cs="宋体" w:eastAsia="宋体" w:hint="default"/>
          <w:spacing w:val="-49"/>
        </w:rPr>
        <w:t> </w:t>
      </w:r>
      <w:r>
        <w:rPr>
          <w:spacing w:val="-3"/>
        </w:rPr>
        <w:t>编译服务能力。报告期内，公司</w:t>
      </w:r>
      <w:r>
        <w:rPr>
          <w:spacing w:val="-103"/>
        </w:rPr>
        <w:t> </w:t>
      </w:r>
      <w:r>
        <w:rPr>
          <w:spacing w:val="-103"/>
        </w:rPr>
      </w:r>
      <w:r>
        <w:rPr/>
        <w:t>持续推进与国内外车厂合作项目。</w:t>
      </w:r>
      <w:r>
        <w:rPr>
          <w:rFonts w:ascii="宋体" w:hAnsi="宋体" w:cs="宋体" w:eastAsia="宋体" w:hint="default"/>
        </w:rPr>
        <w:t> </w:t>
      </w:r>
    </w:p>
    <w:p>
      <w:pPr>
        <w:spacing w:after="0" w:line="408" w:lineRule="auto"/>
        <w:jc w:val="both"/>
        <w:rPr>
          <w:rFonts w:ascii="宋体" w:hAnsi="宋体" w:cs="宋体" w:eastAsia="宋体" w:hint="default"/>
        </w:rPr>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pStyle w:val="Heading5"/>
        <w:spacing w:line="408" w:lineRule="auto" w:before="176"/>
        <w:ind w:right="982"/>
        <w:jc w:val="left"/>
        <w:rPr>
          <w:rFonts w:ascii="宋体" w:hAnsi="宋体" w:cs="宋体" w:eastAsia="宋体" w:hint="default"/>
        </w:rPr>
      </w:pPr>
      <w:r>
        <w:rPr/>
        <w:t>公司在对产品和服务能力进行体系化梳理和整合的基础上，持续优化灵活组织机构和内部协调机制。</w:t>
      </w:r>
      <w:r>
        <w:rPr>
          <w:w w:val="100"/>
        </w:rPr>
        <w:t> </w:t>
      </w:r>
      <w:r>
        <w:rPr>
          <w:spacing w:val="-2"/>
        </w:rPr>
        <w:t>面对车规级产品高品质要求和精细化管理需求，引进国际先进认证体系辅助管理提升。报告期内，公司成</w:t>
      </w:r>
      <w:r>
        <w:rPr>
          <w:spacing w:val="-44"/>
        </w:rPr>
        <w:t> </w:t>
      </w:r>
      <w:r>
        <w:rPr>
          <w:spacing w:val="-44"/>
        </w:rPr>
      </w:r>
      <w:r>
        <w:rPr/>
        <w:t>功通过</w:t>
      </w:r>
      <w:r>
        <w:rPr>
          <w:spacing w:val="-55"/>
        </w:rPr>
        <w:t> </w:t>
      </w:r>
      <w:r>
        <w:rPr>
          <w:rFonts w:ascii="宋体" w:hAnsi="宋体" w:cs="宋体" w:eastAsia="宋体" w:hint="default"/>
        </w:rPr>
        <w:t>ISO14001</w:t>
      </w:r>
      <w:r>
        <w:rPr>
          <w:rFonts w:ascii="宋体" w:hAnsi="宋体" w:cs="宋体" w:eastAsia="宋体" w:hint="default"/>
          <w:spacing w:val="-56"/>
        </w:rPr>
        <w:t> </w:t>
      </w:r>
      <w:r>
        <w:rPr/>
        <w:t>认证审核。</w:t>
      </w:r>
      <w:r>
        <w:rPr>
          <w:rFonts w:ascii="宋体" w:hAnsi="宋体" w:cs="宋体" w:eastAsia="宋体" w:hint="default"/>
        </w:rPr>
        <w:t> </w:t>
      </w:r>
    </w:p>
    <w:p>
      <w:pPr>
        <w:spacing w:line="4646" w:lineRule="exact"/>
        <w:ind w:left="574" w:right="0" w:firstLine="0"/>
        <w:rPr>
          <w:rFonts w:ascii="宋体" w:hAnsi="宋体" w:cs="宋体" w:eastAsia="宋体" w:hint="default"/>
          <w:sz w:val="20"/>
          <w:szCs w:val="20"/>
        </w:rPr>
      </w:pPr>
      <w:r>
        <w:rPr>
          <w:rFonts w:ascii="宋体" w:hAnsi="宋体" w:cs="宋体" w:eastAsia="宋体" w:hint="default"/>
          <w:position w:val="-92"/>
          <w:sz w:val="20"/>
          <w:szCs w:val="20"/>
        </w:rPr>
        <w:drawing>
          <wp:inline distT="0" distB="0" distL="0" distR="0">
            <wp:extent cx="6127251" cy="2950464"/>
            <wp:effectExtent l="0" t="0" r="0" b="0"/>
            <wp:docPr id="39" name="image21.jpeg" descr=""/>
            <wp:cNvGraphicFramePr>
              <a:graphicFrameLocks noChangeAspect="1"/>
            </wp:cNvGraphicFramePr>
            <a:graphic>
              <a:graphicData uri="http://schemas.openxmlformats.org/drawingml/2006/picture">
                <pic:pic>
                  <pic:nvPicPr>
                    <pic:cNvPr id="40" name="image21.jpeg"/>
                    <pic:cNvPicPr/>
                  </pic:nvPicPr>
                  <pic:blipFill>
                    <a:blip r:embed="rId34" cstate="print"/>
                    <a:stretch>
                      <a:fillRect/>
                    </a:stretch>
                  </pic:blipFill>
                  <pic:spPr>
                    <a:xfrm>
                      <a:off x="0" y="0"/>
                      <a:ext cx="6127251" cy="2950464"/>
                    </a:xfrm>
                    <a:prstGeom prst="rect">
                      <a:avLst/>
                    </a:prstGeom>
                  </pic:spPr>
                </pic:pic>
              </a:graphicData>
            </a:graphic>
          </wp:inline>
        </w:drawing>
      </w:r>
      <w:r>
        <w:rPr>
          <w:rFonts w:ascii="宋体" w:hAnsi="宋体" w:cs="宋体" w:eastAsia="宋体" w:hint="default"/>
          <w:position w:val="-92"/>
          <w:sz w:val="20"/>
          <w:szCs w:val="20"/>
        </w:rPr>
      </w:r>
    </w:p>
    <w:p>
      <w:pPr>
        <w:spacing w:line="408" w:lineRule="auto" w:before="84"/>
        <w:ind w:left="575" w:right="982" w:firstLine="3554"/>
        <w:jc w:val="left"/>
        <w:rPr>
          <w:rFonts w:ascii="宋体" w:hAnsi="宋体" w:cs="宋体" w:eastAsia="宋体" w:hint="default"/>
          <w:sz w:val="21"/>
          <w:szCs w:val="21"/>
        </w:rPr>
      </w:pPr>
      <w:r>
        <w:rPr>
          <w:rFonts w:ascii="宋体" w:hAnsi="宋体" w:cs="宋体" w:eastAsia="宋体" w:hint="default"/>
          <w:b/>
          <w:bCs/>
          <w:sz w:val="21"/>
          <w:szCs w:val="21"/>
        </w:rPr>
        <w:t>四维图新质量管理体系</w:t>
      </w:r>
      <w:r>
        <w:rPr>
          <w:rFonts w:ascii="宋体" w:hAnsi="宋体" w:cs="宋体" w:eastAsia="宋体" w:hint="default"/>
          <w:b/>
          <w:bCs/>
          <w:w w:val="99"/>
          <w:sz w:val="21"/>
          <w:szCs w:val="21"/>
        </w:rPr>
        <w:t> </w:t>
      </w:r>
      <w:r>
        <w:rPr>
          <w:rFonts w:ascii="宋体" w:hAnsi="宋体" w:cs="宋体" w:eastAsia="宋体" w:hint="default"/>
          <w:b/>
          <w:bCs/>
          <w:spacing w:val="-2"/>
          <w:sz w:val="21"/>
          <w:szCs w:val="21"/>
        </w:rPr>
        <w:t>在乘用车联网业务方面</w:t>
      </w:r>
      <w:r>
        <w:rPr>
          <w:rFonts w:ascii="宋体" w:hAnsi="宋体" w:cs="宋体" w:eastAsia="宋体" w:hint="default"/>
          <w:spacing w:val="-2"/>
          <w:sz w:val="21"/>
          <w:szCs w:val="21"/>
        </w:rPr>
        <w:t>，公司全面落实产业链上下游以及软硬件一体化整合战略，面向车相关领域进</w:t>
      </w:r>
    </w:p>
    <w:p>
      <w:pPr>
        <w:pStyle w:val="Heading5"/>
        <w:spacing w:line="408" w:lineRule="auto"/>
        <w:ind w:right="1126" w:firstLine="0"/>
        <w:jc w:val="both"/>
        <w:rPr>
          <w:rFonts w:ascii="宋体" w:hAnsi="宋体" w:cs="宋体" w:eastAsia="宋体" w:hint="default"/>
        </w:rPr>
      </w:pPr>
      <w:r>
        <w:rPr>
          <w:spacing w:val="-2"/>
        </w:rPr>
        <w:t>行产业链垂直深耕，通过分拆融资等方式，引入产业优势资源和资金支持，组建专业化运营团队，加快推</w:t>
      </w:r>
      <w:r>
        <w:rPr>
          <w:spacing w:val="-50"/>
        </w:rPr>
        <w:t> </w:t>
      </w:r>
      <w:r>
        <w:rPr>
          <w:spacing w:val="-50"/>
        </w:rPr>
      </w:r>
      <w:r>
        <w:rPr/>
        <w:t>进智能车载操作系统、手机车机互联方案、车内语音</w:t>
      </w:r>
      <w:r>
        <w:rPr>
          <w:rFonts w:ascii="宋体" w:hAnsi="宋体" w:cs="宋体" w:eastAsia="宋体" w:hint="default"/>
        </w:rPr>
        <w:t>/</w:t>
      </w:r>
      <w:r>
        <w:rPr/>
        <w:t>语义识别方案、云服务平台、智能硬件、汽车电子</w:t>
      </w:r>
      <w:r>
        <w:rPr>
          <w:spacing w:val="-20"/>
        </w:rPr>
        <w:t> </w:t>
      </w:r>
      <w:r>
        <w:rPr>
          <w:spacing w:val="-20"/>
        </w:rPr>
      </w:r>
      <w:r>
        <w:rPr>
          <w:spacing w:val="-2"/>
        </w:rPr>
        <w:t>芯片等车联网系列产品的开发及商用进度，与车厂客户共同探索核心业务变现及商业模式创新，并面向后</w:t>
      </w:r>
      <w:r>
        <w:rPr>
          <w:spacing w:val="-43"/>
        </w:rPr>
        <w:t> </w:t>
      </w:r>
      <w:r>
        <w:rPr>
          <w:spacing w:val="-43"/>
        </w:rPr>
      </w:r>
      <w:r>
        <w:rPr/>
        <w:t>装市场与硬件渠道资源进行深度整合。</w:t>
      </w:r>
      <w:r>
        <w:rPr>
          <w:rFonts w:ascii="宋体" w:hAnsi="宋体" w:cs="宋体" w:eastAsia="宋体" w:hint="default"/>
        </w:rPr>
        <w:t> </w:t>
      </w:r>
    </w:p>
    <w:p>
      <w:pPr>
        <w:pStyle w:val="Heading5"/>
        <w:spacing w:line="408" w:lineRule="auto"/>
        <w:ind w:right="982"/>
        <w:jc w:val="left"/>
        <w:rPr>
          <w:rFonts w:ascii="宋体" w:hAnsi="宋体" w:cs="宋体" w:eastAsia="宋体" w:hint="default"/>
        </w:rPr>
      </w:pPr>
      <w:r>
        <w:rPr/>
        <w:t>报告期内，公司自主研发的车联网平台中台升级基本完成，平台稳定性和通用服务能力进一步提升，</w:t>
      </w:r>
      <w:r>
        <w:rPr>
          <w:w w:val="100"/>
        </w:rPr>
        <w:t> </w:t>
      </w:r>
      <w:r>
        <w:rPr/>
        <w:t>智能出行平台、云辙平台、新能源监控平台、</w:t>
      </w:r>
      <w:r>
        <w:rPr>
          <w:rFonts w:ascii="宋体" w:hAnsi="宋体" w:cs="宋体" w:eastAsia="宋体" w:hint="default"/>
        </w:rPr>
        <w:t>FOTA</w:t>
      </w:r>
      <w:r>
        <w:rPr/>
        <w:t>（</w:t>
      </w:r>
      <w:r>
        <w:rPr>
          <w:rFonts w:ascii="宋体" w:hAnsi="宋体" w:cs="宋体" w:eastAsia="宋体" w:hint="default"/>
        </w:rPr>
        <w:t>Firmware Over-The-Air</w:t>
      </w:r>
      <w:r>
        <w:rPr/>
        <w:t>）、</w:t>
      </w:r>
      <w:r>
        <w:rPr>
          <w:rFonts w:ascii="宋体" w:hAnsi="宋体" w:cs="宋体" w:eastAsia="宋体" w:hint="default"/>
        </w:rPr>
        <w:t>ADASIS</w:t>
      </w:r>
      <w:r>
        <w:rPr/>
        <w:t>、运营平台、故</w:t>
      </w:r>
      <w:r>
        <w:rPr>
          <w:spacing w:val="-33"/>
        </w:rPr>
        <w:t> </w:t>
      </w:r>
      <w:r>
        <w:rPr>
          <w:spacing w:val="-33"/>
        </w:rPr>
      </w:r>
      <w:r>
        <w:rPr/>
        <w:t>障诊断平台等系列产品陆续上线发布。</w:t>
      </w:r>
      <w:r>
        <w:rPr>
          <w:rFonts w:ascii="宋体" w:hAnsi="宋体" w:cs="宋体" w:eastAsia="宋体" w:hint="default"/>
        </w:rPr>
        <w:t> </w:t>
      </w:r>
    </w:p>
    <w:p>
      <w:pPr>
        <w:pStyle w:val="Heading5"/>
        <w:spacing w:line="408" w:lineRule="auto"/>
        <w:ind w:right="1126"/>
        <w:jc w:val="both"/>
        <w:rPr>
          <w:rFonts w:ascii="宋体" w:hAnsi="宋体" w:cs="宋体" w:eastAsia="宋体" w:hint="default"/>
        </w:rPr>
      </w:pPr>
      <w:r>
        <w:rPr>
          <w:spacing w:val="-2"/>
        </w:rPr>
        <w:t>报告期内，公司车联网平台车厂前装合作项目有序推进，长城车联网用户持续增长，上汽大众、电咖</w:t>
      </w:r>
      <w:r>
        <w:rPr>
          <w:w w:val="100"/>
        </w:rPr>
        <w:t> </w:t>
      </w:r>
      <w:r>
        <w:rPr>
          <w:spacing w:val="-4"/>
        </w:rPr>
        <w:t>汽车车联网项目完成交付，丰田、爱驰、赛麟等车联网项目合作继续深入展开，</w:t>
      </w:r>
      <w:r>
        <w:rPr>
          <w:rFonts w:ascii="宋体" w:hAnsi="宋体" w:cs="宋体" w:eastAsia="宋体" w:hint="default"/>
          <w:spacing w:val="-4"/>
        </w:rPr>
        <w:t>WeLink </w:t>
      </w:r>
      <w:r>
        <w:rPr/>
        <w:t>手车互联方案在前</w:t>
      </w:r>
      <w:r>
        <w:rPr>
          <w:spacing w:val="-72"/>
        </w:rPr>
        <w:t> </w:t>
      </w:r>
      <w:r>
        <w:rPr>
          <w:spacing w:val="-72"/>
        </w:rPr>
      </w:r>
      <w:r>
        <w:rPr/>
        <w:t>装市场陆续上量。</w:t>
      </w:r>
      <w:r>
        <w:rPr>
          <w:rFonts w:ascii="宋体" w:hAnsi="宋体" w:cs="宋体" w:eastAsia="宋体" w:hint="default"/>
        </w:rPr>
        <w:t> </w:t>
      </w:r>
    </w:p>
    <w:p>
      <w:pPr>
        <w:pStyle w:val="Heading5"/>
        <w:spacing w:line="408" w:lineRule="auto"/>
        <w:ind w:right="1126"/>
        <w:jc w:val="both"/>
        <w:rPr>
          <w:rFonts w:ascii="宋体" w:hAnsi="宋体" w:cs="宋体" w:eastAsia="宋体" w:hint="default"/>
        </w:rPr>
      </w:pPr>
      <w:r>
        <w:rPr>
          <w:spacing w:val="-2"/>
        </w:rPr>
        <w:t>报告期内，公司面向下一代自动驾驶场景，继续加强产业资源整合及联合开发力度，积极推动与云端</w:t>
      </w:r>
      <w:r>
        <w:rPr>
          <w:w w:val="100"/>
        </w:rPr>
        <w:t> </w:t>
      </w:r>
      <w:r>
        <w:rPr>
          <w:spacing w:val="-2"/>
        </w:rPr>
        <w:t>海量数据处理及服务平台形成良性互动，全面提升面向车载领域提供最完整的、拥有完全自主知识产权的</w:t>
      </w:r>
      <w:r>
        <w:rPr>
          <w:spacing w:val="-43"/>
        </w:rPr>
        <w:t> </w:t>
      </w:r>
      <w:r>
        <w:rPr>
          <w:spacing w:val="-43"/>
        </w:rPr>
      </w:r>
      <w:r>
        <w:rPr/>
        <w:t>车联网整体解决方案的能力。</w:t>
      </w:r>
      <w:r>
        <w:rPr>
          <w:rFonts w:ascii="宋体" w:hAnsi="宋体" w:cs="宋体" w:eastAsia="宋体" w:hint="default"/>
        </w:rPr>
        <w:t> </w:t>
      </w:r>
    </w:p>
    <w:p>
      <w:pPr>
        <w:spacing w:after="0" w:line="408" w:lineRule="auto"/>
        <w:jc w:val="both"/>
        <w:rPr>
          <w:rFonts w:ascii="宋体" w:hAnsi="宋体" w:cs="宋体" w:eastAsia="宋体" w:hint="default"/>
        </w:rPr>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pStyle w:val="Heading5"/>
        <w:spacing w:line="408" w:lineRule="auto" w:before="176"/>
        <w:ind w:right="1126" w:firstLine="422"/>
        <w:jc w:val="both"/>
        <w:rPr>
          <w:rFonts w:ascii="宋体" w:hAnsi="宋体" w:cs="宋体" w:eastAsia="宋体" w:hint="default"/>
        </w:rPr>
      </w:pPr>
      <w:r>
        <w:rPr>
          <w:rFonts w:ascii="宋体" w:hAnsi="宋体" w:cs="宋体" w:eastAsia="宋体" w:hint="default"/>
          <w:b/>
          <w:bCs/>
          <w:spacing w:val="-2"/>
        </w:rPr>
        <w:t>在商用车联网业务方面</w:t>
      </w:r>
      <w:r>
        <w:rPr>
          <w:spacing w:val="-2"/>
        </w:rPr>
        <w:t>，公司持续推进内部优势资源整合和跨部门协作力度，加大产品和技术研发投</w:t>
      </w:r>
      <w:r>
        <w:rPr>
          <w:w w:val="100"/>
        </w:rPr>
        <w:t> </w:t>
      </w:r>
      <w:r>
        <w:rPr>
          <w:spacing w:val="-2"/>
        </w:rPr>
        <w:t>入力度，引入产业和行业优势资源，重点打造核心产品在商用车联网领域的市场竞争优势，积极探索可持</w:t>
      </w:r>
      <w:r>
        <w:rPr>
          <w:spacing w:val="-44"/>
        </w:rPr>
        <w:t> </w:t>
      </w:r>
      <w:r>
        <w:rPr>
          <w:spacing w:val="-44"/>
        </w:rPr>
      </w:r>
      <w:r>
        <w:rPr/>
        <w:t>续发展的商业合作模式，拓展市场份额。</w:t>
      </w:r>
      <w:r>
        <w:rPr>
          <w:rFonts w:ascii="宋体" w:hAnsi="宋体" w:cs="宋体" w:eastAsia="宋体" w:hint="default"/>
        </w:rPr>
        <w:t> </w:t>
      </w:r>
    </w:p>
    <w:p>
      <w:pPr>
        <w:pStyle w:val="Heading5"/>
        <w:spacing w:line="408" w:lineRule="auto"/>
        <w:ind w:right="1126"/>
        <w:jc w:val="both"/>
        <w:rPr>
          <w:rFonts w:ascii="宋体" w:hAnsi="宋体" w:cs="宋体" w:eastAsia="宋体" w:hint="default"/>
        </w:rPr>
      </w:pPr>
      <w:r>
        <w:rPr>
          <w:spacing w:val="-2"/>
        </w:rPr>
        <w:t>报告期内，公司加速推进车联网平台和终端硬件产品迭代升级，积极打造全新的运营服务生态，面向</w:t>
      </w:r>
      <w:r>
        <w:rPr>
          <w:w w:val="100"/>
        </w:rPr>
        <w:t> </w:t>
      </w:r>
      <w:r>
        <w:rPr>
          <w:spacing w:val="-2"/>
        </w:rPr>
        <w:t>前装市场，推出多种定制化智能网联服务方案，帮助商用车厂在降本增效、安全生产等方面提升数字化运</w:t>
      </w:r>
      <w:r>
        <w:rPr>
          <w:spacing w:val="-44"/>
        </w:rPr>
        <w:t> </w:t>
      </w:r>
      <w:r>
        <w:rPr>
          <w:spacing w:val="-44"/>
        </w:rPr>
      </w:r>
      <w:r>
        <w:rPr/>
        <w:t>营能力。</w:t>
      </w:r>
      <w:r>
        <w:rPr>
          <w:rFonts w:ascii="宋体" w:hAnsi="宋体" w:cs="宋体" w:eastAsia="宋体" w:hint="default"/>
        </w:rPr>
        <w:t> </w:t>
      </w:r>
    </w:p>
    <w:p>
      <w:pPr>
        <w:pStyle w:val="Heading5"/>
        <w:spacing w:line="408" w:lineRule="auto"/>
        <w:ind w:right="1128"/>
        <w:jc w:val="both"/>
        <w:rPr>
          <w:rFonts w:ascii="宋体" w:hAnsi="宋体" w:cs="宋体" w:eastAsia="宋体" w:hint="default"/>
        </w:rPr>
      </w:pPr>
      <w:r>
        <w:rPr>
          <w:spacing w:val="-4"/>
        </w:rPr>
        <w:t>报告期内，公司通过车联网大数据仿真建模等技术方式，面向商用车市场，不断优化和提升基于</w:t>
      </w:r>
      <w:r>
        <w:rPr>
          <w:spacing w:val="1"/>
        </w:rPr>
        <w:t> </w:t>
      </w:r>
      <w:r>
        <w:rPr>
          <w:rFonts w:ascii="宋体" w:hAnsi="宋体" w:cs="宋体" w:eastAsia="宋体" w:hint="default"/>
        </w:rPr>
        <w:t>ADAS</w:t>
      </w:r>
      <w:r>
        <w:rPr>
          <w:rFonts w:ascii="宋体" w:hAnsi="宋体" w:cs="宋体" w:eastAsia="宋体" w:hint="default"/>
          <w:w w:val="100"/>
        </w:rPr>
        <w:t> </w:t>
      </w:r>
      <w:r>
        <w:rPr/>
        <w:t>地图数据的</w:t>
      </w:r>
      <w:r>
        <w:rPr>
          <w:spacing w:val="-56"/>
        </w:rPr>
        <w:t> </w:t>
      </w:r>
      <w:r>
        <w:rPr>
          <w:rFonts w:ascii="宋体" w:hAnsi="宋体" w:cs="宋体" w:eastAsia="宋体" w:hint="default"/>
        </w:rPr>
        <w:t>L2</w:t>
      </w:r>
      <w:r>
        <w:rPr>
          <w:rFonts w:ascii="宋体" w:hAnsi="宋体" w:cs="宋体" w:eastAsia="宋体" w:hint="default"/>
          <w:spacing w:val="-59"/>
        </w:rPr>
        <w:t> </w:t>
      </w:r>
      <w:r>
        <w:rPr/>
        <w:t>级自动驾驶解决方案核心算法，并通过车厂合作项目加速推进产品验证和商业化落地。</w:t>
      </w:r>
      <w:r>
        <w:rPr>
          <w:rFonts w:ascii="宋体" w:hAnsi="宋体" w:cs="宋体" w:eastAsia="宋体" w:hint="default"/>
        </w:rPr>
        <w:t> </w:t>
      </w:r>
    </w:p>
    <w:p>
      <w:pPr>
        <w:pStyle w:val="Heading5"/>
        <w:spacing w:line="408" w:lineRule="auto"/>
        <w:ind w:right="1126"/>
        <w:jc w:val="both"/>
        <w:rPr>
          <w:rFonts w:ascii="宋体" w:hAnsi="宋体" w:cs="宋体" w:eastAsia="宋体" w:hint="default"/>
        </w:rPr>
      </w:pPr>
      <w:r>
        <w:rPr>
          <w:spacing w:val="-2"/>
        </w:rPr>
        <w:t>报告期内，公司基于快速增长的前装车联网用户规模和商用车全生命周期数据量，持续加大大数据处</w:t>
      </w:r>
      <w:r>
        <w:rPr>
          <w:w w:val="100"/>
        </w:rPr>
        <w:t> </w:t>
      </w:r>
      <w:r>
        <w:rPr>
          <w:spacing w:val="-2"/>
        </w:rPr>
        <w:t>理和人工智能领域的技术研发力度。通过引进优秀的互联网和科技企业专业人才，不断提升数据挖掘和应</w:t>
      </w:r>
      <w:r>
        <w:rPr>
          <w:spacing w:val="-42"/>
        </w:rPr>
        <w:t> </w:t>
      </w:r>
      <w:r>
        <w:rPr>
          <w:spacing w:val="-42"/>
        </w:rPr>
      </w:r>
      <w:r>
        <w:rPr>
          <w:spacing w:val="-2"/>
        </w:rPr>
        <w:t>用服务能力。面向汽车后服务市场和物流产业应用场景，积极探索大数据在车辆产销、车辆维保、无车承</w:t>
      </w:r>
      <w:r>
        <w:rPr>
          <w:spacing w:val="-47"/>
        </w:rPr>
        <w:t> </w:t>
      </w:r>
      <w:r>
        <w:rPr>
          <w:spacing w:val="-47"/>
        </w:rPr>
      </w:r>
      <w:r>
        <w:rPr/>
        <w:t>运、车队管理等方面的应用价值，助力产业升级。</w:t>
      </w:r>
      <w:r>
        <w:rPr>
          <w:rFonts w:ascii="宋体" w:hAnsi="宋体" w:cs="宋体" w:eastAsia="宋体" w:hint="default"/>
        </w:rPr>
        <w:t> </w:t>
      </w:r>
    </w:p>
    <w:p>
      <w:pPr>
        <w:pStyle w:val="Heading5"/>
        <w:spacing w:line="408" w:lineRule="auto"/>
        <w:ind w:right="1128" w:firstLine="422"/>
        <w:jc w:val="both"/>
        <w:rPr>
          <w:rFonts w:ascii="宋体" w:hAnsi="宋体" w:cs="宋体" w:eastAsia="宋体" w:hint="default"/>
        </w:rPr>
      </w:pPr>
      <w:r>
        <w:rPr>
          <w:rFonts w:ascii="宋体" w:hAnsi="宋体" w:cs="宋体" w:eastAsia="宋体" w:hint="default"/>
          <w:b/>
          <w:bCs/>
          <w:spacing w:val="-3"/>
        </w:rPr>
        <w:t>在动态交通信息服务方面</w:t>
      </w:r>
      <w:r>
        <w:rPr>
          <w:spacing w:val="-3"/>
        </w:rPr>
        <w:t>，公司凭借多年来行业领先的产业优势，持续创新，拓展产品维度，提升用</w:t>
      </w:r>
      <w:r>
        <w:rPr>
          <w:w w:val="100"/>
        </w:rPr>
        <w:t> </w:t>
      </w:r>
      <w:r>
        <w:rPr>
          <w:spacing w:val="-4"/>
        </w:rPr>
        <w:t>户体验，在技术能力和服务水平方面实现突破。报告期内，在交通路况服务领域，公司具备支持基于</w:t>
      </w:r>
      <w:r>
        <w:rPr>
          <w:spacing w:val="38"/>
        </w:rPr>
        <w:t> </w:t>
      </w:r>
      <w:r>
        <w:rPr>
          <w:rFonts w:ascii="宋体" w:hAnsi="宋体" w:cs="宋体" w:eastAsia="宋体" w:hint="default"/>
        </w:rPr>
        <w:t>TPEG</w:t>
      </w:r>
    </w:p>
    <w:p>
      <w:pPr>
        <w:pStyle w:val="Heading5"/>
        <w:spacing w:line="408" w:lineRule="auto"/>
        <w:ind w:right="1126" w:firstLine="0"/>
        <w:jc w:val="both"/>
        <w:rPr>
          <w:rFonts w:ascii="宋体" w:hAnsi="宋体" w:cs="宋体" w:eastAsia="宋体" w:hint="default"/>
        </w:rPr>
      </w:pPr>
      <w:r>
        <w:rPr/>
        <w:t>（</w:t>
      </w:r>
      <w:r>
        <w:rPr>
          <w:rFonts w:ascii="宋体" w:hAnsi="宋体" w:cs="宋体" w:eastAsia="宋体" w:hint="default"/>
        </w:rPr>
        <w:t>Transport Protocol Experts</w:t>
      </w:r>
      <w:r>
        <w:rPr>
          <w:rFonts w:ascii="宋体" w:hAnsi="宋体" w:cs="宋体" w:eastAsia="宋体" w:hint="default"/>
          <w:spacing w:val="-34"/>
        </w:rPr>
        <w:t> </w:t>
      </w:r>
      <w:r>
        <w:rPr>
          <w:rFonts w:ascii="宋体" w:hAnsi="宋体" w:cs="宋体" w:eastAsia="宋体" w:hint="default"/>
        </w:rPr>
        <w:t>Group</w:t>
      </w:r>
      <w:r>
        <w:rPr/>
        <w:t>，交通信息传输协议）标准发布分车道路况，支持多种行业标准发</w:t>
      </w:r>
      <w:r>
        <w:rPr>
          <w:w w:val="100"/>
        </w:rPr>
        <w:t> </w:t>
      </w:r>
      <w:r>
        <w:rPr/>
        <w:t>布米级路况，以及支持</w:t>
      </w:r>
      <w:r>
        <w:rPr>
          <w:spacing w:val="-54"/>
        </w:rPr>
        <w:t> </w:t>
      </w:r>
      <w:r>
        <w:rPr>
          <w:rFonts w:ascii="宋体" w:hAnsi="宋体" w:cs="宋体" w:eastAsia="宋体" w:hint="default"/>
        </w:rPr>
        <w:t>RTIC</w:t>
      </w:r>
      <w:r>
        <w:rPr/>
        <w:t>（</w:t>
      </w:r>
      <w:r>
        <w:rPr>
          <w:rFonts w:ascii="宋体" w:hAnsi="宋体" w:cs="宋体" w:eastAsia="宋体" w:hint="default"/>
        </w:rPr>
        <w:t>Real-Time</w:t>
      </w:r>
      <w:r>
        <w:rPr>
          <w:rFonts w:ascii="宋体" w:hAnsi="宋体" w:cs="宋体" w:eastAsia="宋体" w:hint="default"/>
          <w:spacing w:val="-22"/>
        </w:rPr>
        <w:t> </w:t>
      </w:r>
      <w:r>
        <w:rPr>
          <w:rFonts w:ascii="宋体" w:hAnsi="宋体" w:cs="宋体" w:eastAsia="宋体" w:hint="default"/>
        </w:rPr>
        <w:t>Traffic</w:t>
      </w:r>
      <w:r>
        <w:rPr>
          <w:rFonts w:ascii="宋体" w:hAnsi="宋体" w:cs="宋体" w:eastAsia="宋体" w:hint="default"/>
          <w:spacing w:val="-22"/>
        </w:rPr>
        <w:t> </w:t>
      </w:r>
      <w:r>
        <w:rPr>
          <w:rFonts w:ascii="宋体" w:hAnsi="宋体" w:cs="宋体" w:eastAsia="宋体" w:hint="default"/>
        </w:rPr>
        <w:t>Information</w:t>
      </w:r>
      <w:r>
        <w:rPr>
          <w:rFonts w:ascii="宋体" w:hAnsi="宋体" w:cs="宋体" w:eastAsia="宋体" w:hint="default"/>
          <w:spacing w:val="-23"/>
        </w:rPr>
        <w:t> </w:t>
      </w:r>
      <w:r>
        <w:rPr>
          <w:rFonts w:ascii="宋体" w:hAnsi="宋体" w:cs="宋体" w:eastAsia="宋体" w:hint="default"/>
        </w:rPr>
        <w:t>of</w:t>
      </w:r>
      <w:r>
        <w:rPr>
          <w:rFonts w:ascii="宋体" w:hAnsi="宋体" w:cs="宋体" w:eastAsia="宋体" w:hint="default"/>
          <w:spacing w:val="-22"/>
        </w:rPr>
        <w:t> </w:t>
      </w:r>
      <w:r>
        <w:rPr>
          <w:rFonts w:ascii="宋体" w:hAnsi="宋体" w:cs="宋体" w:eastAsia="宋体" w:hint="default"/>
        </w:rPr>
        <w:t>China</w:t>
      </w:r>
      <w:r>
        <w:rPr/>
        <w:t>，中国实时交通信息）级别短周</w:t>
      </w:r>
      <w:r>
        <w:rPr>
          <w:w w:val="100"/>
        </w:rPr>
        <w:t> </w:t>
      </w:r>
      <w:r>
        <w:rPr>
          <w:spacing w:val="-2"/>
        </w:rPr>
        <w:t>期预测路况的技术能力和服务能力。在交通事件服务领域，公司进一步增加事件录入类型，事件信息发布</w:t>
      </w:r>
      <w:r>
        <w:rPr>
          <w:spacing w:val="-44"/>
        </w:rPr>
        <w:t> </w:t>
      </w:r>
      <w:r>
        <w:rPr>
          <w:spacing w:val="-44"/>
        </w:rPr>
      </w:r>
      <w:r>
        <w:rPr>
          <w:spacing w:val="-2"/>
        </w:rPr>
        <w:t>数量大幅提升。在新型服务领域，公司加大研发投入打造的限行服务已正式商用，动态停车场服务、动态</w:t>
      </w:r>
      <w:r>
        <w:rPr>
          <w:spacing w:val="-46"/>
        </w:rPr>
        <w:t> </w:t>
      </w:r>
      <w:r>
        <w:rPr>
          <w:spacing w:val="-46"/>
        </w:rPr>
      </w:r>
      <w:r>
        <w:rPr>
          <w:spacing w:val="-2"/>
        </w:rPr>
        <w:t>充电桩服务已具备商用条件。此外，公司积极推进与丰田、福特、宝马等国际知名车厂开展的多项技术研</w:t>
      </w:r>
      <w:r>
        <w:rPr>
          <w:spacing w:val="-44"/>
        </w:rPr>
        <w:t> </w:t>
      </w:r>
      <w:r>
        <w:rPr>
          <w:spacing w:val="-44"/>
        </w:rPr>
      </w:r>
      <w:r>
        <w:rPr/>
        <w:t>究合作，技术水平和项目落地能力持续提升。</w:t>
      </w:r>
      <w:r>
        <w:rPr>
          <w:rFonts w:ascii="宋体" w:hAnsi="宋体" w:cs="宋体" w:eastAsia="宋体" w:hint="default"/>
        </w:rPr>
        <w:t> </w:t>
      </w:r>
    </w:p>
    <w:p>
      <w:pPr>
        <w:pStyle w:val="Heading5"/>
        <w:spacing w:line="408" w:lineRule="auto"/>
        <w:ind w:right="1126"/>
        <w:jc w:val="both"/>
        <w:rPr>
          <w:rFonts w:ascii="宋体" w:hAnsi="宋体" w:cs="宋体" w:eastAsia="宋体" w:hint="default"/>
        </w:rPr>
      </w:pPr>
      <w:r>
        <w:rPr>
          <w:spacing w:val="-2"/>
        </w:rPr>
        <w:t>公司积极加大市场拓展力度，市场范围和业务领域进一步扩展，动态交通信息服务数据搭载量持续提</w:t>
      </w:r>
      <w:r>
        <w:rPr>
          <w:w w:val="100"/>
        </w:rPr>
        <w:t> </w:t>
      </w:r>
      <w:r>
        <w:rPr>
          <w:spacing w:val="-2"/>
        </w:rPr>
        <w:t>升。报告期内，公司与戴姆勒（德国）签署实时交通信息内容服务协议，合作内容包括交通信息，简图服</w:t>
      </w:r>
      <w:r>
        <w:rPr>
          <w:spacing w:val="-42"/>
        </w:rPr>
        <w:t> </w:t>
      </w:r>
      <w:r>
        <w:rPr>
          <w:spacing w:val="-42"/>
        </w:rPr>
      </w:r>
      <w:r>
        <w:rPr>
          <w:spacing w:val="-2"/>
        </w:rPr>
        <w:t>务，以及基于车牌的限行服务，为奔驰车主提供在中国大陆的动态交通信息服务。该项目将涵盖中国市场</w:t>
      </w:r>
      <w:r>
        <w:rPr>
          <w:spacing w:val="-43"/>
        </w:rPr>
        <w:t> </w:t>
      </w:r>
      <w:r>
        <w:rPr>
          <w:spacing w:val="-43"/>
        </w:rPr>
      </w:r>
      <w:r>
        <w:rPr/>
        <w:t>的奔驰乘用车进口车型，以及由北京奔驰生产的乘用车车型。</w:t>
      </w:r>
      <w:r>
        <w:rPr>
          <w:rFonts w:ascii="宋体" w:hAnsi="宋体" w:cs="宋体" w:eastAsia="宋体" w:hint="default"/>
        </w:rPr>
        <w:t> </w:t>
      </w:r>
    </w:p>
    <w:p>
      <w:pPr>
        <w:pStyle w:val="Heading5"/>
        <w:spacing w:line="408" w:lineRule="auto"/>
        <w:ind w:right="1126" w:firstLine="422"/>
        <w:jc w:val="both"/>
        <w:rPr>
          <w:rFonts w:ascii="宋体" w:hAnsi="宋体" w:cs="宋体" w:eastAsia="宋体" w:hint="default"/>
        </w:rPr>
      </w:pPr>
      <w:r>
        <w:rPr>
          <w:rFonts w:ascii="宋体" w:hAnsi="宋体" w:cs="宋体" w:eastAsia="宋体" w:hint="default"/>
          <w:b/>
          <w:bCs/>
          <w:spacing w:val="-2"/>
        </w:rPr>
        <w:t>在芯片业务方面，</w:t>
      </w:r>
      <w:r>
        <w:rPr>
          <w:spacing w:val="-2"/>
        </w:rPr>
        <w:t>公司在持续加大市场拓展力度，推进芯片产品量产的同时，充分发挥内部资源垂直</w:t>
      </w:r>
      <w:r>
        <w:rPr>
          <w:w w:val="100"/>
        </w:rPr>
        <w:t> </w:t>
      </w:r>
      <w:r>
        <w:rPr>
          <w:spacing w:val="-2"/>
        </w:rPr>
        <w:t>整合的协同价值，加大新产品研发和投入力度，积极推进面向未来的新一代产品布局和人才培养，并面向</w:t>
      </w:r>
      <w:r>
        <w:rPr>
          <w:spacing w:val="-45"/>
        </w:rPr>
        <w:t> </w:t>
      </w:r>
      <w:r>
        <w:rPr>
          <w:spacing w:val="-45"/>
        </w:rPr>
      </w:r>
      <w:r>
        <w:rPr>
          <w:spacing w:val="-2"/>
        </w:rPr>
        <w:t>产业链上下游建立可持续发展的产业联系，积极打造自主芯片企业的核心竞争优势，致力于进一步提升公</w:t>
      </w:r>
      <w:r>
        <w:rPr>
          <w:spacing w:val="-43"/>
        </w:rPr>
        <w:t> </w:t>
      </w:r>
      <w:r>
        <w:rPr>
          <w:spacing w:val="-43"/>
        </w:rPr>
      </w:r>
      <w:r>
        <w:rPr/>
        <w:t>司在汽车领域的综合服务能力。</w:t>
      </w:r>
      <w:r>
        <w:rPr>
          <w:rFonts w:ascii="宋体" w:hAnsi="宋体" w:cs="宋体" w:eastAsia="宋体" w:hint="default"/>
        </w:rPr>
        <w:t> </w:t>
      </w:r>
    </w:p>
    <w:p>
      <w:pPr>
        <w:pStyle w:val="Heading5"/>
        <w:spacing w:line="408" w:lineRule="auto"/>
        <w:ind w:right="1126"/>
        <w:jc w:val="both"/>
      </w:pPr>
      <w:r>
        <w:rPr>
          <w:spacing w:val="-2"/>
        </w:rPr>
        <w:t>面对国内整车市场整体销量下滑趋势给中国市场带来的不利影响，公司芯片产品出货价格承受较大压</w:t>
      </w:r>
      <w:r>
        <w:rPr>
          <w:w w:val="100"/>
        </w:rPr>
        <w:t> </w:t>
      </w:r>
      <w:r>
        <w:rPr>
          <w:spacing w:val="-2"/>
        </w:rPr>
        <w:t>力。报告期内，公司不断加大车载信息娱乐系统芯片市场拓展力度，稳定后装市场领先优势，在前装市场</w:t>
      </w:r>
    </w:p>
    <w:p>
      <w:pPr>
        <w:spacing w:after="0" w:line="408" w:lineRule="auto"/>
        <w:jc w:val="both"/>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pStyle w:val="Heading5"/>
        <w:spacing w:line="408" w:lineRule="auto" w:before="176"/>
        <w:ind w:right="982" w:firstLine="0"/>
        <w:jc w:val="left"/>
        <w:rPr>
          <w:rFonts w:ascii="宋体" w:hAnsi="宋体" w:cs="宋体" w:eastAsia="宋体" w:hint="default"/>
        </w:rPr>
      </w:pPr>
      <w:r>
        <w:rPr>
          <w:spacing w:val="-8"/>
        </w:rPr>
        <w:t>进行突破，持续提升</w:t>
      </w:r>
      <w:r>
        <w:rPr>
          <w:spacing w:val="-38"/>
        </w:rPr>
        <w:t> </w:t>
      </w:r>
      <w:r>
        <w:rPr>
          <w:rFonts w:ascii="宋体" w:hAnsi="宋体" w:cs="宋体" w:eastAsia="宋体" w:hint="default"/>
        </w:rPr>
        <w:t>IVI</w:t>
      </w:r>
      <w:r>
        <w:rPr>
          <w:rFonts w:ascii="宋体" w:hAnsi="宋体" w:cs="宋体" w:eastAsia="宋体" w:hint="default"/>
          <w:spacing w:val="-38"/>
        </w:rPr>
        <w:t> </w:t>
      </w:r>
      <w:r>
        <w:rPr>
          <w:spacing w:val="-5"/>
        </w:rPr>
        <w:t>芯片出货量和产品附加值，并面向智能座舱等新兴应用领域，加速推进下一代</w:t>
      </w:r>
      <w:r>
        <w:rPr>
          <w:spacing w:val="-34"/>
        </w:rPr>
        <w:t> </w:t>
      </w:r>
      <w:r>
        <w:rPr>
          <w:rFonts w:ascii="宋体" w:hAnsi="宋体" w:cs="宋体" w:eastAsia="宋体" w:hint="default"/>
        </w:rPr>
        <w:t>IVI</w:t>
      </w:r>
      <w:r>
        <w:rPr>
          <w:rFonts w:ascii="宋体" w:hAnsi="宋体" w:cs="宋体" w:eastAsia="宋体" w:hint="default"/>
          <w:spacing w:val="-98"/>
        </w:rPr>
        <w:t> </w:t>
      </w:r>
      <w:r>
        <w:rPr>
          <w:rFonts w:ascii="宋体" w:hAnsi="宋体" w:cs="宋体" w:eastAsia="宋体" w:hint="default"/>
          <w:spacing w:val="-98"/>
        </w:rPr>
      </w:r>
      <w:r>
        <w:rPr/>
        <w:t>产品研发和技术升级。</w:t>
      </w:r>
      <w:r>
        <w:rPr>
          <w:rFonts w:ascii="宋体" w:hAnsi="宋体" w:cs="宋体" w:eastAsia="宋体" w:hint="default"/>
        </w:rPr>
        <w:t> </w:t>
      </w:r>
    </w:p>
    <w:p>
      <w:pPr>
        <w:pStyle w:val="Heading5"/>
        <w:spacing w:line="408" w:lineRule="auto"/>
        <w:ind w:right="982"/>
        <w:jc w:val="left"/>
        <w:rPr>
          <w:rFonts w:ascii="宋体" w:hAnsi="宋体" w:cs="宋体" w:eastAsia="宋体" w:hint="default"/>
        </w:rPr>
      </w:pPr>
      <w:r>
        <w:rPr>
          <w:spacing w:val="-2"/>
        </w:rPr>
        <w:t>面对国家对于自主芯片企业快速发展给予的产业扶持优势，以及主动安全、智能网联、自动驾驶、新</w:t>
      </w:r>
      <w:r>
        <w:rPr>
          <w:w w:val="100"/>
        </w:rPr>
        <w:t> </w:t>
      </w:r>
      <w:r>
        <w:rPr>
          <w:spacing w:val="-2"/>
        </w:rPr>
        <w:t>能源等行业快速发展给车规级芯片应用领域带来的极具前景的发展契机，公司加速提升自主研发能力，扩</w:t>
      </w:r>
      <w:r>
        <w:rPr>
          <w:spacing w:val="-43"/>
        </w:rPr>
        <w:t> </w:t>
      </w:r>
      <w:r>
        <w:rPr>
          <w:spacing w:val="-43"/>
        </w:rPr>
      </w:r>
      <w:r>
        <w:rPr>
          <w:spacing w:val="-2"/>
        </w:rPr>
        <w:t>展产品应用领域，面向新兴应用场景进行产品和技术创新，丰富产品维度，加速推进商用化验证和量产落</w:t>
      </w:r>
      <w:r>
        <w:rPr>
          <w:spacing w:val="-42"/>
        </w:rPr>
        <w:t> </w:t>
      </w:r>
      <w:r>
        <w:rPr>
          <w:spacing w:val="-42"/>
        </w:rPr>
      </w:r>
      <w:r>
        <w:rPr>
          <w:spacing w:val="-15"/>
        </w:rPr>
        <w:t>地。报告期内，公司第一代</w:t>
      </w:r>
      <w:r>
        <w:rPr>
          <w:spacing w:val="-49"/>
        </w:rPr>
        <w:t> </w:t>
      </w:r>
      <w:r>
        <w:rPr>
          <w:rFonts w:ascii="宋体" w:hAnsi="宋体" w:cs="宋体" w:eastAsia="宋体" w:hint="default"/>
        </w:rPr>
        <w:t>AMP</w:t>
      </w:r>
      <w:r>
        <w:rPr>
          <w:rFonts w:ascii="宋体" w:hAnsi="宋体" w:cs="宋体" w:eastAsia="宋体" w:hint="default"/>
          <w:spacing w:val="-47"/>
        </w:rPr>
        <w:t> </w:t>
      </w:r>
      <w:r>
        <w:rPr>
          <w:spacing w:val="-6"/>
        </w:rPr>
        <w:t>车载功率电子芯片出货量稳定提升。新推出的</w:t>
      </w:r>
      <w:r>
        <w:rPr>
          <w:spacing w:val="-47"/>
        </w:rPr>
        <w:t> </w:t>
      </w:r>
      <w:r>
        <w:rPr>
          <w:rFonts w:ascii="宋体" w:hAnsi="宋体" w:cs="宋体" w:eastAsia="宋体" w:hint="default"/>
        </w:rPr>
        <w:t>MCU</w:t>
      </w:r>
      <w:r>
        <w:rPr>
          <w:rFonts w:ascii="宋体" w:hAnsi="宋体" w:cs="宋体" w:eastAsia="宋体" w:hint="default"/>
          <w:spacing w:val="-47"/>
        </w:rPr>
        <w:t> </w:t>
      </w:r>
      <w:r>
        <w:rPr/>
        <w:t>芯片通过</w:t>
      </w:r>
      <w:r>
        <w:rPr>
          <w:spacing w:val="-46"/>
        </w:rPr>
        <w:t> </w:t>
      </w:r>
      <w:r>
        <w:rPr>
          <w:rFonts w:ascii="宋体" w:hAnsi="宋体" w:cs="宋体" w:eastAsia="宋体" w:hint="default"/>
        </w:rPr>
        <w:t>AEC-Q100</w:t>
      </w:r>
      <w:r>
        <w:rPr>
          <w:rFonts w:ascii="宋体" w:hAnsi="宋体" w:cs="宋体" w:eastAsia="宋体" w:hint="default"/>
          <w:spacing w:val="-46"/>
        </w:rPr>
        <w:t> </w:t>
      </w:r>
      <w:r>
        <w:rPr>
          <w:rFonts w:ascii="宋体" w:hAnsi="宋体" w:cs="宋体" w:eastAsia="宋体" w:hint="default"/>
        </w:rPr>
        <w:t>Grade</w:t>
      </w:r>
      <w:r>
        <w:rPr>
          <w:rFonts w:ascii="宋体" w:hAnsi="宋体" w:cs="宋体" w:eastAsia="宋体" w:hint="default"/>
          <w:spacing w:val="-89"/>
        </w:rPr>
        <w:t> </w:t>
      </w:r>
      <w:r>
        <w:rPr>
          <w:rFonts w:ascii="宋体" w:hAnsi="宋体" w:cs="宋体" w:eastAsia="宋体" w:hint="default"/>
        </w:rPr>
        <w:t>1,</w:t>
      </w:r>
      <w:r>
        <w:rPr>
          <w:rFonts w:ascii="宋体" w:hAnsi="宋体" w:cs="宋体" w:eastAsia="宋体" w:hint="default"/>
          <w:spacing w:val="-10"/>
        </w:rPr>
        <w:t> </w:t>
      </w:r>
      <w:r>
        <w:rPr/>
        <w:t>工作温度</w:t>
      </w:r>
      <w:r>
        <w:rPr>
          <w:rFonts w:ascii="宋体" w:hAnsi="宋体" w:cs="宋体" w:eastAsia="宋体" w:hint="default"/>
        </w:rPr>
        <w:t>-</w:t>
      </w:r>
      <w:r>
        <w:rPr/>
        <w:t>40℃~125℃的验证测试，成为国内首颗自主研发的可在客户端量产的车规级</w:t>
      </w:r>
      <w:r>
        <w:rPr>
          <w:spacing w:val="-57"/>
        </w:rPr>
        <w:t> </w:t>
      </w:r>
      <w:r>
        <w:rPr>
          <w:rFonts w:ascii="宋体" w:hAnsi="宋体" w:cs="宋体" w:eastAsia="宋体" w:hint="default"/>
        </w:rPr>
        <w:t>MCU</w:t>
      </w:r>
      <w:r>
        <w:rPr>
          <w:rFonts w:ascii="宋体" w:hAnsi="宋体" w:cs="宋体" w:eastAsia="宋体" w:hint="default"/>
          <w:spacing w:val="-58"/>
        </w:rPr>
        <w:t> </w:t>
      </w:r>
      <w:r>
        <w:rPr/>
        <w:t>车身控制芯</w:t>
      </w:r>
      <w:r>
        <w:rPr>
          <w:w w:val="100"/>
        </w:rPr>
        <w:t> </w:t>
      </w:r>
      <w:r>
        <w:rPr>
          <w:spacing w:val="-3"/>
        </w:rPr>
        <w:t>片，打破国际巨头技术垄断，并获得量产订单。第</w:t>
      </w:r>
      <w:r>
        <w:rPr>
          <w:color w:val="333333"/>
          <w:spacing w:val="-3"/>
          <w:sz w:val="18"/>
          <w:szCs w:val="18"/>
        </w:rPr>
        <w:t>一代</w:t>
      </w:r>
      <w:r>
        <w:rPr>
          <w:color w:val="333333"/>
          <w:spacing w:val="-9"/>
          <w:sz w:val="18"/>
          <w:szCs w:val="18"/>
        </w:rPr>
        <w:t> </w:t>
      </w:r>
      <w:r>
        <w:rPr>
          <w:rFonts w:ascii="宋体" w:hAnsi="宋体" w:cs="宋体" w:eastAsia="宋体" w:hint="default"/>
        </w:rPr>
        <w:t>TPMS</w:t>
      </w:r>
      <w:r>
        <w:rPr>
          <w:rFonts w:ascii="宋体" w:hAnsi="宋体" w:cs="宋体" w:eastAsia="宋体" w:hint="default"/>
          <w:spacing w:val="-36"/>
        </w:rPr>
        <w:t> </w:t>
      </w:r>
      <w:r>
        <w:rPr>
          <w:spacing w:val="-3"/>
        </w:rPr>
        <w:t>胎压监测系统芯片完成样片开发。新一代</w:t>
      </w:r>
      <w:r>
        <w:rPr>
          <w:spacing w:val="-40"/>
        </w:rPr>
        <w:t> </w:t>
      </w:r>
      <w:r>
        <w:rPr>
          <w:rFonts w:ascii="宋体" w:hAnsi="宋体" w:cs="宋体" w:eastAsia="宋体" w:hint="default"/>
        </w:rPr>
        <w:t>AMP</w:t>
      </w:r>
      <w:r>
        <w:rPr>
          <w:rFonts w:ascii="宋体" w:hAnsi="宋体" w:cs="宋体" w:eastAsia="宋体" w:hint="default"/>
          <w:spacing w:val="-66"/>
        </w:rPr>
        <w:t> </w:t>
      </w:r>
      <w:r>
        <w:rPr/>
        <w:t>车载功率电子芯片等汽车电子芯片产品研发工作有序推进。</w:t>
      </w:r>
      <w:r>
        <w:rPr>
          <w:rFonts w:ascii="宋体" w:hAnsi="宋体" w:cs="宋体" w:eastAsia="宋体" w:hint="default"/>
        </w:rPr>
        <w:t> </w:t>
      </w:r>
    </w:p>
    <w:p>
      <w:pPr>
        <w:pStyle w:val="Heading5"/>
        <w:spacing w:line="408" w:lineRule="auto"/>
        <w:ind w:right="1126" w:firstLine="422"/>
        <w:jc w:val="both"/>
        <w:rPr>
          <w:rFonts w:ascii="宋体" w:hAnsi="宋体" w:cs="宋体" w:eastAsia="宋体" w:hint="default"/>
        </w:rPr>
      </w:pPr>
      <w:r>
        <w:rPr>
          <w:rFonts w:ascii="宋体" w:hAnsi="宋体" w:cs="宋体" w:eastAsia="宋体" w:hint="default"/>
          <w:b/>
          <w:bCs/>
        </w:rPr>
        <w:t>在高级辅助驾驶和自动驾驶业务方面，</w:t>
      </w:r>
      <w:r>
        <w:rPr/>
        <w:t>公司以</w:t>
      </w:r>
      <w:r>
        <w:rPr>
          <w:spacing w:val="-42"/>
        </w:rPr>
        <w:t> </w:t>
      </w:r>
      <w:r>
        <w:rPr>
          <w:rFonts w:ascii="宋体" w:hAnsi="宋体" w:cs="宋体" w:eastAsia="宋体" w:hint="default"/>
        </w:rPr>
        <w:t>AI+</w:t>
      </w:r>
      <w:r>
        <w:rPr/>
        <w:t>大数据处理为核心，不断加强计算机视觉、点云识</w:t>
      </w:r>
      <w:r>
        <w:rPr>
          <w:w w:val="100"/>
        </w:rPr>
        <w:t> </w:t>
      </w:r>
      <w:r>
        <w:rPr>
          <w:spacing w:val="-7"/>
        </w:rPr>
        <w:t>别、传感器融合、高精度定位、深度学习、多源大数据融合、大数据挖掘、自动驾驶智能决策、云端计算、</w:t>
      </w:r>
      <w:r>
        <w:rPr>
          <w:spacing w:val="-21"/>
        </w:rPr>
        <w:t> </w:t>
      </w:r>
      <w:r>
        <w:rPr>
          <w:spacing w:val="-21"/>
        </w:rPr>
      </w:r>
      <w:r>
        <w:rPr>
          <w:spacing w:val="-2"/>
        </w:rPr>
        <w:t>边缘计算等核心技术的研发投入。公司持续加大产业布局力度，通过资本合作、战略协同等多种方式，加</w:t>
      </w:r>
      <w:r>
        <w:rPr>
          <w:spacing w:val="-47"/>
        </w:rPr>
        <w:t> </w:t>
      </w:r>
      <w:r>
        <w:rPr>
          <w:spacing w:val="-47"/>
        </w:rPr>
      </w:r>
      <w:r>
        <w:rPr>
          <w:spacing w:val="-2"/>
        </w:rPr>
        <w:t>强内外部连接和协作，借助产业资源和企业优势，加速推进技术验证，探索生态闭环，积极打造具有“地</w:t>
      </w:r>
      <w:r>
        <w:rPr>
          <w:spacing w:val="-42"/>
        </w:rPr>
        <w:t> </w:t>
      </w:r>
      <w:r>
        <w:rPr>
          <w:spacing w:val="-42"/>
        </w:rPr>
      </w:r>
      <w:r>
        <w:rPr/>
        <w:t>图</w:t>
      </w:r>
      <w:r>
        <w:rPr>
          <w:rFonts w:ascii="宋体" w:hAnsi="宋体" w:cs="宋体" w:eastAsia="宋体" w:hint="default"/>
        </w:rPr>
        <w:t>+</w:t>
      </w:r>
      <w:r>
        <w:rPr/>
        <w:t>云计算</w:t>
      </w:r>
      <w:r>
        <w:rPr>
          <w:rFonts w:ascii="宋体" w:hAnsi="宋体" w:cs="宋体" w:eastAsia="宋体" w:hint="default"/>
        </w:rPr>
        <w:t>+</w:t>
      </w:r>
      <w:r>
        <w:rPr/>
        <w:t>深度学习</w:t>
      </w:r>
      <w:r>
        <w:rPr>
          <w:rFonts w:ascii="宋体" w:hAnsi="宋体" w:cs="宋体" w:eastAsia="宋体" w:hint="default"/>
        </w:rPr>
        <w:t>+</w:t>
      </w:r>
      <w:r>
        <w:rPr/>
        <w:t>智能芯片</w:t>
      </w:r>
      <w:r>
        <w:rPr>
          <w:rFonts w:ascii="宋体" w:hAnsi="宋体" w:cs="宋体" w:eastAsia="宋体" w:hint="default"/>
        </w:rPr>
        <w:t>+</w:t>
      </w:r>
      <w:r>
        <w:rPr/>
        <w:t>算法</w:t>
      </w:r>
      <w:r>
        <w:rPr>
          <w:rFonts w:ascii="宋体" w:hAnsi="宋体" w:cs="宋体" w:eastAsia="宋体" w:hint="default"/>
        </w:rPr>
        <w:t>+</w:t>
      </w:r>
      <w:r>
        <w:rPr/>
        <w:t>仿真”综合服务能力的自动驾驶行业头部企业竞争优势。</w:t>
      </w:r>
      <w:r>
        <w:rPr>
          <w:rFonts w:ascii="宋体" w:hAnsi="宋体" w:cs="宋体" w:eastAsia="宋体" w:hint="default"/>
        </w:rPr>
        <w:t> </w:t>
      </w:r>
    </w:p>
    <w:p>
      <w:pPr>
        <w:pStyle w:val="Heading5"/>
        <w:spacing w:line="408" w:lineRule="auto"/>
        <w:ind w:right="982"/>
        <w:jc w:val="left"/>
        <w:rPr>
          <w:rFonts w:ascii="宋体" w:hAnsi="宋体" w:cs="宋体" w:eastAsia="宋体" w:hint="default"/>
        </w:rPr>
      </w:pPr>
      <w:r>
        <w:rPr/>
        <w:t>公司专注于高精度地图数据采编关键环节的资源整合、集成和体系化品质提升，丰富数据采集维度和</w:t>
      </w:r>
      <w:r>
        <w:rPr>
          <w:w w:val="100"/>
        </w:rPr>
        <w:t> </w:t>
      </w:r>
      <w:r>
        <w:rPr>
          <w:spacing w:val="-2"/>
        </w:rPr>
        <w:t>获取渠道，加强数据流改造和生产工艺升级，面向不同应用需求，创新数据更新策略，推动数据精度验证</w:t>
      </w:r>
      <w:r>
        <w:rPr>
          <w:spacing w:val="-50"/>
        </w:rPr>
        <w:t> </w:t>
      </w:r>
      <w:r>
        <w:rPr>
          <w:spacing w:val="-50"/>
        </w:rPr>
      </w:r>
      <w:r>
        <w:rPr/>
        <w:t>和数据动态联调能力提升，致力于成为可提供支持不同精度需求、不同成本需求的高精度地图数据服务供</w:t>
      </w:r>
      <w:r>
        <w:rPr>
          <w:w w:val="100"/>
        </w:rPr>
        <w:t> </w:t>
      </w:r>
      <w:r>
        <w:rPr>
          <w:spacing w:val="-7"/>
        </w:rPr>
        <w:t>应商。报告期内，公司</w:t>
      </w:r>
      <w:r>
        <w:rPr>
          <w:spacing w:val="-48"/>
        </w:rPr>
        <w:t> </w:t>
      </w:r>
      <w:r>
        <w:rPr>
          <w:rFonts w:ascii="宋体" w:hAnsi="宋体" w:cs="宋体" w:eastAsia="宋体" w:hint="default"/>
        </w:rPr>
        <w:t>ADAS</w:t>
      </w:r>
      <w:r>
        <w:rPr>
          <w:rFonts w:ascii="宋体" w:hAnsi="宋体" w:cs="宋体" w:eastAsia="宋体" w:hint="default"/>
          <w:spacing w:val="-48"/>
        </w:rPr>
        <w:t> </w:t>
      </w:r>
      <w:r>
        <w:rPr/>
        <w:t>地图基本实现全国高速和</w:t>
      </w:r>
      <w:r>
        <w:rPr>
          <w:spacing w:val="-47"/>
        </w:rPr>
        <w:t> </w:t>
      </w:r>
      <w:r>
        <w:rPr>
          <w:rFonts w:ascii="宋体" w:hAnsi="宋体" w:cs="宋体" w:eastAsia="宋体" w:hint="default"/>
        </w:rPr>
        <w:t>63</w:t>
      </w:r>
      <w:r>
        <w:rPr>
          <w:rFonts w:ascii="宋体" w:hAnsi="宋体" w:cs="宋体" w:eastAsia="宋体" w:hint="default"/>
          <w:spacing w:val="-51"/>
        </w:rPr>
        <w:t> </w:t>
      </w:r>
      <w:r>
        <w:rPr>
          <w:spacing w:val="-3"/>
        </w:rPr>
        <w:t>个最主要城市的主要道路覆盖，</w:t>
      </w:r>
      <w:r>
        <w:rPr>
          <w:rFonts w:ascii="宋体" w:hAnsi="宋体" w:cs="宋体" w:eastAsia="宋体" w:hint="default"/>
          <w:spacing w:val="-3"/>
        </w:rPr>
        <w:t>ADAS</w:t>
      </w:r>
      <w:r>
        <w:rPr>
          <w:rFonts w:ascii="宋体" w:hAnsi="宋体" w:cs="宋体" w:eastAsia="宋体" w:hint="default"/>
          <w:spacing w:val="-48"/>
        </w:rPr>
        <w:t> </w:t>
      </w:r>
      <w:r>
        <w:rPr/>
        <w:t>数据属性进</w:t>
      </w:r>
      <w:r>
        <w:rPr>
          <w:spacing w:val="-92"/>
        </w:rPr>
        <w:t> </w:t>
      </w:r>
      <w:r>
        <w:rPr>
          <w:spacing w:val="-92"/>
        </w:rPr>
      </w:r>
      <w:r>
        <w:rPr/>
        <w:t>一步丰富，基于</w:t>
      </w:r>
      <w:r>
        <w:rPr>
          <w:spacing w:val="-49"/>
        </w:rPr>
        <w:t> </w:t>
      </w:r>
      <w:r>
        <w:rPr>
          <w:rFonts w:ascii="宋体" w:hAnsi="宋体" w:cs="宋体" w:eastAsia="宋体" w:hint="default"/>
        </w:rPr>
        <w:t>ADAS</w:t>
      </w:r>
      <w:r>
        <w:rPr>
          <w:rFonts w:ascii="宋体" w:hAnsi="宋体" w:cs="宋体" w:eastAsia="宋体" w:hint="default"/>
          <w:spacing w:val="-49"/>
        </w:rPr>
        <w:t> </w:t>
      </w:r>
      <w:r>
        <w:rPr/>
        <w:t>地图的应用型产品进入商业化落地实质阶段。</w:t>
      </w:r>
      <w:r>
        <w:rPr>
          <w:rFonts w:ascii="宋体" w:hAnsi="宋体" w:cs="宋体" w:eastAsia="宋体" w:hint="default"/>
        </w:rPr>
        <w:t>2019</w:t>
      </w:r>
      <w:r>
        <w:rPr>
          <w:rFonts w:ascii="宋体" w:hAnsi="宋体" w:cs="宋体" w:eastAsia="宋体" w:hint="default"/>
          <w:spacing w:val="-49"/>
        </w:rPr>
        <w:t> </w:t>
      </w:r>
      <w:r>
        <w:rPr/>
        <w:t>年</w:t>
      </w:r>
      <w:r>
        <w:rPr>
          <w:spacing w:val="-49"/>
        </w:rPr>
        <w:t> </w:t>
      </w:r>
      <w:r>
        <w:rPr>
          <w:rFonts w:ascii="宋体" w:hAnsi="宋体" w:cs="宋体" w:eastAsia="宋体" w:hint="default"/>
        </w:rPr>
        <w:t>2</w:t>
      </w:r>
      <w:r>
        <w:rPr>
          <w:rFonts w:ascii="宋体" w:hAnsi="宋体" w:cs="宋体" w:eastAsia="宋体" w:hint="default"/>
          <w:spacing w:val="-51"/>
        </w:rPr>
        <w:t> </w:t>
      </w:r>
      <w:r>
        <w:rPr/>
        <w:t>月，公司获得中国第一个支</w:t>
      </w:r>
      <w:r>
        <w:rPr>
          <w:w w:val="100"/>
        </w:rPr>
        <w:t> </w:t>
      </w:r>
      <w:r>
        <w:rPr/>
        <w:t>持</w:t>
      </w:r>
      <w:r>
        <w:rPr>
          <w:spacing w:val="-34"/>
        </w:rPr>
        <w:t> </w:t>
      </w:r>
      <w:r>
        <w:rPr>
          <w:rFonts w:ascii="宋体" w:hAnsi="宋体" w:cs="宋体" w:eastAsia="宋体" w:hint="default"/>
        </w:rPr>
        <w:t>L3</w:t>
      </w:r>
      <w:r>
        <w:rPr>
          <w:rFonts w:ascii="宋体" w:hAnsi="宋体" w:cs="宋体" w:eastAsia="宋体" w:hint="default"/>
          <w:spacing w:val="-34"/>
        </w:rPr>
        <w:t> </w:t>
      </w:r>
      <w:r>
        <w:rPr/>
        <w:t>级乘用车自动驾驶应用的</w:t>
      </w:r>
      <w:r>
        <w:rPr>
          <w:spacing w:val="-34"/>
        </w:rPr>
        <w:t> </w:t>
      </w:r>
      <w:r>
        <w:rPr>
          <w:rFonts w:ascii="宋体" w:hAnsi="宋体" w:cs="宋体" w:eastAsia="宋体" w:hint="default"/>
        </w:rPr>
        <w:t>HD</w:t>
      </w:r>
      <w:r>
        <w:rPr>
          <w:rFonts w:ascii="宋体" w:hAnsi="宋体" w:cs="宋体" w:eastAsia="宋体" w:hint="default"/>
          <w:spacing w:val="-34"/>
        </w:rPr>
        <w:t> </w:t>
      </w:r>
      <w:r>
        <w:rPr/>
        <w:t>地图数据量产订单。高精度地图在其他垂直行业领域的应用不断拓展。</w:t>
      </w:r>
      <w:r>
        <w:rPr>
          <w:w w:val="100"/>
        </w:rPr>
        <w:t> </w:t>
      </w:r>
      <w:r>
        <w:rPr/>
        <w:t>报告期内，公司积极参与行业及产业共建，与工信部、自然资源部等政府机构共同讨论和推进高精度地图</w:t>
      </w:r>
      <w:r>
        <w:rPr>
          <w:w w:val="100"/>
        </w:rPr>
        <w:t> </w:t>
      </w:r>
      <w:r>
        <w:rPr/>
        <w:t>数据采集、审核、加密处理，动态传感器数据采集回传等方面的相关法律法规和流程建设。面向 </w:t>
      </w:r>
      <w:r>
        <w:rPr>
          <w:rFonts w:ascii="宋体" w:hAnsi="宋体" w:cs="宋体" w:eastAsia="宋体" w:hint="default"/>
        </w:rPr>
        <w:t>HD</w:t>
      </w:r>
      <w:r>
        <w:rPr>
          <w:rFonts w:ascii="宋体" w:hAnsi="宋体" w:cs="宋体" w:eastAsia="宋体" w:hint="default"/>
          <w:spacing w:val="-28"/>
        </w:rPr>
        <w:t> </w:t>
      </w:r>
      <w:r>
        <w:rPr/>
        <w:t>地图</w:t>
      </w:r>
      <w:r>
        <w:rPr>
          <w:w w:val="100"/>
        </w:rPr>
        <w:t> </w:t>
      </w:r>
      <w:r>
        <w:rPr/>
        <w:t>在全球范围内的应用和拓展需求，公司与</w:t>
      </w:r>
      <w:r>
        <w:rPr>
          <w:spacing w:val="-54"/>
        </w:rPr>
        <w:t> </w:t>
      </w:r>
      <w:r>
        <w:rPr>
          <w:rFonts w:ascii="宋体" w:hAnsi="宋体" w:cs="宋体" w:eastAsia="宋体" w:hint="default"/>
        </w:rPr>
        <w:t>HERE</w:t>
      </w:r>
      <w:r>
        <w:rPr/>
        <w:t>、</w:t>
      </w:r>
      <w:r>
        <w:rPr>
          <w:rFonts w:ascii="宋体" w:hAnsi="宋体" w:cs="宋体" w:eastAsia="宋体" w:hint="default"/>
        </w:rPr>
        <w:t>Increment</w:t>
      </w:r>
      <w:r>
        <w:rPr>
          <w:rFonts w:ascii="宋体" w:hAnsi="宋体" w:cs="宋体" w:eastAsia="宋体" w:hint="default"/>
          <w:spacing w:val="-9"/>
        </w:rPr>
        <w:t> </w:t>
      </w:r>
      <w:r>
        <w:rPr>
          <w:rFonts w:ascii="宋体" w:hAnsi="宋体" w:cs="宋体" w:eastAsia="宋体" w:hint="default"/>
          <w:spacing w:val="-3"/>
        </w:rPr>
        <w:t>P</w:t>
      </w:r>
      <w:r>
        <w:rPr>
          <w:rFonts w:ascii="宋体" w:hAnsi="宋体" w:cs="宋体" w:eastAsia="宋体" w:hint="default"/>
          <w:spacing w:val="-9"/>
        </w:rPr>
        <w:t> </w:t>
      </w:r>
      <w:r>
        <w:rPr>
          <w:rFonts w:ascii="宋体" w:hAnsi="宋体" w:cs="宋体" w:eastAsia="宋体" w:hint="default"/>
        </w:rPr>
        <w:t>(IPC)/Pioneer</w:t>
      </w:r>
      <w:r>
        <w:rPr/>
        <w:t>、</w:t>
      </w:r>
      <w:r>
        <w:rPr>
          <w:rFonts w:ascii="宋体" w:hAnsi="宋体" w:cs="宋体" w:eastAsia="宋体" w:hint="default"/>
        </w:rPr>
        <w:t>SK</w:t>
      </w:r>
      <w:r>
        <w:rPr>
          <w:rFonts w:ascii="宋体" w:hAnsi="宋体" w:cs="宋体" w:eastAsia="宋体" w:hint="default"/>
          <w:spacing w:val="-11"/>
        </w:rPr>
        <w:t> </w:t>
      </w:r>
      <w:r>
        <w:rPr>
          <w:rFonts w:ascii="宋体" w:hAnsi="宋体" w:cs="宋体" w:eastAsia="宋体" w:hint="default"/>
        </w:rPr>
        <w:t>Telecom</w:t>
      </w:r>
      <w:r>
        <w:rPr>
          <w:rFonts w:ascii="宋体" w:hAnsi="宋体" w:cs="宋体" w:eastAsia="宋体" w:hint="default"/>
          <w:spacing w:val="-56"/>
        </w:rPr>
        <w:t> </w:t>
      </w:r>
      <w:r>
        <w:rPr/>
        <w:t>共同成立高精</w:t>
      </w:r>
      <w:r>
        <w:rPr>
          <w:w w:val="100"/>
        </w:rPr>
        <w:t> </w:t>
      </w:r>
      <w:r>
        <w:rPr/>
        <w:t>度地图产业联盟</w:t>
      </w:r>
      <w:r>
        <w:rPr>
          <w:spacing w:val="-56"/>
        </w:rPr>
        <w:t> </w:t>
      </w:r>
      <w:r>
        <w:rPr>
          <w:rFonts w:ascii="宋体" w:hAnsi="宋体" w:cs="宋体" w:eastAsia="宋体" w:hint="default"/>
        </w:rPr>
        <w:t>OneMap</w:t>
      </w:r>
      <w:r>
        <w:rPr>
          <w:rFonts w:ascii="宋体" w:hAnsi="宋体" w:cs="宋体" w:eastAsia="宋体" w:hint="default"/>
          <w:spacing w:val="-58"/>
        </w:rPr>
        <w:t> </w:t>
      </w:r>
      <w:r>
        <w:rPr/>
        <w:t>联盟，致力于为全球客户提供标准化的高精度地图产品与服务。</w:t>
      </w:r>
      <w:r>
        <w:rPr>
          <w:rFonts w:ascii="宋体" w:hAnsi="宋体" w:cs="宋体" w:eastAsia="宋体" w:hint="default"/>
        </w:rPr>
        <w:t> </w:t>
      </w:r>
    </w:p>
    <w:p>
      <w:pPr>
        <w:pStyle w:val="Heading5"/>
        <w:spacing w:line="408" w:lineRule="auto"/>
        <w:ind w:right="982"/>
        <w:jc w:val="left"/>
        <w:rPr>
          <w:rFonts w:ascii="宋体" w:hAnsi="宋体" w:cs="宋体" w:eastAsia="宋体" w:hint="default"/>
        </w:rPr>
      </w:pPr>
      <w:r>
        <w:rPr>
          <w:spacing w:val="-2"/>
        </w:rPr>
        <w:t>公司快速推进高精度定位产品和服务的研发和验证测试。报告期内，公司自主搭建部分省份可连续运</w:t>
      </w:r>
      <w:r>
        <w:rPr>
          <w:w w:val="100"/>
        </w:rPr>
        <w:t> </w:t>
      </w:r>
      <w:r>
        <w:rPr>
          <w:spacing w:val="-2"/>
        </w:rPr>
        <w:t>行的高精度定位服务网络，面向真实复杂场景，完成了基于高精度定位的自动驾驶和共享单车的厘米级动</w:t>
      </w:r>
      <w:r>
        <w:rPr>
          <w:spacing w:val="-43"/>
        </w:rPr>
        <w:t> </w:t>
      </w:r>
      <w:r>
        <w:rPr>
          <w:spacing w:val="-43"/>
        </w:rPr>
      </w:r>
      <w:r>
        <w:rPr/>
        <w:t>态定位测试，为下一步全国服务网络的建设奠定了良好的基础。同时，公司积极推进基准站接收机终端、</w:t>
      </w:r>
      <w:r>
        <w:rPr>
          <w:spacing w:val="-24"/>
        </w:rPr>
        <w:t> </w:t>
      </w:r>
      <w:r>
        <w:rPr>
          <w:spacing w:val="-24"/>
        </w:rPr>
      </w:r>
      <w:r>
        <w:rPr>
          <w:spacing w:val="-2"/>
        </w:rPr>
        <w:t>高精度定位芯片和云端大数据解算中心的研发工作，面向未来，正快速形成高精度定位服务与公司高精度</w:t>
      </w:r>
      <w:r>
        <w:rPr>
          <w:spacing w:val="-43"/>
        </w:rPr>
        <w:t> </w:t>
      </w:r>
      <w:r>
        <w:rPr>
          <w:spacing w:val="-43"/>
        </w:rPr>
      </w:r>
      <w:r>
        <w:rPr/>
        <w:t>地图、自动驾驶业务的战略协同。</w:t>
      </w:r>
      <w:r>
        <w:rPr>
          <w:rFonts w:ascii="宋体" w:hAnsi="宋体" w:cs="宋体" w:eastAsia="宋体" w:hint="default"/>
        </w:rPr>
        <w:t> </w:t>
      </w:r>
    </w:p>
    <w:p>
      <w:pPr>
        <w:spacing w:after="0" w:line="408" w:lineRule="auto"/>
        <w:jc w:val="left"/>
        <w:rPr>
          <w:rFonts w:ascii="宋体" w:hAnsi="宋体" w:cs="宋体" w:eastAsia="宋体" w:hint="default"/>
        </w:rPr>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pStyle w:val="Heading5"/>
        <w:spacing w:line="408" w:lineRule="auto" w:before="176"/>
        <w:ind w:right="1126"/>
        <w:jc w:val="both"/>
        <w:rPr>
          <w:rFonts w:ascii="宋体" w:hAnsi="宋体" w:cs="宋体" w:eastAsia="宋体" w:hint="default"/>
        </w:rPr>
      </w:pPr>
      <w:r>
        <w:rPr>
          <w:spacing w:val="-2"/>
        </w:rPr>
        <w:t>公司积极打造可以应对复杂路况通用服务能力需求的自动驾驶完整解决方案，通过自动驾驶车队实际</w:t>
      </w:r>
      <w:r>
        <w:rPr>
          <w:w w:val="100"/>
        </w:rPr>
        <w:t> </w:t>
      </w:r>
      <w:r>
        <w:rPr>
          <w:spacing w:val="-2"/>
        </w:rPr>
        <w:t>道路验证、聚集海量复杂路况应用场景集的仿真平台验证等不同方式，不断优化自动驾驶能力模型，完善</w:t>
      </w:r>
      <w:r>
        <w:rPr>
          <w:spacing w:val="-43"/>
        </w:rPr>
        <w:t> </w:t>
      </w:r>
      <w:r>
        <w:rPr>
          <w:spacing w:val="-43"/>
        </w:rPr>
      </w:r>
      <w:r>
        <w:rPr/>
        <w:t>车辆人性化规划和决策能力，提升系统可靠性和解决方案的应用场景适应能力。报告期内，公司面向</w:t>
      </w:r>
      <w:r>
        <w:rPr>
          <w:spacing w:val="72"/>
        </w:rPr>
        <w:t> </w:t>
      </w:r>
      <w:r>
        <w:rPr>
          <w:rFonts w:ascii="宋体" w:hAnsi="宋体" w:cs="宋体" w:eastAsia="宋体" w:hint="default"/>
        </w:rPr>
        <w:t>L2</w:t>
      </w:r>
      <w:r>
        <w:rPr>
          <w:rFonts w:ascii="宋体" w:hAnsi="宋体" w:cs="宋体" w:eastAsia="宋体" w:hint="default"/>
          <w:spacing w:val="-96"/>
        </w:rPr>
        <w:t> </w:t>
      </w:r>
      <w:r>
        <w:rPr>
          <w:spacing w:val="-2"/>
        </w:rPr>
        <w:t>级别自动驾驶解决方案在商用车领域的商业化落地进入到最后实质性阶段。公司自主研发的基于多传感器</w:t>
      </w:r>
      <w:r>
        <w:rPr>
          <w:spacing w:val="-43"/>
        </w:rPr>
        <w:t> </w:t>
      </w:r>
      <w:r>
        <w:rPr>
          <w:spacing w:val="-43"/>
        </w:rPr>
      </w:r>
      <w:r>
        <w:rPr>
          <w:spacing w:val="-2"/>
        </w:rPr>
        <w:t>融合和高精度地图的自动驾驶解决方案已经具备面向半封闭园区的测试和服务能力。公司基于高精度地图</w:t>
      </w:r>
      <w:r>
        <w:rPr>
          <w:spacing w:val="-42"/>
        </w:rPr>
        <w:t> </w:t>
      </w:r>
      <w:r>
        <w:rPr>
          <w:spacing w:val="-42"/>
        </w:rPr>
      </w:r>
      <w:r>
        <w:rPr>
          <w:spacing w:val="-2"/>
        </w:rPr>
        <w:t>保密插件偏转技术的自动驾驶解决方案，在和国家测绘局联合推动的数千公里长距离真实高速测试中经过</w:t>
      </w:r>
      <w:r>
        <w:rPr>
          <w:spacing w:val="-43"/>
        </w:rPr>
        <w:t> </w:t>
      </w:r>
      <w:r>
        <w:rPr>
          <w:spacing w:val="-43"/>
        </w:rPr>
      </w:r>
      <w:r>
        <w:rPr/>
        <w:t>反复检验和充分验证，可以满足长距离复杂路况、恶劣天气、突发事故、恶意并道等极端场景下 </w:t>
      </w:r>
      <w:r>
        <w:rPr>
          <w:rFonts w:ascii="宋体" w:hAnsi="宋体" w:cs="宋体" w:eastAsia="宋体" w:hint="default"/>
        </w:rPr>
        <w:t>L3</w:t>
      </w:r>
      <w:r>
        <w:rPr>
          <w:rFonts w:ascii="宋体" w:hAnsi="宋体" w:cs="宋体" w:eastAsia="宋体" w:hint="default"/>
          <w:spacing w:val="-28"/>
        </w:rPr>
        <w:t> </w:t>
      </w:r>
      <w:r>
        <w:rPr/>
        <w:t>及以</w:t>
      </w:r>
      <w:r>
        <w:rPr>
          <w:w w:val="100"/>
        </w:rPr>
        <w:t> </w:t>
      </w:r>
      <w:r>
        <w:rPr>
          <w:spacing w:val="-3"/>
        </w:rPr>
        <w:t>上自动驾驶应用需求，为公司打造</w:t>
      </w:r>
      <w:r>
        <w:rPr>
          <w:spacing w:val="-38"/>
        </w:rPr>
        <w:t> </w:t>
      </w:r>
      <w:r>
        <w:rPr>
          <w:rFonts w:ascii="宋体" w:hAnsi="宋体" w:cs="宋体" w:eastAsia="宋体" w:hint="default"/>
        </w:rPr>
        <w:t>L3</w:t>
      </w:r>
      <w:r>
        <w:rPr>
          <w:rFonts w:ascii="宋体" w:hAnsi="宋体" w:cs="宋体" w:eastAsia="宋体" w:hint="default"/>
          <w:spacing w:val="-39"/>
        </w:rPr>
        <w:t> </w:t>
      </w:r>
      <w:r>
        <w:rPr>
          <w:spacing w:val="-3"/>
        </w:rPr>
        <w:t>级别通用服务解决方案奠定基础。公司面向</w:t>
      </w:r>
      <w:r>
        <w:rPr>
          <w:spacing w:val="-39"/>
        </w:rPr>
        <w:t> </w:t>
      </w:r>
      <w:r>
        <w:rPr>
          <w:rFonts w:ascii="宋体" w:hAnsi="宋体" w:cs="宋体" w:eastAsia="宋体" w:hint="default"/>
        </w:rPr>
        <w:t>L4</w:t>
      </w:r>
      <w:r>
        <w:rPr>
          <w:rFonts w:ascii="宋体" w:hAnsi="宋体" w:cs="宋体" w:eastAsia="宋体" w:hint="default"/>
          <w:spacing w:val="-39"/>
        </w:rPr>
        <w:t> </w:t>
      </w:r>
      <w:r>
        <w:rPr/>
        <w:t>级开放道路自动代客</w:t>
      </w:r>
      <w:r>
        <w:rPr>
          <w:spacing w:val="-97"/>
        </w:rPr>
        <w:t> </w:t>
      </w:r>
      <w:r>
        <w:rPr>
          <w:spacing w:val="-97"/>
        </w:rPr>
      </w:r>
      <w:r>
        <w:rPr/>
        <w:t>泊车解决方案通过客户联合测试，可通过增加模块、拓展计算资源和传感器，满足更复杂的场景需求。</w:t>
      </w:r>
      <w:r>
        <w:rPr>
          <w:rFonts w:ascii="宋体" w:hAnsi="宋体" w:cs="宋体" w:eastAsia="宋体" w:hint="default"/>
        </w:rPr>
        <w:t> </w:t>
      </w:r>
    </w:p>
    <w:p>
      <w:pPr>
        <w:spacing w:line="240" w:lineRule="auto" w:before="1"/>
        <w:rPr>
          <w:rFonts w:ascii="宋体" w:hAnsi="宋体" w:cs="宋体" w:eastAsia="宋体" w:hint="default"/>
          <w:sz w:val="6"/>
          <w:szCs w:val="6"/>
        </w:rPr>
      </w:pPr>
    </w:p>
    <w:p>
      <w:pPr>
        <w:spacing w:line="5715" w:lineRule="exact"/>
        <w:ind w:left="574" w:right="0" w:firstLine="0"/>
        <w:rPr>
          <w:rFonts w:ascii="宋体" w:hAnsi="宋体" w:cs="宋体" w:eastAsia="宋体" w:hint="default"/>
          <w:sz w:val="20"/>
          <w:szCs w:val="20"/>
        </w:rPr>
      </w:pPr>
      <w:r>
        <w:rPr>
          <w:rFonts w:ascii="宋体" w:hAnsi="宋体" w:cs="宋体" w:eastAsia="宋体" w:hint="default"/>
          <w:position w:val="-113"/>
          <w:sz w:val="20"/>
          <w:szCs w:val="20"/>
        </w:rPr>
        <w:drawing>
          <wp:inline distT="0" distB="0" distL="0" distR="0">
            <wp:extent cx="5486400" cy="3629025"/>
            <wp:effectExtent l="0" t="0" r="0" b="0"/>
            <wp:docPr id="41" name="image22.jpeg" descr=""/>
            <wp:cNvGraphicFramePr>
              <a:graphicFrameLocks noChangeAspect="1"/>
            </wp:cNvGraphicFramePr>
            <a:graphic>
              <a:graphicData uri="http://schemas.openxmlformats.org/drawingml/2006/picture">
                <pic:pic>
                  <pic:nvPicPr>
                    <pic:cNvPr id="42" name="image22.jpeg"/>
                    <pic:cNvPicPr/>
                  </pic:nvPicPr>
                  <pic:blipFill>
                    <a:blip r:embed="rId35" cstate="print"/>
                    <a:stretch>
                      <a:fillRect/>
                    </a:stretch>
                  </pic:blipFill>
                  <pic:spPr>
                    <a:xfrm>
                      <a:off x="0" y="0"/>
                      <a:ext cx="5486400" cy="3629025"/>
                    </a:xfrm>
                    <a:prstGeom prst="rect">
                      <a:avLst/>
                    </a:prstGeom>
                  </pic:spPr>
                </pic:pic>
              </a:graphicData>
            </a:graphic>
          </wp:inline>
        </w:drawing>
      </w:r>
      <w:r>
        <w:rPr>
          <w:rFonts w:ascii="宋体" w:hAnsi="宋体" w:cs="宋体" w:eastAsia="宋体" w:hint="default"/>
          <w:position w:val="-113"/>
          <w:sz w:val="20"/>
          <w:szCs w:val="20"/>
        </w:rPr>
      </w:r>
    </w:p>
    <w:p>
      <w:pPr>
        <w:pStyle w:val="Heading4"/>
        <w:spacing w:line="240" w:lineRule="auto" w:before="179"/>
        <w:ind w:left="579" w:right="1029"/>
        <w:jc w:val="center"/>
        <w:rPr>
          <w:rFonts w:ascii="宋体" w:hAnsi="宋体" w:cs="宋体" w:eastAsia="宋体" w:hint="default"/>
          <w:b w:val="0"/>
          <w:bCs w:val="0"/>
        </w:rPr>
      </w:pPr>
      <w:r>
        <w:rPr/>
        <w:t>自动驾驶基础能力不断提升</w:t>
      </w:r>
      <w:r>
        <w:rPr>
          <w:rFonts w:ascii="宋体" w:hAnsi="宋体" w:cs="宋体" w:eastAsia="宋体" w:hint="default"/>
          <w:w w:val="99"/>
        </w:rPr>
        <w:t> </w:t>
      </w:r>
      <w:r>
        <w:rPr>
          <w:rFonts w:ascii="宋体" w:hAnsi="宋体" w:cs="宋体" w:eastAsia="宋体" w:hint="default"/>
          <w:b w:val="0"/>
          <w:bCs w:val="0"/>
        </w:rPr>
      </w:r>
    </w:p>
    <w:p>
      <w:pPr>
        <w:spacing w:after="0" w:line="240" w:lineRule="auto"/>
        <w:jc w:val="center"/>
        <w:rPr>
          <w:rFonts w:ascii="宋体" w:hAnsi="宋体" w:cs="宋体" w:eastAsia="宋体" w:hint="default"/>
        </w:rPr>
        <w:sectPr>
          <w:pgSz w:w="11910" w:h="16840"/>
          <w:pgMar w:header="745" w:footer="979" w:top="1060" w:bottom="1160" w:left="980" w:right="0"/>
        </w:sect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0"/>
          <w:szCs w:val="10"/>
        </w:rPr>
      </w:pPr>
    </w:p>
    <w:p>
      <w:pPr>
        <w:spacing w:line="3685" w:lineRule="exact"/>
        <w:ind w:left="1803" w:right="0" w:firstLine="0"/>
        <w:rPr>
          <w:rFonts w:ascii="宋体" w:hAnsi="宋体" w:cs="宋体" w:eastAsia="宋体" w:hint="default"/>
          <w:sz w:val="20"/>
          <w:szCs w:val="20"/>
        </w:rPr>
      </w:pPr>
      <w:r>
        <w:rPr>
          <w:rFonts w:ascii="宋体" w:hAnsi="宋体" w:cs="宋体" w:eastAsia="宋体" w:hint="default"/>
          <w:position w:val="-73"/>
          <w:sz w:val="20"/>
          <w:szCs w:val="20"/>
        </w:rPr>
        <w:drawing>
          <wp:inline distT="0" distB="0" distL="0" distR="0">
            <wp:extent cx="4273973" cy="2340292"/>
            <wp:effectExtent l="0" t="0" r="0" b="0"/>
            <wp:docPr id="43" name="image23.jpeg" descr=""/>
            <wp:cNvGraphicFramePr>
              <a:graphicFrameLocks noChangeAspect="1"/>
            </wp:cNvGraphicFramePr>
            <a:graphic>
              <a:graphicData uri="http://schemas.openxmlformats.org/drawingml/2006/picture">
                <pic:pic>
                  <pic:nvPicPr>
                    <pic:cNvPr id="44" name="image23.jpeg"/>
                    <pic:cNvPicPr/>
                  </pic:nvPicPr>
                  <pic:blipFill>
                    <a:blip r:embed="rId36" cstate="print"/>
                    <a:stretch>
                      <a:fillRect/>
                    </a:stretch>
                  </pic:blipFill>
                  <pic:spPr>
                    <a:xfrm>
                      <a:off x="0" y="0"/>
                      <a:ext cx="4273973" cy="2340292"/>
                    </a:xfrm>
                    <a:prstGeom prst="rect">
                      <a:avLst/>
                    </a:prstGeom>
                  </pic:spPr>
                </pic:pic>
              </a:graphicData>
            </a:graphic>
          </wp:inline>
        </w:drawing>
      </w:r>
      <w:r>
        <w:rPr>
          <w:rFonts w:ascii="宋体" w:hAnsi="宋体" w:cs="宋体" w:eastAsia="宋体" w:hint="default"/>
          <w:position w:val="-73"/>
          <w:sz w:val="20"/>
          <w:szCs w:val="20"/>
        </w:rPr>
      </w:r>
    </w:p>
    <w:p>
      <w:pPr>
        <w:spacing w:line="240" w:lineRule="auto" w:before="2"/>
        <w:rPr>
          <w:rFonts w:ascii="宋体" w:hAnsi="宋体" w:cs="宋体" w:eastAsia="宋体" w:hint="default"/>
          <w:b/>
          <w:bCs/>
          <w:sz w:val="5"/>
          <w:szCs w:val="5"/>
        </w:rPr>
      </w:pPr>
    </w:p>
    <w:p>
      <w:pPr>
        <w:spacing w:line="408" w:lineRule="auto" w:before="36"/>
        <w:ind w:left="575" w:right="1120" w:firstLine="3103"/>
        <w:jc w:val="left"/>
        <w:rPr>
          <w:rFonts w:ascii="宋体" w:hAnsi="宋体" w:cs="宋体" w:eastAsia="宋体" w:hint="default"/>
          <w:sz w:val="21"/>
          <w:szCs w:val="21"/>
        </w:rPr>
      </w:pPr>
      <w:r>
        <w:rPr>
          <w:rFonts w:ascii="宋体" w:hAnsi="宋体" w:cs="宋体" w:eastAsia="宋体" w:hint="default"/>
          <w:b/>
          <w:bCs/>
          <w:sz w:val="21"/>
          <w:szCs w:val="21"/>
        </w:rPr>
        <w:t>L4</w:t>
      </w:r>
      <w:r>
        <w:rPr>
          <w:rFonts w:ascii="宋体" w:hAnsi="宋体" w:cs="宋体" w:eastAsia="宋体" w:hint="default"/>
          <w:b/>
          <w:bCs/>
          <w:spacing w:val="-54"/>
          <w:sz w:val="21"/>
          <w:szCs w:val="21"/>
        </w:rPr>
        <w:t> </w:t>
      </w:r>
      <w:r>
        <w:rPr>
          <w:rFonts w:ascii="宋体" w:hAnsi="宋体" w:cs="宋体" w:eastAsia="宋体" w:hint="default"/>
          <w:b/>
          <w:bCs/>
          <w:sz w:val="21"/>
          <w:szCs w:val="21"/>
        </w:rPr>
        <w:t>级开放道路低速自动泊车演示</w:t>
      </w:r>
      <w:r>
        <w:rPr>
          <w:rFonts w:ascii="宋体" w:hAnsi="宋体" w:cs="宋体" w:eastAsia="宋体" w:hint="default"/>
          <w:b/>
          <w:bCs/>
          <w:w w:val="99"/>
          <w:sz w:val="21"/>
          <w:szCs w:val="21"/>
        </w:rPr>
        <w:t> </w:t>
      </w:r>
      <w:r>
        <w:rPr>
          <w:rFonts w:ascii="宋体" w:hAnsi="宋体" w:cs="宋体" w:eastAsia="宋体" w:hint="default"/>
          <w:b/>
          <w:bCs/>
          <w:sz w:val="21"/>
          <w:szCs w:val="21"/>
        </w:rPr>
        <w:t>在位置大数据服务方面，</w:t>
      </w:r>
      <w:r>
        <w:rPr>
          <w:rFonts w:ascii="宋体" w:hAnsi="宋体" w:cs="宋体" w:eastAsia="宋体" w:hint="default"/>
          <w:sz w:val="21"/>
          <w:szCs w:val="21"/>
        </w:rPr>
        <w:t>公司加快推进位置大数据平台 </w:t>
      </w:r>
      <w:r>
        <w:rPr>
          <w:rFonts w:ascii="宋体" w:hAnsi="宋体" w:cs="宋体" w:eastAsia="宋体" w:hint="default"/>
          <w:sz w:val="21"/>
          <w:szCs w:val="21"/>
        </w:rPr>
        <w:t>Minedata</w:t>
      </w:r>
      <w:r>
        <w:rPr>
          <w:rFonts w:ascii="宋体" w:hAnsi="宋体" w:cs="宋体" w:eastAsia="宋体" w:hint="default"/>
          <w:spacing w:val="-38"/>
          <w:sz w:val="21"/>
          <w:szCs w:val="21"/>
        </w:rPr>
        <w:t> </w:t>
      </w:r>
      <w:r>
        <w:rPr>
          <w:rFonts w:ascii="宋体" w:hAnsi="宋体" w:cs="宋体" w:eastAsia="宋体" w:hint="default"/>
          <w:sz w:val="21"/>
          <w:szCs w:val="21"/>
        </w:rPr>
        <w:t>从数据处理、可视化能力以及核心</w:t>
      </w:r>
    </w:p>
    <w:p>
      <w:pPr>
        <w:pStyle w:val="Heading5"/>
        <w:spacing w:line="408" w:lineRule="auto"/>
        <w:ind w:right="982" w:firstLine="0"/>
        <w:jc w:val="left"/>
        <w:rPr>
          <w:rFonts w:ascii="宋体" w:hAnsi="宋体" w:cs="宋体" w:eastAsia="宋体" w:hint="default"/>
        </w:rPr>
      </w:pPr>
      <w:r>
        <w:rPr/>
        <w:t>算法等多个层面进行全面升级。在数据的处理上，公司基于 </w:t>
      </w:r>
      <w:r>
        <w:rPr>
          <w:rFonts w:ascii="宋体" w:hAnsi="宋体" w:cs="宋体" w:eastAsia="宋体" w:hint="default"/>
        </w:rPr>
        <w:t>2017</w:t>
      </w:r>
      <w:r>
        <w:rPr>
          <w:rFonts w:ascii="宋体" w:hAnsi="宋体" w:cs="宋体" w:eastAsia="宋体" w:hint="default"/>
          <w:spacing w:val="-27"/>
        </w:rPr>
        <w:t> </w:t>
      </w:r>
      <w:r>
        <w:rPr/>
        <w:t>年构建的权威全国位置数据仓库，建立</w:t>
      </w:r>
      <w:r>
        <w:rPr>
          <w:w w:val="100"/>
        </w:rPr>
        <w:t> </w:t>
      </w:r>
      <w:r>
        <w:rPr>
          <w:spacing w:val="-5"/>
        </w:rPr>
        <w:t>了对数据全流程生命周期的管理和高度自动化提取系统。在数据的可视化上，实现了更高端的可视化效果， </w:t>
      </w:r>
      <w:r>
        <w:rPr>
          <w:spacing w:val="-5"/>
        </w:rPr>
      </w:r>
      <w:r>
        <w:rPr>
          <w:spacing w:val="-2"/>
        </w:rPr>
        <w:t>包括高精度场景渲染和高仿真城市还原等。在数据分析的基础上，开放了算法环境和专业算法库，方便用</w:t>
      </w:r>
      <w:r>
        <w:rPr>
          <w:spacing w:val="-45"/>
        </w:rPr>
        <w:t> </w:t>
      </w:r>
      <w:r>
        <w:rPr>
          <w:spacing w:val="-45"/>
        </w:rPr>
      </w:r>
      <w:r>
        <w:rPr/>
        <w:t>户进行个性化调用。基于 </w:t>
      </w:r>
      <w:r>
        <w:rPr>
          <w:rFonts w:ascii="宋体" w:hAnsi="宋体" w:cs="宋体" w:eastAsia="宋体" w:hint="default"/>
        </w:rPr>
        <w:t>MineData</w:t>
      </w:r>
      <w:r>
        <w:rPr>
          <w:rFonts w:ascii="宋体" w:hAnsi="宋体" w:cs="宋体" w:eastAsia="宋体" w:hint="default"/>
          <w:spacing w:val="-29"/>
        </w:rPr>
        <w:t> </w:t>
      </w:r>
      <w:r>
        <w:rPr/>
        <w:t>平台，公司推出系列子模块和应用组件，包括专业位置服务接口、可</w:t>
      </w:r>
      <w:r>
        <w:rPr>
          <w:w w:val="100"/>
        </w:rPr>
        <w:t> </w:t>
      </w:r>
      <w:r>
        <w:rPr/>
        <w:t>视化快速搭建平台、面向 </w:t>
      </w:r>
      <w:r>
        <w:rPr>
          <w:rFonts w:ascii="宋体" w:hAnsi="宋体" w:cs="宋体" w:eastAsia="宋体" w:hint="default"/>
        </w:rPr>
        <w:t>2B</w:t>
      </w:r>
      <w:r>
        <w:rPr>
          <w:rFonts w:ascii="宋体" w:hAnsi="宋体" w:cs="宋体" w:eastAsia="宋体" w:hint="default"/>
          <w:spacing w:val="-30"/>
        </w:rPr>
        <w:t> </w:t>
      </w:r>
      <w:r>
        <w:rPr/>
        <w:t>领域的可定制化导航服务套件等。同时，公司与北京航空航天大学、华为、</w:t>
      </w:r>
      <w:r>
        <w:rPr>
          <w:w w:val="100"/>
        </w:rPr>
        <w:t> </w:t>
      </w:r>
      <w:r>
        <w:rPr>
          <w:spacing w:val="-2"/>
        </w:rPr>
        <w:t>中国移动位置服务中心等多方机构建立战略合作关系，共同推进位置大数据、出行信息服务等领域的创新</w:t>
      </w:r>
      <w:r>
        <w:rPr>
          <w:spacing w:val="-44"/>
        </w:rPr>
        <w:t> </w:t>
      </w:r>
      <w:r>
        <w:rPr>
          <w:spacing w:val="-44"/>
        </w:rPr>
      </w:r>
      <w:r>
        <w:rPr/>
        <w:t>应用与安全保障，提升产业赋能价值。</w:t>
      </w:r>
      <w:r>
        <w:rPr>
          <w:rFonts w:ascii="宋体" w:hAnsi="宋体" w:cs="宋体" w:eastAsia="宋体" w:hint="default"/>
        </w:rPr>
        <w:t> </w:t>
      </w:r>
    </w:p>
    <w:p>
      <w:pPr>
        <w:pStyle w:val="Heading5"/>
        <w:spacing w:line="408" w:lineRule="auto"/>
        <w:ind w:right="982"/>
        <w:jc w:val="left"/>
        <w:rPr>
          <w:rFonts w:ascii="宋体" w:hAnsi="宋体" w:cs="宋体" w:eastAsia="宋体" w:hint="default"/>
        </w:rPr>
      </w:pPr>
      <w:r>
        <w:rPr/>
        <w:t>报告期内，公司位置大数据创新应用产品</w:t>
      </w:r>
      <w:r>
        <w:rPr>
          <w:spacing w:val="-33"/>
        </w:rPr>
        <w:t> </w:t>
      </w:r>
      <w:r>
        <w:rPr>
          <w:rFonts w:ascii="宋体" w:hAnsi="宋体" w:cs="宋体" w:eastAsia="宋体" w:hint="default"/>
        </w:rPr>
        <w:t>MineData</w:t>
      </w:r>
      <w:r>
        <w:rPr>
          <w:rFonts w:ascii="宋体" w:hAnsi="宋体" w:cs="宋体" w:eastAsia="宋体" w:hint="default"/>
          <w:spacing w:val="-33"/>
        </w:rPr>
        <w:t> </w:t>
      </w:r>
      <w:r>
        <w:rPr/>
        <w:t>升级版</w:t>
      </w:r>
      <w:r>
        <w:rPr>
          <w:spacing w:val="-33"/>
        </w:rPr>
        <w:t> </w:t>
      </w:r>
      <w:r>
        <w:rPr>
          <w:rFonts w:ascii="宋体" w:hAnsi="宋体" w:cs="宋体" w:eastAsia="宋体" w:hint="default"/>
        </w:rPr>
        <w:t>MineData</w:t>
      </w:r>
      <w:r>
        <w:rPr>
          <w:rFonts w:ascii="宋体" w:hAnsi="宋体" w:cs="宋体" w:eastAsia="宋体" w:hint="default"/>
          <w:spacing w:val="-2"/>
        </w:rPr>
        <w:t> </w:t>
      </w:r>
      <w:r>
        <w:rPr>
          <w:rFonts w:ascii="宋体" w:hAnsi="宋体" w:cs="宋体" w:eastAsia="宋体" w:hint="default"/>
        </w:rPr>
        <w:t>2.0</w:t>
      </w:r>
      <w:r>
        <w:rPr>
          <w:rFonts w:ascii="宋体" w:hAnsi="宋体" w:cs="宋体" w:eastAsia="宋体" w:hint="default"/>
          <w:spacing w:val="-36"/>
        </w:rPr>
        <w:t> </w:t>
      </w:r>
      <w:r>
        <w:rPr/>
        <w:t>正式发布，作为“数据</w:t>
      </w:r>
      <w:r>
        <w:rPr>
          <w:rFonts w:ascii="宋体" w:hAnsi="宋体" w:cs="宋体" w:eastAsia="宋体" w:hint="default"/>
        </w:rPr>
        <w:t>+</w:t>
      </w:r>
      <w:r>
        <w:rPr/>
        <w:t>可</w:t>
      </w:r>
      <w:r>
        <w:rPr>
          <w:w w:val="100"/>
        </w:rPr>
        <w:t> </w:t>
      </w:r>
      <w:r>
        <w:rPr/>
        <w:t>视化</w:t>
      </w:r>
      <w:r>
        <w:rPr>
          <w:rFonts w:ascii="宋体" w:hAnsi="宋体" w:cs="宋体" w:eastAsia="宋体" w:hint="default"/>
        </w:rPr>
        <w:t>+</w:t>
      </w:r>
      <w:r>
        <w:rPr/>
        <w:t>分析研判”的一站式位置大数据服务平台，可为各行业提供平台型行业解决方案，继荣获 </w:t>
      </w:r>
      <w:r>
        <w:rPr>
          <w:rFonts w:ascii="宋体" w:hAnsi="宋体" w:cs="宋体" w:eastAsia="宋体" w:hint="default"/>
        </w:rPr>
        <w:t>ITS</w:t>
      </w:r>
      <w:r>
        <w:rPr>
          <w:rFonts w:ascii="宋体" w:hAnsi="宋体" w:cs="宋体" w:eastAsia="宋体" w:hint="default"/>
          <w:spacing w:val="-32"/>
        </w:rPr>
        <w:t> </w:t>
      </w:r>
      <w:r>
        <w:rPr>
          <w:rFonts w:ascii="宋体" w:hAnsi="宋体" w:cs="宋体" w:eastAsia="宋体" w:hint="default"/>
        </w:rPr>
        <w:t>Asia</w:t>
      </w:r>
      <w:r>
        <w:rPr>
          <w:rFonts w:ascii="宋体" w:hAnsi="宋体" w:cs="宋体" w:eastAsia="宋体" w:hint="default"/>
          <w:w w:val="100"/>
        </w:rPr>
        <w:t> </w:t>
      </w:r>
      <w:r>
        <w:rPr>
          <w:rFonts w:ascii="宋体" w:hAnsi="宋体" w:cs="宋体" w:eastAsia="宋体" w:hint="default"/>
        </w:rPr>
        <w:t>2017</w:t>
      </w:r>
      <w:r>
        <w:rPr/>
        <w:t>“创新产品奖”后，再次获得</w:t>
      </w:r>
      <w:r>
        <w:rPr>
          <w:spacing w:val="-54"/>
        </w:rPr>
        <w:t> </w:t>
      </w:r>
      <w:r>
        <w:rPr>
          <w:rFonts w:ascii="宋体" w:hAnsi="宋体" w:cs="宋体" w:eastAsia="宋体" w:hint="default"/>
        </w:rPr>
        <w:t>ITS</w:t>
      </w:r>
      <w:r>
        <w:rPr>
          <w:rFonts w:ascii="宋体" w:hAnsi="宋体" w:cs="宋体" w:eastAsia="宋体" w:hint="default"/>
          <w:spacing w:val="-40"/>
        </w:rPr>
        <w:t> </w:t>
      </w:r>
      <w:r>
        <w:rPr>
          <w:rFonts w:ascii="宋体" w:hAnsi="宋体" w:cs="宋体" w:eastAsia="宋体" w:hint="default"/>
        </w:rPr>
        <w:t>Asia</w:t>
      </w:r>
      <w:r>
        <w:rPr>
          <w:rFonts w:ascii="宋体" w:hAnsi="宋体" w:cs="宋体" w:eastAsia="宋体" w:hint="default"/>
          <w:spacing w:val="-3"/>
        </w:rPr>
        <w:t> </w:t>
      </w:r>
      <w:r>
        <w:rPr/>
        <w:t>“优秀产品奖”。依托</w:t>
      </w:r>
      <w:r>
        <w:rPr>
          <w:spacing w:val="-54"/>
        </w:rPr>
        <w:t> </w:t>
      </w:r>
      <w:r>
        <w:rPr>
          <w:rFonts w:ascii="宋体" w:hAnsi="宋体" w:cs="宋体" w:eastAsia="宋体" w:hint="default"/>
        </w:rPr>
        <w:t>MineData</w:t>
      </w:r>
      <w:r>
        <w:rPr>
          <w:rFonts w:ascii="宋体" w:hAnsi="宋体" w:cs="宋体" w:eastAsia="宋体" w:hint="default"/>
          <w:spacing w:val="-40"/>
        </w:rPr>
        <w:t> </w:t>
      </w:r>
      <w:r>
        <w:rPr>
          <w:rFonts w:ascii="宋体" w:hAnsi="宋体" w:cs="宋体" w:eastAsia="宋体" w:hint="default"/>
        </w:rPr>
        <w:t>2.0</w:t>
      </w:r>
      <w:r>
        <w:rPr>
          <w:rFonts w:ascii="宋体" w:hAnsi="宋体" w:cs="宋体" w:eastAsia="宋体" w:hint="default"/>
          <w:spacing w:val="-54"/>
        </w:rPr>
        <w:t> </w:t>
      </w:r>
      <w:r>
        <w:rPr/>
        <w:t>位置大数据平台，公司</w:t>
      </w:r>
      <w:r>
        <w:rPr>
          <w:w w:val="100"/>
        </w:rPr>
        <w:t> </w:t>
      </w:r>
      <w:r>
        <w:rPr/>
        <w:t>针对行业用户业务痛点，陆续推出多个各具特色的平台型产品和解决方案。</w:t>
      </w:r>
      <w:r>
        <w:rPr>
          <w:rFonts w:ascii="宋体" w:hAnsi="宋体" w:cs="宋体" w:eastAsia="宋体" w:hint="default"/>
        </w:rPr>
        <w:t> </w:t>
      </w:r>
    </w:p>
    <w:p>
      <w:pPr>
        <w:pStyle w:val="Heading5"/>
        <w:spacing w:line="408" w:lineRule="auto"/>
        <w:ind w:right="1126"/>
        <w:jc w:val="both"/>
        <w:rPr>
          <w:rFonts w:ascii="宋体" w:hAnsi="宋体" w:cs="宋体" w:eastAsia="宋体" w:hint="default"/>
        </w:rPr>
      </w:pPr>
      <w:r>
        <w:rPr>
          <w:spacing w:val="-2"/>
        </w:rPr>
        <w:t>在交警领域，公司持续深耕交警业务，已相继和西安交警、济南交警、张家口交警、苏州交警等多个</w:t>
      </w:r>
      <w:r>
        <w:rPr>
          <w:w w:val="100"/>
        </w:rPr>
        <w:t> </w:t>
      </w:r>
      <w:r>
        <w:rPr>
          <w:spacing w:val="-2"/>
        </w:rPr>
        <w:t>地方交警部门展开合作，为交警行业客户引入专业的企业级地图平台、互联网实时路况及专业交通研判算</w:t>
      </w:r>
      <w:r>
        <w:rPr>
          <w:spacing w:val="-42"/>
        </w:rPr>
        <w:t> </w:t>
      </w:r>
      <w:r>
        <w:rPr>
          <w:spacing w:val="-42"/>
        </w:rPr>
      </w:r>
      <w:r>
        <w:rPr>
          <w:spacing w:val="-2"/>
        </w:rPr>
        <w:t>法，为交警实战指挥、秩序管理及情报研判提供支撑，以提升城市道路治理效能，保障道路交通畅通，提</w:t>
      </w:r>
      <w:r>
        <w:rPr>
          <w:spacing w:val="-43"/>
        </w:rPr>
        <w:t> </w:t>
      </w:r>
      <w:r>
        <w:rPr>
          <w:spacing w:val="-43"/>
        </w:rPr>
      </w:r>
      <w:r>
        <w:rPr/>
        <w:t>高公众服务水平。</w:t>
      </w:r>
      <w:r>
        <w:rPr>
          <w:rFonts w:ascii="宋体" w:hAnsi="宋体" w:cs="宋体" w:eastAsia="宋体" w:hint="default"/>
        </w:rPr>
        <w:t> </w:t>
      </w:r>
    </w:p>
    <w:p>
      <w:pPr>
        <w:pStyle w:val="Heading5"/>
        <w:spacing w:line="408" w:lineRule="auto"/>
        <w:ind w:right="1126"/>
        <w:jc w:val="both"/>
        <w:rPr>
          <w:rFonts w:ascii="宋体" w:hAnsi="宋体" w:cs="宋体" w:eastAsia="宋体" w:hint="default"/>
        </w:rPr>
      </w:pPr>
      <w:r>
        <w:rPr/>
        <w:t>在公安领域，公司与公安部第一研究所联合推出的警用公众地理信息服务平台（</w:t>
      </w:r>
      <w:r>
        <w:rPr>
          <w:rFonts w:ascii="宋体" w:hAnsi="宋体" w:cs="宋体" w:eastAsia="宋体" w:hint="default"/>
        </w:rPr>
        <w:t>PPMap</w:t>
      </w:r>
      <w:r>
        <w:rPr/>
        <w:t>），以公安实</w:t>
      </w:r>
      <w:r>
        <w:rPr>
          <w:w w:val="100"/>
        </w:rPr>
        <w:t> </w:t>
      </w:r>
      <w:r>
        <w:rPr>
          <w:spacing w:val="-4"/>
        </w:rPr>
        <w:t>战应用为导向，综合利用云计算、大数据等技术，熔聚公众地理信息、</w:t>
      </w:r>
      <w:r>
        <w:rPr>
          <w:rFonts w:ascii="宋体" w:hAnsi="宋体" w:cs="宋体" w:eastAsia="宋体" w:hint="default"/>
          <w:spacing w:val="-4"/>
        </w:rPr>
        <w:t>PGIS </w:t>
      </w:r>
      <w:r>
        <w:rPr>
          <w:spacing w:val="-3"/>
        </w:rPr>
        <w:t>空间资源和公安业务数据，构</w:t>
      </w:r>
      <w:r>
        <w:rPr>
          <w:spacing w:val="-60"/>
        </w:rPr>
        <w:t> </w:t>
      </w:r>
      <w:r>
        <w:rPr>
          <w:spacing w:val="-60"/>
        </w:rPr>
      </w:r>
      <w:r>
        <w:rPr/>
        <w:t>筑开放共赢的警用公众地理信息服务平台，打造互联网</w:t>
      </w:r>
      <w:r>
        <w:rPr>
          <w:rFonts w:ascii="宋体" w:hAnsi="宋体" w:cs="宋体" w:eastAsia="宋体" w:hint="default"/>
        </w:rPr>
        <w:t>+PGIS</w:t>
      </w:r>
      <w:r>
        <w:rPr>
          <w:rFonts w:ascii="宋体" w:hAnsi="宋体" w:cs="宋体" w:eastAsia="宋体" w:hint="default"/>
          <w:spacing w:val="-28"/>
        </w:rPr>
        <w:t> </w:t>
      </w:r>
      <w:r>
        <w:rPr/>
        <w:t>的警用地理信息技术支撑体系，得到了云南</w:t>
      </w:r>
      <w:r>
        <w:rPr>
          <w:w w:val="100"/>
        </w:rPr>
        <w:t> </w:t>
      </w:r>
      <w:r>
        <w:rPr/>
        <w:t>省公安厅、四川省公安厅、合肥市局、南京市局等各地公安机构的认可。</w:t>
      </w:r>
      <w:r>
        <w:rPr>
          <w:rFonts w:ascii="宋体" w:hAnsi="宋体" w:cs="宋体" w:eastAsia="宋体" w:hint="default"/>
        </w:rPr>
        <w:t> </w:t>
      </w:r>
    </w:p>
    <w:p>
      <w:pPr>
        <w:spacing w:after="0" w:line="408" w:lineRule="auto"/>
        <w:jc w:val="both"/>
        <w:rPr>
          <w:rFonts w:ascii="宋体" w:hAnsi="宋体" w:cs="宋体" w:eastAsia="宋体" w:hint="default"/>
        </w:rPr>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pStyle w:val="Heading5"/>
        <w:spacing w:line="408" w:lineRule="auto" w:before="176"/>
        <w:ind w:right="1025"/>
        <w:jc w:val="both"/>
        <w:rPr>
          <w:rFonts w:ascii="宋体" w:hAnsi="宋体" w:cs="宋体" w:eastAsia="宋体" w:hint="default"/>
        </w:rPr>
      </w:pPr>
      <w:r>
        <w:rPr>
          <w:spacing w:val="-3"/>
        </w:rPr>
        <w:t>在交通领域，公司和多省市运管局、交通厅进行了深度合作，联手武威市凉州区道路运输管理局，共</w:t>
      </w:r>
      <w:r>
        <w:rPr>
          <w:w w:val="100"/>
        </w:rPr>
        <w:t> </w:t>
      </w:r>
      <w:r>
        <w:rPr>
          <w:spacing w:val="-2"/>
        </w:rPr>
        <w:t>同推进运输行业信息化监管平台建设，提供综合交通运输信息一张图、出行监控大数据平台、出行营运分</w:t>
      </w:r>
      <w:r>
        <w:rPr>
          <w:spacing w:val="-43"/>
        </w:rPr>
        <w:t> </w:t>
      </w:r>
      <w:r>
        <w:rPr>
          <w:spacing w:val="-43"/>
        </w:rPr>
      </w:r>
      <w:r>
        <w:rPr>
          <w:spacing w:val="-2"/>
        </w:rPr>
        <w:t>析以及城市交通画像等相关服务。同时，公司参与了大连庄河智慧城市项目一期工程建设子项目“智慧交</w:t>
      </w:r>
      <w:r>
        <w:rPr>
          <w:spacing w:val="-43"/>
        </w:rPr>
        <w:t> </w:t>
      </w:r>
      <w:r>
        <w:rPr>
          <w:spacing w:val="-43"/>
        </w:rPr>
      </w:r>
      <w:r>
        <w:rPr>
          <w:spacing w:val="-2"/>
          <w:w w:val="100"/>
        </w:rPr>
        <w:t>通”相关建设工作。</w:t>
      </w:r>
      <w:r>
        <w:rPr>
          <w:rFonts w:ascii="宋体" w:hAnsi="宋体" w:cs="宋体" w:eastAsia="宋体" w:hint="default"/>
          <w:spacing w:val="-2"/>
          <w:w w:val="100"/>
        </w:rPr>
        <w:t>2018</w:t>
      </w:r>
      <w:r>
        <w:rPr>
          <w:rFonts w:ascii="宋体" w:hAnsi="宋体" w:cs="宋体" w:eastAsia="宋体" w:hint="default"/>
          <w:spacing w:val="-53"/>
          <w:w w:val="100"/>
        </w:rPr>
        <w:t> </w:t>
      </w:r>
      <w:r>
        <w:rPr>
          <w:w w:val="100"/>
        </w:rPr>
        <w:t>年</w:t>
      </w:r>
      <w:r>
        <w:rPr>
          <w:spacing w:val="-51"/>
          <w:w w:val="100"/>
        </w:rPr>
        <w:t> </w:t>
      </w:r>
      <w:r>
        <w:rPr>
          <w:rFonts w:ascii="宋体" w:hAnsi="宋体" w:cs="宋体" w:eastAsia="宋体" w:hint="default"/>
          <w:w w:val="100"/>
        </w:rPr>
        <w:t>8</w:t>
      </w:r>
      <w:r>
        <w:rPr>
          <w:rFonts w:ascii="宋体" w:hAnsi="宋体" w:cs="宋体" w:eastAsia="宋体" w:hint="default"/>
          <w:spacing w:val="-51"/>
          <w:w w:val="100"/>
        </w:rPr>
        <w:t> </w:t>
      </w:r>
      <w:r>
        <w:rPr>
          <w:spacing w:val="-2"/>
          <w:w w:val="100"/>
        </w:rPr>
        <w:t>月，荣获</w:t>
      </w:r>
      <w:r>
        <w:rPr>
          <w:spacing w:val="-50"/>
          <w:w w:val="100"/>
        </w:rPr>
        <w:t> </w:t>
      </w:r>
      <w:r>
        <w:rPr>
          <w:rFonts w:ascii="宋体" w:hAnsi="宋体" w:cs="宋体" w:eastAsia="宋体" w:hint="default"/>
          <w:spacing w:val="-1"/>
          <w:w w:val="100"/>
        </w:rPr>
        <w:t>CTSE</w:t>
      </w:r>
      <w:r>
        <w:rPr>
          <w:rFonts w:ascii="宋体" w:hAnsi="宋体" w:cs="宋体" w:eastAsia="宋体" w:hint="default"/>
          <w:spacing w:val="6"/>
          <w:w w:val="100"/>
        </w:rPr>
        <w:t> </w:t>
      </w:r>
      <w:r>
        <w:rPr>
          <w:rFonts w:ascii="宋体" w:hAnsi="宋体" w:cs="宋体" w:eastAsia="宋体" w:hint="default"/>
          <w:spacing w:val="1"/>
          <w:w w:val="100"/>
        </w:rPr>
        <w:t>2018</w:t>
      </w:r>
      <w:r>
        <w:rPr>
          <w:rFonts w:ascii="宋体" w:hAnsi="宋体" w:cs="宋体" w:eastAsia="宋体" w:hint="default"/>
          <w:spacing w:val="-50"/>
          <w:w w:val="100"/>
        </w:rPr>
        <w:t> </w:t>
      </w:r>
      <w:r>
        <w:rPr>
          <w:spacing w:val="1"/>
          <w:w w:val="100"/>
        </w:rPr>
        <w:t>成都交博会“</w:t>
      </w:r>
      <w:r>
        <w:rPr>
          <w:rFonts w:ascii="宋体" w:hAnsi="宋体" w:cs="宋体" w:eastAsia="宋体" w:hint="default"/>
          <w:spacing w:val="1"/>
          <w:w w:val="100"/>
        </w:rPr>
        <w:t>2017-2018</w:t>
      </w:r>
      <w:r>
        <w:rPr>
          <w:rFonts w:ascii="宋体" w:hAnsi="宋体" w:cs="宋体" w:eastAsia="宋体" w:hint="default"/>
          <w:spacing w:val="-50"/>
          <w:w w:val="100"/>
        </w:rPr>
        <w:t> </w:t>
      </w:r>
      <w:r>
        <w:rPr>
          <w:spacing w:val="-7"/>
          <w:w w:val="100"/>
        </w:rPr>
        <w:t>年度智慧交通优秀企业奖”。</w:t>
      </w:r>
      <w:r>
        <w:rPr>
          <w:rFonts w:ascii="宋体" w:hAnsi="宋体" w:cs="宋体" w:eastAsia="宋体" w:hint="default"/>
          <w:w w:val="100"/>
        </w:rPr>
        <w:t> </w:t>
      </w:r>
    </w:p>
    <w:p>
      <w:pPr>
        <w:pStyle w:val="Heading5"/>
        <w:spacing w:line="408" w:lineRule="auto"/>
        <w:ind w:right="1126"/>
        <w:jc w:val="both"/>
        <w:rPr>
          <w:rFonts w:ascii="宋体" w:hAnsi="宋体" w:cs="宋体" w:eastAsia="宋体" w:hint="default"/>
        </w:rPr>
      </w:pPr>
      <w:r>
        <w:rPr/>
        <w:t>在规划领域，公司联合中国城市规划设计研究院，依托 </w:t>
      </w:r>
      <w:r>
        <w:rPr>
          <w:rFonts w:ascii="宋体" w:hAnsi="宋体" w:cs="宋体" w:eastAsia="宋体" w:hint="default"/>
        </w:rPr>
        <w:t>MineData</w:t>
      </w:r>
      <w:r>
        <w:rPr>
          <w:rFonts w:ascii="宋体" w:hAnsi="宋体" w:cs="宋体" w:eastAsia="宋体" w:hint="default"/>
          <w:spacing w:val="-29"/>
        </w:rPr>
        <w:t> </w:t>
      </w:r>
      <w:r>
        <w:rPr/>
        <w:t>位置大数据平台，建立权威的城市</w:t>
      </w:r>
      <w:r>
        <w:rPr>
          <w:w w:val="100"/>
        </w:rPr>
        <w:t> </w:t>
      </w:r>
      <w:r>
        <w:rPr>
          <w:spacing w:val="-2"/>
        </w:rPr>
        <w:t>路网数据库，搭建四维交通指数平台和智绘城市规划平台，帮助规划部门解决城市道路规划建设中数据管</w:t>
      </w:r>
      <w:r>
        <w:rPr>
          <w:spacing w:val="-44"/>
        </w:rPr>
        <w:t> </w:t>
      </w:r>
      <w:r>
        <w:rPr>
          <w:spacing w:val="-44"/>
        </w:rPr>
      </w:r>
      <w:r>
        <w:rPr>
          <w:spacing w:val="-2"/>
        </w:rPr>
        <w:t>理、指标监督、规划控制等问题，为城市规划工作提供科学依据。目前智绘城市规划平台已成功落地于福</w:t>
      </w:r>
      <w:r>
        <w:rPr>
          <w:spacing w:val="-47"/>
        </w:rPr>
        <w:t> </w:t>
      </w:r>
      <w:r>
        <w:rPr>
          <w:spacing w:val="-47"/>
        </w:rPr>
      </w:r>
      <w:r>
        <w:rPr>
          <w:spacing w:val="-2"/>
        </w:rPr>
        <w:t>建莆田项目，未来将持续推进并广泛应用于更多城市规划项目。此外，公司以双方共同搭建的全国主要城</w:t>
      </w:r>
      <w:r>
        <w:rPr>
          <w:spacing w:val="-43"/>
        </w:rPr>
        <w:t> </w:t>
      </w:r>
      <w:r>
        <w:rPr>
          <w:spacing w:val="-43"/>
        </w:rPr>
      </w:r>
      <w:r>
        <w:rPr>
          <w:spacing w:val="-6"/>
          <w:w w:val="100"/>
        </w:rPr>
        <w:t>市道路网密度监测平台系统为基础，共同编制并正式发布</w:t>
      </w:r>
      <w:r>
        <w:rPr>
          <w:spacing w:val="-61"/>
          <w:w w:val="100"/>
        </w:rPr>
        <w:t> </w:t>
      </w:r>
      <w:r>
        <w:rPr>
          <w:rFonts w:ascii="宋体" w:hAnsi="宋体" w:cs="宋体" w:eastAsia="宋体" w:hint="default"/>
          <w:w w:val="100"/>
        </w:rPr>
        <w:t>2018</w:t>
      </w:r>
      <w:r>
        <w:rPr>
          <w:rFonts w:ascii="宋体" w:hAnsi="宋体" w:cs="宋体" w:eastAsia="宋体" w:hint="default"/>
          <w:spacing w:val="-64"/>
          <w:w w:val="100"/>
        </w:rPr>
        <w:t> </w:t>
      </w:r>
      <w:r>
        <w:rPr>
          <w:spacing w:val="-12"/>
          <w:w w:val="100"/>
        </w:rPr>
        <w:t>年度《中国主要城市道路网密度监测报告》，</w:t>
      </w:r>
      <w:r>
        <w:rPr>
          <w:spacing w:val="-103"/>
          <w:w w:val="100"/>
        </w:rPr>
        <w:t> </w:t>
      </w:r>
      <w:r>
        <w:rPr>
          <w:spacing w:val="-103"/>
          <w:w w:val="100"/>
        </w:rPr>
      </w:r>
      <w:r>
        <w:rPr/>
        <w:t>为城市规划提供有力臂助。</w:t>
      </w:r>
      <w:r>
        <w:rPr>
          <w:rFonts w:ascii="宋体" w:hAnsi="宋体" w:cs="宋体" w:eastAsia="宋体" w:hint="default"/>
        </w:rPr>
        <w:t> </w:t>
      </w:r>
    </w:p>
    <w:p>
      <w:pPr>
        <w:pStyle w:val="Heading5"/>
        <w:spacing w:line="408" w:lineRule="auto"/>
        <w:ind w:right="1017"/>
        <w:jc w:val="left"/>
        <w:rPr>
          <w:rFonts w:ascii="宋体" w:hAnsi="宋体" w:cs="宋体" w:eastAsia="宋体" w:hint="default"/>
        </w:rPr>
      </w:pPr>
      <w:r>
        <w:rPr/>
        <w:t>在保险领域，由公司负责实施相关 </w:t>
      </w:r>
      <w:r>
        <w:rPr>
          <w:rFonts w:ascii="宋体" w:hAnsi="宋体" w:cs="宋体" w:eastAsia="宋体" w:hint="default"/>
        </w:rPr>
        <w:t>GIS</w:t>
      </w:r>
      <w:r>
        <w:rPr>
          <w:rFonts w:ascii="宋体" w:hAnsi="宋体" w:cs="宋体" w:eastAsia="宋体" w:hint="default"/>
          <w:spacing w:val="-28"/>
        </w:rPr>
        <w:t> </w:t>
      </w:r>
      <w:r>
        <w:rPr/>
        <w:t>服务以及可视化能力解决方案的国家地震巨灾模型正式发布。</w:t>
      </w:r>
      <w:r>
        <w:rPr>
          <w:w w:val="100"/>
        </w:rPr>
        <w:t> </w:t>
      </w:r>
      <w:r>
        <w:rPr/>
        <w:t>该模型由中再集团与中国地震局地球物理研究所、中国地震局工程力学研究所等国内权威地震研究机构联</w:t>
      </w:r>
      <w:r>
        <w:rPr>
          <w:w w:val="100"/>
        </w:rPr>
        <w:t> </w:t>
      </w:r>
      <w:r>
        <w:rPr/>
        <w:t>合开发，为我国首个拥有自主知识产权的地震风险评估模型平台。这一研发成果极大提高了我国保险行业</w:t>
      </w:r>
      <w:r>
        <w:rPr>
          <w:w w:val="100"/>
        </w:rPr>
        <w:t> </w:t>
      </w:r>
      <w:r>
        <w:rPr/>
        <w:t>对地震损失评估的准确程度，为地震巨灾保险定价、风险识别、业务组合优化和风险累积管理等提供关键</w:t>
      </w:r>
      <w:r>
        <w:rPr>
          <w:w w:val="100"/>
        </w:rPr>
        <w:t> </w:t>
      </w:r>
      <w:r>
        <w:rPr/>
        <w:t>技术支撑。</w:t>
      </w:r>
      <w:r>
        <w:rPr>
          <w:rFonts w:ascii="宋体" w:hAnsi="宋体" w:cs="宋体" w:eastAsia="宋体" w:hint="default"/>
        </w:rPr>
        <w:t> </w:t>
      </w:r>
    </w:p>
    <w:p>
      <w:pPr>
        <w:pStyle w:val="Heading5"/>
        <w:spacing w:line="408" w:lineRule="auto"/>
        <w:ind w:right="1126"/>
        <w:jc w:val="both"/>
        <w:rPr>
          <w:rFonts w:ascii="宋体" w:hAnsi="宋体" w:cs="宋体" w:eastAsia="宋体" w:hint="default"/>
        </w:rPr>
      </w:pPr>
      <w:r>
        <w:rPr>
          <w:spacing w:val="-6"/>
        </w:rPr>
        <w:t>在扶贫领域，公司联手贵州省扶贫办共同创新性实践“互联网</w:t>
      </w:r>
      <w:r>
        <w:rPr>
          <w:rFonts w:ascii="宋体" w:hAnsi="宋体" w:cs="宋体" w:eastAsia="宋体" w:hint="default"/>
          <w:spacing w:val="-6"/>
        </w:rPr>
        <w:t>+</w:t>
      </w:r>
      <w:r>
        <w:rPr>
          <w:spacing w:val="-6"/>
        </w:rPr>
        <w:t>科学精准扶贫”新模式，依托</w:t>
      </w:r>
      <w:r>
        <w:rPr>
          <w:spacing w:val="-11"/>
        </w:rPr>
        <w:t> </w:t>
      </w:r>
      <w:r>
        <w:rPr>
          <w:rFonts w:ascii="宋体" w:hAnsi="宋体" w:cs="宋体" w:eastAsia="宋体" w:hint="default"/>
        </w:rPr>
        <w:t>MineData</w:t>
      </w:r>
      <w:r>
        <w:rPr>
          <w:rFonts w:ascii="宋体" w:hAnsi="宋体" w:cs="宋体" w:eastAsia="宋体" w:hint="default"/>
          <w:w w:val="100"/>
        </w:rPr>
        <w:t> </w:t>
      </w:r>
      <w:r>
        <w:rPr>
          <w:spacing w:val="-2"/>
        </w:rPr>
        <w:t>核心能力，对贵州省“扶贫云”平台进行升级改造，旨在大数据环境下运用数据比对与数据分析，提升对</w:t>
      </w:r>
      <w:r>
        <w:rPr>
          <w:spacing w:val="-43"/>
        </w:rPr>
        <w:t> </w:t>
      </w:r>
      <w:r>
        <w:rPr>
          <w:spacing w:val="-43"/>
        </w:rPr>
      </w:r>
      <w:r>
        <w:rPr>
          <w:spacing w:val="-2"/>
        </w:rPr>
        <w:t>贫困状况的监测与评估，加强对扶贫资金的科学使用和对扶贫项目的智能监管，为各级决策层和各级扶贫</w:t>
      </w:r>
      <w:r>
        <w:rPr>
          <w:spacing w:val="-42"/>
        </w:rPr>
        <w:t> </w:t>
      </w:r>
      <w:r>
        <w:rPr>
          <w:spacing w:val="-42"/>
        </w:rPr>
      </w:r>
      <w:r>
        <w:rPr/>
        <w:t>部门提供决策支持与资源协助。</w:t>
      </w:r>
      <w:r>
        <w:rPr>
          <w:rFonts w:ascii="宋体" w:hAnsi="宋体" w:cs="宋体" w:eastAsia="宋体" w:hint="default"/>
        </w:rPr>
        <w:t> </w:t>
      </w:r>
    </w:p>
    <w:p>
      <w:pPr>
        <w:pStyle w:val="Heading5"/>
        <w:spacing w:line="408" w:lineRule="auto"/>
        <w:ind w:right="1126" w:firstLine="422"/>
        <w:jc w:val="both"/>
        <w:rPr>
          <w:rFonts w:ascii="宋体" w:hAnsi="宋体" w:cs="宋体" w:eastAsia="宋体" w:hint="default"/>
        </w:rPr>
      </w:pPr>
      <w:r>
        <w:rPr>
          <w:rFonts w:ascii="宋体" w:hAnsi="宋体" w:cs="宋体" w:eastAsia="宋体" w:hint="default"/>
          <w:b/>
          <w:bCs/>
          <w:spacing w:val="-2"/>
        </w:rPr>
        <w:t>在市场和客户拓展方面，</w:t>
      </w:r>
      <w:r>
        <w:rPr>
          <w:spacing w:val="-2"/>
        </w:rPr>
        <w:t>公司在前装车载导航电子地图领域继续保持了领先的市场份额，与重要互联</w:t>
      </w:r>
      <w:r>
        <w:rPr>
          <w:w w:val="100"/>
        </w:rPr>
        <w:t> </w:t>
      </w:r>
      <w:r>
        <w:rPr>
          <w:spacing w:val="-2"/>
        </w:rPr>
        <w:t>网客户及行业客户保持了良好的战略合作关系；面对激烈的市场竞争环境，公司主动走向用户深入挖掘用</w:t>
      </w:r>
      <w:r>
        <w:rPr>
          <w:spacing w:val="-43"/>
        </w:rPr>
        <w:t> </w:t>
      </w:r>
      <w:r>
        <w:rPr>
          <w:spacing w:val="-43"/>
        </w:rPr>
      </w:r>
      <w:r>
        <w:rPr>
          <w:spacing w:val="-2"/>
        </w:rPr>
        <w:t>户痛点及新兴需求，积极寻求产品服务创新及业务突破。报告期内，公司进一步推进与国内外重要车厂的</w:t>
      </w:r>
      <w:r>
        <w:rPr>
          <w:spacing w:val="-43"/>
        </w:rPr>
        <w:t> </w:t>
      </w:r>
      <w:r>
        <w:rPr>
          <w:spacing w:val="-43"/>
        </w:rPr>
      </w:r>
      <w:r>
        <w:rPr>
          <w:spacing w:val="-2"/>
        </w:rPr>
        <w:t>全面合作关系，合作领域从传统的地图数据服务向高精度地图、车联网解决方案、芯片解决方案、自动驾</w:t>
      </w:r>
      <w:r>
        <w:rPr>
          <w:spacing w:val="-47"/>
        </w:rPr>
        <w:t> </w:t>
      </w:r>
      <w:r>
        <w:rPr>
          <w:spacing w:val="-47"/>
        </w:rPr>
      </w:r>
      <w:r>
        <w:rPr/>
        <w:t>驶解决方案、大数据应用等领域拓展及深化，服务范围从中国国内向东南亚等国际区域延伸。</w:t>
      </w:r>
      <w:r>
        <w:rPr>
          <w:rFonts w:ascii="宋体" w:hAnsi="宋体" w:cs="宋体" w:eastAsia="宋体" w:hint="default"/>
        </w:rPr>
        <w:t> </w:t>
      </w:r>
    </w:p>
    <w:p>
      <w:pPr>
        <w:pStyle w:val="Heading5"/>
        <w:spacing w:line="408" w:lineRule="auto"/>
        <w:ind w:right="982"/>
        <w:jc w:val="left"/>
        <w:rPr>
          <w:rFonts w:ascii="宋体" w:hAnsi="宋体" w:cs="宋体" w:eastAsia="宋体" w:hint="default"/>
        </w:rPr>
      </w:pPr>
      <w:r>
        <w:rPr>
          <w:spacing w:val="-2"/>
        </w:rPr>
        <w:t>面对互联网行业快速发展且复杂多变的应用场景和新兴需求，公司积极调整市场策略，并建立快速应</w:t>
      </w:r>
      <w:r>
        <w:rPr>
          <w:w w:val="100"/>
        </w:rPr>
        <w:t> </w:t>
      </w:r>
      <w:r>
        <w:rPr/>
        <w:t>对机制。报告期内，公司与腾讯、滴滴、</w:t>
      </w:r>
      <w:r>
        <w:rPr>
          <w:rFonts w:ascii="宋体" w:hAnsi="宋体" w:cs="宋体" w:eastAsia="宋体" w:hint="default"/>
        </w:rPr>
        <w:t>HERE</w:t>
      </w:r>
      <w:r>
        <w:rPr/>
        <w:t>、华为、微软等高科技领先企业开展多层次的交流和合作，</w:t>
      </w:r>
      <w:r>
        <w:rPr>
          <w:spacing w:val="-26"/>
        </w:rPr>
        <w:t> </w:t>
      </w:r>
      <w:r>
        <w:rPr>
          <w:spacing w:val="-26"/>
        </w:rPr>
      </w:r>
      <w:r>
        <w:rPr/>
        <w:t>面向未来共同探讨多元化的产品及商务模式。</w:t>
      </w:r>
      <w:r>
        <w:rPr>
          <w:rFonts w:ascii="宋体" w:hAnsi="宋体" w:cs="宋体" w:eastAsia="宋体" w:hint="default"/>
        </w:rPr>
        <w:t> </w:t>
      </w:r>
    </w:p>
    <w:p>
      <w:pPr>
        <w:pStyle w:val="Heading5"/>
        <w:spacing w:line="408" w:lineRule="auto"/>
        <w:ind w:right="1126"/>
        <w:jc w:val="both"/>
        <w:rPr>
          <w:rFonts w:ascii="宋体" w:hAnsi="宋体" w:cs="宋体" w:eastAsia="宋体" w:hint="default"/>
        </w:rPr>
      </w:pPr>
      <w:r>
        <w:rPr>
          <w:spacing w:val="-2"/>
        </w:rPr>
        <w:t>面对位置大数据服务需求的快速爆发，公司不断加大位置大数据产品和平台服务能力的迭代升级，并</w:t>
      </w:r>
      <w:r>
        <w:rPr>
          <w:w w:val="100"/>
        </w:rPr>
        <w:t> </w:t>
      </w:r>
      <w:r>
        <w:rPr>
          <w:spacing w:val="-2"/>
        </w:rPr>
        <w:t>针对行业用户业务痛点的不同需求，陆续推出多个各具特色的平台型产品和解决方案，在交警、公安、交</w:t>
      </w:r>
      <w:r>
        <w:rPr>
          <w:spacing w:val="-45"/>
        </w:rPr>
        <w:t> </w:t>
      </w:r>
      <w:r>
        <w:rPr>
          <w:spacing w:val="-45"/>
        </w:rPr>
      </w:r>
      <w:r>
        <w:rPr/>
        <w:t>通、规划等领域重点发力。</w:t>
      </w:r>
      <w:r>
        <w:rPr>
          <w:rFonts w:ascii="宋体" w:hAnsi="宋体" w:cs="宋体" w:eastAsia="宋体" w:hint="default"/>
        </w:rPr>
        <w:t> </w:t>
      </w:r>
    </w:p>
    <w:p>
      <w:pPr>
        <w:spacing w:after="0" w:line="408" w:lineRule="auto"/>
        <w:jc w:val="both"/>
        <w:rPr>
          <w:rFonts w:ascii="宋体" w:hAnsi="宋体" w:cs="宋体" w:eastAsia="宋体" w:hint="default"/>
        </w:rPr>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spacing w:line="5161" w:lineRule="exact"/>
        <w:ind w:left="154" w:right="0" w:firstLine="0"/>
        <w:rPr>
          <w:rFonts w:ascii="宋体" w:hAnsi="宋体" w:cs="宋体" w:eastAsia="宋体" w:hint="default"/>
          <w:sz w:val="20"/>
          <w:szCs w:val="20"/>
        </w:rPr>
      </w:pPr>
      <w:r>
        <w:rPr>
          <w:rFonts w:ascii="宋体" w:hAnsi="宋体" w:cs="宋体" w:eastAsia="宋体" w:hint="default"/>
          <w:position w:val="-102"/>
          <w:sz w:val="20"/>
          <w:szCs w:val="20"/>
        </w:rPr>
        <w:drawing>
          <wp:inline distT="0" distB="0" distL="0" distR="0">
            <wp:extent cx="6136179" cy="3277552"/>
            <wp:effectExtent l="0" t="0" r="0" b="0"/>
            <wp:docPr id="45" name="image24.jpeg" descr=""/>
            <wp:cNvGraphicFramePr>
              <a:graphicFrameLocks noChangeAspect="1"/>
            </wp:cNvGraphicFramePr>
            <a:graphic>
              <a:graphicData uri="http://schemas.openxmlformats.org/drawingml/2006/picture">
                <pic:pic>
                  <pic:nvPicPr>
                    <pic:cNvPr id="46" name="image24.jpeg"/>
                    <pic:cNvPicPr/>
                  </pic:nvPicPr>
                  <pic:blipFill>
                    <a:blip r:embed="rId37" cstate="print"/>
                    <a:stretch>
                      <a:fillRect/>
                    </a:stretch>
                  </pic:blipFill>
                  <pic:spPr>
                    <a:xfrm>
                      <a:off x="0" y="0"/>
                      <a:ext cx="6136179" cy="3277552"/>
                    </a:xfrm>
                    <a:prstGeom prst="rect">
                      <a:avLst/>
                    </a:prstGeom>
                  </pic:spPr>
                </pic:pic>
              </a:graphicData>
            </a:graphic>
          </wp:inline>
        </w:drawing>
      </w:r>
      <w:r>
        <w:rPr>
          <w:rFonts w:ascii="宋体" w:hAnsi="宋体" w:cs="宋体" w:eastAsia="宋体" w:hint="default"/>
          <w:position w:val="-102"/>
          <w:sz w:val="20"/>
          <w:szCs w:val="20"/>
        </w:rPr>
      </w:r>
    </w:p>
    <w:p>
      <w:pPr>
        <w:spacing w:line="240" w:lineRule="auto" w:before="8"/>
        <w:rPr>
          <w:rFonts w:ascii="宋体" w:hAnsi="宋体" w:cs="宋体" w:eastAsia="宋体" w:hint="default"/>
          <w:sz w:val="7"/>
          <w:szCs w:val="7"/>
        </w:rPr>
      </w:pPr>
    </w:p>
    <w:p>
      <w:pPr>
        <w:spacing w:line="408" w:lineRule="auto" w:before="36"/>
        <w:ind w:left="575" w:right="982" w:firstLine="3554"/>
        <w:jc w:val="left"/>
        <w:rPr>
          <w:rFonts w:ascii="宋体" w:hAnsi="宋体" w:cs="宋体" w:eastAsia="宋体" w:hint="default"/>
          <w:sz w:val="21"/>
          <w:szCs w:val="21"/>
        </w:rPr>
      </w:pPr>
      <w:r>
        <w:rPr>
          <w:rFonts w:ascii="宋体" w:hAnsi="宋体" w:cs="宋体" w:eastAsia="宋体" w:hint="default"/>
          <w:b/>
          <w:bCs/>
          <w:sz w:val="21"/>
          <w:szCs w:val="21"/>
        </w:rPr>
        <w:t>四维图新客户遍及全球</w:t>
      </w:r>
      <w:r>
        <w:rPr>
          <w:rFonts w:ascii="宋体" w:hAnsi="宋体" w:cs="宋体" w:eastAsia="宋体" w:hint="default"/>
          <w:b/>
          <w:bCs/>
          <w:w w:val="99"/>
          <w:sz w:val="21"/>
          <w:szCs w:val="21"/>
        </w:rPr>
        <w:t> </w:t>
      </w:r>
      <w:r>
        <w:rPr>
          <w:rFonts w:ascii="宋体" w:hAnsi="宋体" w:cs="宋体" w:eastAsia="宋体" w:hint="default"/>
          <w:b/>
          <w:bCs/>
          <w:spacing w:val="-2"/>
          <w:sz w:val="21"/>
          <w:szCs w:val="21"/>
        </w:rPr>
        <w:t>在研发投入及新产品开发方面，</w:t>
      </w:r>
      <w:r>
        <w:rPr>
          <w:rFonts w:ascii="宋体" w:hAnsi="宋体" w:cs="宋体" w:eastAsia="宋体" w:hint="default"/>
          <w:spacing w:val="-2"/>
          <w:sz w:val="21"/>
          <w:szCs w:val="21"/>
        </w:rPr>
        <w:t>公司立足于以位置为核心的海量多源大数据优势和计算平台优势，持</w:t>
      </w:r>
    </w:p>
    <w:p>
      <w:pPr>
        <w:pStyle w:val="Heading5"/>
        <w:spacing w:line="408" w:lineRule="auto"/>
        <w:ind w:right="1126" w:firstLine="0"/>
        <w:jc w:val="both"/>
        <w:rPr>
          <w:rFonts w:ascii="宋体" w:hAnsi="宋体" w:cs="宋体" w:eastAsia="宋体" w:hint="default"/>
        </w:rPr>
      </w:pPr>
      <w:r>
        <w:rPr>
          <w:spacing w:val="-2"/>
        </w:rPr>
        <w:t>续关注市场前沿科技走向和新兴技术发展趋势，对公司内部研发力量进行优化整合，引进行业优势资源和</w:t>
      </w:r>
      <w:r>
        <w:rPr>
          <w:spacing w:val="-44"/>
        </w:rPr>
        <w:t> </w:t>
      </w:r>
      <w:r>
        <w:rPr>
          <w:spacing w:val="-44"/>
        </w:rPr>
      </w:r>
      <w:r>
        <w:rPr>
          <w:spacing w:val="-2"/>
        </w:rPr>
        <w:t>顶尖人才，加强自主研发能力建设和技术创新能力提升。面向客户及新兴应用需求，加速推进生产工艺迭</w:t>
      </w:r>
      <w:r>
        <w:rPr>
          <w:spacing w:val="-44"/>
        </w:rPr>
        <w:t> </w:t>
      </w:r>
      <w:r>
        <w:rPr>
          <w:spacing w:val="-44"/>
        </w:rPr>
      </w:r>
      <w:r>
        <w:rPr>
          <w:spacing w:val="-2"/>
        </w:rPr>
        <w:t>代升级，以及新产品开发和商用孵化。面向自动驾驶等未来领域，加强核心关键技术和底层技术的科研攻</w:t>
      </w:r>
      <w:r>
        <w:rPr>
          <w:spacing w:val="-43"/>
        </w:rPr>
        <w:t> </w:t>
      </w:r>
      <w:r>
        <w:rPr>
          <w:spacing w:val="-43"/>
        </w:rPr>
      </w:r>
      <w:r>
        <w:rPr/>
        <w:t>关和知识产权积累，为公司打造技术领先优势奠定基础。</w:t>
      </w:r>
      <w:r>
        <w:rPr>
          <w:rFonts w:ascii="宋体" w:hAnsi="宋体" w:cs="宋体" w:eastAsia="宋体" w:hint="default"/>
        </w:rPr>
        <w:t> </w:t>
      </w:r>
    </w:p>
    <w:p>
      <w:pPr>
        <w:pStyle w:val="Heading5"/>
        <w:spacing w:line="408" w:lineRule="auto"/>
        <w:ind w:right="1126"/>
        <w:jc w:val="both"/>
      </w:pPr>
      <w:r>
        <w:rPr>
          <w:spacing w:val="-2"/>
        </w:rPr>
        <w:t>报告期内，公司导航业务的核心能力和用户体验持续提升，获得国际高端车厂和行业客户的认可，新</w:t>
      </w:r>
      <w:r>
        <w:rPr>
          <w:w w:val="100"/>
        </w:rPr>
        <w:t> </w:t>
      </w:r>
      <w:r>
        <w:rPr>
          <w:spacing w:val="-2"/>
        </w:rPr>
        <w:t>产品开发及落地按计划推进。重新梳理车联网业务产品架构、技术体系和服务体系，持续提升可以同步支</w:t>
      </w:r>
      <w:r>
        <w:rPr>
          <w:spacing w:val="-43"/>
        </w:rPr>
        <w:t> </w:t>
      </w:r>
      <w:r>
        <w:rPr>
          <w:spacing w:val="-43"/>
        </w:rPr>
      </w:r>
      <w:r>
        <w:rPr>
          <w:spacing w:val="-2"/>
        </w:rPr>
        <w:t>撑乘用车车联网和商用车车联网的服务能力，加强面向自动驾驶应用场景、基于大数据的车联网服务以及</w:t>
      </w:r>
      <w:r>
        <w:rPr>
          <w:spacing w:val="-42"/>
        </w:rPr>
        <w:t> </w:t>
      </w:r>
      <w:r>
        <w:rPr>
          <w:spacing w:val="-42"/>
        </w:rPr>
      </w:r>
      <w:r>
        <w:rPr>
          <w:spacing w:val="-2"/>
        </w:rPr>
        <w:t>新能源汽车智能出行等领域的技术验证和产品开发力度。面对主动安全、智能网联、自动驾驶等芯片应用</w:t>
      </w:r>
      <w:r>
        <w:rPr>
          <w:spacing w:val="-43"/>
        </w:rPr>
        <w:t> </w:t>
      </w:r>
      <w:r>
        <w:rPr>
          <w:spacing w:val="-43"/>
        </w:rPr>
      </w:r>
      <w:r>
        <w:rPr/>
        <w:t>领域巨大的市场发展空间，公司在加速</w:t>
      </w:r>
      <w:r>
        <w:rPr>
          <w:spacing w:val="-65"/>
        </w:rPr>
        <w:t> </w:t>
      </w:r>
      <w:r>
        <w:rPr>
          <w:rFonts w:ascii="宋体" w:hAnsi="宋体" w:cs="宋体" w:eastAsia="宋体" w:hint="default"/>
        </w:rPr>
        <w:t>IVI</w:t>
      </w:r>
      <w:r>
        <w:rPr>
          <w:rFonts w:ascii="宋体" w:hAnsi="宋体" w:cs="宋体" w:eastAsia="宋体" w:hint="default"/>
          <w:spacing w:val="-66"/>
        </w:rPr>
        <w:t> </w:t>
      </w:r>
      <w:r>
        <w:rPr/>
        <w:t>车载信息娱乐系统芯片产品迭代升级的基础上，加大新产品开</w:t>
      </w:r>
      <w:r>
        <w:rPr>
          <w:w w:val="100"/>
        </w:rPr>
        <w:t> </w:t>
      </w:r>
      <w:r>
        <w:rPr/>
        <w:t>发及验证力度。高性能高精度定位芯片 </w:t>
      </w:r>
      <w:r>
        <w:rPr>
          <w:rFonts w:ascii="宋体" w:hAnsi="宋体" w:cs="宋体" w:eastAsia="宋体" w:hint="default"/>
        </w:rPr>
        <w:t>IP</w:t>
      </w:r>
      <w:r>
        <w:rPr>
          <w:rFonts w:ascii="宋体" w:hAnsi="宋体" w:cs="宋体" w:eastAsia="宋体" w:hint="default"/>
          <w:spacing w:val="-28"/>
        </w:rPr>
        <w:t> </w:t>
      </w:r>
      <w:r>
        <w:rPr/>
        <w:t>核能力填补国内空白，流片计划有序推进。高精度数据采集制</w:t>
      </w:r>
      <w:r>
        <w:rPr>
          <w:w w:val="100"/>
        </w:rPr>
        <w:t> </w:t>
      </w:r>
      <w:r>
        <w:rPr>
          <w:spacing w:val="-4"/>
        </w:rPr>
        <w:t>作的核心技术全面达到国际领先水平，并具备了行业领先的高精度数据生产能力和规模生产能力，基于 </w:t>
      </w:r>
      <w:r>
        <w:rPr>
          <w:rFonts w:ascii="宋体" w:hAnsi="宋体" w:cs="宋体" w:eastAsia="宋体" w:hint="default"/>
        </w:rPr>
        <w:t>HD</w:t>
      </w:r>
      <w:r>
        <w:rPr>
          <w:rFonts w:ascii="宋体" w:hAnsi="宋体" w:cs="宋体" w:eastAsia="宋体" w:hint="default"/>
          <w:spacing w:val="-55"/>
        </w:rPr>
        <w:t> </w:t>
      </w:r>
      <w:r>
        <w:rPr>
          <w:spacing w:val="-3"/>
        </w:rPr>
        <w:t>地图的数据编译、导航引擎及应用能力大幅提升。基于</w:t>
      </w:r>
      <w:r>
        <w:rPr>
          <w:spacing w:val="-36"/>
        </w:rPr>
        <w:t> </w:t>
      </w:r>
      <w:r>
        <w:rPr>
          <w:rFonts w:ascii="宋体" w:hAnsi="宋体" w:cs="宋体" w:eastAsia="宋体" w:hint="default"/>
        </w:rPr>
        <w:t>RTK</w:t>
      </w:r>
      <w:r>
        <w:rPr>
          <w:rFonts w:ascii="宋体" w:hAnsi="宋体" w:cs="宋体" w:eastAsia="宋体" w:hint="default"/>
          <w:spacing w:val="-35"/>
        </w:rPr>
        <w:t> </w:t>
      </w:r>
      <w:r>
        <w:rPr/>
        <w:t>技术的智能化高精度定位接收机已通过长期连</w:t>
      </w:r>
      <w:r>
        <w:rPr>
          <w:spacing w:val="-98"/>
        </w:rPr>
        <w:t> </w:t>
      </w:r>
      <w:r>
        <w:rPr>
          <w:spacing w:val="-98"/>
        </w:rPr>
      </w:r>
      <w:r>
        <w:rPr>
          <w:spacing w:val="-2"/>
        </w:rPr>
        <w:t>续技术验证和测试，达到或高于市场同类产品水准，且支持智能化远程更新，具备量产化能力。正在搭建</w:t>
      </w:r>
      <w:r>
        <w:rPr>
          <w:spacing w:val="-47"/>
        </w:rPr>
        <w:t> </w:t>
      </w:r>
      <w:r>
        <w:rPr>
          <w:spacing w:val="-47"/>
        </w:rPr>
      </w:r>
      <w:r>
        <w:rPr>
          <w:spacing w:val="-2"/>
        </w:rPr>
        <w:t>的基于公司云服务平台的“全国一张网”实时解算中心，支持海量用户同时在线，可面向高级辅助驾驶车</w:t>
      </w:r>
      <w:r>
        <w:rPr>
          <w:spacing w:val="-47"/>
        </w:rPr>
        <w:t> </w:t>
      </w:r>
      <w:r>
        <w:rPr>
          <w:spacing w:val="-47"/>
        </w:rPr>
      </w:r>
      <w:r>
        <w:rPr>
          <w:spacing w:val="-2"/>
        </w:rPr>
        <w:t>辆、自动驾车辆提供稳定高精度定位信息播发。基于深度学习的技术成果已应用于高精度地图数据采集和</w:t>
      </w:r>
      <w:r>
        <w:rPr>
          <w:spacing w:val="-43"/>
        </w:rPr>
        <w:t> </w:t>
      </w:r>
      <w:r>
        <w:rPr>
          <w:spacing w:val="-43"/>
        </w:rPr>
      </w:r>
      <w:r>
        <w:rPr>
          <w:spacing w:val="-2"/>
        </w:rPr>
        <w:t>自动驾驶研发测试之中。与众多车厂及行业合伙伙伴共同打造的高级辅助驾驶产品商业化验证及量产进程</w:t>
      </w:r>
    </w:p>
    <w:p>
      <w:pPr>
        <w:spacing w:after="0" w:line="408" w:lineRule="auto"/>
        <w:jc w:val="both"/>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pStyle w:val="Heading5"/>
        <w:spacing w:line="408" w:lineRule="auto" w:before="176"/>
        <w:ind w:right="1127" w:firstLine="0"/>
        <w:jc w:val="left"/>
        <w:rPr>
          <w:rFonts w:ascii="宋体" w:hAnsi="宋体" w:cs="宋体" w:eastAsia="宋体" w:hint="default"/>
        </w:rPr>
      </w:pPr>
      <w:r>
        <w:rPr/>
        <w:t>加速推进，</w:t>
      </w:r>
      <w:r>
        <w:rPr>
          <w:rFonts w:ascii="宋体" w:hAnsi="宋体" w:cs="宋体" w:eastAsia="宋体" w:hint="default"/>
        </w:rPr>
        <w:t>L3 </w:t>
      </w:r>
      <w:r>
        <w:rPr/>
        <w:t>及以上级别全自动驾驶相关技术解决方案服务能力得到充分验证，</w:t>
      </w:r>
      <w:r>
        <w:rPr>
          <w:rFonts w:ascii="宋体" w:hAnsi="宋体" w:cs="宋体" w:eastAsia="宋体" w:hint="default"/>
        </w:rPr>
        <w:t>L4</w:t>
      </w:r>
      <w:r>
        <w:rPr>
          <w:rFonts w:ascii="宋体" w:hAnsi="宋体" w:cs="宋体" w:eastAsia="宋体" w:hint="default"/>
          <w:spacing w:val="-33"/>
        </w:rPr>
        <w:t> </w:t>
      </w:r>
      <w:r>
        <w:rPr/>
        <w:t>级别全自动驾驶相关</w:t>
      </w:r>
      <w:r>
        <w:rPr>
          <w:w w:val="100"/>
        </w:rPr>
        <w:t> </w:t>
      </w:r>
      <w:r>
        <w:rPr/>
        <w:t>技术解决方案正在搭建之中。</w:t>
      </w:r>
      <w:r>
        <w:rPr>
          <w:rFonts w:ascii="宋体" w:hAnsi="宋体" w:cs="宋体" w:eastAsia="宋体" w:hint="default"/>
        </w:rPr>
        <w:t> </w:t>
      </w:r>
    </w:p>
    <w:p>
      <w:pPr>
        <w:pStyle w:val="Heading5"/>
        <w:spacing w:line="240" w:lineRule="auto"/>
        <w:ind w:left="573" w:right="982" w:firstLine="0"/>
        <w:jc w:val="left"/>
      </w:pPr>
      <w:r>
        <w:rPr/>
        <w:t>报告期内，集团（含子公司）新增授权专利</w:t>
      </w:r>
      <w:r>
        <w:rPr>
          <w:spacing w:val="-57"/>
        </w:rPr>
        <w:t> </w:t>
      </w:r>
      <w:r>
        <w:rPr>
          <w:rFonts w:ascii="宋体" w:hAnsi="宋体" w:cs="宋体" w:eastAsia="宋体" w:hint="default"/>
        </w:rPr>
        <w:t>38</w:t>
      </w:r>
      <w:r>
        <w:rPr>
          <w:rFonts w:ascii="宋体" w:hAnsi="宋体" w:cs="宋体" w:eastAsia="宋体" w:hint="default"/>
          <w:spacing w:val="-59"/>
        </w:rPr>
        <w:t> </w:t>
      </w:r>
      <w:r>
        <w:rPr/>
        <w:t>件、注册的国内商标</w:t>
      </w:r>
      <w:r>
        <w:rPr>
          <w:spacing w:val="-57"/>
        </w:rPr>
        <w:t> </w:t>
      </w:r>
      <w:r>
        <w:rPr>
          <w:rFonts w:ascii="宋体" w:hAnsi="宋体" w:cs="宋体" w:eastAsia="宋体" w:hint="default"/>
        </w:rPr>
        <w:t>32</w:t>
      </w:r>
      <w:r>
        <w:rPr>
          <w:rFonts w:ascii="宋体" w:hAnsi="宋体" w:cs="宋体" w:eastAsia="宋体" w:hint="default"/>
          <w:spacing w:val="-59"/>
        </w:rPr>
        <w:t> </w:t>
      </w:r>
      <w:r>
        <w:rPr/>
        <w:t>件、注册的国际商标</w:t>
      </w:r>
      <w:r>
        <w:rPr>
          <w:spacing w:val="-56"/>
        </w:rPr>
        <w:t> </w:t>
      </w:r>
      <w:r>
        <w:rPr>
          <w:rFonts w:ascii="宋体" w:hAnsi="宋体" w:cs="宋体" w:eastAsia="宋体" w:hint="default"/>
        </w:rPr>
        <w:t>8</w:t>
      </w:r>
      <w:r>
        <w:rPr>
          <w:rFonts w:ascii="宋体" w:hAnsi="宋体" w:cs="宋体" w:eastAsia="宋体" w:hint="default"/>
          <w:spacing w:val="-59"/>
        </w:rPr>
        <w:t> </w:t>
      </w:r>
      <w:r>
        <w:rPr/>
        <w:t>件、软</w:t>
      </w:r>
    </w:p>
    <w:p>
      <w:pPr>
        <w:spacing w:line="240" w:lineRule="auto" w:before="10"/>
        <w:rPr>
          <w:rFonts w:ascii="宋体" w:hAnsi="宋体" w:cs="宋体" w:eastAsia="宋体" w:hint="default"/>
          <w:sz w:val="14"/>
          <w:szCs w:val="14"/>
        </w:rPr>
      </w:pPr>
    </w:p>
    <w:p>
      <w:pPr>
        <w:pStyle w:val="Heading5"/>
        <w:spacing w:line="408" w:lineRule="auto" w:before="0"/>
        <w:ind w:right="1126" w:firstLine="0"/>
        <w:jc w:val="left"/>
        <w:rPr>
          <w:rFonts w:ascii="宋体" w:hAnsi="宋体" w:cs="宋体" w:eastAsia="宋体" w:hint="default"/>
        </w:rPr>
      </w:pPr>
      <w:r>
        <w:rPr/>
        <w:t>件著作</w:t>
      </w:r>
      <w:r>
        <w:rPr>
          <w:spacing w:val="-45"/>
        </w:rPr>
        <w:t> </w:t>
      </w:r>
      <w:r>
        <w:rPr>
          <w:rFonts w:ascii="宋体" w:hAnsi="宋体" w:cs="宋体" w:eastAsia="宋体" w:hint="default"/>
        </w:rPr>
        <w:t>70</w:t>
      </w:r>
      <w:r>
        <w:rPr>
          <w:rFonts w:ascii="宋体" w:hAnsi="宋体" w:cs="宋体" w:eastAsia="宋体" w:hint="default"/>
          <w:spacing w:val="-43"/>
        </w:rPr>
        <w:t> </w:t>
      </w:r>
      <w:r>
        <w:rPr/>
        <w:t>件，并完成</w:t>
      </w:r>
      <w:r>
        <w:rPr>
          <w:spacing w:val="-43"/>
        </w:rPr>
        <w:t> </w:t>
      </w:r>
      <w:r>
        <w:rPr>
          <w:rFonts w:ascii="宋体" w:hAnsi="宋体" w:cs="宋体" w:eastAsia="宋体" w:hint="default"/>
        </w:rPr>
        <w:t>2</w:t>
      </w:r>
      <w:r>
        <w:rPr>
          <w:rFonts w:ascii="宋体" w:hAnsi="宋体" w:cs="宋体" w:eastAsia="宋体" w:hint="default"/>
          <w:spacing w:val="-45"/>
        </w:rPr>
        <w:t> </w:t>
      </w:r>
      <w:r>
        <w:rPr/>
        <w:t>项</w:t>
      </w:r>
      <w:r>
        <w:rPr>
          <w:spacing w:val="-43"/>
        </w:rPr>
        <w:t> </w:t>
      </w:r>
      <w:r>
        <w:rPr>
          <w:rFonts w:ascii="宋体" w:hAnsi="宋体" w:cs="宋体" w:eastAsia="宋体" w:hint="default"/>
        </w:rPr>
        <w:t>863</w:t>
      </w:r>
      <w:r>
        <w:rPr>
          <w:rFonts w:ascii="宋体" w:hAnsi="宋体" w:cs="宋体" w:eastAsia="宋体" w:hint="default"/>
          <w:spacing w:val="-42"/>
        </w:rPr>
        <w:t> </w:t>
      </w:r>
      <w:r>
        <w:rPr/>
        <w:t>国家高科技研究发展计划和</w:t>
      </w:r>
      <w:r>
        <w:rPr>
          <w:spacing w:val="-43"/>
        </w:rPr>
        <w:t> </w:t>
      </w:r>
      <w:r>
        <w:rPr>
          <w:rFonts w:ascii="宋体" w:hAnsi="宋体" w:cs="宋体" w:eastAsia="宋体" w:hint="default"/>
        </w:rPr>
        <w:t>2</w:t>
      </w:r>
      <w:r>
        <w:rPr>
          <w:rFonts w:ascii="宋体" w:hAnsi="宋体" w:cs="宋体" w:eastAsia="宋体" w:hint="default"/>
          <w:spacing w:val="-43"/>
        </w:rPr>
        <w:t> </w:t>
      </w:r>
      <w:r>
        <w:rPr/>
        <w:t>项中国航天科技集团科技创新项目验收，知</w:t>
      </w:r>
      <w:r>
        <w:rPr>
          <w:w w:val="100"/>
        </w:rPr>
        <w:t> </w:t>
      </w:r>
      <w:r>
        <w:rPr/>
        <w:t>识产权储备和创新能力大幅提升。</w:t>
      </w:r>
      <w:r>
        <w:rPr>
          <w:rFonts w:ascii="宋体" w:hAnsi="宋体" w:cs="宋体" w:eastAsia="宋体" w:hint="default"/>
        </w:rPr>
        <w:t> </w:t>
      </w:r>
    </w:p>
    <w:p>
      <w:pPr>
        <w:pStyle w:val="Heading5"/>
        <w:spacing w:line="408" w:lineRule="auto"/>
        <w:ind w:right="1127" w:firstLine="422"/>
        <w:jc w:val="both"/>
        <w:rPr>
          <w:rFonts w:ascii="宋体" w:hAnsi="宋体" w:cs="宋体" w:eastAsia="宋体" w:hint="default"/>
        </w:rPr>
      </w:pPr>
      <w:r>
        <w:rPr>
          <w:rFonts w:ascii="宋体" w:hAnsi="宋体" w:cs="宋体" w:eastAsia="宋体" w:hint="default"/>
          <w:b/>
          <w:bCs/>
          <w:spacing w:val="-2"/>
        </w:rPr>
        <w:t>在对外投资及战略合作方面，</w:t>
      </w:r>
      <w:r>
        <w:rPr>
          <w:spacing w:val="-2"/>
        </w:rPr>
        <w:t>公司不断加强内外连接和协作，在重点业务、关键节点以及新兴市场拓</w:t>
      </w:r>
      <w:r>
        <w:rPr>
          <w:w w:val="100"/>
        </w:rPr>
        <w:t> </w:t>
      </w:r>
      <w:r>
        <w:rPr>
          <w:spacing w:val="-2"/>
        </w:rPr>
        <w:t>展区域等方面，通过资本合作、战略协同等多种方式，借助产业及行业优势资源，加速推动筹措布局，驱</w:t>
      </w:r>
      <w:r>
        <w:rPr>
          <w:spacing w:val="-43"/>
        </w:rPr>
        <w:t> </w:t>
      </w:r>
      <w:r>
        <w:rPr>
          <w:spacing w:val="-43"/>
        </w:rPr>
      </w:r>
      <w:r>
        <w:rPr/>
        <w:t>动公司</w:t>
      </w:r>
      <w:r>
        <w:rPr>
          <w:spacing w:val="-55"/>
        </w:rPr>
        <w:t> </w:t>
      </w:r>
      <w:r>
        <w:rPr>
          <w:rFonts w:ascii="宋体" w:hAnsi="宋体" w:cs="宋体" w:eastAsia="宋体" w:hint="default"/>
        </w:rPr>
        <w:t>2022</w:t>
      </w:r>
      <w:r>
        <w:rPr>
          <w:rFonts w:ascii="宋体" w:hAnsi="宋体" w:cs="宋体" w:eastAsia="宋体" w:hint="default"/>
          <w:spacing w:val="-56"/>
        </w:rPr>
        <w:t> </w:t>
      </w:r>
      <w:r>
        <w:rPr/>
        <w:t>战略落地实施。</w:t>
      </w:r>
      <w:r>
        <w:rPr>
          <w:rFonts w:ascii="宋体" w:hAnsi="宋体" w:cs="宋体" w:eastAsia="宋体" w:hint="default"/>
        </w:rPr>
        <w:t> </w:t>
      </w:r>
    </w:p>
    <w:p>
      <w:pPr>
        <w:pStyle w:val="Heading5"/>
        <w:spacing w:line="408" w:lineRule="auto"/>
        <w:ind w:right="1126"/>
        <w:jc w:val="both"/>
        <w:rPr>
          <w:rFonts w:ascii="宋体" w:hAnsi="宋体" w:cs="宋体" w:eastAsia="宋体" w:hint="default"/>
        </w:rPr>
      </w:pPr>
      <w:r>
        <w:rPr/>
        <w:t>报告期内，公司子公司图吧</w:t>
      </w:r>
      <w:r>
        <w:rPr>
          <w:spacing w:val="-65"/>
        </w:rPr>
        <w:t> </w:t>
      </w:r>
      <w:r>
        <w:rPr>
          <w:rFonts w:ascii="宋体" w:hAnsi="宋体" w:cs="宋体" w:eastAsia="宋体" w:hint="default"/>
        </w:rPr>
        <w:t>BVI</w:t>
      </w:r>
      <w:r>
        <w:rPr>
          <w:rFonts w:ascii="宋体" w:hAnsi="宋体" w:cs="宋体" w:eastAsia="宋体" w:hint="default"/>
          <w:spacing w:val="-66"/>
        </w:rPr>
        <w:t> </w:t>
      </w:r>
      <w:r>
        <w:rPr/>
        <w:t>分拆融资等交割事项已经完成。公司通过引进腾讯、蔚来等具有强大</w:t>
      </w:r>
      <w:r>
        <w:rPr>
          <w:w w:val="100"/>
        </w:rPr>
        <w:t> </w:t>
      </w:r>
      <w:r>
        <w:rPr>
          <w:spacing w:val="-2"/>
        </w:rPr>
        <w:t>产业资源支撑的战略投资者和股东，帮助公司车联网业务导入多元化的产业优势资源和资金支持，为公司</w:t>
      </w:r>
      <w:r>
        <w:rPr>
          <w:spacing w:val="-43"/>
        </w:rPr>
        <w:t> </w:t>
      </w:r>
      <w:r>
        <w:rPr>
          <w:spacing w:val="-43"/>
        </w:rPr>
      </w:r>
      <w:r>
        <w:rPr/>
        <w:t>加速推进车联网产品研发和商业化落地，打造智能网联技术输出能力和市场竞争优势奠定基础。</w:t>
      </w:r>
      <w:r>
        <w:rPr>
          <w:rFonts w:ascii="宋体" w:hAnsi="宋体" w:cs="宋体" w:eastAsia="宋体" w:hint="default"/>
        </w:rPr>
        <w:t> </w:t>
      </w:r>
    </w:p>
    <w:p>
      <w:pPr>
        <w:pStyle w:val="Heading5"/>
        <w:spacing w:line="408" w:lineRule="auto"/>
        <w:ind w:right="1126"/>
        <w:jc w:val="both"/>
        <w:rPr>
          <w:rFonts w:ascii="宋体" w:hAnsi="宋体" w:cs="宋体" w:eastAsia="宋体" w:hint="default"/>
        </w:rPr>
      </w:pPr>
      <w:r>
        <w:rPr>
          <w:spacing w:val="-2"/>
        </w:rPr>
        <w:t>报告期内，公司子公司中寰卫星增资扩股等交割事项已经完成。公司通过增资扩股等方式，引进华泰</w:t>
      </w:r>
      <w:r>
        <w:rPr>
          <w:w w:val="100"/>
        </w:rPr>
        <w:t> </w:t>
      </w:r>
      <w:r>
        <w:rPr>
          <w:spacing w:val="-2"/>
        </w:rPr>
        <w:t>新产业成长基金、好帮手等具有强大产业资源支撑的战略投资者和股东，帮助公司商用车车联网业务导入</w:t>
      </w:r>
      <w:r>
        <w:rPr>
          <w:spacing w:val="-44"/>
        </w:rPr>
        <w:t> </w:t>
      </w:r>
      <w:r>
        <w:rPr>
          <w:spacing w:val="-44"/>
        </w:rPr>
      </w:r>
      <w:r>
        <w:rPr>
          <w:spacing w:val="-2"/>
        </w:rPr>
        <w:t>多元化的产业优势资源和资金支持，为公司加速推进商用车车联网产品研发和商业化落地，打造智能网联</w:t>
      </w:r>
      <w:r>
        <w:rPr>
          <w:spacing w:val="-43"/>
        </w:rPr>
        <w:t> </w:t>
      </w:r>
      <w:r>
        <w:rPr>
          <w:spacing w:val="-43"/>
        </w:rPr>
      </w:r>
      <w:r>
        <w:rPr/>
        <w:t>技术输出能力和市场竞争优势奠定基础。</w:t>
      </w:r>
      <w:r>
        <w:rPr>
          <w:rFonts w:ascii="宋体" w:hAnsi="宋体" w:cs="宋体" w:eastAsia="宋体" w:hint="default"/>
        </w:rPr>
        <w:t> </w:t>
      </w:r>
    </w:p>
    <w:p>
      <w:pPr>
        <w:pStyle w:val="Heading5"/>
        <w:spacing w:line="408" w:lineRule="auto"/>
        <w:ind w:right="1126"/>
        <w:jc w:val="both"/>
        <w:rPr>
          <w:rFonts w:ascii="宋体" w:hAnsi="宋体" w:cs="宋体" w:eastAsia="宋体" w:hint="default"/>
        </w:rPr>
      </w:pPr>
      <w:r>
        <w:rPr>
          <w:spacing w:val="-7"/>
        </w:rPr>
        <w:t>报告期内，公司面向高精度定位领域进行进一步拓展，以自有资金参与设立北京六分科技有限公司（以</w:t>
      </w:r>
      <w:r>
        <w:rPr>
          <w:w w:val="100"/>
        </w:rPr>
        <w:t> </w:t>
      </w:r>
      <w:r>
        <w:rPr>
          <w:spacing w:val="-5"/>
          <w:w w:val="100"/>
        </w:rPr>
        <w:t>下简称“六分科技”）。通过设立六分科技，公司将提升高精度定位产品研发和商业化应用，并将与</w:t>
      </w:r>
      <w:r>
        <w:rPr>
          <w:spacing w:val="36"/>
          <w:w w:val="100"/>
        </w:rPr>
        <w:t> </w:t>
      </w:r>
      <w:r>
        <w:rPr>
          <w:rFonts w:ascii="宋体" w:hAnsi="宋体" w:cs="宋体" w:eastAsia="宋体" w:hint="default"/>
          <w:spacing w:val="-1"/>
          <w:w w:val="100"/>
        </w:rPr>
        <w:t>ADAS</w:t>
      </w:r>
      <w:r>
        <w:rPr>
          <w:rFonts w:ascii="宋体" w:hAnsi="宋体" w:cs="宋体" w:eastAsia="宋体" w:hint="default"/>
          <w:spacing w:val="-102"/>
          <w:w w:val="100"/>
        </w:rPr>
        <w:t> </w:t>
      </w:r>
      <w:r>
        <w:rPr>
          <w:rFonts w:ascii="宋体" w:hAnsi="宋体" w:cs="宋体" w:eastAsia="宋体" w:hint="default"/>
          <w:spacing w:val="-102"/>
          <w:w w:val="100"/>
        </w:rPr>
      </w:r>
      <w:r>
        <w:rPr>
          <w:spacing w:val="-2"/>
        </w:rPr>
        <w:t>地图、高精度地图、自动驾驶方案等业务形成协同优势，不断提升公司在位置大数据、自动驾驶领域的服</w:t>
      </w:r>
      <w:r>
        <w:rPr>
          <w:spacing w:val="-47"/>
        </w:rPr>
        <w:t> </w:t>
      </w:r>
      <w:r>
        <w:rPr>
          <w:spacing w:val="-47"/>
        </w:rPr>
      </w:r>
      <w:r>
        <w:rPr/>
        <w:t>务</w:t>
      </w:r>
      <w:r>
        <w:rPr>
          <w:rFonts w:ascii="宋体" w:hAnsi="宋体" w:cs="宋体" w:eastAsia="宋体" w:hint="default"/>
        </w:rPr>
        <w:t>+</w:t>
      </w:r>
      <w:r>
        <w:rPr/>
        <w:t>终端的软硬一体化整体解决方案的能力。</w:t>
      </w:r>
      <w:r>
        <w:rPr>
          <w:rFonts w:ascii="宋体" w:hAnsi="宋体" w:cs="宋体" w:eastAsia="宋体" w:hint="default"/>
        </w:rPr>
        <w:t> </w:t>
      </w:r>
    </w:p>
    <w:p>
      <w:pPr>
        <w:pStyle w:val="Heading5"/>
        <w:spacing w:line="408" w:lineRule="auto"/>
        <w:ind w:right="982"/>
        <w:jc w:val="left"/>
        <w:rPr>
          <w:rFonts w:ascii="宋体" w:hAnsi="宋体" w:cs="宋体" w:eastAsia="宋体" w:hint="default"/>
        </w:rPr>
      </w:pPr>
      <w:r>
        <w:rPr/>
        <w:t>报告期内，公司参股国汽（北京）智能网联汽车研究院有限公司交割事项已经完成。通过本次交易，</w:t>
      </w:r>
      <w:r>
        <w:rPr>
          <w:w w:val="100"/>
        </w:rPr>
        <w:t> </w:t>
      </w:r>
      <w:r>
        <w:rPr>
          <w:spacing w:val="-2"/>
        </w:rPr>
        <w:t>公司将基于自身多年的产业资源优势和行业地位，与产业合作伙伴共同建设我国智能网联汽车产业生态创</w:t>
      </w:r>
      <w:r>
        <w:rPr>
          <w:spacing w:val="-43"/>
        </w:rPr>
        <w:t> </w:t>
      </w:r>
      <w:r>
        <w:rPr>
          <w:spacing w:val="-43"/>
        </w:rPr>
      </w:r>
      <w:r>
        <w:rPr/>
        <w:t>新体系，打造基础模块和共性平台，提升我国智能网联产业的竞争优势。</w:t>
      </w:r>
      <w:r>
        <w:rPr>
          <w:rFonts w:ascii="宋体" w:hAnsi="宋体" w:cs="宋体" w:eastAsia="宋体" w:hint="default"/>
        </w:rPr>
        <w:t> </w:t>
      </w:r>
    </w:p>
    <w:p>
      <w:pPr>
        <w:pStyle w:val="Heading5"/>
        <w:spacing w:line="410" w:lineRule="auto"/>
        <w:ind w:right="1126"/>
        <w:jc w:val="both"/>
        <w:rPr>
          <w:rFonts w:ascii="宋体" w:hAnsi="宋体" w:cs="宋体" w:eastAsia="宋体" w:hint="default"/>
        </w:rPr>
      </w:pPr>
      <w:r>
        <w:rPr/>
        <w:t>报告期内，公司参股瑞典初创企业</w:t>
      </w:r>
      <w:r>
        <w:rPr>
          <w:spacing w:val="-65"/>
        </w:rPr>
        <w:t> </w:t>
      </w:r>
      <w:r>
        <w:rPr>
          <w:rFonts w:ascii="宋体" w:hAnsi="宋体" w:cs="宋体" w:eastAsia="宋体" w:hint="default"/>
        </w:rPr>
        <w:t>Mapillary</w:t>
      </w:r>
      <w:r>
        <w:rPr>
          <w:rFonts w:ascii="宋体" w:hAnsi="宋体" w:cs="宋体" w:eastAsia="宋体" w:hint="default"/>
          <w:spacing w:val="-67"/>
        </w:rPr>
        <w:t> </w:t>
      </w:r>
      <w:r>
        <w:rPr/>
        <w:t>交易完成。通过本次交易，将进一步丰富公司高精度地</w:t>
      </w:r>
      <w:r>
        <w:rPr>
          <w:w w:val="100"/>
        </w:rPr>
        <w:t> </w:t>
      </w:r>
      <w:r>
        <w:rPr/>
        <w:t>图数据采集方式和获取渠道，拓展数据更新技术和能力，完善高精度地图数据解决方案。</w:t>
      </w:r>
      <w:r>
        <w:rPr>
          <w:rFonts w:ascii="宋体" w:hAnsi="宋体" w:cs="宋体" w:eastAsia="宋体" w:hint="default"/>
        </w:rPr>
        <w:t> </w:t>
      </w:r>
    </w:p>
    <w:p>
      <w:pPr>
        <w:pStyle w:val="Heading5"/>
        <w:spacing w:line="408" w:lineRule="auto" w:before="44"/>
        <w:ind w:right="1126"/>
        <w:jc w:val="both"/>
        <w:rPr>
          <w:rFonts w:ascii="宋体" w:hAnsi="宋体" w:cs="宋体" w:eastAsia="宋体" w:hint="default"/>
        </w:rPr>
      </w:pPr>
      <w:r>
        <w:rPr>
          <w:spacing w:val="-2"/>
          <w:w w:val="100"/>
        </w:rPr>
        <w:t>报告期内，公司参股中国大地财产保险股份有限公司（以下简称“大地保险”）获得批准同意。通过</w:t>
      </w:r>
      <w:r>
        <w:rPr>
          <w:w w:val="100"/>
        </w:rPr>
        <w:t> </w:t>
      </w:r>
      <w:r>
        <w:rPr>
          <w:spacing w:val="-2"/>
        </w:rPr>
        <w:t>本次交易，各投资方将在深度合作的基础上，共同探索开发基于位置大数据的金融科技产品和服务；公司</w:t>
      </w:r>
      <w:r>
        <w:rPr>
          <w:spacing w:val="-43"/>
        </w:rPr>
        <w:t> </w:t>
      </w:r>
      <w:r>
        <w:rPr>
          <w:spacing w:val="-43"/>
        </w:rPr>
      </w:r>
      <w:r>
        <w:rPr/>
        <w:t>也将基于大数据技术和产业附能优势，探索车联网大数据在保险领域的应用价值和商业模式奠定基础。</w:t>
      </w:r>
      <w:r>
        <w:rPr>
          <w:rFonts w:ascii="宋体" w:hAnsi="宋体" w:cs="宋体" w:eastAsia="宋体" w:hint="default"/>
        </w:rPr>
        <w:t> </w:t>
      </w:r>
    </w:p>
    <w:p>
      <w:pPr>
        <w:pStyle w:val="Heading5"/>
        <w:spacing w:line="408" w:lineRule="auto"/>
        <w:ind w:right="1126"/>
        <w:jc w:val="both"/>
      </w:pPr>
      <w:r>
        <w:rPr>
          <w:spacing w:val="-2"/>
        </w:rPr>
        <w:t>报告期内，公司以自有资金与中国财产再保险有限责任公司等共同投资设立中再巨灾风险管理股份有</w:t>
      </w:r>
      <w:r>
        <w:rPr>
          <w:w w:val="100"/>
        </w:rPr>
        <w:t> </w:t>
      </w:r>
      <w:r>
        <w:rPr>
          <w:spacing w:val="-2"/>
        </w:rPr>
        <w:t>限公司。通过本次交易，旨在通过股权纽带方式，将股东各方产业资源及优势进行有效整合，共同促进发</w:t>
      </w:r>
    </w:p>
    <w:p>
      <w:pPr>
        <w:spacing w:after="0" w:line="408" w:lineRule="auto"/>
        <w:jc w:val="both"/>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pStyle w:val="Heading5"/>
        <w:spacing w:line="408" w:lineRule="auto" w:before="176"/>
        <w:ind w:right="982" w:firstLine="0"/>
        <w:jc w:val="left"/>
        <w:rPr>
          <w:rFonts w:ascii="宋体" w:hAnsi="宋体" w:cs="宋体" w:eastAsia="宋体" w:hint="default"/>
        </w:rPr>
      </w:pPr>
      <w:r>
        <w:rPr/>
        <w:t>挥保险</w:t>
      </w:r>
      <w:r>
        <w:rPr>
          <w:rFonts w:ascii="宋体" w:hAnsi="宋体" w:cs="宋体" w:eastAsia="宋体" w:hint="default"/>
        </w:rPr>
        <w:t>/</w:t>
      </w:r>
      <w:r>
        <w:rPr/>
        <w:t>再保险在国家巨灾风险防控机制中的多层次分散作用，也为公司未来进一步拓展车联网保险业务</w:t>
      </w:r>
      <w:r>
        <w:rPr>
          <w:spacing w:val="-25"/>
        </w:rPr>
        <w:t> </w:t>
      </w:r>
      <w:r>
        <w:rPr>
          <w:spacing w:val="-25"/>
        </w:rPr>
      </w:r>
      <w:r>
        <w:rPr/>
        <w:t>奠定基础。</w:t>
      </w:r>
      <w:r>
        <w:rPr>
          <w:rFonts w:ascii="宋体" w:hAnsi="宋体" w:cs="宋体" w:eastAsia="宋体" w:hint="default"/>
        </w:rPr>
        <w:t> </w:t>
      </w:r>
    </w:p>
    <w:p>
      <w:pPr>
        <w:pStyle w:val="Heading5"/>
        <w:spacing w:line="408" w:lineRule="auto"/>
        <w:ind w:right="982"/>
        <w:jc w:val="left"/>
        <w:rPr>
          <w:rFonts w:ascii="宋体" w:hAnsi="宋体" w:cs="宋体" w:eastAsia="宋体" w:hint="default"/>
        </w:rPr>
      </w:pPr>
      <w:r>
        <w:rPr>
          <w:spacing w:val="-3"/>
        </w:rPr>
        <w:t>报告期内，公司面对亚太地区在位置大数据、自动驾驶、芯片等领域的快速发展，以及区域市场在位</w:t>
      </w:r>
      <w:r>
        <w:rPr>
          <w:w w:val="100"/>
        </w:rPr>
        <w:t> </w:t>
      </w:r>
      <w:r>
        <w:rPr>
          <w:spacing w:val="-5"/>
        </w:rPr>
        <w:t>置大数据自动化应用等领域日益凸显的应用需求，在日本东京分别设立全资子公司。通过设立全资子公司，</w:t>
      </w:r>
      <w:r>
        <w:rPr>
          <w:spacing w:val="-4"/>
        </w:rPr>
        <w:t> </w:t>
      </w:r>
      <w:r>
        <w:rPr>
          <w:spacing w:val="-4"/>
        </w:rPr>
      </w:r>
      <w:r>
        <w:rPr/>
        <w:t>公司将进一步加强公司对区域市场的洞察能力和服务水平，为公司与当地合作伙伴共同推动本地化项目合</w:t>
      </w:r>
      <w:r>
        <w:rPr>
          <w:w w:val="100"/>
        </w:rPr>
        <w:t> </w:t>
      </w:r>
      <w:r>
        <w:rPr/>
        <w:t>作，搭建公司与区域市场的沟通桥梁，建立公司在全球区域市场的竞争优势奠定基础。</w:t>
      </w:r>
      <w:r>
        <w:rPr>
          <w:rFonts w:ascii="宋体" w:hAnsi="宋体" w:cs="宋体" w:eastAsia="宋体" w:hint="default"/>
        </w:rPr>
        <w:t> </w:t>
      </w:r>
    </w:p>
    <w:p>
      <w:pPr>
        <w:pStyle w:val="Heading5"/>
        <w:spacing w:line="408" w:lineRule="auto"/>
        <w:ind w:right="1124"/>
        <w:jc w:val="left"/>
      </w:pPr>
      <w:r>
        <w:rPr>
          <w:rFonts w:ascii="宋体" w:hAnsi="宋体" w:cs="宋体" w:eastAsia="宋体" w:hint="default"/>
        </w:rPr>
        <w:t>2018 </w:t>
      </w:r>
      <w:r>
        <w:rPr/>
        <w:t>年 </w:t>
      </w:r>
      <w:r>
        <w:rPr>
          <w:rFonts w:ascii="宋体" w:hAnsi="宋体" w:cs="宋体" w:eastAsia="宋体" w:hint="default"/>
        </w:rPr>
        <w:t>1 </w:t>
      </w:r>
      <w:r>
        <w:rPr/>
        <w:t>月，公司与 </w:t>
      </w:r>
      <w:r>
        <w:rPr>
          <w:rFonts w:ascii="宋体" w:hAnsi="宋体" w:cs="宋体" w:eastAsia="宋体" w:hint="default"/>
        </w:rPr>
        <w:t>Mobileye</w:t>
      </w:r>
      <w:r>
        <w:rPr>
          <w:rFonts w:ascii="宋体" w:hAnsi="宋体" w:cs="宋体" w:eastAsia="宋体" w:hint="default"/>
          <w:spacing w:val="-33"/>
        </w:rPr>
        <w:t> </w:t>
      </w:r>
      <w:r>
        <w:rPr/>
        <w:t>宣布达成全面战略合作伙伴关系，双方将致力于在中国开发和发布</w:t>
      </w:r>
      <w:r>
        <w:rPr>
          <w:w w:val="100"/>
        </w:rPr>
        <w:t> </w:t>
      </w:r>
      <w:r>
        <w:rPr>
          <w:rFonts w:ascii="宋体" w:hAnsi="宋体" w:cs="宋体" w:eastAsia="宋体" w:hint="default"/>
        </w:rPr>
        <w:t>Mobileye </w:t>
      </w:r>
      <w:r>
        <w:rPr/>
        <w:t>路网采集管理（</w:t>
      </w:r>
      <w:r>
        <w:rPr>
          <w:rFonts w:ascii="宋体" w:hAnsi="宋体" w:cs="宋体" w:eastAsia="宋体" w:hint="default"/>
        </w:rPr>
        <w:t>REM</w:t>
      </w:r>
      <w:r>
        <w:rPr/>
        <w:t>®）产品。同时，双方将推动利用 </w:t>
      </w:r>
      <w:r>
        <w:rPr>
          <w:rFonts w:ascii="宋体" w:hAnsi="宋体" w:cs="宋体" w:eastAsia="宋体" w:hint="default"/>
        </w:rPr>
        <w:t>Mobileye </w:t>
      </w:r>
      <w:r>
        <w:rPr/>
        <w:t>的 </w:t>
      </w:r>
      <w:r>
        <w:rPr>
          <w:rFonts w:ascii="宋体" w:hAnsi="宋体" w:cs="宋体" w:eastAsia="宋体" w:hint="default"/>
        </w:rPr>
        <w:t>REM</w:t>
      </w:r>
      <w:r>
        <w:rPr>
          <w:rFonts w:ascii="宋体" w:hAnsi="宋体" w:cs="宋体" w:eastAsia="宋体" w:hint="default"/>
          <w:spacing w:val="75"/>
        </w:rPr>
        <w:t> </w:t>
      </w:r>
      <w:r>
        <w:rPr/>
        <w:t>技术集成中国的路书™</w:t>
      </w:r>
    </w:p>
    <w:p>
      <w:pPr>
        <w:pStyle w:val="Heading5"/>
        <w:spacing w:line="240" w:lineRule="auto"/>
        <w:ind w:right="982" w:firstLine="0"/>
        <w:jc w:val="left"/>
        <w:rPr>
          <w:rFonts w:ascii="宋体" w:hAnsi="宋体" w:cs="宋体" w:eastAsia="宋体" w:hint="default"/>
        </w:rPr>
      </w:pPr>
      <w:r>
        <w:rPr>
          <w:w w:val="100"/>
        </w:rPr>
        <w:t>（</w:t>
      </w:r>
      <w:r>
        <w:rPr>
          <w:rFonts w:ascii="宋体" w:hAnsi="宋体" w:cs="宋体" w:eastAsia="宋体" w:hint="default"/>
          <w:w w:val="100"/>
        </w:rPr>
        <w:t>Roa</w:t>
      </w:r>
      <w:r>
        <w:rPr>
          <w:rFonts w:ascii="宋体" w:hAnsi="宋体" w:cs="宋体" w:eastAsia="宋体" w:hint="default"/>
          <w:spacing w:val="-3"/>
          <w:w w:val="100"/>
        </w:rPr>
        <w:t>d</w:t>
      </w:r>
      <w:r>
        <w:rPr>
          <w:rFonts w:ascii="宋体" w:hAnsi="宋体" w:cs="宋体" w:eastAsia="宋体" w:hint="default"/>
          <w:w w:val="100"/>
        </w:rPr>
        <w:t>Boo</w:t>
      </w:r>
      <w:r>
        <w:rPr>
          <w:rFonts w:ascii="宋体" w:hAnsi="宋体" w:cs="宋体" w:eastAsia="宋体" w:hint="default"/>
          <w:spacing w:val="-3"/>
          <w:w w:val="100"/>
        </w:rPr>
        <w:t>k</w:t>
      </w:r>
      <w:r>
        <w:rPr>
          <w:w w:val="100"/>
        </w:rPr>
        <w:t>™</w:t>
      </w:r>
      <w:r>
        <w:rPr>
          <w:spacing w:val="-106"/>
          <w:w w:val="100"/>
        </w:rPr>
        <w:t>）</w:t>
      </w:r>
      <w:r>
        <w:rPr>
          <w:spacing w:val="-3"/>
          <w:w w:val="100"/>
        </w:rPr>
        <w:t>，</w:t>
      </w:r>
      <w:r>
        <w:rPr>
          <w:w w:val="100"/>
        </w:rPr>
        <w:t>结</w:t>
      </w:r>
      <w:r>
        <w:rPr>
          <w:spacing w:val="-3"/>
          <w:w w:val="100"/>
        </w:rPr>
        <w:t>合</w:t>
      </w:r>
      <w:r>
        <w:rPr>
          <w:w w:val="100"/>
        </w:rPr>
        <w:t>公</w:t>
      </w:r>
      <w:r>
        <w:rPr>
          <w:spacing w:val="-3"/>
          <w:w w:val="100"/>
        </w:rPr>
        <w:t>司</w:t>
      </w:r>
      <w:r>
        <w:rPr>
          <w:w w:val="100"/>
        </w:rPr>
        <w:t>自动</w:t>
      </w:r>
      <w:r>
        <w:rPr>
          <w:spacing w:val="-3"/>
          <w:w w:val="100"/>
        </w:rPr>
        <w:t>驾</w:t>
      </w:r>
      <w:r>
        <w:rPr>
          <w:w w:val="100"/>
        </w:rPr>
        <w:t>驶</w:t>
      </w:r>
      <w:r>
        <w:rPr>
          <w:spacing w:val="-3"/>
          <w:w w:val="100"/>
        </w:rPr>
        <w:t>地</w:t>
      </w:r>
      <w:r>
        <w:rPr>
          <w:w w:val="100"/>
        </w:rPr>
        <w:t>图</w:t>
      </w:r>
      <w:r>
        <w:rPr>
          <w:spacing w:val="-3"/>
          <w:w w:val="100"/>
        </w:rPr>
        <w:t>与</w:t>
      </w:r>
      <w:r>
        <w:rPr>
          <w:w w:val="100"/>
        </w:rPr>
        <w:t>高</w:t>
      </w:r>
      <w:r>
        <w:rPr>
          <w:spacing w:val="-3"/>
          <w:w w:val="100"/>
        </w:rPr>
        <w:t>精</w:t>
      </w:r>
      <w:r>
        <w:rPr>
          <w:w w:val="100"/>
        </w:rPr>
        <w:t>度</w:t>
      </w:r>
      <w:r>
        <w:rPr>
          <w:spacing w:val="-3"/>
          <w:w w:val="100"/>
        </w:rPr>
        <w:t>定</w:t>
      </w:r>
      <w:r>
        <w:rPr>
          <w:w w:val="100"/>
        </w:rPr>
        <w:t>位能</w:t>
      </w:r>
      <w:r>
        <w:rPr>
          <w:spacing w:val="-3"/>
          <w:w w:val="100"/>
        </w:rPr>
        <w:t>力</w:t>
      </w:r>
      <w:r>
        <w:rPr>
          <w:w w:val="100"/>
        </w:rPr>
        <w:t>，</w:t>
      </w:r>
      <w:r>
        <w:rPr>
          <w:spacing w:val="-3"/>
          <w:w w:val="100"/>
        </w:rPr>
        <w:t>共</w:t>
      </w:r>
      <w:r>
        <w:rPr>
          <w:w w:val="100"/>
        </w:rPr>
        <w:t>同</w:t>
      </w:r>
      <w:r>
        <w:rPr>
          <w:spacing w:val="-3"/>
          <w:w w:val="100"/>
        </w:rPr>
        <w:t>迎</w:t>
      </w:r>
      <w:r>
        <w:rPr>
          <w:w w:val="100"/>
        </w:rPr>
        <w:t>接</w:t>
      </w:r>
      <w:r>
        <w:rPr>
          <w:spacing w:val="-3"/>
          <w:w w:val="100"/>
        </w:rPr>
        <w:t>自</w:t>
      </w:r>
      <w:r>
        <w:rPr>
          <w:w w:val="100"/>
        </w:rPr>
        <w:t>动</w:t>
      </w:r>
      <w:r>
        <w:rPr>
          <w:spacing w:val="-3"/>
          <w:w w:val="100"/>
        </w:rPr>
        <w:t>驾</w:t>
      </w:r>
      <w:r>
        <w:rPr>
          <w:w w:val="100"/>
        </w:rPr>
        <w:t>驶大</w:t>
      </w:r>
      <w:r>
        <w:rPr>
          <w:spacing w:val="-3"/>
          <w:w w:val="100"/>
        </w:rPr>
        <w:t>潮</w:t>
      </w:r>
      <w:r>
        <w:rPr>
          <w:w w:val="100"/>
        </w:rPr>
        <w:t>的</w:t>
      </w:r>
      <w:r>
        <w:rPr>
          <w:spacing w:val="-3"/>
          <w:w w:val="100"/>
        </w:rPr>
        <w:t>来</w:t>
      </w:r>
      <w:r>
        <w:rPr>
          <w:w w:val="100"/>
        </w:rPr>
        <w:t>临</w:t>
      </w:r>
      <w:r>
        <w:rPr>
          <w:spacing w:val="-2"/>
          <w:w w:val="100"/>
        </w:rPr>
        <w:t>。</w:t>
      </w:r>
      <w:r>
        <w:rPr>
          <w:rFonts w:ascii="宋体" w:hAnsi="宋体" w:cs="宋体" w:eastAsia="宋体" w:hint="default"/>
          <w:w w:val="100"/>
        </w:rPr>
        <w:t> </w:t>
      </w:r>
    </w:p>
    <w:p>
      <w:pPr>
        <w:spacing w:line="240" w:lineRule="auto" w:before="10"/>
        <w:rPr>
          <w:rFonts w:ascii="宋体" w:hAnsi="宋体" w:cs="宋体" w:eastAsia="宋体" w:hint="default"/>
          <w:sz w:val="14"/>
          <w:szCs w:val="14"/>
        </w:rPr>
      </w:pPr>
    </w:p>
    <w:p>
      <w:pPr>
        <w:pStyle w:val="Heading5"/>
        <w:spacing w:line="408" w:lineRule="auto" w:before="0"/>
        <w:ind w:right="982"/>
        <w:jc w:val="left"/>
        <w:rPr>
          <w:rFonts w:ascii="宋体" w:hAnsi="宋体" w:cs="宋体" w:eastAsia="宋体" w:hint="default"/>
        </w:rPr>
      </w:pPr>
      <w:r>
        <w:rPr>
          <w:rFonts w:ascii="宋体" w:hAnsi="宋体" w:cs="宋体" w:eastAsia="宋体" w:hint="default"/>
          <w:w w:val="100"/>
        </w:rPr>
        <w:t>2018</w:t>
      </w:r>
      <w:r>
        <w:rPr>
          <w:rFonts w:ascii="宋体" w:hAnsi="宋体" w:cs="宋体" w:eastAsia="宋体" w:hint="default"/>
          <w:spacing w:val="-65"/>
          <w:w w:val="100"/>
        </w:rPr>
        <w:t> </w:t>
      </w:r>
      <w:r>
        <w:rPr>
          <w:w w:val="100"/>
        </w:rPr>
        <w:t>年</w:t>
      </w:r>
      <w:r>
        <w:rPr>
          <w:spacing w:val="-65"/>
          <w:w w:val="100"/>
        </w:rPr>
        <w:t> </w:t>
      </w:r>
      <w:r>
        <w:rPr>
          <w:rFonts w:ascii="宋体" w:hAnsi="宋体" w:cs="宋体" w:eastAsia="宋体" w:hint="default"/>
          <w:w w:val="100"/>
        </w:rPr>
        <w:t>1</w:t>
      </w:r>
      <w:r>
        <w:rPr>
          <w:rFonts w:ascii="宋体" w:hAnsi="宋体" w:cs="宋体" w:eastAsia="宋体" w:hint="default"/>
          <w:spacing w:val="-65"/>
          <w:w w:val="100"/>
        </w:rPr>
        <w:t> </w:t>
      </w:r>
      <w:r>
        <w:rPr>
          <w:spacing w:val="-22"/>
          <w:w w:val="100"/>
        </w:rPr>
        <w:t>月，公司与</w:t>
      </w:r>
      <w:r>
        <w:rPr>
          <w:spacing w:val="-65"/>
          <w:w w:val="100"/>
        </w:rPr>
        <w:t> </w:t>
      </w:r>
      <w:r>
        <w:rPr>
          <w:rFonts w:ascii="宋体" w:hAnsi="宋体" w:cs="宋体" w:eastAsia="宋体" w:hint="default"/>
          <w:spacing w:val="-1"/>
          <w:w w:val="100"/>
        </w:rPr>
        <w:t>Voicebox</w:t>
      </w:r>
      <w:r>
        <w:rPr>
          <w:rFonts w:ascii="宋体" w:hAnsi="宋体" w:cs="宋体" w:eastAsia="宋体" w:hint="default"/>
          <w:spacing w:val="-64"/>
          <w:w w:val="100"/>
        </w:rPr>
        <w:t> </w:t>
      </w:r>
      <w:r>
        <w:rPr>
          <w:spacing w:val="-6"/>
          <w:w w:val="100"/>
        </w:rPr>
        <w:t>签署合作协议，双方将联手为中国汽车厂商提供智能</w:t>
      </w:r>
      <w:r>
        <w:rPr>
          <w:spacing w:val="-65"/>
          <w:w w:val="100"/>
        </w:rPr>
        <w:t> </w:t>
      </w:r>
      <w:r>
        <w:rPr>
          <w:rFonts w:ascii="宋体" w:hAnsi="宋体" w:cs="宋体" w:eastAsia="宋体" w:hint="default"/>
          <w:w w:val="100"/>
        </w:rPr>
        <w:t>AI</w:t>
      </w:r>
      <w:r>
        <w:rPr>
          <w:rFonts w:ascii="宋体" w:hAnsi="宋体" w:cs="宋体" w:eastAsia="宋体" w:hint="default"/>
          <w:spacing w:val="-64"/>
          <w:w w:val="100"/>
        </w:rPr>
        <w:t> </w:t>
      </w:r>
      <w:r>
        <w:rPr>
          <w:spacing w:val="-2"/>
          <w:w w:val="100"/>
        </w:rPr>
        <w:t>语音助手服务，</w:t>
      </w:r>
      <w:r>
        <w:rPr>
          <w:w w:val="100"/>
        </w:rPr>
        <w:t> </w:t>
      </w:r>
      <w:r>
        <w:rPr/>
        <w:t>并基于智能语音技术，不断丰富和完善位置数据信息，为提升车载位置信息服务便捷化水平奠定基础。</w:t>
      </w:r>
      <w:r>
        <w:rPr>
          <w:rFonts w:ascii="宋体" w:hAnsi="宋体" w:cs="宋体" w:eastAsia="宋体" w:hint="default"/>
        </w:rPr>
        <w:t> </w:t>
      </w:r>
    </w:p>
    <w:p>
      <w:pPr>
        <w:pStyle w:val="Heading5"/>
        <w:spacing w:line="408" w:lineRule="auto"/>
        <w:ind w:right="982"/>
        <w:jc w:val="left"/>
        <w:rPr>
          <w:rFonts w:ascii="宋体" w:hAnsi="宋体" w:cs="宋体" w:eastAsia="宋体" w:hint="default"/>
        </w:rPr>
      </w:pPr>
      <w:r>
        <w:rPr>
          <w:rFonts w:ascii="宋体" w:hAnsi="宋体" w:cs="宋体" w:eastAsia="宋体" w:hint="default"/>
        </w:rPr>
        <w:t>2018</w:t>
      </w:r>
      <w:r>
        <w:rPr>
          <w:rFonts w:ascii="宋体" w:hAnsi="宋体" w:cs="宋体" w:eastAsia="宋体" w:hint="default"/>
          <w:spacing w:val="-31"/>
        </w:rPr>
        <w:t> </w:t>
      </w:r>
      <w:r>
        <w:rPr/>
        <w:t>年</w:t>
      </w:r>
      <w:r>
        <w:rPr>
          <w:spacing w:val="-28"/>
        </w:rPr>
        <w:t> </w:t>
      </w:r>
      <w:r>
        <w:rPr>
          <w:rFonts w:ascii="宋体" w:hAnsi="宋体" w:cs="宋体" w:eastAsia="宋体" w:hint="default"/>
        </w:rPr>
        <w:t>4</w:t>
      </w:r>
      <w:r>
        <w:rPr>
          <w:rFonts w:ascii="宋体" w:hAnsi="宋体" w:cs="宋体" w:eastAsia="宋体" w:hint="default"/>
          <w:spacing w:val="-31"/>
        </w:rPr>
        <w:t> </w:t>
      </w:r>
      <w:r>
        <w:rPr>
          <w:spacing w:val="-4"/>
        </w:rPr>
        <w:t>月，公司与北京京东世纪贸易有限公司签署战略合作协议，双方将在导航电子地图数据产品</w:t>
      </w:r>
      <w:r>
        <w:rPr>
          <w:w w:val="100"/>
        </w:rPr>
        <w:t> </w:t>
      </w:r>
      <w:r>
        <w:rPr/>
        <w:t>及服务、数据平台开发、智能车联解决方案、车载硬件、车载服务等领域的合作进行探索和推动。</w:t>
      </w:r>
      <w:r>
        <w:rPr>
          <w:rFonts w:ascii="宋体" w:hAnsi="宋体" w:cs="宋体" w:eastAsia="宋体" w:hint="default"/>
        </w:rPr>
        <w:t> </w:t>
      </w:r>
    </w:p>
    <w:p>
      <w:pPr>
        <w:pStyle w:val="Heading5"/>
        <w:spacing w:line="408" w:lineRule="auto"/>
        <w:ind w:right="982"/>
        <w:jc w:val="left"/>
        <w:rPr>
          <w:rFonts w:ascii="宋体" w:hAnsi="宋体" w:cs="宋体" w:eastAsia="宋体" w:hint="default"/>
        </w:rPr>
      </w:pPr>
      <w:r>
        <w:rPr>
          <w:rFonts w:ascii="宋体" w:hAnsi="宋体" w:cs="宋体" w:eastAsia="宋体" w:hint="default"/>
        </w:rPr>
        <w:t>2018</w:t>
      </w:r>
      <w:r>
        <w:rPr>
          <w:rFonts w:ascii="宋体" w:hAnsi="宋体" w:cs="宋体" w:eastAsia="宋体" w:hint="default"/>
          <w:spacing w:val="-49"/>
        </w:rPr>
        <w:t> </w:t>
      </w:r>
      <w:r>
        <w:rPr/>
        <w:t>年</w:t>
      </w:r>
      <w:r>
        <w:rPr>
          <w:spacing w:val="-49"/>
        </w:rPr>
        <w:t> </w:t>
      </w:r>
      <w:r>
        <w:rPr>
          <w:rFonts w:ascii="宋体" w:hAnsi="宋体" w:cs="宋体" w:eastAsia="宋体" w:hint="default"/>
        </w:rPr>
        <w:t>5</w:t>
      </w:r>
      <w:r>
        <w:rPr>
          <w:rFonts w:ascii="宋体" w:hAnsi="宋体" w:cs="宋体" w:eastAsia="宋体" w:hint="default"/>
          <w:spacing w:val="-49"/>
        </w:rPr>
        <w:t> </w:t>
      </w:r>
      <w:r>
        <w:rPr/>
        <w:t>月，公司与</w:t>
      </w:r>
      <w:r>
        <w:rPr>
          <w:spacing w:val="-49"/>
        </w:rPr>
        <w:t> </w:t>
      </w:r>
      <w:r>
        <w:rPr>
          <w:rFonts w:ascii="宋体" w:hAnsi="宋体" w:cs="宋体" w:eastAsia="宋体" w:hint="default"/>
        </w:rPr>
        <w:t>Dura Automotive System</w:t>
      </w:r>
      <w:r>
        <w:rPr>
          <w:rFonts w:ascii="宋体" w:hAnsi="宋体" w:cs="宋体" w:eastAsia="宋体" w:hint="default"/>
          <w:spacing w:val="-51"/>
        </w:rPr>
        <w:t> </w:t>
      </w:r>
      <w:r>
        <w:rPr/>
        <w:t>签署合作备忘录，双方将在大数据、车联网、自动驾</w:t>
      </w:r>
      <w:r>
        <w:rPr>
          <w:w w:val="100"/>
        </w:rPr>
        <w:t> </w:t>
      </w:r>
      <w:r>
        <w:rPr>
          <w:spacing w:val="-5"/>
        </w:rPr>
        <w:t>驶及车用软硬件等多方面共同探讨深入合作的机会，并将在大数据价值创新、自动驾驶相关技术开发导入、 </w:t>
      </w:r>
      <w:r>
        <w:rPr>
          <w:spacing w:val="-5"/>
        </w:rPr>
      </w:r>
      <w:r>
        <w:rPr/>
        <w:t>汽车域控制器产品开发设计和生态圈互动合作等领域开展合作。</w:t>
      </w:r>
      <w:r>
        <w:rPr>
          <w:rFonts w:ascii="宋体" w:hAnsi="宋体" w:cs="宋体" w:eastAsia="宋体" w:hint="default"/>
        </w:rPr>
        <w:t> </w:t>
      </w:r>
    </w:p>
    <w:p>
      <w:pPr>
        <w:pStyle w:val="Heading5"/>
        <w:spacing w:line="408" w:lineRule="auto"/>
        <w:ind w:right="982"/>
        <w:jc w:val="left"/>
        <w:rPr>
          <w:rFonts w:ascii="宋体" w:hAnsi="宋体" w:cs="宋体" w:eastAsia="宋体" w:hint="default"/>
        </w:rPr>
      </w:pPr>
      <w:r>
        <w:rPr>
          <w:rFonts w:ascii="宋体" w:hAnsi="宋体" w:cs="宋体" w:eastAsia="宋体" w:hint="default"/>
        </w:rPr>
        <w:t>2018</w:t>
      </w:r>
      <w:r>
        <w:rPr>
          <w:rFonts w:ascii="宋体" w:hAnsi="宋体" w:cs="宋体" w:eastAsia="宋体" w:hint="default"/>
          <w:spacing w:val="31"/>
        </w:rPr>
        <w:t> </w:t>
      </w:r>
      <w:r>
        <w:rPr/>
        <w:t>年</w:t>
      </w:r>
      <w:r>
        <w:rPr>
          <w:spacing w:val="27"/>
        </w:rPr>
        <w:t> </w:t>
      </w:r>
      <w:r>
        <w:rPr>
          <w:rFonts w:ascii="宋体" w:hAnsi="宋体" w:cs="宋体" w:eastAsia="宋体" w:hint="default"/>
        </w:rPr>
        <w:t>5</w:t>
      </w:r>
      <w:r>
        <w:rPr>
          <w:rFonts w:ascii="宋体" w:hAnsi="宋体" w:cs="宋体" w:eastAsia="宋体" w:hint="default"/>
          <w:spacing w:val="31"/>
        </w:rPr>
        <w:t> </w:t>
      </w:r>
      <w:r>
        <w:rPr>
          <w:spacing w:val="10"/>
        </w:rPr>
        <w:t>月，</w:t>
      </w:r>
      <w:r>
        <w:rPr>
          <w:spacing w:val="-83"/>
        </w:rPr>
        <w:t> </w:t>
      </w:r>
      <w:r>
        <w:rPr>
          <w:spacing w:val="18"/>
        </w:rPr>
        <w:t>公司与全球电子地图数据供应商</w:t>
      </w:r>
      <w:r>
        <w:rPr>
          <w:spacing w:val="35"/>
        </w:rPr>
        <w:t> </w:t>
      </w:r>
      <w:r>
        <w:rPr>
          <w:rFonts w:ascii="宋体" w:hAnsi="宋体" w:cs="宋体" w:eastAsia="宋体" w:hint="default"/>
        </w:rPr>
        <w:t>HERE</w:t>
      </w:r>
      <w:r>
        <w:rPr>
          <w:rFonts w:ascii="宋体" w:hAnsi="宋体" w:cs="宋体" w:eastAsia="宋体" w:hint="default"/>
          <w:spacing w:val="-82"/>
        </w:rPr>
        <w:t> </w:t>
      </w:r>
      <w:r>
        <w:rPr/>
        <w:t>、</w:t>
      </w:r>
      <w:r>
        <w:rPr>
          <w:spacing w:val="-85"/>
        </w:rPr>
        <w:t> </w:t>
      </w:r>
      <w:r>
        <w:rPr>
          <w:spacing w:val="17"/>
        </w:rPr>
        <w:t>日本高精度地图供应商</w:t>
      </w:r>
      <w:r>
        <w:rPr>
          <w:spacing w:val="34"/>
        </w:rPr>
        <w:t> </w:t>
      </w:r>
      <w:r>
        <w:rPr>
          <w:rFonts w:ascii="宋体" w:hAnsi="宋体" w:cs="宋体" w:eastAsia="宋体" w:hint="default"/>
        </w:rPr>
        <w:t>Increment</w:t>
      </w:r>
      <w:r>
        <w:rPr>
          <w:rFonts w:ascii="宋体" w:hAnsi="宋体" w:cs="宋体" w:eastAsia="宋体" w:hint="default"/>
          <w:spacing w:val="28"/>
        </w:rPr>
        <w:t> </w:t>
      </w:r>
      <w:r>
        <w:rPr>
          <w:rFonts w:ascii="宋体" w:hAnsi="宋体" w:cs="宋体" w:eastAsia="宋体" w:hint="default"/>
        </w:rPr>
        <w:t>P</w:t>
      </w:r>
      <w:r>
        <w:rPr>
          <w:rFonts w:ascii="宋体" w:hAnsi="宋体" w:cs="宋体" w:eastAsia="宋体" w:hint="default"/>
          <w:w w:val="100"/>
        </w:rPr>
        <w:t> </w:t>
      </w:r>
      <w:r>
        <w:rPr>
          <w:rFonts w:ascii="宋体" w:hAnsi="宋体" w:cs="宋体" w:eastAsia="宋体" w:hint="default"/>
        </w:rPr>
        <w:t>(IPC)/Pioneer</w:t>
      </w:r>
      <w:r>
        <w:rPr/>
        <w:t>、韩国通讯运营商</w:t>
      </w:r>
      <w:r>
        <w:rPr>
          <w:spacing w:val="-49"/>
        </w:rPr>
        <w:t> </w:t>
      </w:r>
      <w:r>
        <w:rPr>
          <w:rFonts w:ascii="宋体" w:hAnsi="宋体" w:cs="宋体" w:eastAsia="宋体" w:hint="default"/>
        </w:rPr>
        <w:t>SK</w:t>
      </w:r>
      <w:r>
        <w:rPr>
          <w:rFonts w:ascii="宋体" w:hAnsi="宋体" w:cs="宋体" w:eastAsia="宋体" w:hint="default"/>
          <w:spacing w:val="-1"/>
        </w:rPr>
        <w:t> </w:t>
      </w:r>
      <w:r>
        <w:rPr>
          <w:rFonts w:ascii="宋体" w:hAnsi="宋体" w:cs="宋体" w:eastAsia="宋体" w:hint="default"/>
        </w:rPr>
        <w:t>Telecom</w:t>
      </w:r>
      <w:r>
        <w:rPr>
          <w:rFonts w:ascii="宋体" w:hAnsi="宋体" w:cs="宋体" w:eastAsia="宋体" w:hint="default"/>
          <w:spacing w:val="-51"/>
        </w:rPr>
        <w:t> </w:t>
      </w:r>
      <w:r>
        <w:rPr/>
        <w:t>共同成立高精度地图产业联盟</w:t>
      </w:r>
      <w:r>
        <w:rPr>
          <w:spacing w:val="-49"/>
        </w:rPr>
        <w:t> </w:t>
      </w:r>
      <w:r>
        <w:rPr>
          <w:rFonts w:ascii="宋体" w:hAnsi="宋体" w:cs="宋体" w:eastAsia="宋体" w:hint="default"/>
        </w:rPr>
        <w:t>OneMap</w:t>
      </w:r>
      <w:r>
        <w:rPr>
          <w:rFonts w:ascii="宋体" w:hAnsi="宋体" w:cs="宋体" w:eastAsia="宋体" w:hint="default"/>
          <w:spacing w:val="-49"/>
        </w:rPr>
        <w:t> </w:t>
      </w:r>
      <w:r>
        <w:rPr/>
        <w:t>联盟，该联盟从</w:t>
      </w:r>
      <w:r>
        <w:rPr>
          <w:spacing w:val="-49"/>
        </w:rPr>
        <w:t> </w:t>
      </w:r>
      <w:r>
        <w:rPr>
          <w:rFonts w:ascii="宋体" w:hAnsi="宋体" w:cs="宋体" w:eastAsia="宋体" w:hint="default"/>
        </w:rPr>
        <w:t>2020</w:t>
      </w:r>
      <w:r>
        <w:rPr>
          <w:rFonts w:ascii="宋体" w:hAnsi="宋体" w:cs="宋体" w:eastAsia="宋体" w:hint="default"/>
          <w:w w:val="100"/>
        </w:rPr>
        <w:t> </w:t>
      </w:r>
      <w:r>
        <w:rPr/>
        <w:t>年起将面向全球客户提供标准化的高精度地图产品与服务，为全球</w:t>
      </w:r>
      <w:r>
        <w:rPr>
          <w:spacing w:val="-54"/>
        </w:rPr>
        <w:t> </w:t>
      </w:r>
      <w:r>
        <w:rPr>
          <w:rFonts w:ascii="宋体" w:hAnsi="宋体" w:cs="宋体" w:eastAsia="宋体" w:hint="default"/>
        </w:rPr>
        <w:t>OEM</w:t>
      </w:r>
      <w:r>
        <w:rPr>
          <w:rFonts w:ascii="宋体" w:hAnsi="宋体" w:cs="宋体" w:eastAsia="宋体" w:hint="default"/>
          <w:spacing w:val="-57"/>
        </w:rPr>
        <w:t> </w:t>
      </w:r>
      <w:r>
        <w:rPr/>
        <w:t>自动驾驶方案的落地提供支撑。</w:t>
      </w:r>
      <w:r>
        <w:rPr>
          <w:rFonts w:ascii="宋体" w:hAnsi="宋体" w:cs="宋体" w:eastAsia="宋体" w:hint="default"/>
        </w:rPr>
        <w:t> </w:t>
      </w:r>
    </w:p>
    <w:p>
      <w:pPr>
        <w:pStyle w:val="Heading5"/>
        <w:spacing w:line="408" w:lineRule="auto"/>
        <w:ind w:right="982"/>
        <w:jc w:val="left"/>
        <w:rPr>
          <w:rFonts w:ascii="宋体" w:hAnsi="宋体" w:cs="宋体" w:eastAsia="宋体" w:hint="default"/>
        </w:rPr>
      </w:pPr>
      <w:r>
        <w:rPr>
          <w:rFonts w:ascii="宋体" w:hAnsi="宋体" w:cs="宋体" w:eastAsia="宋体" w:hint="default"/>
        </w:rPr>
        <w:t>2018</w:t>
      </w:r>
      <w:r>
        <w:rPr>
          <w:rFonts w:ascii="宋体" w:hAnsi="宋体" w:cs="宋体" w:eastAsia="宋体" w:hint="default"/>
          <w:spacing w:val="-32"/>
        </w:rPr>
        <w:t> </w:t>
      </w:r>
      <w:r>
        <w:rPr/>
        <w:t>年</w:t>
      </w:r>
      <w:r>
        <w:rPr>
          <w:spacing w:val="-29"/>
        </w:rPr>
        <w:t> </w:t>
      </w:r>
      <w:r>
        <w:rPr>
          <w:rFonts w:ascii="宋体" w:hAnsi="宋体" w:cs="宋体" w:eastAsia="宋体" w:hint="default"/>
        </w:rPr>
        <w:t>5</w:t>
      </w:r>
      <w:r>
        <w:rPr>
          <w:rFonts w:ascii="宋体" w:hAnsi="宋体" w:cs="宋体" w:eastAsia="宋体" w:hint="default"/>
          <w:spacing w:val="-32"/>
        </w:rPr>
        <w:t> </w:t>
      </w:r>
      <w:r>
        <w:rPr>
          <w:spacing w:val="-4"/>
        </w:rPr>
        <w:t>月，公司与太平洋保险签订战略合作协议，双方将凭借各自在技术、产品、渠道和专业等方</w:t>
      </w:r>
      <w:r>
        <w:rPr>
          <w:w w:val="100"/>
        </w:rPr>
        <w:t> </w:t>
      </w:r>
      <w:r>
        <w:rPr/>
        <w:t>面的优势，共同促进在车联网、大数据等领域的合作和发展。</w:t>
      </w:r>
      <w:r>
        <w:rPr>
          <w:rFonts w:ascii="宋体" w:hAnsi="宋体" w:cs="宋体" w:eastAsia="宋体" w:hint="default"/>
        </w:rPr>
        <w:t> </w:t>
      </w:r>
    </w:p>
    <w:p>
      <w:pPr>
        <w:pStyle w:val="Heading5"/>
        <w:spacing w:line="408" w:lineRule="auto"/>
        <w:ind w:right="1126"/>
        <w:jc w:val="both"/>
        <w:rPr>
          <w:rFonts w:ascii="宋体" w:hAnsi="宋体" w:cs="宋体" w:eastAsia="宋体" w:hint="default"/>
        </w:rPr>
      </w:pPr>
      <w:r>
        <w:rPr>
          <w:rFonts w:ascii="宋体" w:hAnsi="宋体" w:cs="宋体" w:eastAsia="宋体" w:hint="default"/>
        </w:rPr>
        <w:t>2018</w:t>
      </w:r>
      <w:r>
        <w:rPr>
          <w:rFonts w:ascii="宋体" w:hAnsi="宋体" w:cs="宋体" w:eastAsia="宋体" w:hint="default"/>
          <w:spacing w:val="-31"/>
        </w:rPr>
        <w:t> </w:t>
      </w:r>
      <w:r>
        <w:rPr/>
        <w:t>年</w:t>
      </w:r>
      <w:r>
        <w:rPr>
          <w:spacing w:val="-28"/>
        </w:rPr>
        <w:t> </w:t>
      </w:r>
      <w:r>
        <w:rPr>
          <w:rFonts w:ascii="宋体" w:hAnsi="宋体" w:cs="宋体" w:eastAsia="宋体" w:hint="default"/>
        </w:rPr>
        <w:t>6</w:t>
      </w:r>
      <w:r>
        <w:rPr>
          <w:rFonts w:ascii="宋体" w:hAnsi="宋体" w:cs="宋体" w:eastAsia="宋体" w:hint="default"/>
          <w:spacing w:val="-31"/>
        </w:rPr>
        <w:t> </w:t>
      </w:r>
      <w:r>
        <w:rPr>
          <w:spacing w:val="-4"/>
        </w:rPr>
        <w:t>月，公司与清华大学汽车工程系签署合作意向书，双方将在智能网联汽车相关领域展开全方</w:t>
      </w:r>
      <w:r>
        <w:rPr>
          <w:w w:val="100"/>
        </w:rPr>
        <w:t> </w:t>
      </w:r>
      <w:r>
        <w:rPr>
          <w:spacing w:val="-2"/>
        </w:rPr>
        <w:t>位的合作，共同开展基于环境感知与认知、自动驾驶地图、高精度定位、智能导航与决策等关键技术的研</w:t>
      </w:r>
      <w:r>
        <w:rPr>
          <w:spacing w:val="-47"/>
        </w:rPr>
        <w:t> </w:t>
      </w:r>
      <w:r>
        <w:rPr>
          <w:spacing w:val="-47"/>
        </w:rPr>
      </w:r>
      <w:r>
        <w:rPr>
          <w:spacing w:val="-2"/>
        </w:rPr>
        <w:t>发工作，并在汽车安全技术、智能交通、平台化模块化设计等众多领域开展广泛合作，研发适应市场不同</w:t>
      </w:r>
      <w:r>
        <w:rPr>
          <w:spacing w:val="-46"/>
        </w:rPr>
        <w:t> </w:t>
      </w:r>
      <w:r>
        <w:rPr>
          <w:spacing w:val="-46"/>
        </w:rPr>
      </w:r>
      <w:r>
        <w:rPr/>
        <w:t>需求的技术。</w:t>
      </w:r>
      <w:r>
        <w:rPr>
          <w:rFonts w:ascii="宋体" w:hAnsi="宋体" w:cs="宋体" w:eastAsia="宋体" w:hint="default"/>
        </w:rPr>
        <w:t> </w:t>
      </w:r>
    </w:p>
    <w:p>
      <w:pPr>
        <w:pStyle w:val="Heading5"/>
        <w:spacing w:line="408" w:lineRule="auto"/>
        <w:ind w:right="1126"/>
        <w:jc w:val="both"/>
        <w:rPr>
          <w:rFonts w:ascii="宋体" w:hAnsi="宋体" w:cs="宋体" w:eastAsia="宋体" w:hint="default"/>
        </w:rPr>
      </w:pPr>
      <w:r>
        <w:rPr>
          <w:rFonts w:ascii="宋体" w:hAnsi="宋体" w:cs="宋体" w:eastAsia="宋体" w:hint="default"/>
          <w:w w:val="100"/>
        </w:rPr>
        <w:t>2018</w:t>
      </w:r>
      <w:r>
        <w:rPr>
          <w:rFonts w:ascii="宋体" w:hAnsi="宋体" w:cs="宋体" w:eastAsia="宋体" w:hint="default"/>
          <w:spacing w:val="-67"/>
          <w:w w:val="100"/>
        </w:rPr>
        <w:t> </w:t>
      </w:r>
      <w:r>
        <w:rPr>
          <w:w w:val="100"/>
        </w:rPr>
        <w:t>年</w:t>
      </w:r>
      <w:r>
        <w:rPr>
          <w:spacing w:val="-65"/>
          <w:w w:val="100"/>
        </w:rPr>
        <w:t> </w:t>
      </w:r>
      <w:r>
        <w:rPr>
          <w:rFonts w:ascii="宋体" w:hAnsi="宋体" w:cs="宋体" w:eastAsia="宋体" w:hint="default"/>
          <w:w w:val="100"/>
        </w:rPr>
        <w:t>6</w:t>
      </w:r>
      <w:r>
        <w:rPr>
          <w:rFonts w:ascii="宋体" w:hAnsi="宋体" w:cs="宋体" w:eastAsia="宋体" w:hint="default"/>
          <w:spacing w:val="-63"/>
          <w:w w:val="100"/>
        </w:rPr>
        <w:t> </w:t>
      </w:r>
      <w:r>
        <w:rPr>
          <w:spacing w:val="-10"/>
          <w:w w:val="100"/>
        </w:rPr>
        <w:t>月，公司在位置大数据平台</w:t>
      </w:r>
      <w:r>
        <w:rPr>
          <w:spacing w:val="-65"/>
          <w:w w:val="100"/>
        </w:rPr>
        <w:t> </w:t>
      </w:r>
      <w:r>
        <w:rPr>
          <w:rFonts w:ascii="宋体" w:hAnsi="宋体" w:cs="宋体" w:eastAsia="宋体" w:hint="default"/>
          <w:spacing w:val="-1"/>
          <w:w w:val="100"/>
        </w:rPr>
        <w:t>MineData2.0</w:t>
      </w:r>
      <w:r>
        <w:rPr>
          <w:rFonts w:ascii="宋体" w:hAnsi="宋体" w:cs="宋体" w:eastAsia="宋体" w:hint="default"/>
          <w:spacing w:val="-67"/>
          <w:w w:val="100"/>
        </w:rPr>
        <w:t> </w:t>
      </w:r>
      <w:r>
        <w:rPr>
          <w:spacing w:val="-7"/>
          <w:w w:val="100"/>
        </w:rPr>
        <w:t>发布会上，与北京航空航天大学签署战略合作协议，</w:t>
      </w:r>
      <w:r>
        <w:rPr>
          <w:w w:val="100"/>
        </w:rPr>
        <w:t> </w:t>
      </w:r>
      <w:r>
        <w:rPr>
          <w:spacing w:val="-2"/>
        </w:rPr>
        <w:t>双方将围绕综合交通大数据应用的重大核心科学技术，在交通大数据采集、分析、处理、人工智能辅助决</w:t>
      </w:r>
      <w:r>
        <w:rPr>
          <w:spacing w:val="-44"/>
        </w:rPr>
        <w:t> </w:t>
      </w:r>
      <w:r>
        <w:rPr>
          <w:spacing w:val="-44"/>
        </w:rPr>
      </w:r>
      <w:r>
        <w:rPr>
          <w:spacing w:val="-2"/>
        </w:rPr>
        <w:t>策等方面开展合作，并将共同探索多种形式的协同创新平台，加强重点领域的人才培养，推进科技成果转</w:t>
      </w:r>
      <w:r>
        <w:rPr>
          <w:spacing w:val="-43"/>
        </w:rPr>
        <w:t> </w:t>
      </w:r>
      <w:r>
        <w:rPr>
          <w:spacing w:val="-43"/>
        </w:rPr>
      </w:r>
      <w:r>
        <w:rPr/>
        <w:t>化。</w:t>
      </w:r>
      <w:r>
        <w:rPr>
          <w:rFonts w:ascii="宋体" w:hAnsi="宋体" w:cs="宋体" w:eastAsia="宋体" w:hint="default"/>
        </w:rPr>
        <w:t> </w:t>
      </w:r>
    </w:p>
    <w:p>
      <w:pPr>
        <w:spacing w:after="0" w:line="408" w:lineRule="auto"/>
        <w:jc w:val="both"/>
        <w:rPr>
          <w:rFonts w:ascii="宋体" w:hAnsi="宋体" w:cs="宋体" w:eastAsia="宋体" w:hint="default"/>
        </w:rPr>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pStyle w:val="Heading5"/>
        <w:spacing w:line="240" w:lineRule="auto" w:before="176"/>
        <w:ind w:left="573" w:right="982" w:firstLine="0"/>
        <w:jc w:val="left"/>
      </w:pPr>
      <w:r>
        <w:rPr>
          <w:rFonts w:ascii="宋体" w:hAnsi="宋体" w:cs="宋体" w:eastAsia="宋体" w:hint="default"/>
          <w:w w:val="100"/>
        </w:rPr>
        <w:t>2018</w:t>
      </w:r>
      <w:r>
        <w:rPr>
          <w:rFonts w:ascii="宋体" w:hAnsi="宋体" w:cs="宋体" w:eastAsia="宋体" w:hint="default"/>
          <w:spacing w:val="-79"/>
        </w:rPr>
        <w:t> </w:t>
      </w:r>
      <w:r>
        <w:rPr>
          <w:w w:val="100"/>
        </w:rPr>
        <w:t>年</w:t>
      </w:r>
      <w:r>
        <w:rPr>
          <w:spacing w:val="-79"/>
        </w:rPr>
        <w:t> </w:t>
      </w:r>
      <w:r>
        <w:rPr>
          <w:rFonts w:ascii="宋体" w:hAnsi="宋体" w:cs="宋体" w:eastAsia="宋体" w:hint="default"/>
          <w:w w:val="100"/>
        </w:rPr>
        <w:t>6</w:t>
      </w:r>
      <w:r>
        <w:rPr>
          <w:rFonts w:ascii="宋体" w:hAnsi="宋体" w:cs="宋体" w:eastAsia="宋体" w:hint="default"/>
          <w:spacing w:val="-79"/>
        </w:rPr>
        <w:t> </w:t>
      </w:r>
      <w:r>
        <w:rPr>
          <w:w w:val="100"/>
        </w:rPr>
        <w:t>月</w:t>
      </w:r>
      <w:r>
        <w:rPr>
          <w:spacing w:val="-106"/>
          <w:w w:val="100"/>
        </w:rPr>
        <w:t>，</w:t>
      </w:r>
      <w:r>
        <w:rPr>
          <w:spacing w:val="-3"/>
          <w:w w:val="100"/>
        </w:rPr>
        <w:t>公</w:t>
      </w:r>
      <w:r>
        <w:rPr>
          <w:w w:val="100"/>
        </w:rPr>
        <w:t>司</w:t>
      </w:r>
      <w:r>
        <w:rPr>
          <w:spacing w:val="-3"/>
          <w:w w:val="100"/>
        </w:rPr>
        <w:t>与</w:t>
      </w:r>
      <w:r>
        <w:rPr>
          <w:w w:val="100"/>
        </w:rPr>
        <w:t>华</w:t>
      </w:r>
      <w:r>
        <w:rPr>
          <w:spacing w:val="-3"/>
          <w:w w:val="100"/>
        </w:rPr>
        <w:t>为签</w:t>
      </w:r>
      <w:r>
        <w:rPr>
          <w:w w:val="100"/>
        </w:rPr>
        <w:t>署合</w:t>
      </w:r>
      <w:r>
        <w:rPr>
          <w:spacing w:val="-3"/>
          <w:w w:val="100"/>
        </w:rPr>
        <w:t>作</w:t>
      </w:r>
      <w:r>
        <w:rPr>
          <w:w w:val="100"/>
        </w:rPr>
        <w:t>协</w:t>
      </w:r>
      <w:r>
        <w:rPr>
          <w:spacing w:val="-3"/>
          <w:w w:val="100"/>
        </w:rPr>
        <w:t>议</w:t>
      </w:r>
      <w:r>
        <w:rPr>
          <w:spacing w:val="-106"/>
          <w:w w:val="100"/>
        </w:rPr>
        <w:t>，</w:t>
      </w:r>
      <w:r>
        <w:rPr>
          <w:spacing w:val="-3"/>
          <w:w w:val="100"/>
        </w:rPr>
        <w:t>双</w:t>
      </w:r>
      <w:r>
        <w:rPr>
          <w:w w:val="100"/>
        </w:rPr>
        <w:t>方</w:t>
      </w:r>
      <w:r>
        <w:rPr>
          <w:spacing w:val="-3"/>
          <w:w w:val="100"/>
        </w:rPr>
        <w:t>将</w:t>
      </w:r>
      <w:r>
        <w:rPr>
          <w:w w:val="100"/>
        </w:rPr>
        <w:t>在</w:t>
      </w:r>
      <w:r>
        <w:rPr>
          <w:spacing w:val="-3"/>
          <w:w w:val="100"/>
        </w:rPr>
        <w:t>公共</w:t>
      </w:r>
      <w:r>
        <w:rPr>
          <w:w w:val="100"/>
        </w:rPr>
        <w:t>安全</w:t>
      </w:r>
      <w:r>
        <w:rPr>
          <w:spacing w:val="-3"/>
          <w:w w:val="100"/>
        </w:rPr>
        <w:t>行</w:t>
      </w:r>
      <w:r>
        <w:rPr>
          <w:w w:val="100"/>
        </w:rPr>
        <w:t>业</w:t>
      </w:r>
      <w:r>
        <w:rPr>
          <w:spacing w:val="-3"/>
          <w:w w:val="100"/>
        </w:rPr>
        <w:t>信</w:t>
      </w:r>
      <w:r>
        <w:rPr>
          <w:w w:val="100"/>
        </w:rPr>
        <w:t>息</w:t>
      </w:r>
      <w:r>
        <w:rPr>
          <w:spacing w:val="-3"/>
          <w:w w:val="100"/>
        </w:rPr>
        <w:t>化</w:t>
      </w:r>
      <w:r>
        <w:rPr>
          <w:w w:val="100"/>
        </w:rPr>
        <w:t>建</w:t>
      </w:r>
      <w:r>
        <w:rPr>
          <w:spacing w:val="-3"/>
          <w:w w:val="100"/>
        </w:rPr>
        <w:t>设</w:t>
      </w:r>
      <w:r>
        <w:rPr>
          <w:w w:val="100"/>
        </w:rPr>
        <w:t>方</w:t>
      </w:r>
      <w:r>
        <w:rPr>
          <w:spacing w:val="-3"/>
          <w:w w:val="100"/>
        </w:rPr>
        <w:t>面</w:t>
      </w:r>
      <w:r>
        <w:rPr>
          <w:w w:val="100"/>
        </w:rPr>
        <w:t>进一</w:t>
      </w:r>
      <w:r>
        <w:rPr>
          <w:spacing w:val="-3"/>
          <w:w w:val="100"/>
        </w:rPr>
        <w:t>步</w:t>
      </w:r>
      <w:r>
        <w:rPr>
          <w:w w:val="100"/>
        </w:rPr>
        <w:t>拓</w:t>
      </w:r>
      <w:r>
        <w:rPr>
          <w:spacing w:val="-3"/>
          <w:w w:val="100"/>
        </w:rPr>
        <w:t>展</w:t>
      </w:r>
      <w:r>
        <w:rPr>
          <w:w w:val="100"/>
        </w:rPr>
        <w:t>合</w:t>
      </w:r>
      <w:r>
        <w:rPr>
          <w:spacing w:val="-3"/>
          <w:w w:val="100"/>
        </w:rPr>
        <w:t>作</w:t>
      </w:r>
      <w:r>
        <w:rPr>
          <w:w w:val="100"/>
        </w:rPr>
        <w:t>关</w:t>
      </w:r>
      <w:r>
        <w:rPr>
          <w:spacing w:val="-3"/>
          <w:w w:val="100"/>
        </w:rPr>
        <w:t>系</w:t>
      </w:r>
      <w:r>
        <w:rPr>
          <w:w w:val="100"/>
        </w:rPr>
        <w:t>。</w:t>
      </w:r>
    </w:p>
    <w:p>
      <w:pPr>
        <w:spacing w:line="240" w:lineRule="auto" w:before="10"/>
        <w:rPr>
          <w:rFonts w:ascii="宋体" w:hAnsi="宋体" w:cs="宋体" w:eastAsia="宋体" w:hint="default"/>
          <w:sz w:val="14"/>
          <w:szCs w:val="14"/>
        </w:rPr>
      </w:pPr>
    </w:p>
    <w:p>
      <w:pPr>
        <w:pStyle w:val="Heading5"/>
        <w:spacing w:line="408" w:lineRule="auto" w:before="0"/>
        <w:ind w:right="982" w:firstLine="0"/>
        <w:jc w:val="left"/>
        <w:rPr>
          <w:rFonts w:ascii="宋体" w:hAnsi="宋体" w:cs="宋体" w:eastAsia="宋体" w:hint="default"/>
        </w:rPr>
      </w:pPr>
      <w:r>
        <w:rPr>
          <w:rFonts w:ascii="宋体" w:hAnsi="宋体" w:cs="宋体" w:eastAsia="宋体" w:hint="default"/>
        </w:rPr>
        <w:t>10 </w:t>
      </w:r>
      <w:r>
        <w:rPr>
          <w:spacing w:val="-8"/>
        </w:rPr>
        <w:t>月，双方进一步达成合作意向，将充分发挥各自优势，围绕云服务平台、智能驾驶、车联网、车路协同、</w:t>
      </w:r>
      <w:r>
        <w:rPr>
          <w:spacing w:val="-84"/>
        </w:rPr>
        <w:t> </w:t>
      </w:r>
      <w:r>
        <w:rPr>
          <w:spacing w:val="-84"/>
        </w:rPr>
      </w:r>
      <w:r>
        <w:rPr/>
        <w:t>车规级芯片、国际业务合作等领域共同探讨并细化合作方案。</w:t>
      </w:r>
      <w:r>
        <w:rPr>
          <w:rFonts w:ascii="宋体" w:hAnsi="宋体" w:cs="宋体" w:eastAsia="宋体" w:hint="default"/>
        </w:rPr>
        <w:t> </w:t>
      </w:r>
    </w:p>
    <w:p>
      <w:pPr>
        <w:pStyle w:val="Heading5"/>
        <w:spacing w:line="408" w:lineRule="auto"/>
        <w:ind w:right="1128"/>
        <w:jc w:val="both"/>
        <w:rPr>
          <w:rFonts w:ascii="宋体" w:hAnsi="宋体" w:cs="宋体" w:eastAsia="宋体" w:hint="default"/>
        </w:rPr>
      </w:pPr>
      <w:r>
        <w:rPr>
          <w:rFonts w:ascii="宋体" w:hAnsi="宋体" w:cs="宋体" w:eastAsia="宋体" w:hint="default"/>
        </w:rPr>
        <w:t>2018</w:t>
      </w:r>
      <w:r>
        <w:rPr>
          <w:rFonts w:ascii="宋体" w:hAnsi="宋体" w:cs="宋体" w:eastAsia="宋体" w:hint="default"/>
          <w:spacing w:val="-32"/>
        </w:rPr>
        <w:t> </w:t>
      </w:r>
      <w:r>
        <w:rPr/>
        <w:t>年</w:t>
      </w:r>
      <w:r>
        <w:rPr>
          <w:spacing w:val="-30"/>
        </w:rPr>
        <w:t> </w:t>
      </w:r>
      <w:r>
        <w:rPr>
          <w:rFonts w:ascii="宋体" w:hAnsi="宋体" w:cs="宋体" w:eastAsia="宋体" w:hint="default"/>
        </w:rPr>
        <w:t>7</w:t>
      </w:r>
      <w:r>
        <w:rPr>
          <w:rFonts w:ascii="宋体" w:hAnsi="宋体" w:cs="宋体" w:eastAsia="宋体" w:hint="default"/>
          <w:spacing w:val="-32"/>
        </w:rPr>
        <w:t> </w:t>
      </w:r>
      <w:r>
        <w:rPr>
          <w:spacing w:val="-4"/>
        </w:rPr>
        <w:t>月，公司与长城华冠签署战略合作框架协议，双方将在自动驾驶技术、车联网大数据应用技</w:t>
      </w:r>
      <w:r>
        <w:rPr>
          <w:w w:val="100"/>
        </w:rPr>
        <w:t> </w:t>
      </w:r>
      <w:r>
        <w:rPr>
          <w:spacing w:val="-2"/>
        </w:rPr>
        <w:t>术、车载智能零部件业务、全球拓展等领域进行探索和推进，致力于共同打造“新能源汽车智能网联技术</w:t>
      </w:r>
      <w:r>
        <w:rPr>
          <w:spacing w:val="-50"/>
        </w:rPr>
        <w:t> </w:t>
      </w:r>
      <w:r>
        <w:rPr>
          <w:spacing w:val="-50"/>
        </w:rPr>
      </w:r>
      <w:r>
        <w:rPr/>
        <w:t>应用”领域的合作典范。</w:t>
      </w:r>
      <w:r>
        <w:rPr>
          <w:rFonts w:ascii="宋体" w:hAnsi="宋体" w:cs="宋体" w:eastAsia="宋体" w:hint="default"/>
        </w:rPr>
        <w:t> </w:t>
      </w:r>
    </w:p>
    <w:p>
      <w:pPr>
        <w:pStyle w:val="Heading5"/>
        <w:spacing w:line="408" w:lineRule="auto"/>
        <w:ind w:right="1128"/>
        <w:jc w:val="both"/>
        <w:rPr>
          <w:rFonts w:ascii="宋体" w:hAnsi="宋体" w:cs="宋体" w:eastAsia="宋体" w:hint="default"/>
        </w:rPr>
      </w:pPr>
      <w:r>
        <w:rPr>
          <w:rFonts w:ascii="宋体" w:hAnsi="宋体" w:cs="宋体" w:eastAsia="宋体" w:hint="default"/>
          <w:w w:val="100"/>
        </w:rPr>
        <w:t>2018</w:t>
      </w:r>
      <w:r>
        <w:rPr>
          <w:rFonts w:ascii="宋体" w:hAnsi="宋体" w:cs="宋体" w:eastAsia="宋体" w:hint="default"/>
          <w:spacing w:val="-31"/>
          <w:w w:val="100"/>
        </w:rPr>
        <w:t> </w:t>
      </w:r>
      <w:r>
        <w:rPr>
          <w:w w:val="100"/>
        </w:rPr>
        <w:t>年</w:t>
      </w:r>
      <w:r>
        <w:rPr>
          <w:spacing w:val="-29"/>
          <w:w w:val="100"/>
        </w:rPr>
        <w:t> </w:t>
      </w:r>
      <w:r>
        <w:rPr>
          <w:rFonts w:ascii="宋体" w:hAnsi="宋体" w:cs="宋体" w:eastAsia="宋体" w:hint="default"/>
          <w:w w:val="100"/>
        </w:rPr>
        <w:t>8</w:t>
      </w:r>
      <w:r>
        <w:rPr>
          <w:rFonts w:ascii="宋体" w:hAnsi="宋体" w:cs="宋体" w:eastAsia="宋体" w:hint="default"/>
          <w:spacing w:val="-29"/>
          <w:w w:val="100"/>
        </w:rPr>
        <w:t> </w:t>
      </w:r>
      <w:r>
        <w:rPr>
          <w:spacing w:val="-2"/>
          <w:w w:val="100"/>
        </w:rPr>
        <w:t>月，公司与</w:t>
      </w:r>
      <w:r>
        <w:rPr>
          <w:spacing w:val="-27"/>
          <w:w w:val="100"/>
        </w:rPr>
        <w:t> </w:t>
      </w:r>
      <w:r>
        <w:rPr>
          <w:rFonts w:ascii="宋体" w:hAnsi="宋体" w:cs="宋体" w:eastAsia="宋体" w:hint="default"/>
          <w:spacing w:val="-1"/>
          <w:w w:val="100"/>
        </w:rPr>
        <w:t>Daimler</w:t>
      </w:r>
      <w:r>
        <w:rPr>
          <w:rFonts w:ascii="宋体" w:hAnsi="宋体" w:cs="宋体" w:eastAsia="宋体" w:hint="default"/>
          <w:spacing w:val="6"/>
          <w:w w:val="100"/>
        </w:rPr>
        <w:t> </w:t>
      </w:r>
      <w:r>
        <w:rPr>
          <w:rFonts w:ascii="宋体" w:hAnsi="宋体" w:cs="宋体" w:eastAsia="宋体" w:hint="default"/>
          <w:spacing w:val="-2"/>
          <w:w w:val="100"/>
        </w:rPr>
        <w:t>AG</w:t>
      </w:r>
      <w:r>
        <w:rPr>
          <w:rFonts w:ascii="宋体" w:hAnsi="宋体" w:cs="宋体" w:eastAsia="宋体" w:hint="default"/>
          <w:spacing w:val="6"/>
          <w:w w:val="100"/>
        </w:rPr>
        <w:t> </w:t>
      </w:r>
      <w:r>
        <w:rPr>
          <w:spacing w:val="-6"/>
          <w:w w:val="100"/>
        </w:rPr>
        <w:t>即戴姆勒股份公司（以下简称“戴姆勒”）正式签署导航电子地图</w:t>
      </w:r>
      <w:r>
        <w:rPr>
          <w:w w:val="100"/>
        </w:rPr>
        <w:t> </w:t>
      </w:r>
      <w:r>
        <w:rPr/>
        <w:t>销售协议。</w:t>
      </w:r>
      <w:r>
        <w:rPr>
          <w:rFonts w:ascii="宋体" w:hAnsi="宋体" w:cs="宋体" w:eastAsia="宋体" w:hint="default"/>
        </w:rPr>
        <w:t> </w:t>
      </w:r>
    </w:p>
    <w:p>
      <w:pPr>
        <w:pStyle w:val="Heading5"/>
        <w:spacing w:line="408" w:lineRule="auto"/>
        <w:ind w:right="1126"/>
        <w:jc w:val="both"/>
        <w:rPr>
          <w:rFonts w:ascii="宋体" w:hAnsi="宋体" w:cs="宋体" w:eastAsia="宋体" w:hint="default"/>
        </w:rPr>
      </w:pPr>
      <w:r>
        <w:rPr>
          <w:rFonts w:ascii="宋体" w:hAnsi="宋体" w:cs="宋体" w:eastAsia="宋体" w:hint="default"/>
        </w:rPr>
        <w:t>2018</w:t>
      </w:r>
      <w:r>
        <w:rPr>
          <w:rFonts w:ascii="宋体" w:hAnsi="宋体" w:cs="宋体" w:eastAsia="宋体" w:hint="default"/>
          <w:spacing w:val="-38"/>
        </w:rPr>
        <w:t> </w:t>
      </w:r>
      <w:r>
        <w:rPr/>
        <w:t>年</w:t>
      </w:r>
      <w:r>
        <w:rPr>
          <w:spacing w:val="-36"/>
        </w:rPr>
        <w:t> </w:t>
      </w:r>
      <w:r>
        <w:rPr>
          <w:rFonts w:ascii="宋体" w:hAnsi="宋体" w:cs="宋体" w:eastAsia="宋体" w:hint="default"/>
        </w:rPr>
        <w:t>10</w:t>
      </w:r>
      <w:r>
        <w:rPr>
          <w:rFonts w:ascii="宋体" w:hAnsi="宋体" w:cs="宋体" w:eastAsia="宋体" w:hint="default"/>
          <w:spacing w:val="-38"/>
        </w:rPr>
        <w:t> </w:t>
      </w:r>
      <w:r>
        <w:rPr>
          <w:spacing w:val="-6"/>
        </w:rPr>
        <w:t>月，公司与微软签订战略合作备忘录，双方将基于各自的产业及行业优势，围绕人工智能、</w:t>
      </w:r>
      <w:r>
        <w:rPr>
          <w:w w:val="100"/>
        </w:rPr>
        <w:t> </w:t>
      </w:r>
      <w:r>
        <w:rPr/>
        <w:t>云计算、车联网、地图数据服务、前沿技术研发等领域展开合作。</w:t>
      </w:r>
      <w:r>
        <w:rPr>
          <w:rFonts w:ascii="宋体" w:hAnsi="宋体" w:cs="宋体" w:eastAsia="宋体" w:hint="default"/>
        </w:rPr>
        <w:t> </w:t>
      </w:r>
    </w:p>
    <w:p>
      <w:pPr>
        <w:pStyle w:val="Heading5"/>
        <w:spacing w:line="240" w:lineRule="auto"/>
        <w:ind w:left="573" w:right="982" w:firstLine="0"/>
        <w:jc w:val="left"/>
      </w:pPr>
      <w:r>
        <w:rPr>
          <w:rFonts w:ascii="宋体" w:hAnsi="宋体" w:cs="宋体" w:eastAsia="宋体" w:hint="default"/>
          <w:w w:val="100"/>
        </w:rPr>
        <w:t>2018</w:t>
      </w:r>
      <w:r>
        <w:rPr>
          <w:rFonts w:ascii="宋体" w:hAnsi="宋体" w:cs="宋体" w:eastAsia="宋体" w:hint="default"/>
          <w:spacing w:val="-55"/>
        </w:rPr>
        <w:t> </w:t>
      </w:r>
      <w:r>
        <w:rPr>
          <w:w w:val="100"/>
        </w:rPr>
        <w:t>年</w:t>
      </w:r>
      <w:r>
        <w:rPr>
          <w:spacing w:val="-53"/>
        </w:rPr>
        <w:t> </w:t>
      </w:r>
      <w:r>
        <w:rPr>
          <w:rFonts w:ascii="宋体" w:hAnsi="宋体" w:cs="宋体" w:eastAsia="宋体" w:hint="default"/>
          <w:w w:val="100"/>
        </w:rPr>
        <w:t>12</w:t>
      </w:r>
      <w:r>
        <w:rPr>
          <w:rFonts w:ascii="宋体" w:hAnsi="宋体" w:cs="宋体" w:eastAsia="宋体" w:hint="default"/>
          <w:spacing w:val="-55"/>
        </w:rPr>
        <w:t> </w:t>
      </w:r>
      <w:r>
        <w:rPr>
          <w:w w:val="100"/>
        </w:rPr>
        <w:t>月</w:t>
      </w:r>
      <w:r>
        <w:rPr>
          <w:spacing w:val="-22"/>
          <w:w w:val="100"/>
        </w:rPr>
        <w:t>，</w:t>
      </w:r>
      <w:r>
        <w:rPr>
          <w:w w:val="100"/>
        </w:rPr>
        <w:t>公</w:t>
      </w:r>
      <w:r>
        <w:rPr>
          <w:spacing w:val="-3"/>
          <w:w w:val="100"/>
        </w:rPr>
        <w:t>司</w:t>
      </w:r>
      <w:r>
        <w:rPr>
          <w:w w:val="100"/>
        </w:rPr>
        <w:t>与</w:t>
      </w:r>
      <w:r>
        <w:rPr>
          <w:spacing w:val="-3"/>
          <w:w w:val="100"/>
        </w:rPr>
        <w:t>中国</w:t>
      </w:r>
      <w:r>
        <w:rPr>
          <w:w w:val="100"/>
        </w:rPr>
        <w:t>移动</w:t>
      </w:r>
      <w:r>
        <w:rPr>
          <w:spacing w:val="-3"/>
          <w:w w:val="100"/>
        </w:rPr>
        <w:t>通</w:t>
      </w:r>
      <w:r>
        <w:rPr>
          <w:w w:val="100"/>
        </w:rPr>
        <w:t>信</w:t>
      </w:r>
      <w:r>
        <w:rPr>
          <w:spacing w:val="-3"/>
          <w:w w:val="100"/>
        </w:rPr>
        <w:t>集</w:t>
      </w:r>
      <w:r>
        <w:rPr>
          <w:w w:val="100"/>
        </w:rPr>
        <w:t>团</w:t>
      </w:r>
      <w:r>
        <w:rPr>
          <w:spacing w:val="-3"/>
          <w:w w:val="100"/>
        </w:rPr>
        <w:t>辽</w:t>
      </w:r>
      <w:r>
        <w:rPr>
          <w:w w:val="100"/>
        </w:rPr>
        <w:t>宁</w:t>
      </w:r>
      <w:r>
        <w:rPr>
          <w:spacing w:val="-3"/>
          <w:w w:val="100"/>
        </w:rPr>
        <w:t>有</w:t>
      </w:r>
      <w:r>
        <w:rPr>
          <w:w w:val="100"/>
        </w:rPr>
        <w:t>限</w:t>
      </w:r>
      <w:r>
        <w:rPr>
          <w:spacing w:val="-3"/>
          <w:w w:val="100"/>
        </w:rPr>
        <w:t>公</w:t>
      </w:r>
      <w:r>
        <w:rPr>
          <w:spacing w:val="-20"/>
          <w:w w:val="100"/>
        </w:rPr>
        <w:t>司</w:t>
      </w:r>
      <w:r>
        <w:rPr>
          <w:w w:val="100"/>
        </w:rPr>
        <w:t>（</w:t>
      </w:r>
      <w:r>
        <w:rPr>
          <w:spacing w:val="-3"/>
          <w:w w:val="100"/>
        </w:rPr>
        <w:t>以</w:t>
      </w:r>
      <w:r>
        <w:rPr>
          <w:w w:val="100"/>
        </w:rPr>
        <w:t>下</w:t>
      </w:r>
      <w:r>
        <w:rPr>
          <w:spacing w:val="-3"/>
          <w:w w:val="100"/>
        </w:rPr>
        <w:t>简</w:t>
      </w:r>
      <w:r>
        <w:rPr>
          <w:spacing w:val="-20"/>
          <w:w w:val="100"/>
        </w:rPr>
        <w:t>称</w:t>
      </w:r>
      <w:r>
        <w:rPr>
          <w:w w:val="100"/>
        </w:rPr>
        <w:t>“</w:t>
      </w:r>
      <w:r>
        <w:rPr>
          <w:spacing w:val="-3"/>
          <w:w w:val="100"/>
        </w:rPr>
        <w:t>中</w:t>
      </w:r>
      <w:r>
        <w:rPr>
          <w:w w:val="100"/>
        </w:rPr>
        <w:t>国</w:t>
      </w:r>
      <w:r>
        <w:rPr>
          <w:spacing w:val="-3"/>
          <w:w w:val="100"/>
        </w:rPr>
        <w:t>移动</w:t>
      </w:r>
      <w:r>
        <w:rPr>
          <w:w w:val="100"/>
        </w:rPr>
        <w:t>位置</w:t>
      </w:r>
      <w:r>
        <w:rPr>
          <w:spacing w:val="-3"/>
          <w:w w:val="100"/>
        </w:rPr>
        <w:t>服</w:t>
      </w:r>
      <w:r>
        <w:rPr>
          <w:w w:val="100"/>
        </w:rPr>
        <w:t>务</w:t>
      </w:r>
      <w:r>
        <w:rPr>
          <w:spacing w:val="-3"/>
          <w:w w:val="100"/>
        </w:rPr>
        <w:t>中</w:t>
      </w:r>
      <w:r>
        <w:rPr>
          <w:w w:val="100"/>
        </w:rPr>
        <w:t>心</w:t>
      </w:r>
      <w:r>
        <w:rPr>
          <w:spacing w:val="-106"/>
          <w:w w:val="100"/>
        </w:rPr>
        <w:t>”</w:t>
      </w:r>
      <w:r>
        <w:rPr>
          <w:spacing w:val="-22"/>
          <w:w w:val="100"/>
        </w:rPr>
        <w:t>）</w:t>
      </w:r>
      <w:r>
        <w:rPr>
          <w:w w:val="100"/>
        </w:rPr>
        <w:t>签</w:t>
      </w:r>
      <w:r>
        <w:rPr>
          <w:spacing w:val="-3"/>
          <w:w w:val="100"/>
        </w:rPr>
        <w:t>署</w:t>
      </w:r>
      <w:r>
        <w:rPr>
          <w:w w:val="100"/>
        </w:rPr>
        <w:t>了</w:t>
      </w:r>
    </w:p>
    <w:p>
      <w:pPr>
        <w:spacing w:line="240" w:lineRule="auto" w:before="10"/>
        <w:rPr>
          <w:rFonts w:ascii="宋体" w:hAnsi="宋体" w:cs="宋体" w:eastAsia="宋体" w:hint="default"/>
          <w:sz w:val="14"/>
          <w:szCs w:val="14"/>
        </w:rPr>
      </w:pPr>
    </w:p>
    <w:p>
      <w:pPr>
        <w:pStyle w:val="Heading5"/>
        <w:spacing w:line="408" w:lineRule="auto" w:before="0"/>
        <w:ind w:right="1131" w:firstLine="0"/>
        <w:jc w:val="left"/>
        <w:rPr>
          <w:rFonts w:ascii="宋体" w:hAnsi="宋体" w:cs="宋体" w:eastAsia="宋体" w:hint="default"/>
        </w:rPr>
      </w:pPr>
      <w:r>
        <w:rPr>
          <w:spacing w:val="-2"/>
          <w:w w:val="100"/>
        </w:rPr>
        <w:t>《关于位置服务战略合作框架协议》，双方将围绕位置服务在地图数据、大数据应用、智慧公安、商业运</w:t>
      </w:r>
      <w:r>
        <w:rPr>
          <w:spacing w:val="-94"/>
          <w:w w:val="100"/>
        </w:rPr>
        <w:t> </w:t>
      </w:r>
      <w:r>
        <w:rPr>
          <w:spacing w:val="-94"/>
          <w:w w:val="100"/>
        </w:rPr>
      </w:r>
      <w:r>
        <w:rPr/>
        <w:t>营、联合创新等领域共同打造解决方案。</w:t>
      </w:r>
      <w:r>
        <w:rPr>
          <w:rFonts w:ascii="宋体" w:hAnsi="宋体" w:cs="宋体" w:eastAsia="宋体" w:hint="default"/>
        </w:rPr>
        <w:t> </w:t>
      </w:r>
    </w:p>
    <w:p>
      <w:pPr>
        <w:pStyle w:val="Heading5"/>
        <w:spacing w:line="408" w:lineRule="auto"/>
        <w:ind w:right="1126"/>
        <w:jc w:val="both"/>
        <w:rPr>
          <w:rFonts w:ascii="宋体" w:hAnsi="宋体" w:cs="宋体" w:eastAsia="宋体" w:hint="default"/>
        </w:rPr>
      </w:pPr>
      <w:r>
        <w:rPr>
          <w:rFonts w:ascii="宋体" w:hAnsi="宋体" w:cs="宋体" w:eastAsia="宋体" w:hint="default"/>
        </w:rPr>
        <w:t>2019</w:t>
      </w:r>
      <w:r>
        <w:rPr>
          <w:rFonts w:ascii="宋体" w:hAnsi="宋体" w:cs="宋体" w:eastAsia="宋体" w:hint="default"/>
          <w:spacing w:val="-45"/>
        </w:rPr>
        <w:t> </w:t>
      </w:r>
      <w:r>
        <w:rPr/>
        <w:t>年</w:t>
      </w:r>
      <w:r>
        <w:rPr>
          <w:spacing w:val="-43"/>
        </w:rPr>
        <w:t> </w:t>
      </w:r>
      <w:r>
        <w:rPr>
          <w:rFonts w:ascii="宋体" w:hAnsi="宋体" w:cs="宋体" w:eastAsia="宋体" w:hint="default"/>
        </w:rPr>
        <w:t>1</w:t>
      </w:r>
      <w:r>
        <w:rPr>
          <w:rFonts w:ascii="宋体" w:hAnsi="宋体" w:cs="宋体" w:eastAsia="宋体" w:hint="default"/>
          <w:spacing w:val="-45"/>
        </w:rPr>
        <w:t> </w:t>
      </w:r>
      <w:r>
        <w:rPr>
          <w:spacing w:val="-8"/>
        </w:rPr>
        <w:t>月，公司与一汽解放在</w:t>
      </w:r>
      <w:r>
        <w:rPr>
          <w:spacing w:val="-41"/>
        </w:rPr>
        <w:t> </w:t>
      </w:r>
      <w:r>
        <w:rPr>
          <w:rFonts w:ascii="宋体" w:hAnsi="宋体" w:cs="宋体" w:eastAsia="宋体" w:hint="default"/>
        </w:rPr>
        <w:t>2019</w:t>
      </w:r>
      <w:r>
        <w:rPr>
          <w:rFonts w:ascii="宋体" w:hAnsi="宋体" w:cs="宋体" w:eastAsia="宋体" w:hint="default"/>
          <w:spacing w:val="-43"/>
        </w:rPr>
        <w:t> </w:t>
      </w:r>
      <w:r>
        <w:rPr/>
        <w:t>年</w:t>
      </w:r>
      <w:r>
        <w:rPr>
          <w:spacing w:val="-45"/>
        </w:rPr>
        <w:t> </w:t>
      </w:r>
      <w:r>
        <w:rPr>
          <w:rFonts w:ascii="宋体" w:hAnsi="宋体" w:cs="宋体" w:eastAsia="宋体" w:hint="default"/>
        </w:rPr>
        <w:t>CES</w:t>
      </w:r>
      <w:r>
        <w:rPr>
          <w:rFonts w:ascii="宋体" w:hAnsi="宋体" w:cs="宋体" w:eastAsia="宋体" w:hint="default"/>
          <w:spacing w:val="-45"/>
        </w:rPr>
        <w:t> </w:t>
      </w:r>
      <w:r>
        <w:rPr>
          <w:spacing w:val="-7"/>
        </w:rPr>
        <w:t>上签署战略合作框架协议，双方将围绕车联网、大数据、</w:t>
      </w:r>
      <w:r>
        <w:rPr>
          <w:w w:val="100"/>
        </w:rPr>
        <w:t> </w:t>
      </w:r>
      <w:r>
        <w:rPr/>
        <w:t>高精度地图、无人驾驶、商用车导航等领域建立战略合作伙伴关系。</w:t>
      </w:r>
      <w:r>
        <w:rPr>
          <w:rFonts w:ascii="宋体" w:hAnsi="宋体" w:cs="宋体" w:eastAsia="宋体" w:hint="default"/>
        </w:rPr>
        <w:t> </w:t>
      </w:r>
    </w:p>
    <w:p>
      <w:pPr>
        <w:pStyle w:val="Heading5"/>
        <w:spacing w:line="408" w:lineRule="auto"/>
        <w:ind w:right="1126"/>
        <w:jc w:val="both"/>
        <w:rPr>
          <w:rFonts w:ascii="宋体" w:hAnsi="宋体" w:cs="宋体" w:eastAsia="宋体" w:hint="default"/>
        </w:rPr>
      </w:pPr>
      <w:r>
        <w:rPr/>
        <w:pict>
          <v:shape style="position:absolute;margin-left:113.75pt;margin-top:68.11367pt;width:374.15pt;height:254.55pt;mso-position-horizontal-relative:page;mso-position-vertical-relative:paragraph;z-index:-1325368" type="#_x0000_t75" stroked="false">
            <v:imagedata r:id="rId38" o:title=""/>
          </v:shape>
        </w:pict>
      </w:r>
      <w:r>
        <w:rPr>
          <w:rFonts w:ascii="宋体" w:hAnsi="宋体" w:cs="宋体" w:eastAsia="宋体" w:hint="default"/>
        </w:rPr>
        <w:t>2019</w:t>
      </w:r>
      <w:r>
        <w:rPr>
          <w:rFonts w:ascii="宋体" w:hAnsi="宋体" w:cs="宋体" w:eastAsia="宋体" w:hint="default"/>
          <w:spacing w:val="-30"/>
        </w:rPr>
        <w:t> </w:t>
      </w:r>
      <w:r>
        <w:rPr/>
        <w:t>年</w:t>
      </w:r>
      <w:r>
        <w:rPr>
          <w:spacing w:val="-27"/>
        </w:rPr>
        <w:t> </w:t>
      </w:r>
      <w:r>
        <w:rPr>
          <w:rFonts w:ascii="宋体" w:hAnsi="宋体" w:cs="宋体" w:eastAsia="宋体" w:hint="default"/>
        </w:rPr>
        <w:t>2</w:t>
      </w:r>
      <w:r>
        <w:rPr>
          <w:rFonts w:ascii="宋体" w:hAnsi="宋体" w:cs="宋体" w:eastAsia="宋体" w:hint="default"/>
          <w:spacing w:val="-30"/>
        </w:rPr>
        <w:t> </w:t>
      </w:r>
      <w:r>
        <w:rPr>
          <w:spacing w:val="-4"/>
        </w:rPr>
        <w:t>月，公司与宝马</w:t>
      </w:r>
      <w:r>
        <w:rPr>
          <w:rFonts w:ascii="宋体" w:hAnsi="宋体" w:cs="宋体" w:eastAsia="宋体" w:hint="default"/>
          <w:spacing w:val="-4"/>
        </w:rPr>
        <w:t>(</w:t>
      </w:r>
      <w:r>
        <w:rPr>
          <w:spacing w:val="-4"/>
        </w:rPr>
        <w:t>中国</w:t>
      </w:r>
      <w:r>
        <w:rPr>
          <w:rFonts w:ascii="宋体" w:hAnsi="宋体" w:cs="宋体" w:eastAsia="宋体" w:hint="default"/>
          <w:spacing w:val="-4"/>
        </w:rPr>
        <w:t>)</w:t>
      </w:r>
      <w:r>
        <w:rPr>
          <w:spacing w:val="-4"/>
        </w:rPr>
        <w:t>汽车贸易有限公司签署自动驾驶地图及相关服务的许可协议，公司将</w:t>
      </w:r>
      <w:r>
        <w:rPr>
          <w:w w:val="100"/>
        </w:rPr>
        <w:t> </w:t>
      </w:r>
      <w:r>
        <w:rPr/>
        <w:t>为其在中国销售的</w:t>
      </w:r>
      <w:r>
        <w:rPr>
          <w:spacing w:val="-49"/>
        </w:rPr>
        <w:t> </w:t>
      </w:r>
      <w:r>
        <w:rPr>
          <w:rFonts w:ascii="宋体" w:hAnsi="宋体" w:cs="宋体" w:eastAsia="宋体" w:hint="default"/>
        </w:rPr>
        <w:t>2021</w:t>
      </w:r>
      <w:r>
        <w:rPr>
          <w:rFonts w:ascii="宋体" w:hAnsi="宋体" w:cs="宋体" w:eastAsia="宋体" w:hint="default"/>
          <w:spacing w:val="-51"/>
        </w:rPr>
        <w:t> </w:t>
      </w:r>
      <w:r>
        <w:rPr/>
        <w:t>年</w:t>
      </w:r>
      <w:r>
        <w:rPr>
          <w:rFonts w:ascii="宋体" w:hAnsi="宋体" w:cs="宋体" w:eastAsia="宋体" w:hint="default"/>
        </w:rPr>
        <w:t>-2024</w:t>
      </w:r>
      <w:r>
        <w:rPr>
          <w:rFonts w:ascii="宋体" w:hAnsi="宋体" w:cs="宋体" w:eastAsia="宋体" w:hint="default"/>
          <w:spacing w:val="-48"/>
        </w:rPr>
        <w:t> </w:t>
      </w:r>
      <w:r>
        <w:rPr/>
        <w:t>年量产上市的宝马集团所属品牌汽车提供</w:t>
      </w:r>
      <w:r>
        <w:rPr>
          <w:spacing w:val="-49"/>
        </w:rPr>
        <w:t> </w:t>
      </w:r>
      <w:r>
        <w:rPr>
          <w:rFonts w:ascii="宋体" w:hAnsi="宋体" w:cs="宋体" w:eastAsia="宋体" w:hint="default"/>
        </w:rPr>
        <w:t>Level3</w:t>
      </w:r>
      <w:r>
        <w:rPr>
          <w:rFonts w:ascii="宋体" w:hAnsi="宋体" w:cs="宋体" w:eastAsia="宋体" w:hint="default"/>
          <w:spacing w:val="-49"/>
        </w:rPr>
        <w:t> </w:t>
      </w:r>
      <w:r>
        <w:rPr/>
        <w:t>及以上自动驾驶地图产</w:t>
      </w:r>
      <w:r>
        <w:rPr>
          <w:w w:val="100"/>
        </w:rPr>
        <w:t> </w:t>
      </w:r>
      <w:r>
        <w:rPr/>
        <w:t>品和相关服务。</w:t>
      </w:r>
      <w:r>
        <w:rPr>
          <w:rFonts w:ascii="宋体" w:hAnsi="宋体" w:cs="宋体" w:eastAsia="宋体" w:hint="default"/>
        </w:rPr>
        <w:t> </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4"/>
        <w:spacing w:line="240" w:lineRule="auto" w:before="176"/>
        <w:ind w:left="633" w:right="0"/>
        <w:jc w:val="left"/>
        <w:rPr>
          <w:rFonts w:ascii="宋体" w:hAnsi="宋体" w:cs="宋体" w:eastAsia="宋体" w:hint="default"/>
          <w:b w:val="0"/>
          <w:bCs w:val="0"/>
        </w:rPr>
      </w:pPr>
      <w:r>
        <w:rPr>
          <w:rFonts w:ascii="宋体"/>
          <w:w w:val="99"/>
        </w:rPr>
        <w:t> </w:t>
      </w:r>
      <w:r>
        <w:rPr>
          <w:rFonts w:ascii="宋体"/>
          <w:b w:val="0"/>
        </w:rPr>
      </w:r>
    </w:p>
    <w:p>
      <w:pPr>
        <w:spacing w:after="0" w:line="240" w:lineRule="auto"/>
        <w:jc w:val="left"/>
        <w:rPr>
          <w:rFonts w:ascii="宋体" w:hAnsi="宋体" w:cs="宋体" w:eastAsia="宋体" w:hint="default"/>
        </w:rPr>
        <w:sectPr>
          <w:pgSz w:w="11910" w:h="16840"/>
          <w:pgMar w:header="745" w:footer="979" w:top="1060" w:bottom="1160" w:left="980" w:right="0"/>
        </w:sectPr>
      </w:pPr>
    </w:p>
    <w:p>
      <w:pPr>
        <w:spacing w:line="240" w:lineRule="auto" w:before="0"/>
        <w:rPr>
          <w:rFonts w:ascii="宋体" w:hAnsi="宋体" w:cs="宋体" w:eastAsia="宋体" w:hint="default"/>
          <w:b/>
          <w:bCs/>
          <w:sz w:val="20"/>
          <w:szCs w:val="20"/>
        </w:rPr>
      </w:pPr>
    </w:p>
    <w:p>
      <w:pPr>
        <w:spacing w:line="444" w:lineRule="auto" w:before="176"/>
        <w:ind w:left="573" w:right="982" w:firstLine="2606"/>
        <w:jc w:val="left"/>
        <w:rPr>
          <w:rFonts w:ascii="宋体" w:hAnsi="宋体" w:cs="宋体" w:eastAsia="宋体" w:hint="default"/>
          <w:sz w:val="21"/>
          <w:szCs w:val="21"/>
        </w:rPr>
      </w:pPr>
      <w:r>
        <w:rPr>
          <w:rFonts w:ascii="宋体" w:hAnsi="宋体" w:cs="宋体" w:eastAsia="宋体" w:hint="default"/>
          <w:b/>
          <w:bCs/>
          <w:sz w:val="21"/>
          <w:szCs w:val="21"/>
        </w:rPr>
        <w:t>公司与产业合作伙伴共同建立合作关系</w:t>
      </w:r>
      <w:r>
        <w:rPr>
          <w:rFonts w:ascii="宋体" w:hAnsi="宋体" w:cs="宋体" w:eastAsia="宋体" w:hint="default"/>
          <w:b/>
          <w:bCs/>
          <w:w w:val="99"/>
          <w:sz w:val="21"/>
          <w:szCs w:val="21"/>
        </w:rPr>
        <w:t> </w:t>
      </w:r>
      <w:r>
        <w:rPr>
          <w:rFonts w:ascii="宋体" w:hAnsi="宋体" w:cs="宋体" w:eastAsia="宋体" w:hint="default"/>
          <w:b/>
          <w:bCs/>
          <w:spacing w:val="-2"/>
          <w:sz w:val="21"/>
          <w:szCs w:val="21"/>
        </w:rPr>
        <w:t>在国际化拓展方面，</w:t>
      </w:r>
      <w:r>
        <w:rPr>
          <w:rFonts w:ascii="宋体" w:hAnsi="宋体" w:cs="宋体" w:eastAsia="宋体" w:hint="default"/>
          <w:spacing w:val="-2"/>
          <w:sz w:val="21"/>
          <w:szCs w:val="21"/>
        </w:rPr>
        <w:t>公司进一步推动全球化产业布局，在日本东京投资新设全资子公司，为公司与区</w:t>
      </w:r>
    </w:p>
    <w:p>
      <w:pPr>
        <w:pStyle w:val="Heading5"/>
        <w:spacing w:line="408" w:lineRule="auto" w:before="14"/>
        <w:ind w:right="504" w:firstLine="0"/>
        <w:jc w:val="left"/>
        <w:rPr>
          <w:rFonts w:ascii="宋体" w:hAnsi="宋体" w:cs="宋体" w:eastAsia="宋体" w:hint="default"/>
        </w:rPr>
      </w:pPr>
      <w:r>
        <w:rPr/>
        <w:t>域市场合作伙伴建立可持续发展的产业协同关系奠定基础。公司继续加强与国际客户及合作伙伴的产业联</w:t>
      </w:r>
      <w:r>
        <w:rPr>
          <w:w w:val="100"/>
        </w:rPr>
        <w:t> </w:t>
      </w:r>
      <w:r>
        <w:rPr/>
        <w:t>系，与戴姆勒、宝马等国际领先</w:t>
      </w:r>
      <w:r>
        <w:rPr>
          <w:spacing w:val="-33"/>
        </w:rPr>
        <w:t> </w:t>
      </w:r>
      <w:r>
        <w:rPr>
          <w:rFonts w:ascii="宋体" w:hAnsi="宋体" w:cs="宋体" w:eastAsia="宋体" w:hint="default"/>
        </w:rPr>
        <w:t>OEM</w:t>
      </w:r>
      <w:r>
        <w:rPr>
          <w:rFonts w:ascii="宋体" w:hAnsi="宋体" w:cs="宋体" w:eastAsia="宋体" w:hint="default"/>
          <w:spacing w:val="-36"/>
        </w:rPr>
        <w:t> </w:t>
      </w:r>
      <w:r>
        <w:rPr/>
        <w:t>进一步拓展业务合作。与</w:t>
      </w:r>
      <w:r>
        <w:rPr>
          <w:spacing w:val="-33"/>
        </w:rPr>
        <w:t> </w:t>
      </w:r>
      <w:r>
        <w:rPr>
          <w:rFonts w:ascii="宋体" w:hAnsi="宋体" w:cs="宋体" w:eastAsia="宋体" w:hint="default"/>
        </w:rPr>
        <w:t>HERE</w:t>
      </w:r>
      <w:r>
        <w:rPr/>
        <w:t>、</w:t>
      </w:r>
      <w:r>
        <w:rPr>
          <w:rFonts w:ascii="宋体" w:hAnsi="宋体" w:cs="宋体" w:eastAsia="宋体" w:hint="default"/>
        </w:rPr>
        <w:t>Mobileye</w:t>
      </w:r>
      <w:r>
        <w:rPr>
          <w:rFonts w:ascii="宋体" w:hAnsi="宋体" w:cs="宋体" w:eastAsia="宋体" w:hint="default"/>
          <w:spacing w:val="-33"/>
        </w:rPr>
        <w:t> </w:t>
      </w:r>
      <w:r>
        <w:rPr/>
        <w:t>等全球行业领先科技企业</w:t>
      </w:r>
      <w:r>
        <w:rPr>
          <w:w w:val="100"/>
        </w:rPr>
        <w:t> </w:t>
      </w:r>
      <w:r>
        <w:rPr>
          <w:spacing w:val="-5"/>
        </w:rPr>
        <w:t>通过联合研发等方式，面向全球市场寻求产业协同，共同推进高精度地图相关前沿领域的技术合作和探索。</w:t>
      </w:r>
      <w:r>
        <w:rPr>
          <w:spacing w:val="-6"/>
        </w:rPr>
        <w:t> </w:t>
      </w:r>
      <w:r>
        <w:rPr>
          <w:spacing w:val="-6"/>
        </w:rPr>
      </w:r>
      <w:r>
        <w:rPr>
          <w:spacing w:val="-2"/>
        </w:rPr>
        <w:t>公司为进一步增强汽车电子芯片领域国际市场的竞争力，正在通过在欧洲和美国的分支机构加强同业联系，</w:t>
      </w:r>
      <w:r>
        <w:rPr>
          <w:spacing w:val="-42"/>
        </w:rPr>
        <w:t> </w:t>
      </w:r>
      <w:r>
        <w:rPr>
          <w:spacing w:val="-42"/>
        </w:rPr>
      </w:r>
      <w:r>
        <w:rPr/>
        <w:t>并积极寻求深度合作以及并购的机会。公司面向未来自动驾驶、智能网联、新能源等领域，继续在欧洲、</w:t>
      </w:r>
      <w:r>
        <w:rPr>
          <w:spacing w:val="-24"/>
        </w:rPr>
        <w:t> </w:t>
      </w:r>
      <w:r>
        <w:rPr>
          <w:spacing w:val="-24"/>
        </w:rPr>
      </w:r>
      <w:r>
        <w:rPr/>
        <w:t>美国、日本等全球科技创新聚集地，积极寻求行业高端人才、技术骨干和创新团队。公司进一步打造自身</w:t>
      </w:r>
      <w:r>
        <w:rPr>
          <w:w w:val="100"/>
        </w:rPr>
        <w:t> </w:t>
      </w:r>
      <w:r>
        <w:rPr/>
        <w:t>参与国际竞争的核心能力和优势，不断完善自身知识产权体系建设，持续加强可面向全球的知识产权防御</w:t>
      </w:r>
      <w:r>
        <w:rPr>
          <w:w w:val="100"/>
        </w:rPr>
        <w:t> </w:t>
      </w:r>
      <w:r>
        <w:rPr/>
        <w:t>能力。</w:t>
      </w:r>
      <w:r>
        <w:rPr>
          <w:rFonts w:ascii="宋体" w:hAnsi="宋体" w:cs="宋体" w:eastAsia="宋体" w:hint="default"/>
        </w:rPr>
        <w:t> </w:t>
      </w:r>
    </w:p>
    <w:p>
      <w:pPr>
        <w:pStyle w:val="Heading5"/>
        <w:spacing w:line="408" w:lineRule="auto" w:before="84"/>
        <w:ind w:right="1126"/>
        <w:jc w:val="both"/>
        <w:rPr>
          <w:rFonts w:ascii="宋体" w:hAnsi="宋体" w:cs="宋体" w:eastAsia="宋体" w:hint="default"/>
        </w:rPr>
      </w:pPr>
      <w:r>
        <w:rPr>
          <w:rFonts w:ascii="宋体" w:hAnsi="宋体" w:cs="宋体" w:eastAsia="宋体" w:hint="default"/>
          <w:b/>
          <w:bCs/>
          <w:spacing w:val="-2"/>
        </w:rPr>
        <w:t>在品牌建设方面，</w:t>
      </w:r>
      <w:r>
        <w:rPr>
          <w:spacing w:val="-2"/>
        </w:rPr>
        <w:t>公司继续加强品牌建设及推广力度，通过举办产品鉴赏会、用户大会、产品及重大</w:t>
      </w:r>
      <w:r>
        <w:rPr>
          <w:w w:val="100"/>
        </w:rPr>
        <w:t> </w:t>
      </w:r>
      <w:r>
        <w:rPr>
          <w:spacing w:val="-7"/>
        </w:rPr>
        <w:t>事件发布会、行业大赛，参加行业展会等多种形式，提升“四维图新”品牌形象及行业影响力，全面传播、</w:t>
      </w:r>
      <w:r>
        <w:rPr>
          <w:spacing w:val="-22"/>
        </w:rPr>
        <w:t> </w:t>
      </w:r>
      <w:r>
        <w:rPr>
          <w:spacing w:val="-22"/>
        </w:rPr>
      </w:r>
      <w:r>
        <w:rPr/>
        <w:t>渗透公司“智能汽车大脑”战略布局及转型成果，并通过</w:t>
      </w:r>
      <w:r>
        <w:rPr>
          <w:spacing w:val="-65"/>
        </w:rPr>
        <w:t> </w:t>
      </w:r>
      <w:r>
        <w:rPr>
          <w:rFonts w:ascii="宋体" w:hAnsi="宋体" w:cs="宋体" w:eastAsia="宋体" w:hint="default"/>
        </w:rPr>
        <w:t>Tech</w:t>
      </w:r>
      <w:r>
        <w:rPr>
          <w:rFonts w:ascii="宋体" w:hAnsi="宋体" w:cs="宋体" w:eastAsia="宋体" w:hint="default"/>
          <w:spacing w:val="-65"/>
        </w:rPr>
        <w:t> </w:t>
      </w:r>
      <w:r>
        <w:rPr>
          <w:rFonts w:ascii="宋体" w:hAnsi="宋体" w:cs="宋体" w:eastAsia="宋体" w:hint="default"/>
        </w:rPr>
        <w:t>Day</w:t>
      </w:r>
      <w:r>
        <w:rPr/>
        <w:t>、小型座谈研讨会、投资者交流会等点</w:t>
      </w:r>
      <w:r>
        <w:rPr>
          <w:w w:val="100"/>
        </w:rPr>
        <w:t> </w:t>
      </w:r>
      <w:r>
        <w:rPr>
          <w:spacing w:val="-2"/>
        </w:rPr>
        <w:t>对点传播的方式主动走进客户，进一步推动与市场客户、政府机构、行业协会、投资者的双向了解和有效</w:t>
      </w:r>
      <w:r>
        <w:rPr>
          <w:spacing w:val="-47"/>
        </w:rPr>
        <w:t> </w:t>
      </w:r>
      <w:r>
        <w:rPr>
          <w:spacing w:val="-47"/>
        </w:rPr>
      </w:r>
      <w:r>
        <w:rPr>
          <w:spacing w:val="-7"/>
        </w:rPr>
        <w:t>沟通，及时获取产品和服务使用反馈、把握客户和行业发展新诉求，推动产品及服务持续改善和迭代升级，</w:t>
      </w:r>
      <w:r>
        <w:rPr>
          <w:spacing w:val="-17"/>
        </w:rPr>
        <w:t> </w:t>
      </w:r>
      <w:r>
        <w:rPr>
          <w:spacing w:val="-17"/>
        </w:rPr>
      </w:r>
      <w:r>
        <w:rPr>
          <w:spacing w:val="-2"/>
        </w:rPr>
        <w:t>提升客户满意度和行业认可度。此外，公司积极参与社会公益建设，践行企业社会责任，并始终坚持将其</w:t>
      </w:r>
      <w:r>
        <w:rPr>
          <w:spacing w:val="-47"/>
        </w:rPr>
        <w:t> </w:t>
      </w:r>
      <w:r>
        <w:rPr>
          <w:spacing w:val="-47"/>
        </w:rPr>
      </w:r>
      <w:r>
        <w:rPr>
          <w:spacing w:val="-2"/>
        </w:rPr>
        <w:t>作为公司企业文化及品牌建设的重要组成部分。面向未来，公司将加快推动公司品牌标示统一化及体系化</w:t>
      </w:r>
      <w:r>
        <w:rPr>
          <w:spacing w:val="-44"/>
        </w:rPr>
        <w:t> </w:t>
      </w:r>
      <w:r>
        <w:rPr>
          <w:spacing w:val="-44"/>
        </w:rPr>
      </w:r>
      <w:r>
        <w:rPr/>
        <w:t>梳理，在提升</w:t>
      </w:r>
      <w:r>
        <w:rPr>
          <w:spacing w:val="-53"/>
        </w:rPr>
        <w:t> </w:t>
      </w:r>
      <w:r>
        <w:rPr>
          <w:rFonts w:ascii="宋体" w:hAnsi="宋体" w:cs="宋体" w:eastAsia="宋体" w:hint="default"/>
        </w:rPr>
        <w:t>B</w:t>
      </w:r>
      <w:r>
        <w:rPr>
          <w:rFonts w:ascii="宋体" w:hAnsi="宋体" w:cs="宋体" w:eastAsia="宋体" w:hint="default"/>
          <w:spacing w:val="-56"/>
        </w:rPr>
        <w:t> </w:t>
      </w:r>
      <w:r>
        <w:rPr/>
        <w:t>端市场认知度的同时，进一步打造在</w:t>
      </w:r>
      <w:r>
        <w:rPr>
          <w:spacing w:val="-53"/>
        </w:rPr>
        <w:t> </w:t>
      </w:r>
      <w:r>
        <w:rPr>
          <w:rFonts w:ascii="宋体" w:hAnsi="宋体" w:cs="宋体" w:eastAsia="宋体" w:hint="default"/>
        </w:rPr>
        <w:t>C</w:t>
      </w:r>
      <w:r>
        <w:rPr>
          <w:rFonts w:ascii="宋体" w:hAnsi="宋体" w:cs="宋体" w:eastAsia="宋体" w:hint="default"/>
          <w:spacing w:val="-54"/>
        </w:rPr>
        <w:t> </w:t>
      </w:r>
      <w:r>
        <w:rPr/>
        <w:t>端市场的品牌形象。</w:t>
      </w:r>
      <w:r>
        <w:rPr>
          <w:rFonts w:ascii="宋体" w:hAnsi="宋体" w:cs="宋体" w:eastAsia="宋体" w:hint="default"/>
        </w:rPr>
        <w:t> </w:t>
      </w:r>
    </w:p>
    <w:p>
      <w:pPr>
        <w:spacing w:after="0" w:line="408" w:lineRule="auto"/>
        <w:jc w:val="both"/>
        <w:rPr>
          <w:rFonts w:ascii="宋体" w:hAnsi="宋体" w:cs="宋体" w:eastAsia="宋体" w:hint="default"/>
        </w:rPr>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9"/>
          <w:szCs w:val="19"/>
        </w:rPr>
      </w:pPr>
    </w:p>
    <w:p>
      <w:pPr>
        <w:spacing w:line="5937" w:lineRule="exact"/>
        <w:ind w:left="1298" w:right="0" w:firstLine="0"/>
        <w:rPr>
          <w:rFonts w:ascii="宋体" w:hAnsi="宋体" w:cs="宋体" w:eastAsia="宋体" w:hint="default"/>
          <w:sz w:val="20"/>
          <w:szCs w:val="20"/>
        </w:rPr>
      </w:pPr>
      <w:r>
        <w:rPr>
          <w:rFonts w:ascii="宋体" w:hAnsi="宋体" w:cs="宋体" w:eastAsia="宋体" w:hint="default"/>
          <w:position w:val="-118"/>
          <w:sz w:val="20"/>
          <w:szCs w:val="20"/>
        </w:rPr>
        <w:drawing>
          <wp:inline distT="0" distB="0" distL="0" distR="0">
            <wp:extent cx="4930655" cy="3770471"/>
            <wp:effectExtent l="0" t="0" r="0" b="0"/>
            <wp:docPr id="47" name="image26.jpeg" descr=""/>
            <wp:cNvGraphicFramePr>
              <a:graphicFrameLocks noChangeAspect="1"/>
            </wp:cNvGraphicFramePr>
            <a:graphic>
              <a:graphicData uri="http://schemas.openxmlformats.org/drawingml/2006/picture">
                <pic:pic>
                  <pic:nvPicPr>
                    <pic:cNvPr id="48" name="image26.jpeg"/>
                    <pic:cNvPicPr/>
                  </pic:nvPicPr>
                  <pic:blipFill>
                    <a:blip r:embed="rId39" cstate="print"/>
                    <a:stretch>
                      <a:fillRect/>
                    </a:stretch>
                  </pic:blipFill>
                  <pic:spPr>
                    <a:xfrm>
                      <a:off x="0" y="0"/>
                      <a:ext cx="4930655" cy="3770471"/>
                    </a:xfrm>
                    <a:prstGeom prst="rect">
                      <a:avLst/>
                    </a:prstGeom>
                  </pic:spPr>
                </pic:pic>
              </a:graphicData>
            </a:graphic>
          </wp:inline>
        </w:drawing>
      </w:r>
      <w:r>
        <w:rPr>
          <w:rFonts w:ascii="宋体" w:hAnsi="宋体" w:cs="宋体" w:eastAsia="宋体" w:hint="default"/>
          <w:position w:val="-118"/>
          <w:sz w:val="20"/>
          <w:szCs w:val="20"/>
        </w:rPr>
      </w:r>
    </w:p>
    <w:p>
      <w:pPr>
        <w:spacing w:line="240" w:lineRule="auto" w:before="0"/>
        <w:rPr>
          <w:rFonts w:ascii="宋体" w:hAnsi="宋体" w:cs="宋体" w:eastAsia="宋体" w:hint="default"/>
          <w:sz w:val="17"/>
          <w:szCs w:val="17"/>
        </w:rPr>
      </w:pPr>
    </w:p>
    <w:p>
      <w:pPr>
        <w:pStyle w:val="Heading4"/>
        <w:spacing w:line="240" w:lineRule="auto" w:before="36"/>
        <w:ind w:left="579" w:right="1031"/>
        <w:jc w:val="center"/>
        <w:rPr>
          <w:rFonts w:ascii="宋体" w:hAnsi="宋体" w:cs="宋体" w:eastAsia="宋体" w:hint="default"/>
          <w:b w:val="0"/>
          <w:bCs w:val="0"/>
        </w:rPr>
      </w:pPr>
      <w:r>
        <w:rPr/>
        <w:t>公司邀请全球品牌汽车厂商、互联网企业、政府及行业代表、行业媒体、投资分析师等进行深入交流</w:t>
      </w:r>
      <w:r>
        <w:rPr>
          <w:rFonts w:ascii="宋体" w:hAnsi="宋体" w:cs="宋体" w:eastAsia="宋体" w:hint="default"/>
          <w:w w:val="99"/>
        </w:rPr>
        <w:t> </w:t>
      </w:r>
      <w:r>
        <w:rPr>
          <w:rFonts w:ascii="宋体" w:hAnsi="宋体" w:cs="宋体" w:eastAsia="宋体" w:hint="default"/>
          <w:b w:val="0"/>
          <w:bCs w:val="0"/>
        </w:rPr>
      </w:r>
    </w:p>
    <w:p>
      <w:pPr>
        <w:spacing w:line="240" w:lineRule="auto" w:before="3"/>
        <w:rPr>
          <w:rFonts w:ascii="宋体" w:hAnsi="宋体" w:cs="宋体" w:eastAsia="宋体" w:hint="default"/>
          <w:b/>
          <w:bCs/>
          <w:sz w:val="23"/>
          <w:szCs w:val="23"/>
        </w:rPr>
      </w:pPr>
    </w:p>
    <w:p>
      <w:pPr>
        <w:spacing w:line="5333" w:lineRule="exact"/>
        <w:ind w:left="1508" w:right="0" w:firstLine="0"/>
        <w:rPr>
          <w:rFonts w:ascii="宋体" w:hAnsi="宋体" w:cs="宋体" w:eastAsia="宋体" w:hint="default"/>
          <w:sz w:val="20"/>
          <w:szCs w:val="20"/>
        </w:rPr>
      </w:pPr>
      <w:r>
        <w:rPr>
          <w:rFonts w:ascii="宋体" w:hAnsi="宋体" w:cs="宋体" w:eastAsia="宋体" w:hint="default"/>
          <w:position w:val="-106"/>
          <w:sz w:val="20"/>
          <w:szCs w:val="20"/>
        </w:rPr>
        <w:drawing>
          <wp:inline distT="0" distB="0" distL="0" distR="0">
            <wp:extent cx="4652250" cy="3386994"/>
            <wp:effectExtent l="0" t="0" r="0" b="0"/>
            <wp:docPr id="49" name="image27.jpeg" descr=""/>
            <wp:cNvGraphicFramePr>
              <a:graphicFrameLocks noChangeAspect="1"/>
            </wp:cNvGraphicFramePr>
            <a:graphic>
              <a:graphicData uri="http://schemas.openxmlformats.org/drawingml/2006/picture">
                <pic:pic>
                  <pic:nvPicPr>
                    <pic:cNvPr id="50" name="image27.jpeg"/>
                    <pic:cNvPicPr/>
                  </pic:nvPicPr>
                  <pic:blipFill>
                    <a:blip r:embed="rId40" cstate="print"/>
                    <a:stretch>
                      <a:fillRect/>
                    </a:stretch>
                  </pic:blipFill>
                  <pic:spPr>
                    <a:xfrm>
                      <a:off x="0" y="0"/>
                      <a:ext cx="4652250" cy="3386994"/>
                    </a:xfrm>
                    <a:prstGeom prst="rect">
                      <a:avLst/>
                    </a:prstGeom>
                  </pic:spPr>
                </pic:pic>
              </a:graphicData>
            </a:graphic>
          </wp:inline>
        </w:drawing>
      </w:r>
      <w:r>
        <w:rPr>
          <w:rFonts w:ascii="宋体" w:hAnsi="宋体" w:cs="宋体" w:eastAsia="宋体" w:hint="default"/>
          <w:position w:val="-106"/>
          <w:sz w:val="20"/>
          <w:szCs w:val="20"/>
        </w:rPr>
      </w:r>
    </w:p>
    <w:p>
      <w:pPr>
        <w:spacing w:line="240" w:lineRule="auto" w:before="3"/>
        <w:rPr>
          <w:rFonts w:ascii="宋体" w:hAnsi="宋体" w:cs="宋体" w:eastAsia="宋体" w:hint="default"/>
          <w:b/>
          <w:bCs/>
          <w:sz w:val="19"/>
          <w:szCs w:val="19"/>
        </w:rPr>
      </w:pPr>
    </w:p>
    <w:p>
      <w:pPr>
        <w:pStyle w:val="Heading4"/>
        <w:spacing w:line="240" w:lineRule="auto"/>
        <w:ind w:left="577" w:right="1031"/>
        <w:jc w:val="center"/>
        <w:rPr>
          <w:rFonts w:ascii="宋体" w:hAnsi="宋体" w:cs="宋体" w:eastAsia="宋体" w:hint="default"/>
          <w:b w:val="0"/>
          <w:bCs w:val="0"/>
        </w:rPr>
      </w:pPr>
      <w:r>
        <w:rPr/>
        <w:t>公司积极参与具有重大行业影响力的市场活动，全面传播、渗透公司战略转型成果</w:t>
      </w:r>
      <w:r>
        <w:rPr>
          <w:rFonts w:ascii="宋体" w:hAnsi="宋体" w:cs="宋体" w:eastAsia="宋体" w:hint="default"/>
          <w:w w:val="99"/>
        </w:rPr>
        <w:t> </w:t>
      </w:r>
      <w:r>
        <w:rPr>
          <w:rFonts w:ascii="宋体" w:hAnsi="宋体" w:cs="宋体" w:eastAsia="宋体" w:hint="default"/>
          <w:b w:val="0"/>
          <w:bCs w:val="0"/>
        </w:rPr>
      </w:r>
    </w:p>
    <w:p>
      <w:pPr>
        <w:spacing w:after="0" w:line="240" w:lineRule="auto"/>
        <w:jc w:val="center"/>
        <w:rPr>
          <w:rFonts w:ascii="宋体" w:hAnsi="宋体" w:cs="宋体" w:eastAsia="宋体" w:hint="default"/>
        </w:rPr>
        <w:sectPr>
          <w:pgSz w:w="11910" w:h="16840"/>
          <w:pgMar w:header="745" w:footer="979" w:top="1060" w:bottom="1160" w:left="980" w:right="0"/>
        </w:sect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1"/>
          <w:szCs w:val="11"/>
        </w:rPr>
      </w:pPr>
    </w:p>
    <w:p>
      <w:pPr>
        <w:spacing w:line="6114" w:lineRule="exact"/>
        <w:ind w:left="1193" w:right="0" w:firstLine="0"/>
        <w:rPr>
          <w:rFonts w:ascii="宋体" w:hAnsi="宋体" w:cs="宋体" w:eastAsia="宋体" w:hint="default"/>
          <w:sz w:val="20"/>
          <w:szCs w:val="20"/>
        </w:rPr>
      </w:pPr>
      <w:r>
        <w:rPr>
          <w:rFonts w:ascii="宋体" w:hAnsi="宋体" w:cs="宋体" w:eastAsia="宋体" w:hint="default"/>
          <w:position w:val="-121"/>
          <w:sz w:val="20"/>
          <w:szCs w:val="20"/>
        </w:rPr>
        <w:drawing>
          <wp:inline distT="0" distB="0" distL="0" distR="0">
            <wp:extent cx="5035470" cy="3882580"/>
            <wp:effectExtent l="0" t="0" r="0" b="0"/>
            <wp:docPr id="51" name="image28.jpeg" descr=""/>
            <wp:cNvGraphicFramePr>
              <a:graphicFrameLocks noChangeAspect="1"/>
            </wp:cNvGraphicFramePr>
            <a:graphic>
              <a:graphicData uri="http://schemas.openxmlformats.org/drawingml/2006/picture">
                <pic:pic>
                  <pic:nvPicPr>
                    <pic:cNvPr id="52" name="image28.jpeg"/>
                    <pic:cNvPicPr/>
                  </pic:nvPicPr>
                  <pic:blipFill>
                    <a:blip r:embed="rId41" cstate="print"/>
                    <a:stretch>
                      <a:fillRect/>
                    </a:stretch>
                  </pic:blipFill>
                  <pic:spPr>
                    <a:xfrm>
                      <a:off x="0" y="0"/>
                      <a:ext cx="5035470" cy="3882580"/>
                    </a:xfrm>
                    <a:prstGeom prst="rect">
                      <a:avLst/>
                    </a:prstGeom>
                  </pic:spPr>
                </pic:pic>
              </a:graphicData>
            </a:graphic>
          </wp:inline>
        </w:drawing>
      </w:r>
      <w:r>
        <w:rPr>
          <w:rFonts w:ascii="宋体" w:hAnsi="宋体" w:cs="宋体" w:eastAsia="宋体" w:hint="default"/>
          <w:position w:val="-121"/>
          <w:sz w:val="20"/>
          <w:szCs w:val="20"/>
        </w:rPr>
      </w:r>
    </w:p>
    <w:p>
      <w:pPr>
        <w:spacing w:line="240" w:lineRule="auto" w:before="7"/>
        <w:rPr>
          <w:rFonts w:ascii="宋体" w:hAnsi="宋体" w:cs="宋体" w:eastAsia="宋体" w:hint="default"/>
          <w:b/>
          <w:bCs/>
          <w:sz w:val="11"/>
          <w:szCs w:val="11"/>
        </w:rPr>
      </w:pPr>
    </w:p>
    <w:p>
      <w:pPr>
        <w:pStyle w:val="Heading4"/>
        <w:spacing w:line="240" w:lineRule="auto" w:before="36"/>
        <w:ind w:left="579" w:right="1031"/>
        <w:jc w:val="center"/>
        <w:rPr>
          <w:rFonts w:ascii="宋体" w:hAnsi="宋体" w:cs="宋体" w:eastAsia="宋体" w:hint="default"/>
          <w:b w:val="0"/>
          <w:bCs w:val="0"/>
        </w:rPr>
      </w:pPr>
      <w:r>
        <w:rPr/>
        <w:pict>
          <v:shape style="position:absolute;margin-left:146.600006pt;margin-top:25.093678pt;width:323.1pt;height:215.4pt;mso-position-horizontal-relative:page;mso-position-vertical-relative:paragraph;z-index:-1325344" type="#_x0000_t75" stroked="false">
            <v:imagedata r:id="rId42" o:title=""/>
          </v:shape>
        </w:pict>
      </w:r>
      <w:r>
        <w:rPr/>
        <w:t>公司通过 </w:t>
      </w:r>
      <w:r>
        <w:rPr>
          <w:rFonts w:ascii="宋体" w:hAnsi="宋体" w:cs="宋体" w:eastAsia="宋体" w:hint="default"/>
        </w:rPr>
        <w:t>Tech</w:t>
      </w:r>
      <w:r>
        <w:rPr>
          <w:rFonts w:ascii="宋体" w:hAnsi="宋体" w:cs="宋体" w:eastAsia="宋体" w:hint="default"/>
          <w:spacing w:val="-54"/>
        </w:rPr>
        <w:t> </w:t>
      </w:r>
      <w:r>
        <w:rPr>
          <w:rFonts w:ascii="宋体" w:hAnsi="宋体" w:cs="宋体" w:eastAsia="宋体" w:hint="default"/>
        </w:rPr>
        <w:t>Day</w:t>
      </w:r>
      <w:r>
        <w:rPr/>
        <w:t>、小型座谈研讨会等点对点传播的方式主动走进客户</w:t>
      </w:r>
      <w:r>
        <w:rPr>
          <w:rFonts w:ascii="宋体" w:hAnsi="宋体" w:cs="宋体" w:eastAsia="宋体" w:hint="default"/>
          <w:w w:val="99"/>
        </w:rPr>
        <w:t> </w:t>
      </w:r>
      <w:r>
        <w:rPr>
          <w:rFonts w:ascii="宋体" w:hAnsi="宋体" w:cs="宋体" w:eastAsia="宋体" w:hint="default"/>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6"/>
          <w:szCs w:val="26"/>
        </w:rPr>
      </w:pPr>
    </w:p>
    <w:p>
      <w:pPr>
        <w:pStyle w:val="Heading4"/>
        <w:spacing w:line="326" w:lineRule="auto"/>
        <w:ind w:left="597" w:right="-6778" w:firstLine="7815"/>
        <w:jc w:val="left"/>
        <w:rPr>
          <w:b w:val="0"/>
          <w:bCs w:val="0"/>
        </w:rPr>
      </w:pPr>
      <w:r>
        <w:rPr>
          <w:rFonts w:ascii="宋体" w:hAnsi="宋体" w:cs="宋体" w:eastAsia="宋体" w:hint="default"/>
          <w:w w:val="99"/>
        </w:rPr>
        <w:t> </w:t>
      </w:r>
      <w:r>
        <w:rPr>
          <w:w w:val="100"/>
        </w:rPr>
        <w:t>公司举办第四届“</w:t>
      </w:r>
      <w:r>
        <w:rPr>
          <w:spacing w:val="-3"/>
          <w:w w:val="100"/>
        </w:rPr>
        <w:t>四</w:t>
      </w:r>
      <w:r>
        <w:rPr>
          <w:w w:val="100"/>
        </w:rPr>
        <w:t>维</w:t>
      </w:r>
      <w:r>
        <w:rPr>
          <w:spacing w:val="-3"/>
          <w:w w:val="100"/>
        </w:rPr>
        <w:t>图</w:t>
      </w:r>
      <w:r>
        <w:rPr>
          <w:w w:val="100"/>
        </w:rPr>
        <w:t>新杯”地图技能</w:t>
      </w:r>
      <w:r>
        <w:rPr>
          <w:rFonts w:ascii="宋体" w:hAnsi="宋体" w:cs="宋体" w:eastAsia="宋体" w:hint="default"/>
          <w:w w:val="99"/>
        </w:rPr>
        <w:t>&amp;</w:t>
      </w:r>
      <w:r>
        <w:rPr>
          <w:w w:val="100"/>
        </w:rPr>
        <w:t>创新</w:t>
      </w:r>
      <w:r>
        <w:rPr>
          <w:spacing w:val="-3"/>
          <w:w w:val="100"/>
        </w:rPr>
        <w:t>大赛</w:t>
      </w:r>
      <w:r>
        <w:rPr>
          <w:w w:val="100"/>
        </w:rPr>
        <w:t>，从全国各大高校</w:t>
      </w:r>
      <w:r>
        <w:rPr>
          <w:spacing w:val="-3"/>
          <w:w w:val="100"/>
        </w:rPr>
        <w:t>选</w:t>
      </w:r>
      <w:r>
        <w:rPr>
          <w:w w:val="100"/>
        </w:rPr>
        <w:t>拔</w:t>
      </w:r>
      <w:r>
        <w:rPr>
          <w:spacing w:val="-3"/>
          <w:w w:val="100"/>
        </w:rPr>
        <w:t>优</w:t>
      </w:r>
      <w:r>
        <w:rPr>
          <w:w w:val="100"/>
        </w:rPr>
        <w:t>秀人才和创新型技</w:t>
      </w:r>
      <w:r>
        <w:rPr>
          <w:spacing w:val="-3"/>
          <w:w w:val="100"/>
        </w:rPr>
        <w:t>术</w:t>
      </w:r>
      <w:r>
        <w:rPr>
          <w:w w:val="100"/>
        </w:rPr>
        <w:t>方</w:t>
      </w:r>
      <w:r>
        <w:rPr>
          <w:b w:val="0"/>
          <w:bCs w:val="0"/>
          <w:w w:val="100"/>
        </w:rPr>
      </w:r>
    </w:p>
    <w:p>
      <w:pPr>
        <w:pStyle w:val="Heading4"/>
        <w:spacing w:line="240" w:lineRule="auto" w:before="117"/>
        <w:ind w:left="159" w:right="1031"/>
        <w:jc w:val="center"/>
        <w:rPr>
          <w:rFonts w:ascii="宋体" w:hAnsi="宋体" w:cs="宋体" w:eastAsia="宋体" w:hint="default"/>
          <w:b w:val="0"/>
          <w:bCs w:val="0"/>
        </w:rPr>
      </w:pPr>
      <w:r>
        <w:rPr/>
        <w:t>案，引导行业技术发展</w:t>
      </w:r>
      <w:r>
        <w:rPr>
          <w:rFonts w:ascii="宋体" w:hAnsi="宋体" w:cs="宋体" w:eastAsia="宋体" w:hint="default"/>
          <w:w w:val="99"/>
        </w:rPr>
        <w:t> </w:t>
      </w:r>
      <w:r>
        <w:rPr>
          <w:rFonts w:ascii="宋体" w:hAnsi="宋体" w:cs="宋体" w:eastAsia="宋体" w:hint="default"/>
          <w:b w:val="0"/>
          <w:bCs w:val="0"/>
        </w:rPr>
      </w:r>
    </w:p>
    <w:p>
      <w:pPr>
        <w:spacing w:line="240" w:lineRule="auto" w:before="12"/>
        <w:rPr>
          <w:rFonts w:ascii="宋体" w:hAnsi="宋体" w:cs="宋体" w:eastAsia="宋体" w:hint="default"/>
          <w:b/>
          <w:bCs/>
          <w:sz w:val="17"/>
          <w:szCs w:val="17"/>
        </w:rPr>
      </w:pPr>
    </w:p>
    <w:p>
      <w:pPr>
        <w:pStyle w:val="Heading4"/>
        <w:spacing w:line="240" w:lineRule="auto"/>
        <w:ind w:left="573" w:right="982"/>
        <w:jc w:val="left"/>
        <w:rPr>
          <w:rFonts w:ascii="宋体" w:hAnsi="宋体" w:cs="宋体" w:eastAsia="宋体" w:hint="default"/>
          <w:b w:val="0"/>
          <w:bCs w:val="0"/>
        </w:rPr>
      </w:pPr>
      <w:r>
        <w:rPr/>
        <w:t>资本市场：</w:t>
      </w:r>
      <w:r>
        <w:rPr>
          <w:rFonts w:ascii="宋体" w:hAnsi="宋体" w:cs="宋体" w:eastAsia="宋体" w:hint="default"/>
          <w:w w:val="99"/>
        </w:rPr>
        <w:t> </w:t>
      </w:r>
      <w:r>
        <w:rPr>
          <w:rFonts w:ascii="宋体" w:hAnsi="宋体" w:cs="宋体" w:eastAsia="宋体" w:hint="default"/>
          <w:b w:val="0"/>
          <w:bCs w:val="0"/>
        </w:rPr>
      </w:r>
    </w:p>
    <w:p>
      <w:pPr>
        <w:spacing w:line="240" w:lineRule="auto" w:before="9"/>
        <w:rPr>
          <w:rFonts w:ascii="宋体" w:hAnsi="宋体" w:cs="宋体" w:eastAsia="宋体" w:hint="default"/>
          <w:b/>
          <w:bCs/>
          <w:sz w:val="17"/>
          <w:szCs w:val="17"/>
        </w:rPr>
      </w:pPr>
    </w:p>
    <w:p>
      <w:pPr>
        <w:pStyle w:val="Heading5"/>
        <w:tabs>
          <w:tab w:pos="873" w:val="left" w:leader="none"/>
        </w:tabs>
        <w:spacing w:line="240" w:lineRule="auto" w:before="0"/>
        <w:ind w:left="513" w:right="982" w:firstLine="0"/>
        <w:jc w:val="left"/>
      </w:pPr>
      <w:r>
        <w:rPr>
          <w:rFonts w:ascii="Arial" w:hAnsi="Arial" w:cs="Arial" w:eastAsia="Arial" w:hint="default"/>
        </w:rPr>
        <w:t>•</w:t>
        <w:tab/>
      </w:r>
      <w:r>
        <w:rPr/>
        <w:t>公司</w:t>
      </w:r>
      <w:r>
        <w:rPr>
          <w:spacing w:val="-57"/>
        </w:rPr>
        <w:t> </w:t>
      </w:r>
      <w:r>
        <w:rPr>
          <w:rFonts w:ascii="宋体" w:hAnsi="宋体" w:cs="宋体" w:eastAsia="宋体" w:hint="default"/>
        </w:rPr>
        <w:t>2017</w:t>
      </w:r>
      <w:r>
        <w:rPr>
          <w:rFonts w:ascii="宋体" w:hAnsi="宋体" w:cs="宋体" w:eastAsia="宋体" w:hint="default"/>
          <w:spacing w:val="-58"/>
        </w:rPr>
        <w:t> </w:t>
      </w:r>
      <w:r>
        <w:rPr/>
        <w:t>年度信息披露工作被深交所评为“</w:t>
      </w:r>
      <w:r>
        <w:rPr>
          <w:rFonts w:ascii="宋体" w:hAnsi="宋体" w:cs="宋体" w:eastAsia="宋体" w:hint="default"/>
        </w:rPr>
        <w:t>A</w:t>
      </w:r>
      <w:r>
        <w:rPr/>
        <w:t>”级。自</w:t>
      </w:r>
      <w:r>
        <w:rPr>
          <w:spacing w:val="-57"/>
        </w:rPr>
        <w:t> </w:t>
      </w:r>
      <w:r>
        <w:rPr>
          <w:rFonts w:ascii="宋体" w:hAnsi="宋体" w:cs="宋体" w:eastAsia="宋体" w:hint="default"/>
        </w:rPr>
        <w:t>2010</w:t>
      </w:r>
      <w:r>
        <w:rPr>
          <w:rFonts w:ascii="宋体" w:hAnsi="宋体" w:cs="宋体" w:eastAsia="宋体" w:hint="default"/>
          <w:spacing w:val="-57"/>
        </w:rPr>
        <w:t> </w:t>
      </w:r>
      <w:r>
        <w:rPr/>
        <w:t>年上市以来，公司信息披露工作连续</w:t>
      </w:r>
    </w:p>
    <w:p>
      <w:pPr>
        <w:pStyle w:val="Heading5"/>
        <w:spacing w:line="240" w:lineRule="auto" w:before="178"/>
        <w:ind w:left="873" w:right="982" w:firstLine="0"/>
        <w:jc w:val="left"/>
        <w:rPr>
          <w:rFonts w:ascii="宋体" w:hAnsi="宋体" w:cs="宋体" w:eastAsia="宋体" w:hint="default"/>
        </w:rPr>
      </w:pPr>
      <w:r>
        <w:rPr>
          <w:rFonts w:ascii="宋体" w:hAnsi="宋体" w:cs="宋体" w:eastAsia="宋体" w:hint="default"/>
        </w:rPr>
        <w:t>8</w:t>
      </w:r>
      <w:r>
        <w:rPr>
          <w:rFonts w:ascii="宋体" w:hAnsi="宋体" w:cs="宋体" w:eastAsia="宋体" w:hint="default"/>
          <w:spacing w:val="-58"/>
        </w:rPr>
        <w:t> </w:t>
      </w:r>
      <w:r>
        <w:rPr/>
        <w:t>年被深交所考评为“A”级。</w:t>
      </w:r>
      <w:r>
        <w:rPr>
          <w:rFonts w:ascii="宋体" w:hAnsi="宋体" w:cs="宋体" w:eastAsia="宋体" w:hint="default"/>
        </w:rPr>
        <w:t> </w:t>
      </w:r>
    </w:p>
    <w:p>
      <w:pPr>
        <w:spacing w:after="0" w:line="240" w:lineRule="auto"/>
        <w:jc w:val="left"/>
        <w:rPr>
          <w:rFonts w:ascii="宋体" w:hAnsi="宋体" w:cs="宋体" w:eastAsia="宋体" w:hint="default"/>
        </w:rPr>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pStyle w:val="Heading5"/>
        <w:tabs>
          <w:tab w:pos="873" w:val="left" w:leader="none"/>
        </w:tabs>
        <w:spacing w:line="240" w:lineRule="auto" w:before="176"/>
        <w:ind w:left="513" w:right="982" w:firstLine="0"/>
        <w:jc w:val="left"/>
        <w:rPr>
          <w:rFonts w:ascii="宋体" w:hAnsi="宋体" w:cs="宋体" w:eastAsia="宋体" w:hint="default"/>
        </w:rPr>
      </w:pPr>
      <w:r>
        <w:rPr>
          <w:rFonts w:ascii="Arial" w:hAnsi="Arial" w:cs="Arial" w:eastAsia="Arial" w:hint="default"/>
        </w:rPr>
        <w:t>•</w:t>
        <w:tab/>
      </w:r>
      <w:r>
        <w:rPr>
          <w:rFonts w:ascii="宋体" w:hAnsi="宋体" w:cs="宋体" w:eastAsia="宋体" w:hint="default"/>
        </w:rPr>
        <w:t>2018</w:t>
      </w:r>
      <w:r>
        <w:rPr>
          <w:rFonts w:ascii="宋体" w:hAnsi="宋体" w:cs="宋体" w:eastAsia="宋体" w:hint="default"/>
          <w:spacing w:val="-56"/>
        </w:rPr>
        <w:t> </w:t>
      </w:r>
      <w:r>
        <w:rPr/>
        <w:t>年</w:t>
      </w:r>
      <w:r>
        <w:rPr>
          <w:spacing w:val="-54"/>
        </w:rPr>
        <w:t> </w:t>
      </w:r>
      <w:r>
        <w:rPr>
          <w:rFonts w:ascii="宋体" w:hAnsi="宋体" w:cs="宋体" w:eastAsia="宋体" w:hint="default"/>
        </w:rPr>
        <w:t>4</w:t>
      </w:r>
      <w:r>
        <w:rPr>
          <w:rFonts w:ascii="宋体" w:hAnsi="宋体" w:cs="宋体" w:eastAsia="宋体" w:hint="default"/>
          <w:spacing w:val="-56"/>
        </w:rPr>
        <w:t> </w:t>
      </w:r>
      <w:r>
        <w:rPr/>
        <w:t>月，公司上榜“</w:t>
      </w:r>
      <w:r>
        <w:rPr>
          <w:rFonts w:ascii="宋体" w:hAnsi="宋体" w:cs="宋体" w:eastAsia="宋体" w:hint="default"/>
        </w:rPr>
        <w:t>2017</w:t>
      </w:r>
      <w:r>
        <w:rPr>
          <w:rFonts w:ascii="宋体" w:hAnsi="宋体" w:cs="宋体" w:eastAsia="宋体" w:hint="default"/>
          <w:spacing w:val="-56"/>
        </w:rPr>
        <w:t> </w:t>
      </w:r>
      <w:r>
        <w:rPr/>
        <w:t>年度最受投资者尊重的上市公司“名单。</w:t>
      </w:r>
      <w:r>
        <w:rPr>
          <w:rFonts w:ascii="宋体" w:hAnsi="宋体" w:cs="宋体" w:eastAsia="宋体" w:hint="default"/>
        </w:rPr>
        <w:t> </w:t>
      </w:r>
    </w:p>
    <w:p>
      <w:pPr>
        <w:spacing w:line="240" w:lineRule="auto" w:before="10"/>
        <w:rPr>
          <w:rFonts w:ascii="宋体" w:hAnsi="宋体" w:cs="宋体" w:eastAsia="宋体" w:hint="default"/>
          <w:sz w:val="16"/>
          <w:szCs w:val="16"/>
        </w:rPr>
      </w:pPr>
    </w:p>
    <w:p>
      <w:pPr>
        <w:pStyle w:val="Heading5"/>
        <w:tabs>
          <w:tab w:pos="873" w:val="left" w:leader="none"/>
        </w:tabs>
        <w:spacing w:line="240" w:lineRule="auto" w:before="0"/>
        <w:ind w:left="513" w:right="982" w:firstLine="0"/>
        <w:jc w:val="left"/>
      </w:pPr>
      <w:r>
        <w:rPr>
          <w:rFonts w:ascii="Arial" w:hAnsi="Arial" w:cs="Arial" w:eastAsia="Arial" w:hint="default"/>
        </w:rPr>
        <w:t>•</w:t>
        <w:tab/>
      </w:r>
      <w:r>
        <w:rPr>
          <w:rFonts w:ascii="宋体" w:hAnsi="宋体" w:cs="宋体" w:eastAsia="宋体" w:hint="default"/>
        </w:rPr>
        <w:t>2018</w:t>
      </w:r>
      <w:r>
        <w:rPr>
          <w:rFonts w:ascii="宋体" w:hAnsi="宋体" w:cs="宋体" w:eastAsia="宋体" w:hint="default"/>
          <w:spacing w:val="-55"/>
        </w:rPr>
        <w:t> </w:t>
      </w:r>
      <w:r>
        <w:rPr/>
        <w:t>年</w:t>
      </w:r>
      <w:r>
        <w:rPr>
          <w:spacing w:val="-53"/>
        </w:rPr>
        <w:t> </w:t>
      </w:r>
      <w:r>
        <w:rPr>
          <w:rFonts w:ascii="宋体" w:hAnsi="宋体" w:cs="宋体" w:eastAsia="宋体" w:hint="default"/>
        </w:rPr>
        <w:t>12</w:t>
      </w:r>
      <w:r>
        <w:rPr>
          <w:rFonts w:ascii="宋体" w:hAnsi="宋体" w:cs="宋体" w:eastAsia="宋体" w:hint="default"/>
          <w:spacing w:val="-55"/>
        </w:rPr>
        <w:t> </w:t>
      </w:r>
      <w:r>
        <w:rPr/>
        <w:t>月，在由大众证券报主办的、新浪财经协办的</w:t>
      </w:r>
      <w:r>
        <w:rPr>
          <w:spacing w:val="-52"/>
        </w:rPr>
        <w:t> </w:t>
      </w:r>
      <w:r>
        <w:rPr>
          <w:rFonts w:ascii="宋体" w:hAnsi="宋体" w:cs="宋体" w:eastAsia="宋体" w:hint="default"/>
        </w:rPr>
        <w:t>2018</w:t>
      </w:r>
      <w:r>
        <w:rPr>
          <w:rFonts w:ascii="宋体" w:hAnsi="宋体" w:cs="宋体" w:eastAsia="宋体" w:hint="default"/>
          <w:spacing w:val="-53"/>
        </w:rPr>
        <w:t> </w:t>
      </w:r>
      <w:r>
        <w:rPr/>
        <w:t>中国</w:t>
      </w:r>
      <w:r>
        <w:rPr>
          <w:spacing w:val="-53"/>
        </w:rPr>
        <w:t> </w:t>
      </w:r>
      <w:r>
        <w:rPr>
          <w:rFonts w:ascii="宋体" w:hAnsi="宋体" w:cs="宋体" w:eastAsia="宋体" w:hint="default"/>
        </w:rPr>
        <w:t>A</w:t>
      </w:r>
      <w:r>
        <w:rPr>
          <w:rFonts w:ascii="宋体" w:hAnsi="宋体" w:cs="宋体" w:eastAsia="宋体" w:hint="default"/>
          <w:spacing w:val="-55"/>
        </w:rPr>
        <w:t> </w:t>
      </w:r>
      <w:r>
        <w:rPr/>
        <w:t>股上市公司创新指数百强榜</w:t>
      </w:r>
    </w:p>
    <w:p>
      <w:pPr>
        <w:pStyle w:val="Heading5"/>
        <w:spacing w:line="240" w:lineRule="auto" w:before="178"/>
        <w:ind w:left="873" w:right="982" w:firstLine="0"/>
        <w:jc w:val="left"/>
        <w:rPr>
          <w:rFonts w:ascii="宋体" w:hAnsi="宋体" w:cs="宋体" w:eastAsia="宋体" w:hint="default"/>
        </w:rPr>
      </w:pPr>
      <w:r>
        <w:rPr>
          <w:spacing w:val="-5"/>
        </w:rPr>
        <w:t>发布活动中荣获“最佳中小板上市公司”及“紫金创新”奖，并上榜 </w:t>
      </w:r>
      <w:r>
        <w:rPr>
          <w:rFonts w:ascii="宋体" w:hAnsi="宋体" w:cs="宋体" w:eastAsia="宋体" w:hint="default"/>
          <w:spacing w:val="-5"/>
        </w:rPr>
      </w:r>
      <w:r>
        <w:rPr/>
        <w:t>“</w:t>
      </w:r>
      <w:r>
        <w:rPr>
          <w:rFonts w:ascii="宋体" w:hAnsi="宋体" w:cs="宋体" w:eastAsia="宋体" w:hint="default"/>
        </w:rPr>
        <w:t>A </w:t>
      </w:r>
      <w:r>
        <w:rPr/>
        <w:t>股上市公司创新能力</w:t>
      </w:r>
      <w:r>
        <w:rPr>
          <w:spacing w:val="-71"/>
        </w:rPr>
        <w:t> </w:t>
      </w:r>
      <w:r>
        <w:rPr>
          <w:rFonts w:ascii="宋体" w:hAnsi="宋体" w:cs="宋体" w:eastAsia="宋体" w:hint="default"/>
        </w:rPr>
        <w:t>100</w:t>
      </w:r>
    </w:p>
    <w:p>
      <w:pPr>
        <w:spacing w:line="240" w:lineRule="auto" w:before="10"/>
        <w:rPr>
          <w:rFonts w:ascii="宋体" w:hAnsi="宋体" w:cs="宋体" w:eastAsia="宋体" w:hint="default"/>
          <w:sz w:val="14"/>
          <w:szCs w:val="14"/>
        </w:rPr>
      </w:pPr>
    </w:p>
    <w:p>
      <w:pPr>
        <w:pStyle w:val="Heading5"/>
        <w:spacing w:line="240" w:lineRule="auto" w:before="0"/>
        <w:ind w:left="873" w:right="982" w:firstLine="0"/>
        <w:jc w:val="left"/>
        <w:rPr>
          <w:rFonts w:ascii="宋体" w:hAnsi="宋体" w:cs="宋体" w:eastAsia="宋体" w:hint="default"/>
        </w:rPr>
      </w:pPr>
      <w:r>
        <w:rPr/>
        <w:t>强”及“创新产出能力</w:t>
      </w:r>
      <w:r>
        <w:rPr>
          <w:spacing w:val="-53"/>
        </w:rPr>
        <w:t> </w:t>
      </w:r>
      <w:r>
        <w:rPr>
          <w:rFonts w:ascii="宋体" w:hAnsi="宋体" w:cs="宋体" w:eastAsia="宋体" w:hint="default"/>
        </w:rPr>
        <w:t>50</w:t>
      </w:r>
      <w:r>
        <w:rPr>
          <w:rFonts w:ascii="宋体" w:hAnsi="宋体" w:cs="宋体" w:eastAsia="宋体" w:hint="default"/>
          <w:spacing w:val="-56"/>
        </w:rPr>
        <w:t> </w:t>
      </w:r>
      <w:r>
        <w:rPr/>
        <w:t>强”名单。</w:t>
      </w:r>
      <w:r>
        <w:rPr>
          <w:rFonts w:ascii="宋体" w:hAnsi="宋体" w:cs="宋体" w:eastAsia="宋体" w:hint="default"/>
          <w:b/>
          <w:bCs/>
          <w:w w:val="99"/>
        </w:rPr>
        <w:t> </w:t>
      </w:r>
      <w:r>
        <w:rPr>
          <w:rFonts w:ascii="宋体" w:hAnsi="宋体" w:cs="宋体" w:eastAsia="宋体" w:hint="default"/>
        </w:rPr>
      </w:r>
    </w:p>
    <w:p>
      <w:pPr>
        <w:spacing w:line="240" w:lineRule="auto" w:before="9"/>
        <w:rPr>
          <w:rFonts w:ascii="宋体" w:hAnsi="宋体" w:cs="宋体" w:eastAsia="宋体" w:hint="default"/>
          <w:b/>
          <w:bCs/>
          <w:sz w:val="17"/>
          <w:szCs w:val="17"/>
        </w:rPr>
      </w:pPr>
    </w:p>
    <w:p>
      <w:pPr>
        <w:pStyle w:val="Heading5"/>
        <w:tabs>
          <w:tab w:pos="873" w:val="left" w:leader="none"/>
        </w:tabs>
        <w:spacing w:line="388" w:lineRule="auto" w:before="0"/>
        <w:ind w:left="873" w:right="1126" w:hanging="360"/>
        <w:jc w:val="left"/>
        <w:rPr>
          <w:rFonts w:ascii="宋体" w:hAnsi="宋体" w:cs="宋体" w:eastAsia="宋体" w:hint="default"/>
        </w:rPr>
      </w:pPr>
      <w:r>
        <w:rPr>
          <w:rFonts w:ascii="Arial" w:hAnsi="Arial" w:cs="Arial" w:eastAsia="Arial" w:hint="default"/>
        </w:rPr>
        <w:t>•</w:t>
        <w:tab/>
      </w:r>
      <w:r>
        <w:rPr>
          <w:rFonts w:ascii="宋体" w:hAnsi="宋体" w:cs="宋体" w:eastAsia="宋体" w:hint="default"/>
        </w:rPr>
        <w:t>2019</w:t>
      </w:r>
      <w:r>
        <w:rPr>
          <w:rFonts w:ascii="宋体" w:hAnsi="宋体" w:cs="宋体" w:eastAsia="宋体" w:hint="default"/>
          <w:spacing w:val="-33"/>
        </w:rPr>
        <w:t> </w:t>
      </w:r>
      <w:r>
        <w:rPr/>
        <w:t>年</w:t>
      </w:r>
      <w:r>
        <w:rPr>
          <w:spacing w:val="-30"/>
        </w:rPr>
        <w:t> </w:t>
      </w:r>
      <w:r>
        <w:rPr>
          <w:rFonts w:ascii="宋体" w:hAnsi="宋体" w:cs="宋体" w:eastAsia="宋体" w:hint="default"/>
        </w:rPr>
        <w:t>1</w:t>
      </w:r>
      <w:r>
        <w:rPr>
          <w:rFonts w:ascii="宋体" w:hAnsi="宋体" w:cs="宋体" w:eastAsia="宋体" w:hint="default"/>
          <w:spacing w:val="-33"/>
        </w:rPr>
        <w:t> </w:t>
      </w:r>
      <w:r>
        <w:rPr>
          <w:spacing w:val="-6"/>
        </w:rPr>
        <w:t>月，第十四届中国上市公司董事会“金圆桌奖”颁奖盛典在北京举行，四维图新荣获“优</w:t>
      </w:r>
      <w:r>
        <w:rPr>
          <w:w w:val="100"/>
        </w:rPr>
        <w:t> </w:t>
      </w:r>
      <w:r>
        <w:rPr/>
        <w:t>秀董事会”奖项。</w:t>
      </w:r>
      <w:r>
        <w:rPr>
          <w:rFonts w:ascii="宋体" w:hAnsi="宋体" w:cs="宋体" w:eastAsia="宋体" w:hint="default"/>
          <w:b/>
          <w:bCs/>
          <w:w w:val="99"/>
        </w:rPr>
        <w:t> </w:t>
      </w:r>
      <w:r>
        <w:rPr>
          <w:rFonts w:ascii="宋体" w:hAnsi="宋体" w:cs="宋体" w:eastAsia="宋体" w:hint="default"/>
        </w:rPr>
      </w:r>
    </w:p>
    <w:p>
      <w:pPr>
        <w:pStyle w:val="Heading4"/>
        <w:spacing w:line="240" w:lineRule="auto" w:before="103"/>
        <w:ind w:left="873" w:right="982"/>
        <w:jc w:val="left"/>
        <w:rPr>
          <w:rFonts w:ascii="宋体" w:hAnsi="宋体" w:cs="宋体" w:eastAsia="宋体" w:hint="default"/>
          <w:b w:val="0"/>
          <w:bCs w:val="0"/>
        </w:rPr>
      </w:pPr>
      <w:r>
        <w:rPr/>
        <w:t>行业机构：</w:t>
      </w:r>
      <w:r>
        <w:rPr>
          <w:rFonts w:ascii="宋体" w:hAnsi="宋体" w:cs="宋体" w:eastAsia="宋体" w:hint="default"/>
          <w:w w:val="99"/>
        </w:rPr>
        <w:t> </w:t>
      </w:r>
      <w:r>
        <w:rPr>
          <w:rFonts w:ascii="宋体" w:hAnsi="宋体" w:cs="宋体" w:eastAsia="宋体" w:hint="default"/>
          <w:b w:val="0"/>
          <w:bCs w:val="0"/>
        </w:rPr>
      </w:r>
    </w:p>
    <w:p>
      <w:pPr>
        <w:spacing w:line="240" w:lineRule="auto" w:before="12"/>
        <w:rPr>
          <w:rFonts w:ascii="宋体" w:hAnsi="宋体" w:cs="宋体" w:eastAsia="宋体" w:hint="default"/>
          <w:b/>
          <w:bCs/>
          <w:sz w:val="17"/>
          <w:szCs w:val="17"/>
        </w:rPr>
      </w:pPr>
    </w:p>
    <w:p>
      <w:pPr>
        <w:pStyle w:val="Heading5"/>
        <w:tabs>
          <w:tab w:pos="873" w:val="left" w:leader="none"/>
        </w:tabs>
        <w:spacing w:line="240" w:lineRule="auto" w:before="0"/>
        <w:ind w:left="513" w:right="982" w:firstLine="0"/>
        <w:jc w:val="left"/>
        <w:rPr>
          <w:rFonts w:ascii="宋体" w:hAnsi="宋体" w:cs="宋体" w:eastAsia="宋体" w:hint="default"/>
        </w:rPr>
      </w:pPr>
      <w:r>
        <w:rPr>
          <w:rFonts w:ascii="Arial" w:hAnsi="Arial" w:cs="Arial" w:eastAsia="Arial" w:hint="default"/>
        </w:rPr>
        <w:t>•</w:t>
        <w:tab/>
      </w:r>
      <w:r>
        <w:rPr>
          <w:rFonts w:ascii="宋体" w:hAnsi="宋体" w:cs="宋体" w:eastAsia="宋体" w:hint="default"/>
        </w:rPr>
        <w:t>2018</w:t>
      </w:r>
      <w:r>
        <w:rPr>
          <w:rFonts w:ascii="宋体" w:hAnsi="宋体" w:cs="宋体" w:eastAsia="宋体" w:hint="default"/>
          <w:spacing w:val="-56"/>
        </w:rPr>
        <w:t> </w:t>
      </w:r>
      <w:r>
        <w:rPr/>
        <w:t>年</w:t>
      </w:r>
      <w:r>
        <w:rPr>
          <w:spacing w:val="-54"/>
        </w:rPr>
        <w:t> </w:t>
      </w:r>
      <w:r>
        <w:rPr>
          <w:rFonts w:ascii="宋体" w:hAnsi="宋体" w:cs="宋体" w:eastAsia="宋体" w:hint="default"/>
        </w:rPr>
        <w:t>4</w:t>
      </w:r>
      <w:r>
        <w:rPr>
          <w:rFonts w:ascii="宋体" w:hAnsi="宋体" w:cs="宋体" w:eastAsia="宋体" w:hint="default"/>
          <w:spacing w:val="-56"/>
        </w:rPr>
        <w:t> </w:t>
      </w:r>
      <w:r>
        <w:rPr/>
        <w:t>月，公司荣获由荷兰外商投资局</w:t>
      </w:r>
      <w:r>
        <w:rPr>
          <w:spacing w:val="-54"/>
        </w:rPr>
        <w:t> </w:t>
      </w:r>
      <w:r>
        <w:rPr>
          <w:rFonts w:ascii="宋体" w:hAnsi="宋体" w:cs="宋体" w:eastAsia="宋体" w:hint="default"/>
        </w:rPr>
        <w:t>NFIA</w:t>
      </w:r>
      <w:r>
        <w:rPr>
          <w:rFonts w:ascii="宋体" w:hAnsi="宋体" w:cs="宋体" w:eastAsia="宋体" w:hint="default"/>
          <w:spacing w:val="-2"/>
        </w:rPr>
        <w:t> </w:t>
      </w:r>
      <w:r>
        <w:rPr/>
        <w:t>颁发的“投资荷兰中国企业杰出贡献”奖。</w:t>
      </w:r>
      <w:r>
        <w:rPr>
          <w:rFonts w:ascii="宋体" w:hAnsi="宋体" w:cs="宋体" w:eastAsia="宋体" w:hint="default"/>
        </w:rPr>
        <w:t> </w:t>
      </w:r>
    </w:p>
    <w:p>
      <w:pPr>
        <w:spacing w:line="240" w:lineRule="auto" w:before="7"/>
        <w:rPr>
          <w:rFonts w:ascii="宋体" w:hAnsi="宋体" w:cs="宋体" w:eastAsia="宋体" w:hint="default"/>
          <w:sz w:val="16"/>
          <w:szCs w:val="16"/>
        </w:rPr>
      </w:pPr>
    </w:p>
    <w:p>
      <w:pPr>
        <w:pStyle w:val="Heading5"/>
        <w:tabs>
          <w:tab w:pos="873" w:val="left" w:leader="none"/>
        </w:tabs>
        <w:spacing w:line="240" w:lineRule="auto" w:before="0"/>
        <w:ind w:left="513" w:right="982" w:firstLine="0"/>
        <w:jc w:val="left"/>
        <w:rPr>
          <w:rFonts w:ascii="宋体" w:hAnsi="宋体" w:cs="宋体" w:eastAsia="宋体" w:hint="default"/>
        </w:rPr>
      </w:pPr>
      <w:r>
        <w:rPr>
          <w:rFonts w:ascii="Arial" w:hAnsi="Arial" w:cs="Arial" w:eastAsia="Arial" w:hint="default"/>
          <w:w w:val="100"/>
        </w:rPr>
        <w:t>•</w:t>
      </w:r>
      <w:r>
        <w:rPr>
          <w:rFonts w:ascii="Arial" w:hAnsi="Arial" w:cs="Arial" w:eastAsia="Arial" w:hint="default"/>
        </w:rPr>
        <w:tab/>
      </w:r>
      <w:r>
        <w:rPr>
          <w:rFonts w:ascii="宋体" w:hAnsi="宋体" w:cs="宋体" w:eastAsia="宋体" w:hint="default"/>
          <w:w w:val="100"/>
        </w:rPr>
        <w:t>2018</w:t>
      </w:r>
      <w:r>
        <w:rPr>
          <w:rFonts w:ascii="宋体" w:hAnsi="宋体" w:cs="宋体" w:eastAsia="宋体" w:hint="default"/>
          <w:spacing w:val="-67"/>
        </w:rPr>
        <w:t> </w:t>
      </w:r>
      <w:r>
        <w:rPr>
          <w:w w:val="100"/>
        </w:rPr>
        <w:t>年</w:t>
      </w:r>
      <w:r>
        <w:rPr>
          <w:spacing w:val="-65"/>
        </w:rPr>
        <w:t> </w:t>
      </w:r>
      <w:r>
        <w:rPr>
          <w:rFonts w:ascii="宋体" w:hAnsi="宋体" w:cs="宋体" w:eastAsia="宋体" w:hint="default"/>
          <w:w w:val="100"/>
        </w:rPr>
        <w:t>7</w:t>
      </w:r>
      <w:r>
        <w:rPr>
          <w:rFonts w:ascii="宋体" w:hAnsi="宋体" w:cs="宋体" w:eastAsia="宋体" w:hint="default"/>
          <w:spacing w:val="-65"/>
        </w:rPr>
        <w:t> </w:t>
      </w:r>
      <w:r>
        <w:rPr>
          <w:spacing w:val="-3"/>
          <w:w w:val="100"/>
        </w:rPr>
        <w:t>月</w:t>
      </w:r>
      <w:r>
        <w:rPr>
          <w:spacing w:val="-106"/>
          <w:w w:val="100"/>
        </w:rPr>
        <w:t>，</w:t>
      </w:r>
      <w:r>
        <w:rPr>
          <w:spacing w:val="-3"/>
          <w:w w:val="100"/>
        </w:rPr>
        <w:t>由</w:t>
      </w:r>
      <w:r>
        <w:rPr>
          <w:w w:val="100"/>
        </w:rPr>
        <w:t>中</w:t>
      </w:r>
      <w:r>
        <w:rPr>
          <w:spacing w:val="-3"/>
          <w:w w:val="100"/>
        </w:rPr>
        <w:t>国</w:t>
      </w:r>
      <w:r>
        <w:rPr>
          <w:w w:val="100"/>
        </w:rPr>
        <w:t>地</w:t>
      </w:r>
      <w:r>
        <w:rPr>
          <w:spacing w:val="-3"/>
          <w:w w:val="100"/>
        </w:rPr>
        <w:t>理信</w:t>
      </w:r>
      <w:r>
        <w:rPr>
          <w:w w:val="100"/>
        </w:rPr>
        <w:t>息产</w:t>
      </w:r>
      <w:r>
        <w:rPr>
          <w:spacing w:val="-3"/>
          <w:w w:val="100"/>
        </w:rPr>
        <w:t>业</w:t>
      </w:r>
      <w:r>
        <w:rPr>
          <w:w w:val="100"/>
        </w:rPr>
        <w:t>协</w:t>
      </w:r>
      <w:r>
        <w:rPr>
          <w:spacing w:val="-3"/>
          <w:w w:val="100"/>
        </w:rPr>
        <w:t>会</w:t>
      </w:r>
      <w:r>
        <w:rPr>
          <w:w w:val="100"/>
        </w:rPr>
        <w:t>审</w:t>
      </w:r>
      <w:r>
        <w:rPr>
          <w:spacing w:val="-3"/>
          <w:w w:val="100"/>
        </w:rPr>
        <w:t>核</w:t>
      </w:r>
      <w:r>
        <w:rPr>
          <w:w w:val="100"/>
        </w:rPr>
        <w:t>评</w:t>
      </w:r>
      <w:r>
        <w:rPr>
          <w:spacing w:val="-3"/>
          <w:w w:val="100"/>
        </w:rPr>
        <w:t>定</w:t>
      </w:r>
      <w:r>
        <w:rPr>
          <w:spacing w:val="-106"/>
          <w:w w:val="100"/>
        </w:rPr>
        <w:t>，</w:t>
      </w:r>
      <w:r>
        <w:rPr>
          <w:spacing w:val="-3"/>
          <w:w w:val="100"/>
        </w:rPr>
        <w:t>公司</w:t>
      </w:r>
      <w:r>
        <w:rPr>
          <w:w w:val="100"/>
        </w:rPr>
        <w:t>入围</w:t>
      </w:r>
      <w:r>
        <w:rPr>
          <w:spacing w:val="-65"/>
        </w:rPr>
        <w:t> </w:t>
      </w:r>
      <w:r>
        <w:rPr>
          <w:rFonts w:ascii="宋体" w:hAnsi="宋体" w:cs="宋体" w:eastAsia="宋体" w:hint="default"/>
          <w:spacing w:val="-3"/>
          <w:w w:val="100"/>
        </w:rPr>
        <w:t>2</w:t>
      </w:r>
      <w:r>
        <w:rPr>
          <w:rFonts w:ascii="宋体" w:hAnsi="宋体" w:cs="宋体" w:eastAsia="宋体" w:hint="default"/>
          <w:w w:val="100"/>
        </w:rPr>
        <w:t>018</w:t>
      </w:r>
      <w:r>
        <w:rPr>
          <w:rFonts w:ascii="宋体" w:hAnsi="宋体" w:cs="宋体" w:eastAsia="宋体" w:hint="default"/>
          <w:spacing w:val="-67"/>
        </w:rPr>
        <w:t> </w:t>
      </w:r>
      <w:r>
        <w:rPr>
          <w:w w:val="100"/>
        </w:rPr>
        <w:t>中</w:t>
      </w:r>
      <w:r>
        <w:rPr>
          <w:spacing w:val="-3"/>
          <w:w w:val="100"/>
        </w:rPr>
        <w:t>国</w:t>
      </w:r>
      <w:r>
        <w:rPr>
          <w:w w:val="100"/>
        </w:rPr>
        <w:t>地</w:t>
      </w:r>
      <w:r>
        <w:rPr>
          <w:spacing w:val="-3"/>
          <w:w w:val="100"/>
        </w:rPr>
        <w:t>理</w:t>
      </w:r>
      <w:r>
        <w:rPr>
          <w:w w:val="100"/>
        </w:rPr>
        <w:t>信</w:t>
      </w:r>
      <w:r>
        <w:rPr>
          <w:spacing w:val="-3"/>
          <w:w w:val="100"/>
        </w:rPr>
        <w:t>息产</w:t>
      </w:r>
      <w:r>
        <w:rPr>
          <w:w w:val="100"/>
        </w:rPr>
        <w:t>业百</w:t>
      </w:r>
      <w:r>
        <w:rPr>
          <w:spacing w:val="-3"/>
          <w:w w:val="100"/>
        </w:rPr>
        <w:t>强</w:t>
      </w:r>
      <w:r>
        <w:rPr>
          <w:w w:val="100"/>
        </w:rPr>
        <w:t>企</w:t>
      </w:r>
      <w:r>
        <w:rPr>
          <w:spacing w:val="-3"/>
          <w:w w:val="100"/>
        </w:rPr>
        <w:t>业</w:t>
      </w:r>
      <w:r>
        <w:rPr>
          <w:w w:val="100"/>
        </w:rPr>
        <w:t>名</w:t>
      </w:r>
      <w:r>
        <w:rPr>
          <w:spacing w:val="-3"/>
          <w:w w:val="100"/>
        </w:rPr>
        <w:t>单</w:t>
      </w:r>
      <w:r>
        <w:rPr>
          <w:w w:val="100"/>
        </w:rPr>
        <w:t>。</w:t>
      </w:r>
      <w:r>
        <w:rPr>
          <w:rFonts w:ascii="宋体" w:hAnsi="宋体" w:cs="宋体" w:eastAsia="宋体" w:hint="default"/>
          <w:w w:val="100"/>
        </w:rPr>
        <w:t> </w:t>
      </w:r>
    </w:p>
    <w:p>
      <w:pPr>
        <w:spacing w:line="240" w:lineRule="auto" w:before="10"/>
        <w:rPr>
          <w:rFonts w:ascii="宋体" w:hAnsi="宋体" w:cs="宋体" w:eastAsia="宋体" w:hint="default"/>
          <w:sz w:val="16"/>
          <w:szCs w:val="16"/>
        </w:rPr>
      </w:pPr>
    </w:p>
    <w:p>
      <w:pPr>
        <w:pStyle w:val="Heading5"/>
        <w:spacing w:line="398" w:lineRule="auto" w:before="0"/>
        <w:ind w:left="873" w:right="1222" w:hanging="360"/>
        <w:jc w:val="both"/>
        <w:rPr>
          <w:rFonts w:ascii="宋体" w:hAnsi="宋体" w:cs="宋体" w:eastAsia="宋体" w:hint="default"/>
        </w:rPr>
      </w:pPr>
      <w:r>
        <w:rPr>
          <w:rFonts w:ascii="Arial" w:hAnsi="Arial" w:cs="Arial" w:eastAsia="Arial" w:hint="default"/>
        </w:rPr>
        <w:t>•</w:t>
      </w:r>
      <w:r>
        <w:rPr>
          <w:rFonts w:ascii="Arial" w:hAnsi="Arial" w:cs="Arial" w:eastAsia="Arial" w:hint="default"/>
          <w:spacing w:val="51"/>
        </w:rPr>
        <w:t> </w:t>
      </w:r>
      <w:r>
        <w:rPr>
          <w:rFonts w:ascii="宋体" w:hAnsi="宋体" w:cs="宋体" w:eastAsia="宋体" w:hint="default"/>
        </w:rPr>
        <w:t>2018</w:t>
      </w:r>
      <w:r>
        <w:rPr>
          <w:rFonts w:ascii="宋体" w:hAnsi="宋体" w:cs="宋体" w:eastAsia="宋体" w:hint="default"/>
          <w:spacing w:val="-56"/>
        </w:rPr>
        <w:t> </w:t>
      </w:r>
      <w:r>
        <w:rPr/>
        <w:t>年</w:t>
      </w:r>
      <w:r>
        <w:rPr>
          <w:spacing w:val="-54"/>
        </w:rPr>
        <w:t> </w:t>
      </w:r>
      <w:r>
        <w:rPr>
          <w:rFonts w:ascii="宋体" w:hAnsi="宋体" w:cs="宋体" w:eastAsia="宋体" w:hint="default"/>
        </w:rPr>
        <w:t>12</w:t>
      </w:r>
      <w:r>
        <w:rPr>
          <w:rFonts w:ascii="宋体" w:hAnsi="宋体" w:cs="宋体" w:eastAsia="宋体" w:hint="default"/>
          <w:spacing w:val="-56"/>
        </w:rPr>
        <w:t> </w:t>
      </w:r>
      <w:r>
        <w:rPr/>
        <w:t>月，公司在《中国汽车报》社主办的“</w:t>
      </w:r>
      <w:r>
        <w:rPr>
          <w:rFonts w:ascii="宋体" w:hAnsi="宋体" w:cs="宋体" w:eastAsia="宋体" w:hint="default"/>
        </w:rPr>
        <w:t>2018</w:t>
      </w:r>
      <w:r>
        <w:rPr>
          <w:rFonts w:ascii="宋体" w:hAnsi="宋体" w:cs="宋体" w:eastAsia="宋体" w:hint="default"/>
          <w:spacing w:val="-53"/>
        </w:rPr>
        <w:t> </w:t>
      </w:r>
      <w:r>
        <w:rPr/>
        <w:t>中国汽车智能制造创新发展论坛暨第十五</w:t>
      </w:r>
      <w:r>
        <w:rPr>
          <w:w w:val="100"/>
        </w:rPr>
        <w:t> </w:t>
      </w:r>
      <w:r>
        <w:rPr>
          <w:spacing w:val="-2"/>
        </w:rPr>
        <w:t>届全国百家优秀汽车零部件供应商颁奖典礼”上，连续四年蝉联“全国百家优秀汽车零部件供应</w:t>
      </w:r>
      <w:r>
        <w:rPr>
          <w:w w:val="100"/>
        </w:rPr>
        <w:t> </w:t>
      </w:r>
      <w:r>
        <w:rPr>
          <w:spacing w:val="-28"/>
          <w:w w:val="100"/>
        </w:rPr>
        <w:t>商奖”。</w:t>
      </w:r>
      <w:r>
        <w:rPr>
          <w:rFonts w:ascii="宋体" w:hAnsi="宋体" w:cs="宋体" w:eastAsia="宋体" w:hint="default"/>
          <w:w w:val="100"/>
        </w:rPr>
        <w:t> </w:t>
      </w:r>
    </w:p>
    <w:p>
      <w:pPr>
        <w:pStyle w:val="Heading5"/>
        <w:tabs>
          <w:tab w:pos="873" w:val="left" w:leader="none"/>
        </w:tabs>
        <w:spacing w:line="388" w:lineRule="auto" w:before="95"/>
        <w:ind w:left="873" w:right="1126" w:hanging="360"/>
        <w:jc w:val="left"/>
        <w:rPr>
          <w:rFonts w:ascii="宋体" w:hAnsi="宋体" w:cs="宋体" w:eastAsia="宋体" w:hint="default"/>
        </w:rPr>
      </w:pPr>
      <w:r>
        <w:rPr>
          <w:rFonts w:ascii="Arial" w:hAnsi="Arial" w:cs="Arial" w:eastAsia="Arial" w:hint="default"/>
        </w:rPr>
        <w:t>•</w:t>
        <w:tab/>
      </w:r>
      <w:r>
        <w:rPr>
          <w:rFonts w:ascii="宋体" w:hAnsi="宋体" w:cs="宋体" w:eastAsia="宋体" w:hint="default"/>
        </w:rPr>
        <w:t>2019</w:t>
      </w:r>
      <w:r>
        <w:rPr>
          <w:rFonts w:ascii="宋体" w:hAnsi="宋体" w:cs="宋体" w:eastAsia="宋体" w:hint="default"/>
          <w:spacing w:val="-57"/>
        </w:rPr>
        <w:t> </w:t>
      </w:r>
      <w:r>
        <w:rPr/>
        <w:t>年</w:t>
      </w:r>
      <w:r>
        <w:rPr>
          <w:spacing w:val="-56"/>
        </w:rPr>
        <w:t> </w:t>
      </w:r>
      <w:r>
        <w:rPr>
          <w:rFonts w:ascii="宋体" w:hAnsi="宋体" w:cs="宋体" w:eastAsia="宋体" w:hint="default"/>
        </w:rPr>
        <w:t>1</w:t>
      </w:r>
      <w:r>
        <w:rPr>
          <w:rFonts w:ascii="宋体" w:hAnsi="宋体" w:cs="宋体" w:eastAsia="宋体" w:hint="default"/>
          <w:spacing w:val="-57"/>
        </w:rPr>
        <w:t> </w:t>
      </w:r>
      <w:r>
        <w:rPr/>
        <w:t>月，公司荣获高工智能汽车年会金球奖“</w:t>
      </w:r>
      <w:r>
        <w:rPr>
          <w:rFonts w:ascii="宋体" w:hAnsi="宋体" w:cs="宋体" w:eastAsia="宋体" w:hint="default"/>
        </w:rPr>
        <w:t>2018</w:t>
      </w:r>
      <w:r>
        <w:rPr>
          <w:rFonts w:ascii="宋体" w:hAnsi="宋体" w:cs="宋体" w:eastAsia="宋体" w:hint="default"/>
          <w:spacing w:val="-55"/>
        </w:rPr>
        <w:t> </w:t>
      </w:r>
      <w:r>
        <w:rPr/>
        <w:t>年度国产高精地图方案商”殊荣，四维图</w:t>
      </w:r>
      <w:r>
        <w:rPr>
          <w:w w:val="100"/>
        </w:rPr>
        <w:t> </w:t>
      </w:r>
      <w:r>
        <w:rPr>
          <w:spacing w:val="-2"/>
        </w:rPr>
        <w:t>新参股公司四维智联荣获“</w:t>
      </w:r>
      <w:r>
        <w:rPr>
          <w:rFonts w:ascii="宋体" w:hAnsi="宋体" w:cs="宋体" w:eastAsia="宋体" w:hint="default"/>
          <w:spacing w:val="-2"/>
        </w:rPr>
        <w:t>2018</w:t>
      </w:r>
      <w:r>
        <w:rPr>
          <w:rFonts w:ascii="宋体" w:hAnsi="宋体" w:cs="宋体" w:eastAsia="宋体" w:hint="default"/>
          <w:spacing w:val="8"/>
        </w:rPr>
        <w:t> </w:t>
      </w:r>
      <w:r>
        <w:rPr>
          <w:spacing w:val="-2"/>
        </w:rPr>
        <w:t>年度中国车联网大数据服务平台商”殊荣。</w:t>
      </w:r>
      <w:r>
        <w:rPr>
          <w:rFonts w:ascii="宋体" w:hAnsi="宋体" w:cs="宋体" w:eastAsia="宋体" w:hint="default"/>
          <w:b/>
          <w:bCs/>
          <w:w w:val="99"/>
        </w:rPr>
        <w:t> </w:t>
      </w:r>
      <w:r>
        <w:rPr>
          <w:rFonts w:ascii="宋体" w:hAnsi="宋体" w:cs="宋体" w:eastAsia="宋体" w:hint="default"/>
        </w:rPr>
      </w:r>
    </w:p>
    <w:p>
      <w:pPr>
        <w:pStyle w:val="Heading4"/>
        <w:spacing w:line="240" w:lineRule="auto" w:before="101"/>
        <w:ind w:left="573" w:right="982"/>
        <w:jc w:val="left"/>
        <w:rPr>
          <w:rFonts w:ascii="宋体" w:hAnsi="宋体" w:cs="宋体" w:eastAsia="宋体" w:hint="default"/>
          <w:b w:val="0"/>
          <w:bCs w:val="0"/>
        </w:rPr>
      </w:pPr>
      <w:r>
        <w:rPr/>
        <w:t>产品创新：</w:t>
      </w:r>
      <w:r>
        <w:rPr>
          <w:rFonts w:ascii="宋体" w:hAnsi="宋体" w:cs="宋体" w:eastAsia="宋体" w:hint="default"/>
          <w:w w:val="99"/>
        </w:rPr>
        <w:t> </w:t>
      </w:r>
      <w:r>
        <w:rPr>
          <w:rFonts w:ascii="宋体" w:hAnsi="宋体" w:cs="宋体" w:eastAsia="宋体" w:hint="default"/>
          <w:b w:val="0"/>
          <w:bCs w:val="0"/>
        </w:rPr>
      </w:r>
    </w:p>
    <w:p>
      <w:pPr>
        <w:spacing w:line="240" w:lineRule="auto" w:before="12"/>
        <w:rPr>
          <w:rFonts w:ascii="宋体" w:hAnsi="宋体" w:cs="宋体" w:eastAsia="宋体" w:hint="default"/>
          <w:b/>
          <w:bCs/>
          <w:sz w:val="17"/>
          <w:szCs w:val="17"/>
        </w:rPr>
      </w:pPr>
    </w:p>
    <w:p>
      <w:pPr>
        <w:pStyle w:val="Heading5"/>
        <w:tabs>
          <w:tab w:pos="873" w:val="left" w:leader="none"/>
        </w:tabs>
        <w:spacing w:line="240" w:lineRule="auto" w:before="0"/>
        <w:ind w:left="513" w:right="982" w:firstLine="0"/>
        <w:jc w:val="left"/>
        <w:rPr>
          <w:rFonts w:ascii="宋体" w:hAnsi="宋体" w:cs="宋体" w:eastAsia="宋体" w:hint="default"/>
        </w:rPr>
      </w:pPr>
      <w:r>
        <w:rPr>
          <w:rFonts w:ascii="Arial" w:hAnsi="Arial" w:cs="Arial" w:eastAsia="Arial" w:hint="default"/>
        </w:rPr>
        <w:t>•</w:t>
        <w:tab/>
      </w:r>
      <w:r>
        <w:rPr>
          <w:rFonts w:ascii="宋体" w:hAnsi="宋体" w:cs="宋体" w:eastAsia="宋体" w:hint="default"/>
        </w:rPr>
        <w:t>2018</w:t>
      </w:r>
      <w:r>
        <w:rPr>
          <w:rFonts w:ascii="宋体" w:hAnsi="宋体" w:cs="宋体" w:eastAsia="宋体" w:hint="default"/>
          <w:spacing w:val="-56"/>
        </w:rPr>
        <w:t> </w:t>
      </w:r>
      <w:r>
        <w:rPr/>
        <w:t>年</w:t>
      </w:r>
      <w:r>
        <w:rPr>
          <w:spacing w:val="-54"/>
        </w:rPr>
        <w:t> </w:t>
      </w:r>
      <w:r>
        <w:rPr>
          <w:rFonts w:ascii="宋体" w:hAnsi="宋体" w:cs="宋体" w:eastAsia="宋体" w:hint="default"/>
        </w:rPr>
        <w:t>5</w:t>
      </w:r>
      <w:r>
        <w:rPr>
          <w:rFonts w:ascii="宋体" w:hAnsi="宋体" w:cs="宋体" w:eastAsia="宋体" w:hint="default"/>
          <w:spacing w:val="-56"/>
        </w:rPr>
        <w:t> </w:t>
      </w:r>
      <w:r>
        <w:rPr/>
        <w:t>月，公司位置大数据创新应用产品</w:t>
      </w:r>
      <w:r>
        <w:rPr>
          <w:spacing w:val="-1"/>
        </w:rPr>
        <w:t> </w:t>
      </w:r>
      <w:r>
        <w:rPr>
          <w:rFonts w:ascii="宋体" w:hAnsi="宋体" w:cs="宋体" w:eastAsia="宋体" w:hint="default"/>
          <w:spacing w:val="-1"/>
        </w:rPr>
      </w:r>
      <w:r>
        <w:rPr>
          <w:rFonts w:ascii="宋体" w:hAnsi="宋体" w:cs="宋体" w:eastAsia="宋体" w:hint="default"/>
        </w:rPr>
        <w:t>MineData</w:t>
      </w:r>
      <w:r>
        <w:rPr>
          <w:rFonts w:ascii="宋体" w:hAnsi="宋体" w:cs="宋体" w:eastAsia="宋体" w:hint="default"/>
          <w:spacing w:val="-42"/>
        </w:rPr>
        <w:t> </w:t>
      </w:r>
      <w:r>
        <w:rPr>
          <w:rFonts w:ascii="宋体" w:hAnsi="宋体" w:cs="宋体" w:eastAsia="宋体" w:hint="default"/>
        </w:rPr>
        <w:t>2.0</w:t>
      </w:r>
      <w:r>
        <w:rPr>
          <w:rFonts w:ascii="宋体" w:hAnsi="宋体" w:cs="宋体" w:eastAsia="宋体" w:hint="default"/>
          <w:spacing w:val="-54"/>
        </w:rPr>
        <w:t> </w:t>
      </w:r>
      <w:r>
        <w:rPr/>
        <w:t>获得</w:t>
      </w:r>
      <w:r>
        <w:rPr>
          <w:spacing w:val="-54"/>
        </w:rPr>
        <w:t> </w:t>
      </w:r>
      <w:r>
        <w:rPr/>
        <w:t>ITS</w:t>
      </w:r>
      <w:r>
        <w:rPr>
          <w:spacing w:val="-42"/>
        </w:rPr>
        <w:t> </w:t>
      </w:r>
      <w:r>
        <w:rPr/>
        <w:t>Asia</w:t>
      </w:r>
      <w:r>
        <w:rPr>
          <w:spacing w:val="-45"/>
        </w:rPr>
        <w:t> </w:t>
      </w:r>
      <w:r>
        <w:rPr/>
        <w:t>2018</w:t>
      </w:r>
      <w:r>
        <w:rPr>
          <w:spacing w:val="-42"/>
        </w:rPr>
        <w:t> </w:t>
      </w:r>
      <w:r>
        <w:rPr/>
        <w:t>“优秀产品奖”。</w:t>
      </w:r>
      <w:r>
        <w:rPr>
          <w:rFonts w:ascii="宋体" w:hAnsi="宋体" w:cs="宋体" w:eastAsia="宋体" w:hint="default"/>
        </w:rPr>
        <w:t> </w:t>
      </w:r>
    </w:p>
    <w:p>
      <w:pPr>
        <w:spacing w:line="240" w:lineRule="auto" w:before="10"/>
        <w:rPr>
          <w:rFonts w:ascii="宋体" w:hAnsi="宋体" w:cs="宋体" w:eastAsia="宋体" w:hint="default"/>
          <w:sz w:val="16"/>
          <w:szCs w:val="16"/>
        </w:rPr>
      </w:pPr>
    </w:p>
    <w:p>
      <w:pPr>
        <w:pStyle w:val="Heading5"/>
        <w:tabs>
          <w:tab w:pos="873" w:val="left" w:leader="none"/>
        </w:tabs>
        <w:spacing w:line="388" w:lineRule="auto" w:before="0"/>
        <w:ind w:left="873" w:right="1229" w:hanging="360"/>
        <w:jc w:val="left"/>
        <w:rPr>
          <w:rFonts w:ascii="宋体" w:hAnsi="宋体" w:cs="宋体" w:eastAsia="宋体" w:hint="default"/>
        </w:rPr>
      </w:pPr>
      <w:r>
        <w:rPr>
          <w:rFonts w:ascii="Arial" w:hAnsi="Arial" w:cs="Arial" w:eastAsia="Arial" w:hint="default"/>
        </w:rPr>
        <w:t>•</w:t>
        <w:tab/>
      </w:r>
      <w:r>
        <w:rPr>
          <w:rFonts w:ascii="宋体" w:hAnsi="宋体" w:cs="宋体" w:eastAsia="宋体" w:hint="default"/>
        </w:rPr>
        <w:t>2018</w:t>
      </w:r>
      <w:r>
        <w:rPr>
          <w:rFonts w:ascii="宋体" w:hAnsi="宋体" w:cs="宋体" w:eastAsia="宋体" w:hint="default"/>
          <w:spacing w:val="-57"/>
        </w:rPr>
        <w:t> </w:t>
      </w:r>
      <w:r>
        <w:rPr/>
        <w:t>年</w:t>
      </w:r>
      <w:r>
        <w:rPr>
          <w:spacing w:val="-55"/>
        </w:rPr>
        <w:t> </w:t>
      </w:r>
      <w:r>
        <w:rPr>
          <w:rFonts w:ascii="宋体" w:hAnsi="宋体" w:cs="宋体" w:eastAsia="宋体" w:hint="default"/>
        </w:rPr>
        <w:t>8</w:t>
      </w:r>
      <w:r>
        <w:rPr>
          <w:rFonts w:ascii="宋体" w:hAnsi="宋体" w:cs="宋体" w:eastAsia="宋体" w:hint="default"/>
          <w:spacing w:val="-57"/>
        </w:rPr>
        <w:t> </w:t>
      </w:r>
      <w:r>
        <w:rPr/>
        <w:t>月，公司交警平台产品公司亮相</w:t>
      </w:r>
      <w:r>
        <w:rPr>
          <w:spacing w:val="-55"/>
        </w:rPr>
        <w:t> </w:t>
      </w:r>
      <w:r>
        <w:rPr>
          <w:rFonts w:ascii="宋体" w:hAnsi="宋体" w:cs="宋体" w:eastAsia="宋体" w:hint="default"/>
        </w:rPr>
        <w:t>CTSE</w:t>
      </w:r>
      <w:r>
        <w:rPr>
          <w:rFonts w:ascii="宋体" w:hAnsi="宋体" w:cs="宋体" w:eastAsia="宋体" w:hint="default"/>
          <w:spacing w:val="-3"/>
        </w:rPr>
        <w:t> </w:t>
      </w:r>
      <w:r>
        <w:rPr>
          <w:rFonts w:ascii="宋体" w:hAnsi="宋体" w:cs="宋体" w:eastAsia="宋体" w:hint="default"/>
        </w:rPr>
        <w:t>2018</w:t>
      </w:r>
      <w:r>
        <w:rPr>
          <w:rFonts w:ascii="宋体" w:hAnsi="宋体" w:cs="宋体" w:eastAsia="宋体" w:hint="default"/>
          <w:spacing w:val="-55"/>
        </w:rPr>
        <w:t> </w:t>
      </w:r>
      <w:r>
        <w:rPr/>
        <w:t>成都交博会，荣获“</w:t>
      </w:r>
      <w:r>
        <w:rPr>
          <w:rFonts w:ascii="宋体" w:hAnsi="宋体" w:cs="宋体" w:eastAsia="宋体" w:hint="default"/>
        </w:rPr>
        <w:t>2017-2018</w:t>
      </w:r>
      <w:r>
        <w:rPr>
          <w:rFonts w:ascii="宋体" w:hAnsi="宋体" w:cs="宋体" w:eastAsia="宋体" w:hint="default"/>
          <w:spacing w:val="-54"/>
        </w:rPr>
        <w:t> </w:t>
      </w:r>
      <w:r>
        <w:rPr/>
        <w:t>年度智慧交</w:t>
      </w:r>
      <w:r>
        <w:rPr>
          <w:w w:val="100"/>
        </w:rPr>
        <w:t> </w:t>
      </w:r>
      <w:r>
        <w:rPr>
          <w:spacing w:val="-15"/>
          <w:w w:val="100"/>
        </w:rPr>
        <w:t>通优秀企业奖”。</w:t>
      </w:r>
      <w:r>
        <w:rPr>
          <w:rFonts w:ascii="宋体" w:hAnsi="宋体" w:cs="宋体" w:eastAsia="宋体" w:hint="default"/>
          <w:w w:val="100"/>
        </w:rPr>
        <w:t> </w:t>
      </w:r>
    </w:p>
    <w:p>
      <w:pPr>
        <w:pStyle w:val="Heading5"/>
        <w:tabs>
          <w:tab w:pos="873" w:val="left" w:leader="none"/>
        </w:tabs>
        <w:spacing w:line="240" w:lineRule="auto" w:before="101"/>
        <w:ind w:left="513" w:right="982" w:firstLine="0"/>
        <w:jc w:val="left"/>
        <w:rPr>
          <w:rFonts w:ascii="宋体" w:hAnsi="宋体" w:cs="宋体" w:eastAsia="宋体" w:hint="default"/>
        </w:rPr>
      </w:pPr>
      <w:r>
        <w:rPr/>
        <w:pict>
          <v:shape style="position:absolute;margin-left:123.75pt;margin-top:30.253664pt;width:179.8pt;height:225.75pt;mso-position-horizontal-relative:page;mso-position-vertical-relative:paragraph;z-index:1336" type="#_x0000_t75" stroked="false">
            <v:imagedata r:id="rId43" o:title=""/>
          </v:shape>
        </w:pict>
      </w:r>
      <w:r>
        <w:rPr/>
        <w:pict>
          <v:shape style="position:absolute;margin-left:311.25pt;margin-top:30.253664pt;width:189.75pt;height:225.75pt;mso-position-horizontal-relative:page;mso-position-vertical-relative:paragraph;z-index:1360" type="#_x0000_t75" stroked="false">
            <v:imagedata r:id="rId44" o:title=""/>
          </v:shape>
        </w:pict>
      </w:r>
      <w:r>
        <w:rPr>
          <w:rFonts w:ascii="Arial" w:hAnsi="Arial" w:cs="Arial" w:eastAsia="Arial" w:hint="default"/>
        </w:rPr>
        <w:t>•</w:t>
        <w:tab/>
      </w:r>
      <w:r>
        <w:rPr>
          <w:rFonts w:ascii="宋体" w:hAnsi="宋体" w:cs="宋体" w:eastAsia="宋体" w:hint="default"/>
        </w:rPr>
        <w:t>2018</w:t>
      </w:r>
      <w:r>
        <w:rPr>
          <w:rFonts w:ascii="宋体" w:hAnsi="宋体" w:cs="宋体" w:eastAsia="宋体" w:hint="default"/>
          <w:spacing w:val="-56"/>
        </w:rPr>
        <w:t> </w:t>
      </w:r>
      <w:r>
        <w:rPr/>
        <w:t>年</w:t>
      </w:r>
      <w:r>
        <w:rPr>
          <w:spacing w:val="-54"/>
        </w:rPr>
        <w:t> </w:t>
      </w:r>
      <w:r>
        <w:rPr>
          <w:rFonts w:ascii="宋体" w:hAnsi="宋体" w:cs="宋体" w:eastAsia="宋体" w:hint="default"/>
        </w:rPr>
        <w:t>12</w:t>
      </w:r>
      <w:r>
        <w:rPr>
          <w:rFonts w:ascii="宋体" w:hAnsi="宋体" w:cs="宋体" w:eastAsia="宋体" w:hint="default"/>
          <w:spacing w:val="-56"/>
        </w:rPr>
        <w:t> </w:t>
      </w:r>
      <w:r>
        <w:rPr/>
        <w:t>月，公司在航盛</w:t>
      </w:r>
      <w:r>
        <w:rPr>
          <w:spacing w:val="-53"/>
        </w:rPr>
        <w:t> </w:t>
      </w:r>
      <w:r>
        <w:rPr>
          <w:rFonts w:ascii="宋体" w:hAnsi="宋体" w:cs="宋体" w:eastAsia="宋体" w:hint="default"/>
        </w:rPr>
        <w:t>25</w:t>
      </w:r>
      <w:r>
        <w:rPr>
          <w:rFonts w:ascii="宋体" w:hAnsi="宋体" w:cs="宋体" w:eastAsia="宋体" w:hint="default"/>
          <w:spacing w:val="-56"/>
        </w:rPr>
        <w:t> </w:t>
      </w:r>
      <w:r>
        <w:rPr/>
        <w:t>周年庆上荣获“优秀供应商奖”殊荣。</w:t>
      </w:r>
      <w:r>
        <w:rPr>
          <w:rFonts w:ascii="宋体" w:hAnsi="宋体" w:cs="宋体" w:eastAsia="宋体" w:hint="default"/>
        </w:rPr>
        <w:t> </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4"/>
        <w:rPr>
          <w:rFonts w:ascii="宋体" w:hAnsi="宋体" w:cs="宋体" w:eastAsia="宋体" w:hint="default"/>
          <w:sz w:val="19"/>
          <w:szCs w:val="19"/>
        </w:rPr>
      </w:pPr>
    </w:p>
    <w:p>
      <w:pPr>
        <w:pStyle w:val="Heading4"/>
        <w:spacing w:line="240" w:lineRule="auto"/>
        <w:ind w:left="942" w:right="0"/>
        <w:jc w:val="left"/>
        <w:rPr>
          <w:rFonts w:ascii="宋体" w:hAnsi="宋体" w:cs="宋体" w:eastAsia="宋体" w:hint="default"/>
          <w:b w:val="0"/>
          <w:bCs w:val="0"/>
        </w:rPr>
      </w:pPr>
      <w:r>
        <w:rPr>
          <w:rFonts w:ascii="宋体"/>
          <w:w w:val="99"/>
        </w:rPr>
        <w:t> </w:t>
      </w:r>
      <w:r>
        <w:rPr>
          <w:rFonts w:ascii="宋体"/>
          <w:b w:val="0"/>
        </w:rPr>
      </w:r>
    </w:p>
    <w:p>
      <w:pPr>
        <w:spacing w:after="0" w:line="240" w:lineRule="auto"/>
        <w:jc w:val="left"/>
        <w:rPr>
          <w:rFonts w:ascii="宋体" w:hAnsi="宋体" w:cs="宋体" w:eastAsia="宋体" w:hint="default"/>
        </w:rPr>
        <w:sectPr>
          <w:pgSz w:w="11910" w:h="16840"/>
          <w:pgMar w:header="745" w:footer="979" w:top="1060" w:bottom="1160" w:left="980" w:right="0"/>
        </w:sectPr>
      </w:pPr>
    </w:p>
    <w:p>
      <w:pPr>
        <w:spacing w:line="240" w:lineRule="auto" w:before="0"/>
        <w:rPr>
          <w:rFonts w:ascii="宋体" w:hAnsi="宋体" w:cs="宋体" w:eastAsia="宋体" w:hint="default"/>
          <w:b/>
          <w:bCs/>
          <w:sz w:val="20"/>
          <w:szCs w:val="20"/>
        </w:rPr>
      </w:pPr>
    </w:p>
    <w:p>
      <w:pPr>
        <w:pStyle w:val="Heading4"/>
        <w:spacing w:line="240" w:lineRule="auto" w:before="176"/>
        <w:ind w:left="576" w:right="1031"/>
        <w:jc w:val="center"/>
        <w:rPr>
          <w:rFonts w:ascii="宋体" w:hAnsi="宋体" w:cs="宋体" w:eastAsia="宋体" w:hint="default"/>
          <w:b w:val="0"/>
          <w:bCs w:val="0"/>
        </w:rPr>
      </w:pPr>
      <w:r>
        <w:rPr/>
        <w:t>公司得到权威机构及行业客户的认可和鼓励</w:t>
      </w:r>
      <w:r>
        <w:rPr>
          <w:rFonts w:ascii="宋体" w:hAnsi="宋体" w:cs="宋体" w:eastAsia="宋体" w:hint="default"/>
          <w:w w:val="99"/>
        </w:rPr>
        <w:t> </w:t>
      </w:r>
      <w:r>
        <w:rPr>
          <w:rFonts w:ascii="宋体" w:hAnsi="宋体" w:cs="宋体" w:eastAsia="宋体" w:hint="default"/>
          <w:b w:val="0"/>
          <w:bCs w:val="0"/>
        </w:rPr>
      </w:r>
    </w:p>
    <w:p>
      <w:pPr>
        <w:spacing w:line="240" w:lineRule="auto" w:before="6"/>
        <w:rPr>
          <w:rFonts w:ascii="宋体" w:hAnsi="宋体" w:cs="宋体" w:eastAsia="宋体" w:hint="default"/>
          <w:b/>
          <w:bCs/>
          <w:sz w:val="17"/>
          <w:szCs w:val="17"/>
        </w:rPr>
      </w:pPr>
    </w:p>
    <w:p>
      <w:pPr>
        <w:spacing w:line="4558" w:lineRule="exact"/>
        <w:ind w:left="2089" w:right="0" w:firstLine="0"/>
        <w:rPr>
          <w:rFonts w:ascii="宋体" w:hAnsi="宋体" w:cs="宋体" w:eastAsia="宋体" w:hint="default"/>
          <w:sz w:val="20"/>
          <w:szCs w:val="20"/>
        </w:rPr>
      </w:pPr>
      <w:r>
        <w:rPr>
          <w:rFonts w:ascii="宋体" w:hAnsi="宋体" w:cs="宋体" w:eastAsia="宋体" w:hint="default"/>
          <w:position w:val="-90"/>
          <w:sz w:val="20"/>
          <w:szCs w:val="20"/>
        </w:rPr>
        <w:drawing>
          <wp:inline distT="0" distB="0" distL="0" distR="0">
            <wp:extent cx="3928345" cy="2894456"/>
            <wp:effectExtent l="0" t="0" r="0" b="0"/>
            <wp:docPr id="53" name="image32.jpeg" descr=""/>
            <wp:cNvGraphicFramePr>
              <a:graphicFrameLocks noChangeAspect="1"/>
            </wp:cNvGraphicFramePr>
            <a:graphic>
              <a:graphicData uri="http://schemas.openxmlformats.org/drawingml/2006/picture">
                <pic:pic>
                  <pic:nvPicPr>
                    <pic:cNvPr id="54" name="image32.jpeg"/>
                    <pic:cNvPicPr/>
                  </pic:nvPicPr>
                  <pic:blipFill>
                    <a:blip r:embed="rId45" cstate="print"/>
                    <a:stretch>
                      <a:fillRect/>
                    </a:stretch>
                  </pic:blipFill>
                  <pic:spPr>
                    <a:xfrm>
                      <a:off x="0" y="0"/>
                      <a:ext cx="3928345" cy="2894456"/>
                    </a:xfrm>
                    <a:prstGeom prst="rect">
                      <a:avLst/>
                    </a:prstGeom>
                  </pic:spPr>
                </pic:pic>
              </a:graphicData>
            </a:graphic>
          </wp:inline>
        </w:drawing>
      </w:r>
      <w:r>
        <w:rPr>
          <w:rFonts w:ascii="宋体" w:hAnsi="宋体" w:cs="宋体" w:eastAsia="宋体" w:hint="default"/>
          <w:position w:val="-90"/>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7"/>
          <w:szCs w:val="17"/>
        </w:rPr>
      </w:pPr>
    </w:p>
    <w:p>
      <w:pPr>
        <w:spacing w:line="3780" w:lineRule="exact"/>
        <w:ind w:left="697" w:right="0" w:firstLine="0"/>
        <w:rPr>
          <w:rFonts w:ascii="宋体" w:hAnsi="宋体" w:cs="宋体" w:eastAsia="宋体" w:hint="default"/>
          <w:sz w:val="20"/>
          <w:szCs w:val="20"/>
        </w:rPr>
      </w:pPr>
      <w:r>
        <w:rPr>
          <w:rFonts w:ascii="宋体" w:hAnsi="宋体" w:cs="宋体" w:eastAsia="宋体" w:hint="default"/>
          <w:position w:val="-75"/>
          <w:sz w:val="20"/>
          <w:szCs w:val="20"/>
        </w:rPr>
        <w:drawing>
          <wp:inline distT="0" distB="0" distL="0" distR="0">
            <wp:extent cx="5695950" cy="2400300"/>
            <wp:effectExtent l="0" t="0" r="0" b="0"/>
            <wp:docPr id="55" name="image33.jpeg" descr=""/>
            <wp:cNvGraphicFramePr>
              <a:graphicFrameLocks noChangeAspect="1"/>
            </wp:cNvGraphicFramePr>
            <a:graphic>
              <a:graphicData uri="http://schemas.openxmlformats.org/drawingml/2006/picture">
                <pic:pic>
                  <pic:nvPicPr>
                    <pic:cNvPr id="56" name="image33.jpeg"/>
                    <pic:cNvPicPr/>
                  </pic:nvPicPr>
                  <pic:blipFill>
                    <a:blip r:embed="rId46" cstate="print"/>
                    <a:stretch>
                      <a:fillRect/>
                    </a:stretch>
                  </pic:blipFill>
                  <pic:spPr>
                    <a:xfrm>
                      <a:off x="0" y="0"/>
                      <a:ext cx="5695950" cy="2400300"/>
                    </a:xfrm>
                    <a:prstGeom prst="rect">
                      <a:avLst/>
                    </a:prstGeom>
                  </pic:spPr>
                </pic:pic>
              </a:graphicData>
            </a:graphic>
          </wp:inline>
        </w:drawing>
      </w:r>
      <w:r>
        <w:rPr>
          <w:rFonts w:ascii="宋体" w:hAnsi="宋体" w:cs="宋体" w:eastAsia="宋体" w:hint="default"/>
          <w:position w:val="-75"/>
          <w:sz w:val="20"/>
          <w:szCs w:val="20"/>
        </w:rPr>
      </w:r>
    </w:p>
    <w:p>
      <w:pPr>
        <w:spacing w:line="240" w:lineRule="auto" w:before="9"/>
        <w:rPr>
          <w:rFonts w:ascii="宋体" w:hAnsi="宋体" w:cs="宋体" w:eastAsia="宋体" w:hint="default"/>
          <w:b/>
          <w:bCs/>
          <w:sz w:val="18"/>
          <w:szCs w:val="18"/>
        </w:rPr>
      </w:pPr>
    </w:p>
    <w:p>
      <w:pPr>
        <w:spacing w:line="441" w:lineRule="auto" w:before="0"/>
        <w:ind w:left="573" w:right="1126" w:firstLine="97"/>
        <w:jc w:val="center"/>
        <w:rPr>
          <w:rFonts w:ascii="宋体" w:hAnsi="宋体" w:cs="宋体" w:eastAsia="宋体" w:hint="default"/>
          <w:sz w:val="21"/>
          <w:szCs w:val="21"/>
        </w:rPr>
      </w:pPr>
      <w:r>
        <w:rPr>
          <w:rFonts w:ascii="宋体" w:hAnsi="宋体" w:cs="宋体" w:eastAsia="宋体" w:hint="default"/>
          <w:b/>
          <w:bCs/>
          <w:sz w:val="21"/>
          <w:szCs w:val="21"/>
        </w:rPr>
        <w:t>公司始终坚持积极参与社会公益事业，践行社会责任</w:t>
      </w:r>
      <w:r>
        <w:rPr>
          <w:rFonts w:ascii="宋体" w:hAnsi="宋体" w:cs="宋体" w:eastAsia="宋体" w:hint="default"/>
          <w:b/>
          <w:bCs/>
          <w:w w:val="99"/>
          <w:sz w:val="21"/>
          <w:szCs w:val="21"/>
        </w:rPr>
        <w:t> </w:t>
      </w:r>
      <w:r>
        <w:rPr>
          <w:rFonts w:ascii="宋体" w:hAnsi="宋体" w:cs="宋体" w:eastAsia="宋体" w:hint="default"/>
          <w:b/>
          <w:bCs/>
          <w:spacing w:val="-2"/>
          <w:sz w:val="21"/>
          <w:szCs w:val="21"/>
        </w:rPr>
        <w:t>在组织能力建设和人才培养方面，</w:t>
      </w:r>
      <w:r>
        <w:rPr>
          <w:rFonts w:ascii="宋体" w:hAnsi="宋体" w:cs="宋体" w:eastAsia="宋体" w:hint="default"/>
          <w:spacing w:val="-2"/>
          <w:sz w:val="21"/>
          <w:szCs w:val="21"/>
        </w:rPr>
        <w:t>公司加大力度疏通各业务板块之间和部门之间的资源协同和信息共</w:t>
      </w:r>
    </w:p>
    <w:p>
      <w:pPr>
        <w:pStyle w:val="Heading5"/>
        <w:spacing w:line="408" w:lineRule="auto" w:before="16"/>
        <w:ind w:right="1126" w:firstLine="0"/>
        <w:jc w:val="both"/>
        <w:rPr>
          <w:rFonts w:ascii="宋体" w:hAnsi="宋体" w:cs="宋体" w:eastAsia="宋体" w:hint="default"/>
        </w:rPr>
      </w:pPr>
      <w:r>
        <w:rPr>
          <w:spacing w:val="-2"/>
        </w:rPr>
        <w:t>享渠道，引进行业先进的组织管理理论和国际领先的认证管理体系，优化顶层架构设计和管理流程，利用</w:t>
      </w:r>
      <w:r>
        <w:rPr>
          <w:spacing w:val="-43"/>
        </w:rPr>
        <w:t> </w:t>
      </w:r>
      <w:r>
        <w:rPr>
          <w:spacing w:val="-43"/>
        </w:rPr>
      </w:r>
      <w:r>
        <w:rPr>
          <w:spacing w:val="-2"/>
        </w:rPr>
        <w:t>现代化信息手段，提升企业自动化、智能化运作水平，降低企业内部管理成本、大幅提升企业运行工效的</w:t>
      </w:r>
      <w:r>
        <w:rPr>
          <w:spacing w:val="-50"/>
        </w:rPr>
        <w:t> </w:t>
      </w:r>
      <w:r>
        <w:rPr>
          <w:spacing w:val="-50"/>
        </w:rPr>
      </w:r>
      <w:r>
        <w:rPr/>
        <w:t>同时，着力打造公司极具市场竞争力的一体化组织能力和运营能力。</w:t>
      </w:r>
      <w:r>
        <w:rPr>
          <w:rFonts w:ascii="宋体" w:hAnsi="宋体" w:cs="宋体" w:eastAsia="宋体" w:hint="default"/>
        </w:rPr>
        <w:t> </w:t>
      </w:r>
    </w:p>
    <w:p>
      <w:pPr>
        <w:pStyle w:val="Heading5"/>
        <w:spacing w:line="408" w:lineRule="auto" w:before="87"/>
        <w:ind w:right="982"/>
        <w:jc w:val="left"/>
      </w:pPr>
      <w:r>
        <w:rPr/>
        <w:t>公司始终坚持“人才是最重要的资产，是第一生产力”的人才理念，围绕公司发展和员工成长需要，</w:t>
      </w:r>
      <w:r>
        <w:rPr>
          <w:w w:val="100"/>
        </w:rPr>
        <w:t> </w:t>
      </w:r>
      <w:r>
        <w:rPr>
          <w:spacing w:val="-2"/>
        </w:rPr>
        <w:t>将人才引进、培养与发展、激励与优化作为组织能力提升的重点工作，通过多种方式持续激发推动企业快</w:t>
      </w:r>
      <w:r>
        <w:rPr>
          <w:spacing w:val="-43"/>
        </w:rPr>
        <w:t> </w:t>
      </w:r>
      <w:r>
        <w:rPr>
          <w:spacing w:val="-43"/>
        </w:rPr>
      </w:r>
      <w:r>
        <w:rPr>
          <w:spacing w:val="-2"/>
        </w:rPr>
        <w:t>速发展的内在活力，致力于将公司打造成为行业及产业核心人才高地。报告期内，公司基于“打造智能汽</w:t>
      </w:r>
    </w:p>
    <w:p>
      <w:pPr>
        <w:spacing w:after="0" w:line="408" w:lineRule="auto"/>
        <w:jc w:val="left"/>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pStyle w:val="Heading5"/>
        <w:spacing w:line="408" w:lineRule="auto" w:before="176"/>
        <w:ind w:right="982" w:firstLine="0"/>
        <w:jc w:val="left"/>
        <w:rPr>
          <w:rFonts w:ascii="宋体" w:hAnsi="宋体" w:cs="宋体" w:eastAsia="宋体" w:hint="default"/>
          <w:sz w:val="18"/>
          <w:szCs w:val="18"/>
        </w:rPr>
      </w:pPr>
      <w:r>
        <w:rPr>
          <w:spacing w:val="-7"/>
        </w:rPr>
        <w:t>车大脑”的战略愿景，积极开拓国际与国内人才引进渠道，面向汽车、芯片、人工智能等高科技创新领域，</w:t>
      </w:r>
      <w:r>
        <w:rPr>
          <w:spacing w:val="-20"/>
        </w:rPr>
        <w:t> </w:t>
      </w:r>
      <w:r>
        <w:rPr>
          <w:spacing w:val="-20"/>
        </w:rPr>
      </w:r>
      <w:r>
        <w:rPr>
          <w:spacing w:val="-2"/>
        </w:rPr>
        <w:t>加大人才引进力度。公司设立合理的人才胜任力评估体系，通过专业和管理双向发展通道，为员工职业发</w:t>
      </w:r>
      <w:r>
        <w:rPr>
          <w:spacing w:val="-43"/>
        </w:rPr>
        <w:t> </w:t>
      </w:r>
      <w:r>
        <w:rPr>
          <w:spacing w:val="-43"/>
        </w:rPr>
      </w:r>
      <w:r>
        <w:rPr>
          <w:spacing w:val="-2"/>
        </w:rPr>
        <w:t>展路径铺设成长阶梯，制定有针对性的培养方案，并与清华大学、北京大学、武汉大学、北京航空航天大</w:t>
      </w:r>
      <w:r>
        <w:rPr>
          <w:spacing w:val="-43"/>
        </w:rPr>
        <w:t> </w:t>
      </w:r>
      <w:r>
        <w:rPr>
          <w:spacing w:val="-43"/>
        </w:rPr>
      </w:r>
      <w:r>
        <w:rPr/>
        <w:t>学等重点大学及重点学科单位建立人才培养和共建机制。对管理人才，建立干部胜任力标准及评估机制，</w:t>
      </w:r>
      <w:r>
        <w:rPr>
          <w:spacing w:val="-24"/>
        </w:rPr>
        <w:t> </w:t>
      </w:r>
      <w:r>
        <w:rPr>
          <w:spacing w:val="-24"/>
        </w:rPr>
      </w:r>
      <w:r>
        <w:rPr>
          <w:spacing w:val="-2"/>
        </w:rPr>
        <w:t>有效规范并落实干部选拔、培养、评估与任用，建设一支满足公司战略发展需求的高素质干部队伍，促进</w:t>
      </w:r>
      <w:r>
        <w:rPr>
          <w:spacing w:val="-44"/>
        </w:rPr>
        <w:t> </w:t>
      </w:r>
      <w:r>
        <w:rPr>
          <w:spacing w:val="-44"/>
        </w:rPr>
      </w:r>
      <w:r>
        <w:rPr>
          <w:spacing w:val="-2"/>
        </w:rPr>
        <w:t>经营业绩提升及公司持续发展。公司建立员工持股计划等共创、共享、共担的长期激励机制，充分激发员</w:t>
      </w:r>
      <w:r>
        <w:rPr>
          <w:spacing w:val="-46"/>
        </w:rPr>
        <w:t> </w:t>
      </w:r>
      <w:r>
        <w:rPr>
          <w:spacing w:val="-46"/>
        </w:rPr>
      </w:r>
      <w:r>
        <w:rPr/>
        <w:t>工的创造潜能和管理才华。公司探索主动淘汰机制，持续激发推动企业快速发展的组织鲜度和内在活力，</w:t>
      </w:r>
      <w:r>
        <w:rPr>
          <w:spacing w:val="-23"/>
        </w:rPr>
        <w:t> </w:t>
      </w:r>
      <w:r>
        <w:rPr>
          <w:spacing w:val="-23"/>
        </w:rPr>
      </w:r>
      <w:r>
        <w:rPr/>
        <w:t>不断优化人才结构，为公司在高速发展的行业变革中始终保持优势地位奠定基础。</w:t>
      </w:r>
      <w:r>
        <w:rPr>
          <w:rFonts w:ascii="宋体" w:hAnsi="宋体" w:cs="宋体" w:eastAsia="宋体" w:hint="default"/>
          <w:sz w:val="18"/>
          <w:szCs w:val="18"/>
        </w:rPr>
        <w:t> </w:t>
      </w:r>
    </w:p>
    <w:p>
      <w:pPr>
        <w:spacing w:line="240" w:lineRule="auto" w:before="9"/>
        <w:rPr>
          <w:rFonts w:ascii="宋体" w:hAnsi="宋体" w:cs="宋体" w:eastAsia="宋体" w:hint="default"/>
          <w:sz w:val="18"/>
          <w:szCs w:val="18"/>
        </w:rPr>
      </w:pPr>
    </w:p>
    <w:p>
      <w:pPr>
        <w:pStyle w:val="Heading2"/>
        <w:spacing w:line="240" w:lineRule="auto"/>
        <w:ind w:right="982"/>
        <w:jc w:val="left"/>
        <w:rPr>
          <w:b w:val="0"/>
          <w:bCs w:val="0"/>
        </w:rPr>
      </w:pPr>
      <w:r>
        <w:rPr/>
        <w:t>十、接待调研、沟通、采访等活动</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982"/>
        <w:jc w:val="left"/>
        <w:rPr>
          <w:b w:val="0"/>
          <w:bCs w:val="0"/>
        </w:rPr>
      </w:pPr>
      <w:r>
        <w:rPr>
          <w:rFonts w:ascii="Times New Roman" w:hAnsi="Times New Roman" w:cs="Times New Roman" w:eastAsia="Times New Roman" w:hint="default"/>
        </w:rPr>
        <w:t>1</w:t>
      </w:r>
      <w:r>
        <w:rPr/>
        <w:t>、报告期内接待调研、沟通、采访等活动登记表</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4"/>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180"/>
        <w:gridCol w:w="2177"/>
        <w:gridCol w:w="2177"/>
        <w:gridCol w:w="3037"/>
      </w:tblGrid>
      <w:tr>
        <w:trPr>
          <w:trHeight w:val="401" w:hRule="exact"/>
        </w:trPr>
        <w:tc>
          <w:tcPr>
            <w:tcW w:w="21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接待时间</w:t>
            </w:r>
          </w:p>
        </w:tc>
        <w:tc>
          <w:tcPr>
            <w:tcW w:w="2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25" w:right="0"/>
              <w:jc w:val="left"/>
              <w:rPr>
                <w:rFonts w:ascii="宋体" w:hAnsi="宋体" w:cs="宋体" w:eastAsia="宋体" w:hint="default"/>
                <w:sz w:val="18"/>
                <w:szCs w:val="18"/>
              </w:rPr>
            </w:pPr>
            <w:r>
              <w:rPr>
                <w:rFonts w:ascii="宋体" w:hAnsi="宋体" w:cs="宋体" w:eastAsia="宋体" w:hint="default"/>
                <w:sz w:val="18"/>
                <w:szCs w:val="18"/>
              </w:rPr>
              <w:t>接待方式</w:t>
            </w:r>
          </w:p>
        </w:tc>
        <w:tc>
          <w:tcPr>
            <w:tcW w:w="2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44" w:right="0"/>
              <w:jc w:val="left"/>
              <w:rPr>
                <w:rFonts w:ascii="宋体" w:hAnsi="宋体" w:cs="宋体" w:eastAsia="宋体" w:hint="default"/>
                <w:sz w:val="18"/>
                <w:szCs w:val="18"/>
              </w:rPr>
            </w:pPr>
            <w:r>
              <w:rPr>
                <w:rFonts w:ascii="宋体" w:hAnsi="宋体" w:cs="宋体" w:eastAsia="宋体" w:hint="default"/>
                <w:sz w:val="18"/>
                <w:szCs w:val="18"/>
              </w:rPr>
              <w:t>接待对象类型</w:t>
            </w:r>
          </w:p>
        </w:tc>
        <w:tc>
          <w:tcPr>
            <w:tcW w:w="30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03" w:right="0"/>
              <w:jc w:val="left"/>
              <w:rPr>
                <w:rFonts w:ascii="宋体" w:hAnsi="宋体" w:cs="宋体" w:eastAsia="宋体" w:hint="default"/>
                <w:sz w:val="18"/>
                <w:szCs w:val="18"/>
              </w:rPr>
            </w:pPr>
            <w:r>
              <w:rPr>
                <w:rFonts w:ascii="宋体" w:hAnsi="宋体" w:cs="宋体" w:eastAsia="宋体" w:hint="default"/>
                <w:sz w:val="18"/>
                <w:szCs w:val="18"/>
              </w:rPr>
              <w:t>调研的基本情况索引</w:t>
            </w:r>
          </w:p>
        </w:tc>
      </w:tr>
      <w:tr>
        <w:trPr>
          <w:trHeight w:val="1027" w:hRule="exact"/>
        </w:trPr>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7"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3" w:right="87"/>
              <w:jc w:val="both"/>
              <w:rPr>
                <w:rFonts w:ascii="Times New Roman" w:hAnsi="Times New Roman" w:cs="Times New Roman" w:eastAsia="Times New Roman" w:hint="default"/>
                <w:sz w:val="18"/>
                <w:szCs w:val="18"/>
              </w:rPr>
            </w:pPr>
            <w:hyperlink r:id="rId47">
              <w:r>
                <w:rPr>
                  <w:rFonts w:ascii="Times New Roman"/>
                  <w:spacing w:val="-1"/>
                  <w:sz w:val="18"/>
                </w:rPr>
                <w:t>http://www.cninfo.com.cn/information/c</w:t>
              </w:r>
            </w:hyperlink>
            <w:r>
              <w:rPr>
                <w:rFonts w:ascii="Times New Roman"/>
                <w:spacing w:val="-28"/>
                <w:sz w:val="18"/>
              </w:rPr>
              <w:t> </w:t>
            </w:r>
            <w:r>
              <w:rPr>
                <w:rFonts w:ascii="Times New Roman"/>
                <w:spacing w:val="-28"/>
                <w:sz w:val="18"/>
              </w:rPr>
            </w:r>
            <w:r>
              <w:rPr>
                <w:rFonts w:ascii="Times New Roman"/>
                <w:sz w:val="18"/>
              </w:rPr>
              <w:t>ompanyinfo_n.html?fulltext?szsme0024</w:t>
            </w:r>
            <w:r>
              <w:rPr>
                <w:rFonts w:ascii="Times New Roman"/>
                <w:sz w:val="18"/>
              </w:rPr>
              <w:t> 05</w:t>
            </w:r>
          </w:p>
        </w:tc>
      </w:tr>
    </w:tbl>
    <w:p>
      <w:pPr>
        <w:spacing w:after="0" w:line="362" w:lineRule="auto"/>
        <w:jc w:val="both"/>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left="55" w:right="1031"/>
        <w:jc w:val="center"/>
        <w:rPr>
          <w:b w:val="0"/>
          <w:bCs w:val="0"/>
        </w:rPr>
      </w:pPr>
      <w:bookmarkStart w:name="_bookmark4" w:id="5"/>
      <w:bookmarkEnd w:id="5"/>
      <w:r>
        <w:rPr>
          <w:b w:val="0"/>
          <w:bCs w:val="0"/>
        </w:rPr>
      </w:r>
      <w:r>
        <w:rPr/>
        <w:t>第五节</w:t>
      </w:r>
      <w:r>
        <w:rPr>
          <w:spacing w:val="-2"/>
        </w:rPr>
        <w:t> </w:t>
      </w:r>
      <w:r>
        <w:rPr/>
        <w:t>重要事项</w:t>
      </w:r>
      <w:r>
        <w:rPr>
          <w:b w:val="0"/>
          <w:bCs w:val="0"/>
        </w:rPr>
      </w:r>
    </w:p>
    <w:p>
      <w:pPr>
        <w:spacing w:line="240" w:lineRule="auto" w:before="2"/>
        <w:rPr>
          <w:rFonts w:ascii="宋体" w:hAnsi="宋体" w:cs="宋体" w:eastAsia="宋体" w:hint="default"/>
          <w:b/>
          <w:bCs/>
          <w:sz w:val="39"/>
          <w:szCs w:val="39"/>
        </w:rPr>
      </w:pPr>
    </w:p>
    <w:p>
      <w:pPr>
        <w:pStyle w:val="Heading2"/>
        <w:spacing w:line="240" w:lineRule="auto"/>
        <w:ind w:right="982"/>
        <w:jc w:val="left"/>
        <w:rPr>
          <w:b w:val="0"/>
          <w:bCs w:val="0"/>
        </w:rPr>
      </w:pPr>
      <w:r>
        <w:rPr/>
        <w:t>一、公司普通股利润分配及资本公积金转增股本情况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t>报告期内普通股利润分配政策，特别是现金分红政策的制定、执行或调整情况</w:t>
      </w:r>
    </w:p>
    <w:p>
      <w:pPr>
        <w:pStyle w:val="BodyText"/>
        <w:spacing w:line="338" w:lineRule="auto" w:before="117"/>
        <w:ind w:left="513" w:right="982" w:hanging="361"/>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2"/>
        </w:rPr>
        <w:t> </w:t>
      </w:r>
      <w:r>
        <w:rPr/>
        <w:t>不适用 </w:t>
      </w:r>
      <w:r>
        <w:rPr>
          <w:spacing w:val="-2"/>
        </w:rPr>
        <w:t>公司及董事会一贯重视对投资者的合理回报，《公司章程》中明晰了利润分配及现金分红事项的标准和比例、决策程序</w:t>
      </w:r>
    </w:p>
    <w:p>
      <w:pPr>
        <w:pStyle w:val="BodyText"/>
        <w:spacing w:line="316" w:lineRule="auto" w:before="2"/>
        <w:ind w:right="982"/>
        <w:jc w:val="left"/>
      </w:pPr>
      <w:r>
        <w:rPr>
          <w:spacing w:val="-2"/>
        </w:rPr>
        <w:t>和机制、利润分配的形式。公司严格执行《公司章程》以及股东大会决议，实施利润分配，相关的决策程序和机制完备，独</w:t>
      </w:r>
      <w:r>
        <w:rPr>
          <w:spacing w:val="-72"/>
        </w:rPr>
        <w:t> </w:t>
      </w:r>
      <w:r>
        <w:rPr>
          <w:spacing w:val="-72"/>
        </w:rPr>
      </w:r>
      <w:r>
        <w:rPr/>
        <w:t>立董事尽职尽责并发挥应有职责，中小股东有充分表达意见和诉求的机会，中小股东的合法权益得到充分维护。</w:t>
      </w:r>
    </w:p>
    <w:p>
      <w:pPr>
        <w:pStyle w:val="BodyText"/>
        <w:spacing w:line="300" w:lineRule="auto" w:before="19"/>
        <w:ind w:right="982" w:firstLine="360"/>
        <w:jc w:val="left"/>
      </w:pPr>
      <w:r>
        <w:rPr>
          <w:rFonts w:ascii="Times New Roman" w:hAnsi="Times New Roman" w:cs="Times New Roman" w:eastAsia="Times New Roman" w:hint="default"/>
        </w:rPr>
        <w:t>2018</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29</w:t>
      </w:r>
      <w:r>
        <w:rPr/>
        <w:t>日，公司召开</w:t>
      </w:r>
      <w:r>
        <w:rPr>
          <w:rFonts w:ascii="Times New Roman" w:hAnsi="Times New Roman" w:cs="Times New Roman" w:eastAsia="Times New Roman" w:hint="default"/>
        </w:rPr>
        <w:t>2017</w:t>
      </w:r>
      <w:r>
        <w:rPr/>
        <w:t>年度股东大会，审议通过《</w:t>
      </w:r>
      <w:r>
        <w:rPr>
          <w:rFonts w:ascii="Times New Roman" w:hAnsi="Times New Roman" w:cs="Times New Roman" w:eastAsia="Times New Roman" w:hint="default"/>
        </w:rPr>
        <w:t>2017</w:t>
      </w:r>
      <w:r>
        <w:rPr/>
        <w:t>年度利润分配方案》，同意以</w:t>
      </w:r>
      <w:r>
        <w:rPr>
          <w:rFonts w:ascii="Times New Roman" w:hAnsi="Times New Roman" w:cs="Times New Roman" w:eastAsia="Times New Roman" w:hint="default"/>
        </w:rPr>
        <w:t>1,309,470,982</w:t>
      </w:r>
      <w:r>
        <w:rPr>
          <w:rFonts w:ascii="Times New Roman" w:hAnsi="Times New Roman" w:cs="Times New Roman" w:eastAsia="Times New Roman" w:hint="default"/>
          <w:spacing w:val="28"/>
        </w:rPr>
        <w:t> </w:t>
      </w:r>
      <w:r>
        <w:rPr/>
        <w:t>股为基数，</w:t>
      </w:r>
      <w:r>
        <w:rPr>
          <w:spacing w:val="2"/>
        </w:rPr>
        <w:t> </w:t>
      </w:r>
      <w:r>
        <w:rPr/>
        <w:t>每</w:t>
      </w:r>
      <w:r>
        <w:rPr>
          <w:rFonts w:ascii="Times New Roman" w:hAnsi="Times New Roman" w:cs="Times New Roman" w:eastAsia="Times New Roman" w:hint="default"/>
        </w:rPr>
        <w:t>10</w:t>
      </w:r>
      <w:r>
        <w:rPr/>
        <w:t>股派发现金</w:t>
      </w:r>
      <w:r>
        <w:rPr>
          <w:rFonts w:ascii="Times New Roman" w:hAnsi="Times New Roman" w:cs="Times New Roman" w:eastAsia="Times New Roman" w:hint="default"/>
        </w:rPr>
        <w:t>0.42</w:t>
      </w:r>
      <w:r>
        <w:rPr/>
        <w:t>元（含税），共计派发现金股利</w:t>
      </w:r>
      <w:r>
        <w:rPr>
          <w:rFonts w:ascii="Times New Roman" w:hAnsi="Times New Roman" w:cs="Times New Roman" w:eastAsia="Times New Roman" w:hint="default"/>
        </w:rPr>
        <w:t>54,997,781.24</w:t>
      </w:r>
      <w:r>
        <w:rPr/>
        <w:t>元。</w:t>
      </w:r>
    </w:p>
    <w:p>
      <w:pPr>
        <w:spacing w:line="240" w:lineRule="auto" w:before="4"/>
        <w:rPr>
          <w:rFonts w:ascii="宋体" w:hAnsi="宋体" w:cs="宋体" w:eastAsia="宋体" w:hint="default"/>
          <w:sz w:val="24"/>
          <w:szCs w:val="24"/>
        </w:rPr>
      </w:pPr>
    </w:p>
    <w:tbl>
      <w:tblPr>
        <w:tblW w:w="0" w:type="auto"/>
        <w:jc w:val="left"/>
        <w:tblInd w:w="160" w:type="dxa"/>
        <w:tblLayout w:type="fixed"/>
        <w:tblCellMar>
          <w:top w:w="0" w:type="dxa"/>
          <w:left w:w="0" w:type="dxa"/>
          <w:bottom w:w="0" w:type="dxa"/>
          <w:right w:w="0" w:type="dxa"/>
        </w:tblCellMar>
        <w:tblLook w:val="01E0"/>
      </w:tblPr>
      <w:tblGrid>
        <w:gridCol w:w="4761"/>
        <w:gridCol w:w="4797"/>
      </w:tblGrid>
      <w:tr>
        <w:trPr>
          <w:trHeight w:val="397" w:hRule="exact"/>
        </w:trPr>
        <w:tc>
          <w:tcPr>
            <w:tcW w:w="955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11"/>
              <w:jc w:val="center"/>
              <w:rPr>
                <w:rFonts w:ascii="宋体" w:hAnsi="宋体" w:cs="宋体" w:eastAsia="宋体" w:hint="default"/>
                <w:sz w:val="18"/>
                <w:szCs w:val="18"/>
              </w:rPr>
            </w:pPr>
            <w:r>
              <w:rPr>
                <w:rFonts w:ascii="宋体" w:hAnsi="宋体" w:cs="宋体" w:eastAsia="宋体" w:hint="default"/>
                <w:sz w:val="18"/>
                <w:szCs w:val="18"/>
              </w:rPr>
              <w:t>现金分红政策的专项说明</w:t>
            </w:r>
          </w:p>
        </w:tc>
      </w:tr>
      <w:tr>
        <w:trPr>
          <w:trHeight w:val="407"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sz w:val="18"/>
                <w:szCs w:val="18"/>
              </w:rPr>
              <w:t>是否符合公司章程的规定或股东大会决议的要求：</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3"/>
              <w:ind w:left="2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分红标准和比例是否明确和清晰：</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0"/>
              <w:ind w:left="2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相关的决策程序和机制是否完备：</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独立董事是否履职尽责并发挥了应有的作用：</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0"/>
              <w:ind w:left="2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57"/>
              <w:jc w:val="left"/>
              <w:rPr>
                <w:rFonts w:ascii="宋体" w:hAnsi="宋体" w:cs="宋体" w:eastAsia="宋体" w:hint="default"/>
                <w:sz w:val="18"/>
                <w:szCs w:val="18"/>
              </w:rPr>
            </w:pPr>
            <w:r>
              <w:rPr>
                <w:rFonts w:ascii="宋体" w:hAnsi="宋体" w:cs="宋体" w:eastAsia="宋体" w:hint="default"/>
                <w:sz w:val="18"/>
                <w:szCs w:val="18"/>
              </w:rPr>
              <w:t>中小股东是否有充分表达意见和诉求的机会，其合法权益是 否得到了充分保护：</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0"/>
              <w:ind w:left="12" w:right="57"/>
              <w:jc w:val="left"/>
              <w:rPr>
                <w:rFonts w:ascii="宋体" w:hAnsi="宋体" w:cs="宋体" w:eastAsia="宋体" w:hint="default"/>
                <w:sz w:val="18"/>
                <w:szCs w:val="18"/>
              </w:rPr>
            </w:pPr>
            <w:r>
              <w:rPr>
                <w:rFonts w:ascii="宋体" w:hAnsi="宋体" w:cs="宋体" w:eastAsia="宋体" w:hint="default"/>
                <w:sz w:val="18"/>
                <w:szCs w:val="18"/>
              </w:rPr>
              <w:t>现金分红政策进行调整或变更的，条件及程序是否合规、透 明：</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7"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pStyle w:val="BodyText"/>
        <w:spacing w:line="240" w:lineRule="auto" w:before="49"/>
        <w:ind w:right="982"/>
        <w:jc w:val="left"/>
      </w:pPr>
      <w:r>
        <w:rPr/>
        <w:t>公司近</w:t>
      </w:r>
      <w:r>
        <w:rPr>
          <w:spacing w:val="-44"/>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t>年（包括本报告期</w:t>
      </w:r>
      <w:r>
        <w:rPr>
          <w:spacing w:val="-3"/>
        </w:rPr>
        <w:t>）</w:t>
      </w:r>
      <w:r>
        <w:rPr/>
        <w:t>的普通股股利分配方案（预案</w:t>
      </w:r>
      <w:r>
        <w:rPr>
          <w:spacing w:val="-89"/>
        </w:rPr>
        <w:t>）</w:t>
      </w:r>
      <w:r>
        <w:rPr/>
        <w:t>、资本公积金转增股本方案（预案）情况</w:t>
      </w:r>
    </w:p>
    <w:p>
      <w:pPr>
        <w:pStyle w:val="Heading5"/>
        <w:spacing w:line="240" w:lineRule="auto" w:before="80"/>
        <w:ind w:right="982" w:firstLine="0"/>
        <w:jc w:val="left"/>
      </w:pPr>
      <w:r>
        <w:rPr>
          <w:rFonts w:ascii="Times New Roman" w:hAnsi="Times New Roman" w:cs="Times New Roman" w:eastAsia="Times New Roman" w:hint="default"/>
        </w:rPr>
        <w:t>2016</w:t>
      </w:r>
      <w:r>
        <w:rPr/>
        <w:t>年度利润分配方案：每</w:t>
      </w:r>
      <w:r>
        <w:rPr>
          <w:rFonts w:ascii="Times New Roman" w:hAnsi="Times New Roman" w:cs="Times New Roman" w:eastAsia="Times New Roman" w:hint="default"/>
        </w:rPr>
        <w:t>10</w:t>
      </w:r>
      <w:r>
        <w:rPr/>
        <w:t>股派发现金</w:t>
      </w:r>
      <w:r>
        <w:rPr>
          <w:rFonts w:ascii="Times New Roman" w:hAnsi="Times New Roman" w:cs="Times New Roman" w:eastAsia="Times New Roman" w:hint="default"/>
        </w:rPr>
        <w:t>0.37</w:t>
      </w:r>
      <w:r>
        <w:rPr/>
        <w:t>元（含税），不转增。</w:t>
      </w:r>
    </w:p>
    <w:p>
      <w:pPr>
        <w:pStyle w:val="Heading5"/>
        <w:spacing w:line="240" w:lineRule="auto" w:before="21"/>
        <w:ind w:right="982" w:firstLine="0"/>
        <w:jc w:val="left"/>
      </w:pPr>
      <w:r>
        <w:rPr>
          <w:rFonts w:ascii="Times New Roman" w:hAnsi="Times New Roman" w:cs="Times New Roman" w:eastAsia="Times New Roman" w:hint="default"/>
        </w:rPr>
        <w:t>2017</w:t>
      </w:r>
      <w:r>
        <w:rPr/>
        <w:t>年度利润分配方案：每</w:t>
      </w:r>
      <w:r>
        <w:rPr>
          <w:rFonts w:ascii="Times New Roman" w:hAnsi="Times New Roman" w:cs="Times New Roman" w:eastAsia="Times New Roman" w:hint="default"/>
        </w:rPr>
        <w:t>10</w:t>
      </w:r>
      <w:r>
        <w:rPr/>
        <w:t>股派发现金</w:t>
      </w:r>
      <w:r>
        <w:rPr>
          <w:rFonts w:ascii="Times New Roman" w:hAnsi="Times New Roman" w:cs="Times New Roman" w:eastAsia="Times New Roman" w:hint="default"/>
        </w:rPr>
        <w:t>0.42</w:t>
      </w:r>
      <w:r>
        <w:rPr/>
        <w:t>元（含税），不转增。</w:t>
      </w:r>
    </w:p>
    <w:p>
      <w:pPr>
        <w:pStyle w:val="Heading5"/>
        <w:spacing w:line="240" w:lineRule="auto" w:before="21"/>
        <w:ind w:right="982" w:firstLine="0"/>
        <w:jc w:val="left"/>
      </w:pPr>
      <w:r>
        <w:rPr>
          <w:rFonts w:ascii="Times New Roman" w:hAnsi="Times New Roman" w:cs="Times New Roman" w:eastAsia="Times New Roman" w:hint="default"/>
        </w:rPr>
        <w:t>2018</w:t>
      </w:r>
      <w:r>
        <w:rPr/>
        <w:t>年度利润分配预案：每</w:t>
      </w:r>
      <w:r>
        <w:rPr>
          <w:rFonts w:ascii="Times New Roman" w:hAnsi="Times New Roman" w:cs="Times New Roman" w:eastAsia="Times New Roman" w:hint="default"/>
        </w:rPr>
        <w:t>10</w:t>
      </w:r>
      <w:r>
        <w:rPr/>
        <w:t>股派发现金</w:t>
      </w:r>
      <w:r>
        <w:rPr>
          <w:rFonts w:ascii="Times New Roman" w:hAnsi="Times New Roman" w:cs="Times New Roman" w:eastAsia="Times New Roman" w:hint="default"/>
        </w:rPr>
        <w:t>0.14</w:t>
      </w:r>
      <w:r>
        <w:rPr/>
        <w:t>元（含税），转增资本公积</w:t>
      </w:r>
      <w:r>
        <w:rPr>
          <w:rFonts w:ascii="Times New Roman" w:hAnsi="Times New Roman" w:cs="Times New Roman" w:eastAsia="Times New Roman" w:hint="default"/>
        </w:rPr>
        <w:t>5</w:t>
      </w:r>
      <w:r>
        <w:rPr/>
        <w:t>股。</w:t>
      </w:r>
    </w:p>
    <w:p>
      <w:pPr>
        <w:spacing w:line="240" w:lineRule="auto" w:before="10"/>
        <w:rPr>
          <w:rFonts w:ascii="宋体" w:hAnsi="宋体" w:cs="宋体" w:eastAsia="宋体" w:hint="default"/>
          <w:sz w:val="26"/>
          <w:szCs w:val="26"/>
        </w:rPr>
      </w:pPr>
    </w:p>
    <w:p>
      <w:pPr>
        <w:pStyle w:val="BodyText"/>
        <w:spacing w:line="240" w:lineRule="auto" w:before="44"/>
        <w:ind w:right="982"/>
        <w:jc w:val="left"/>
      </w:pPr>
      <w:r>
        <w:rPr/>
        <w:t>公司近三年（包括本报告期）普通股现金分红情况表</w:t>
      </w:r>
    </w:p>
    <w:p>
      <w:pPr>
        <w:pStyle w:val="BodyText"/>
        <w:spacing w:line="240" w:lineRule="auto" w:before="117"/>
        <w:ind w:left="0" w:right="1131"/>
        <w:jc w:val="right"/>
      </w:pPr>
      <w:r>
        <w:rPr/>
        <w:t>单位：元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198"/>
        <w:gridCol w:w="1195"/>
        <w:gridCol w:w="1196"/>
        <w:gridCol w:w="1195"/>
        <w:gridCol w:w="1198"/>
        <w:gridCol w:w="1195"/>
        <w:gridCol w:w="1197"/>
        <w:gridCol w:w="1184"/>
      </w:tblGrid>
      <w:tr>
        <w:trPr>
          <w:trHeight w:val="163" w:hRule="exact"/>
        </w:trPr>
        <w:tc>
          <w:tcPr>
            <w:tcW w:w="1198" w:type="dxa"/>
            <w:vMerge w:val="restart"/>
            <w:tcBorders>
              <w:top w:val="single" w:sz="4" w:space="0" w:color="000000"/>
              <w:left w:val="single" w:sz="4" w:space="0" w:color="000000"/>
              <w:right w:val="single" w:sz="4" w:space="0" w:color="000000"/>
            </w:tcBorders>
            <w:shd w:val="clear" w:color="auto" w:fill="D2D2D2"/>
          </w:tcPr>
          <w:p>
            <w:pPr/>
          </w:p>
        </w:tc>
        <w:tc>
          <w:tcPr>
            <w:tcW w:w="1195" w:type="dxa"/>
            <w:vMerge w:val="restart"/>
            <w:tcBorders>
              <w:top w:val="single" w:sz="4" w:space="0" w:color="000000"/>
              <w:left w:val="single" w:sz="4" w:space="0" w:color="000000"/>
              <w:right w:val="single" w:sz="4" w:space="0" w:color="000000"/>
            </w:tcBorders>
            <w:shd w:val="clear" w:color="auto" w:fill="D2D2D2"/>
          </w:tcPr>
          <w:p>
            <w:pPr/>
          </w:p>
        </w:tc>
        <w:tc>
          <w:tcPr>
            <w:tcW w:w="1196" w:type="dxa"/>
            <w:vMerge w:val="restart"/>
            <w:tcBorders>
              <w:top w:val="single" w:sz="4" w:space="0" w:color="000000"/>
              <w:left w:val="single" w:sz="4" w:space="0" w:color="000000"/>
              <w:right w:val="single" w:sz="4" w:space="0" w:color="000000"/>
            </w:tcBorders>
            <w:shd w:val="clear" w:color="auto" w:fill="D2D2D2"/>
          </w:tcPr>
          <w:p>
            <w:pPr/>
          </w:p>
        </w:tc>
        <w:tc>
          <w:tcPr>
            <w:tcW w:w="1195" w:type="dxa"/>
            <w:tcBorders>
              <w:top w:val="single" w:sz="4" w:space="0" w:color="000000"/>
              <w:left w:val="single" w:sz="4" w:space="0" w:color="000000"/>
              <w:bottom w:val="nil" w:sz="6" w:space="0" w:color="auto"/>
              <w:right w:val="single" w:sz="4" w:space="0" w:color="000000"/>
            </w:tcBorders>
            <w:shd w:val="clear" w:color="auto" w:fill="D2D2D2"/>
          </w:tcPr>
          <w:p>
            <w:pPr/>
          </w:p>
        </w:tc>
        <w:tc>
          <w:tcPr>
            <w:tcW w:w="1198" w:type="dxa"/>
            <w:vMerge w:val="restart"/>
            <w:tcBorders>
              <w:top w:val="single" w:sz="4" w:space="0" w:color="000000"/>
              <w:left w:val="single" w:sz="4" w:space="0" w:color="000000"/>
              <w:right w:val="single" w:sz="4" w:space="0" w:color="000000"/>
            </w:tcBorders>
            <w:shd w:val="clear" w:color="auto" w:fill="D2D2D2"/>
          </w:tcPr>
          <w:p>
            <w:pPr/>
          </w:p>
        </w:tc>
        <w:tc>
          <w:tcPr>
            <w:tcW w:w="1195" w:type="dxa"/>
            <w:tcBorders>
              <w:top w:val="single" w:sz="4" w:space="0" w:color="000000"/>
              <w:left w:val="single" w:sz="4" w:space="0" w:color="000000"/>
              <w:bottom w:val="nil" w:sz="6" w:space="0" w:color="auto"/>
              <w:right w:val="single" w:sz="4" w:space="0" w:color="000000"/>
            </w:tcBorders>
            <w:shd w:val="clear" w:color="auto" w:fill="D2D2D2"/>
          </w:tcPr>
          <w:p>
            <w:pPr/>
          </w:p>
        </w:tc>
        <w:tc>
          <w:tcPr>
            <w:tcW w:w="1197" w:type="dxa"/>
            <w:vMerge w:val="restart"/>
            <w:tcBorders>
              <w:top w:val="single" w:sz="4" w:space="0" w:color="000000"/>
              <w:left w:val="single" w:sz="4" w:space="0" w:color="000000"/>
              <w:right w:val="single" w:sz="4" w:space="0" w:color="000000"/>
            </w:tcBorders>
            <w:shd w:val="clear" w:color="auto" w:fill="D2D2D2"/>
          </w:tcPr>
          <w:p>
            <w:pPr/>
          </w:p>
        </w:tc>
        <w:tc>
          <w:tcPr>
            <w:tcW w:w="118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8" w:right="0"/>
              <w:jc w:val="center"/>
              <w:rPr>
                <w:rFonts w:ascii="宋体" w:hAnsi="宋体" w:cs="宋体" w:eastAsia="宋体" w:hint="default"/>
                <w:sz w:val="18"/>
                <w:szCs w:val="18"/>
              </w:rPr>
            </w:pPr>
            <w:r>
              <w:rPr>
                <w:rFonts w:ascii="宋体" w:hAnsi="宋体" w:cs="宋体" w:eastAsia="宋体" w:hint="default"/>
                <w:sz w:val="18"/>
                <w:szCs w:val="18"/>
              </w:rPr>
              <w:t>现金分红总额</w:t>
            </w:r>
          </w:p>
          <w:p>
            <w:pPr>
              <w:pStyle w:val="TableParagraph"/>
              <w:spacing w:line="316" w:lineRule="auto" w:before="74"/>
              <w:ind w:left="51" w:right="41" w:firstLine="2"/>
              <w:jc w:val="center"/>
              <w:rPr>
                <w:rFonts w:ascii="宋体" w:hAnsi="宋体" w:cs="宋体" w:eastAsia="宋体" w:hint="default"/>
                <w:sz w:val="18"/>
                <w:szCs w:val="18"/>
              </w:rPr>
            </w:pPr>
            <w:r>
              <w:rPr>
                <w:rFonts w:ascii="宋体" w:hAnsi="宋体" w:cs="宋体" w:eastAsia="宋体" w:hint="default"/>
                <w:sz w:val="18"/>
                <w:szCs w:val="18"/>
              </w:rPr>
              <w:t>（含其他方 式）占合并报 表中归属于上 市公司普通股 股东的净利润 的比率</w:t>
            </w:r>
          </w:p>
        </w:tc>
      </w:tr>
      <w:tr>
        <w:trPr>
          <w:trHeight w:val="157" w:hRule="exact"/>
        </w:trPr>
        <w:tc>
          <w:tcPr>
            <w:tcW w:w="1198" w:type="dxa"/>
            <w:vMerge/>
            <w:tcBorders>
              <w:left w:val="single" w:sz="4" w:space="0" w:color="000000"/>
              <w:right w:val="single" w:sz="4" w:space="0" w:color="000000"/>
            </w:tcBorders>
            <w:shd w:val="clear" w:color="auto" w:fill="D2D2D2"/>
          </w:tcPr>
          <w:p>
            <w:pPr/>
          </w:p>
        </w:tc>
        <w:tc>
          <w:tcPr>
            <w:tcW w:w="1195" w:type="dxa"/>
            <w:vMerge/>
            <w:tcBorders>
              <w:left w:val="single" w:sz="4" w:space="0" w:color="000000"/>
              <w:right w:val="single" w:sz="4" w:space="0" w:color="000000"/>
            </w:tcBorders>
            <w:shd w:val="clear" w:color="auto" w:fill="D2D2D2"/>
          </w:tcPr>
          <w:p>
            <w:pPr/>
          </w:p>
        </w:tc>
        <w:tc>
          <w:tcPr>
            <w:tcW w:w="1196" w:type="dxa"/>
            <w:vMerge/>
            <w:tcBorders>
              <w:left w:val="single" w:sz="4" w:space="0" w:color="000000"/>
              <w:bottom w:val="nil" w:sz="6" w:space="0" w:color="auto"/>
              <w:right w:val="single" w:sz="4" w:space="0" w:color="000000"/>
            </w:tcBorders>
            <w:shd w:val="clear" w:color="auto" w:fill="D2D2D2"/>
          </w:tcPr>
          <w:p>
            <w:pPr/>
          </w:p>
        </w:tc>
        <w:tc>
          <w:tcPr>
            <w:tcW w:w="119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52" w:right="50"/>
              <w:jc w:val="center"/>
              <w:rPr>
                <w:rFonts w:ascii="宋体" w:hAnsi="宋体" w:cs="宋体" w:eastAsia="宋体" w:hint="default"/>
                <w:sz w:val="18"/>
                <w:szCs w:val="18"/>
              </w:rPr>
            </w:pPr>
            <w:r>
              <w:rPr>
                <w:rFonts w:ascii="宋体" w:hAnsi="宋体" w:cs="宋体" w:eastAsia="宋体" w:hint="default"/>
                <w:sz w:val="18"/>
                <w:szCs w:val="18"/>
              </w:rPr>
              <w:t>现金分红金额 占合并报表中 归属于上市公 司普通股股东 的净利润的比 率</w:t>
            </w:r>
          </w:p>
        </w:tc>
        <w:tc>
          <w:tcPr>
            <w:tcW w:w="1198" w:type="dxa"/>
            <w:vMerge/>
            <w:tcBorders>
              <w:left w:val="single" w:sz="4" w:space="0" w:color="000000"/>
              <w:right w:val="single" w:sz="4" w:space="0" w:color="000000"/>
            </w:tcBorders>
            <w:shd w:val="clear" w:color="auto" w:fill="D2D2D2"/>
          </w:tcPr>
          <w:p>
            <w:pPr/>
          </w:p>
        </w:tc>
        <w:tc>
          <w:tcPr>
            <w:tcW w:w="119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52" w:right="50"/>
              <w:jc w:val="both"/>
              <w:rPr>
                <w:rFonts w:ascii="宋体" w:hAnsi="宋体" w:cs="宋体" w:eastAsia="宋体" w:hint="default"/>
                <w:sz w:val="18"/>
                <w:szCs w:val="18"/>
              </w:rPr>
            </w:pPr>
            <w:r>
              <w:rPr>
                <w:rFonts w:ascii="宋体" w:hAnsi="宋体" w:cs="宋体" w:eastAsia="宋体" w:hint="default"/>
                <w:sz w:val="18"/>
                <w:szCs w:val="18"/>
              </w:rPr>
              <w:t>以其他方式现 金分红金额占 合并报表中归 属于上市公司 普通股股东的 净利润的比例</w:t>
            </w:r>
          </w:p>
        </w:tc>
        <w:tc>
          <w:tcPr>
            <w:tcW w:w="1197" w:type="dxa"/>
            <w:vMerge/>
            <w:tcBorders>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1198" w:type="dxa"/>
            <w:vMerge/>
            <w:tcBorders>
              <w:left w:val="single" w:sz="4" w:space="0" w:color="000000"/>
              <w:right w:val="single" w:sz="4" w:space="0" w:color="000000"/>
            </w:tcBorders>
            <w:shd w:val="clear" w:color="auto" w:fill="D2D2D2"/>
          </w:tcPr>
          <w:p>
            <w:pPr/>
          </w:p>
        </w:tc>
        <w:tc>
          <w:tcPr>
            <w:tcW w:w="1195" w:type="dxa"/>
            <w:vMerge/>
            <w:tcBorders>
              <w:left w:val="single" w:sz="4" w:space="0" w:color="000000"/>
              <w:right w:val="single" w:sz="4" w:space="0" w:color="000000"/>
            </w:tcBorders>
            <w:shd w:val="clear" w:color="auto" w:fill="D2D2D2"/>
          </w:tcPr>
          <w:p>
            <w:pPr/>
          </w:p>
        </w:tc>
        <w:tc>
          <w:tcPr>
            <w:tcW w:w="1196"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52" w:right="51"/>
              <w:jc w:val="center"/>
              <w:rPr>
                <w:rFonts w:ascii="宋体" w:hAnsi="宋体" w:cs="宋体" w:eastAsia="宋体" w:hint="default"/>
                <w:sz w:val="18"/>
                <w:szCs w:val="18"/>
              </w:rPr>
            </w:pPr>
            <w:r>
              <w:rPr>
                <w:rFonts w:ascii="宋体" w:hAnsi="宋体" w:cs="宋体" w:eastAsia="宋体" w:hint="default"/>
                <w:sz w:val="18"/>
                <w:szCs w:val="18"/>
              </w:rPr>
              <w:t>分红年度合并 报表中归属于 上市公司普通 股股东的净利 润</w:t>
            </w:r>
          </w:p>
        </w:tc>
        <w:tc>
          <w:tcPr>
            <w:tcW w:w="1195" w:type="dxa"/>
            <w:vMerge/>
            <w:tcBorders>
              <w:left w:val="single" w:sz="4" w:space="0" w:color="000000"/>
              <w:right w:val="single" w:sz="4" w:space="0" w:color="000000"/>
            </w:tcBorders>
            <w:shd w:val="clear" w:color="auto" w:fill="D2D2D2"/>
          </w:tcPr>
          <w:p>
            <w:pPr/>
          </w:p>
        </w:tc>
        <w:tc>
          <w:tcPr>
            <w:tcW w:w="1198" w:type="dxa"/>
            <w:vMerge/>
            <w:tcBorders>
              <w:left w:val="single" w:sz="4" w:space="0" w:color="000000"/>
              <w:bottom w:val="nil" w:sz="6" w:space="0" w:color="auto"/>
              <w:right w:val="single" w:sz="4" w:space="0" w:color="000000"/>
            </w:tcBorders>
            <w:shd w:val="clear" w:color="auto" w:fill="D2D2D2"/>
          </w:tcPr>
          <w:p>
            <w:pPr/>
          </w:p>
        </w:tc>
        <w:tc>
          <w:tcPr>
            <w:tcW w:w="1195" w:type="dxa"/>
            <w:vMerge/>
            <w:tcBorders>
              <w:left w:val="single" w:sz="4" w:space="0" w:color="000000"/>
              <w:right w:val="single" w:sz="4" w:space="0" w:color="000000"/>
            </w:tcBorders>
            <w:shd w:val="clear" w:color="auto" w:fill="D2D2D2"/>
          </w:tcPr>
          <w:p>
            <w:pPr/>
          </w:p>
        </w:tc>
        <w:tc>
          <w:tcPr>
            <w:tcW w:w="1197" w:type="dxa"/>
            <w:vMerge/>
            <w:tcBorders>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1198" w:type="dxa"/>
            <w:vMerge/>
            <w:tcBorders>
              <w:left w:val="single" w:sz="4" w:space="0" w:color="000000"/>
              <w:right w:val="single" w:sz="4" w:space="0" w:color="000000"/>
            </w:tcBorders>
            <w:shd w:val="clear" w:color="auto" w:fill="D2D2D2"/>
          </w:tcPr>
          <w:p>
            <w:pPr/>
          </w:p>
        </w:tc>
        <w:tc>
          <w:tcPr>
            <w:tcW w:w="1195" w:type="dxa"/>
            <w:vMerge/>
            <w:tcBorders>
              <w:left w:val="single" w:sz="4" w:space="0" w:color="000000"/>
              <w:right w:val="single" w:sz="4" w:space="0" w:color="000000"/>
            </w:tcBorders>
            <w:shd w:val="clear" w:color="auto" w:fill="D2D2D2"/>
          </w:tcPr>
          <w:p>
            <w:pPr/>
          </w:p>
        </w:tc>
        <w:tc>
          <w:tcPr>
            <w:tcW w:w="1196" w:type="dxa"/>
            <w:vMerge/>
            <w:tcBorders>
              <w:left w:val="single" w:sz="4" w:space="0" w:color="000000"/>
              <w:right w:val="single" w:sz="4" w:space="0" w:color="000000"/>
            </w:tcBorders>
            <w:shd w:val="clear" w:color="auto" w:fill="D2D2D2"/>
          </w:tcPr>
          <w:p>
            <w:pPr/>
          </w:p>
        </w:tc>
        <w:tc>
          <w:tcPr>
            <w:tcW w:w="1195" w:type="dxa"/>
            <w:vMerge/>
            <w:tcBorders>
              <w:left w:val="single" w:sz="4" w:space="0" w:color="000000"/>
              <w:right w:val="single" w:sz="4" w:space="0" w:color="000000"/>
            </w:tcBorders>
            <w:shd w:val="clear" w:color="auto" w:fill="D2D2D2"/>
          </w:tcPr>
          <w:p>
            <w:pPr/>
          </w:p>
        </w:tc>
        <w:tc>
          <w:tcPr>
            <w:tcW w:w="119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以其他方式</w:t>
            </w:r>
          </w:p>
          <w:p>
            <w:pPr>
              <w:pStyle w:val="TableParagraph"/>
              <w:spacing w:line="316" w:lineRule="auto" w:before="74"/>
              <w:ind w:left="52" w:right="53" w:firstLine="2"/>
              <w:jc w:val="center"/>
              <w:rPr>
                <w:rFonts w:ascii="宋体" w:hAnsi="宋体" w:cs="宋体" w:eastAsia="宋体" w:hint="default"/>
                <w:sz w:val="18"/>
                <w:szCs w:val="18"/>
              </w:rPr>
            </w:pPr>
            <w:r>
              <w:rPr>
                <w:rFonts w:ascii="宋体" w:hAnsi="宋体" w:cs="宋体" w:eastAsia="宋体" w:hint="default"/>
                <w:sz w:val="18"/>
                <w:szCs w:val="18"/>
              </w:rPr>
              <w:t>（如回购股 份）现金分红 的金额</w:t>
            </w:r>
          </w:p>
        </w:tc>
        <w:tc>
          <w:tcPr>
            <w:tcW w:w="1195" w:type="dxa"/>
            <w:vMerge/>
            <w:tcBorders>
              <w:left w:val="single" w:sz="4" w:space="0" w:color="000000"/>
              <w:right w:val="single" w:sz="4" w:space="0" w:color="000000"/>
            </w:tcBorders>
            <w:shd w:val="clear" w:color="auto" w:fill="D2D2D2"/>
          </w:tcPr>
          <w:p>
            <w:pPr/>
          </w:p>
        </w:tc>
        <w:tc>
          <w:tcPr>
            <w:tcW w:w="1197" w:type="dxa"/>
            <w:vMerge/>
            <w:tcBorders>
              <w:left w:val="single" w:sz="4" w:space="0" w:color="000000"/>
              <w:bottom w:val="nil" w:sz="6" w:space="0" w:color="auto"/>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1198" w:type="dxa"/>
            <w:vMerge/>
            <w:tcBorders>
              <w:left w:val="single" w:sz="4" w:space="0" w:color="000000"/>
              <w:right w:val="single" w:sz="4" w:space="0" w:color="000000"/>
            </w:tcBorders>
            <w:shd w:val="clear" w:color="auto" w:fill="D2D2D2"/>
          </w:tcPr>
          <w:p>
            <w:pPr/>
          </w:p>
        </w:tc>
        <w:tc>
          <w:tcPr>
            <w:tcW w:w="1195" w:type="dxa"/>
            <w:vMerge/>
            <w:tcBorders>
              <w:left w:val="single" w:sz="4" w:space="0" w:color="000000"/>
              <w:bottom w:val="nil" w:sz="6" w:space="0" w:color="auto"/>
              <w:right w:val="single" w:sz="4" w:space="0" w:color="000000"/>
            </w:tcBorders>
            <w:shd w:val="clear" w:color="auto" w:fill="D2D2D2"/>
          </w:tcPr>
          <w:p>
            <w:pPr/>
          </w:p>
        </w:tc>
        <w:tc>
          <w:tcPr>
            <w:tcW w:w="1196" w:type="dxa"/>
            <w:vMerge/>
            <w:tcBorders>
              <w:left w:val="single" w:sz="4" w:space="0" w:color="000000"/>
              <w:right w:val="single" w:sz="4" w:space="0" w:color="000000"/>
            </w:tcBorders>
            <w:shd w:val="clear" w:color="auto" w:fill="D2D2D2"/>
          </w:tcPr>
          <w:p>
            <w:pPr/>
          </w:p>
        </w:tc>
        <w:tc>
          <w:tcPr>
            <w:tcW w:w="1195" w:type="dxa"/>
            <w:vMerge/>
            <w:tcBorders>
              <w:left w:val="single" w:sz="4" w:space="0" w:color="000000"/>
              <w:right w:val="single" w:sz="4" w:space="0" w:color="000000"/>
            </w:tcBorders>
            <w:shd w:val="clear" w:color="auto" w:fill="D2D2D2"/>
          </w:tcPr>
          <w:p>
            <w:pPr/>
          </w:p>
        </w:tc>
        <w:tc>
          <w:tcPr>
            <w:tcW w:w="1198" w:type="dxa"/>
            <w:vMerge/>
            <w:tcBorders>
              <w:left w:val="single" w:sz="4" w:space="0" w:color="000000"/>
              <w:right w:val="single" w:sz="4" w:space="0" w:color="000000"/>
            </w:tcBorders>
            <w:shd w:val="clear" w:color="auto" w:fill="D2D2D2"/>
          </w:tcPr>
          <w:p>
            <w:pPr/>
          </w:p>
        </w:tc>
        <w:tc>
          <w:tcPr>
            <w:tcW w:w="1195" w:type="dxa"/>
            <w:vMerge/>
            <w:tcBorders>
              <w:left w:val="single" w:sz="4" w:space="0" w:color="000000"/>
              <w:right w:val="single" w:sz="4" w:space="0" w:color="000000"/>
            </w:tcBorders>
            <w:shd w:val="clear" w:color="auto" w:fill="D2D2D2"/>
          </w:tcPr>
          <w:p>
            <w:pPr/>
          </w:p>
        </w:tc>
        <w:tc>
          <w:tcPr>
            <w:tcW w:w="11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52" w:right="0"/>
              <w:jc w:val="left"/>
              <w:rPr>
                <w:rFonts w:ascii="宋体" w:hAnsi="宋体" w:cs="宋体" w:eastAsia="宋体" w:hint="default"/>
                <w:sz w:val="18"/>
                <w:szCs w:val="18"/>
              </w:rPr>
            </w:pPr>
            <w:r>
              <w:rPr>
                <w:rFonts w:ascii="宋体" w:hAnsi="宋体" w:cs="宋体" w:eastAsia="宋体" w:hint="default"/>
                <w:sz w:val="18"/>
                <w:szCs w:val="18"/>
              </w:rPr>
              <w:t>现金分红总额</w:t>
            </w:r>
          </w:p>
          <w:p>
            <w:pPr>
              <w:pStyle w:val="TableParagraph"/>
              <w:spacing w:line="316" w:lineRule="auto" w:before="74"/>
              <w:ind w:left="412" w:right="141" w:hanging="269"/>
              <w:jc w:val="left"/>
              <w:rPr>
                <w:rFonts w:ascii="宋体" w:hAnsi="宋体" w:cs="宋体" w:eastAsia="宋体" w:hint="default"/>
                <w:sz w:val="18"/>
                <w:szCs w:val="18"/>
              </w:rPr>
            </w:pPr>
            <w:r>
              <w:rPr>
                <w:rFonts w:ascii="宋体" w:hAnsi="宋体" w:cs="宋体" w:eastAsia="宋体" w:hint="default"/>
                <w:sz w:val="18"/>
                <w:szCs w:val="18"/>
              </w:rPr>
              <w:t>（含其他方 式）</w:t>
            </w: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1198" w:type="dxa"/>
            <w:vMerge/>
            <w:tcBorders>
              <w:left w:val="single" w:sz="4" w:space="0" w:color="000000"/>
              <w:bottom w:val="nil" w:sz="6" w:space="0" w:color="auto"/>
              <w:right w:val="single" w:sz="4" w:space="0" w:color="000000"/>
            </w:tcBorders>
            <w:shd w:val="clear" w:color="auto" w:fill="D2D2D2"/>
          </w:tcPr>
          <w:p>
            <w:pPr/>
          </w:p>
        </w:tc>
        <w:tc>
          <w:tcPr>
            <w:tcW w:w="119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现金分红金额</w:t>
            </w:r>
          </w:p>
          <w:p>
            <w:pPr>
              <w:pStyle w:val="TableParagraph"/>
              <w:spacing w:line="240" w:lineRule="auto" w:before="74"/>
              <w:ind w:right="0"/>
              <w:jc w:val="center"/>
              <w:rPr>
                <w:rFonts w:ascii="宋体" w:hAnsi="宋体" w:cs="宋体" w:eastAsia="宋体" w:hint="default"/>
                <w:sz w:val="18"/>
                <w:szCs w:val="18"/>
              </w:rPr>
            </w:pPr>
            <w:r>
              <w:rPr>
                <w:rFonts w:ascii="宋体" w:hAnsi="宋体" w:cs="宋体" w:eastAsia="宋体" w:hint="default"/>
                <w:sz w:val="18"/>
                <w:szCs w:val="18"/>
              </w:rPr>
              <w:t>（含税）</w:t>
            </w:r>
          </w:p>
        </w:tc>
        <w:tc>
          <w:tcPr>
            <w:tcW w:w="1196" w:type="dxa"/>
            <w:vMerge/>
            <w:tcBorders>
              <w:left w:val="single" w:sz="4" w:space="0" w:color="000000"/>
              <w:right w:val="single" w:sz="4" w:space="0" w:color="000000"/>
            </w:tcBorders>
            <w:shd w:val="clear" w:color="auto" w:fill="D2D2D2"/>
          </w:tcPr>
          <w:p>
            <w:pPr/>
          </w:p>
        </w:tc>
        <w:tc>
          <w:tcPr>
            <w:tcW w:w="1195" w:type="dxa"/>
            <w:vMerge/>
            <w:tcBorders>
              <w:left w:val="single" w:sz="4" w:space="0" w:color="000000"/>
              <w:right w:val="single" w:sz="4" w:space="0" w:color="000000"/>
            </w:tcBorders>
            <w:shd w:val="clear" w:color="auto" w:fill="D2D2D2"/>
          </w:tcPr>
          <w:p>
            <w:pPr/>
          </w:p>
        </w:tc>
        <w:tc>
          <w:tcPr>
            <w:tcW w:w="1198" w:type="dxa"/>
            <w:vMerge/>
            <w:tcBorders>
              <w:left w:val="single" w:sz="4" w:space="0" w:color="000000"/>
              <w:right w:val="single" w:sz="4" w:space="0" w:color="000000"/>
            </w:tcBorders>
            <w:shd w:val="clear" w:color="auto" w:fill="D2D2D2"/>
          </w:tcPr>
          <w:p>
            <w:pPr/>
          </w:p>
        </w:tc>
        <w:tc>
          <w:tcPr>
            <w:tcW w:w="1195" w:type="dxa"/>
            <w:vMerge/>
            <w:tcBorders>
              <w:left w:val="single" w:sz="4" w:space="0" w:color="000000"/>
              <w:right w:val="single" w:sz="4" w:space="0" w:color="000000"/>
            </w:tcBorders>
            <w:shd w:val="clear" w:color="auto" w:fill="D2D2D2"/>
          </w:tcPr>
          <w:p>
            <w:pPr/>
          </w:p>
        </w:tc>
        <w:tc>
          <w:tcPr>
            <w:tcW w:w="1197" w:type="dxa"/>
            <w:vMerge/>
            <w:tcBorders>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391" w:hRule="exact"/>
        </w:trPr>
        <w:tc>
          <w:tcPr>
            <w:tcW w:w="119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33" w:right="0"/>
              <w:jc w:val="left"/>
              <w:rPr>
                <w:rFonts w:ascii="宋体" w:hAnsi="宋体" w:cs="宋体" w:eastAsia="宋体" w:hint="default"/>
                <w:sz w:val="18"/>
                <w:szCs w:val="18"/>
              </w:rPr>
            </w:pPr>
            <w:r>
              <w:rPr>
                <w:rFonts w:ascii="宋体" w:hAnsi="宋体" w:cs="宋体" w:eastAsia="宋体" w:hint="default"/>
                <w:sz w:val="18"/>
                <w:szCs w:val="18"/>
              </w:rPr>
              <w:t>分红年度</w:t>
            </w:r>
          </w:p>
        </w:tc>
        <w:tc>
          <w:tcPr>
            <w:tcW w:w="1195" w:type="dxa"/>
            <w:vMerge/>
            <w:tcBorders>
              <w:left w:val="single" w:sz="4" w:space="0" w:color="000000"/>
              <w:right w:val="single" w:sz="4" w:space="0" w:color="000000"/>
            </w:tcBorders>
            <w:shd w:val="clear" w:color="auto" w:fill="D2D2D2"/>
          </w:tcPr>
          <w:p>
            <w:pPr/>
          </w:p>
        </w:tc>
        <w:tc>
          <w:tcPr>
            <w:tcW w:w="1196" w:type="dxa"/>
            <w:vMerge/>
            <w:tcBorders>
              <w:left w:val="single" w:sz="4" w:space="0" w:color="000000"/>
              <w:right w:val="single" w:sz="4" w:space="0" w:color="000000"/>
            </w:tcBorders>
            <w:shd w:val="clear" w:color="auto" w:fill="D2D2D2"/>
          </w:tcPr>
          <w:p>
            <w:pPr/>
          </w:p>
        </w:tc>
        <w:tc>
          <w:tcPr>
            <w:tcW w:w="1195" w:type="dxa"/>
            <w:vMerge/>
            <w:tcBorders>
              <w:left w:val="single" w:sz="4" w:space="0" w:color="000000"/>
              <w:right w:val="single" w:sz="4" w:space="0" w:color="000000"/>
            </w:tcBorders>
            <w:shd w:val="clear" w:color="auto" w:fill="D2D2D2"/>
          </w:tcPr>
          <w:p>
            <w:pPr/>
          </w:p>
        </w:tc>
        <w:tc>
          <w:tcPr>
            <w:tcW w:w="1198" w:type="dxa"/>
            <w:vMerge/>
            <w:tcBorders>
              <w:left w:val="single" w:sz="4" w:space="0" w:color="000000"/>
              <w:right w:val="single" w:sz="4" w:space="0" w:color="000000"/>
            </w:tcBorders>
            <w:shd w:val="clear" w:color="auto" w:fill="D2D2D2"/>
          </w:tcPr>
          <w:p>
            <w:pPr/>
          </w:p>
        </w:tc>
        <w:tc>
          <w:tcPr>
            <w:tcW w:w="1195" w:type="dxa"/>
            <w:vMerge/>
            <w:tcBorders>
              <w:left w:val="single" w:sz="4" w:space="0" w:color="000000"/>
              <w:right w:val="single" w:sz="4" w:space="0" w:color="000000"/>
            </w:tcBorders>
            <w:shd w:val="clear" w:color="auto" w:fill="D2D2D2"/>
          </w:tcPr>
          <w:p>
            <w:pPr/>
          </w:p>
        </w:tc>
        <w:tc>
          <w:tcPr>
            <w:tcW w:w="1197" w:type="dxa"/>
            <w:vMerge/>
            <w:tcBorders>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1198" w:type="dxa"/>
            <w:vMerge w:val="restart"/>
            <w:tcBorders>
              <w:top w:val="nil" w:sz="6" w:space="0" w:color="auto"/>
              <w:left w:val="single" w:sz="4" w:space="0" w:color="000000"/>
              <w:right w:val="single" w:sz="4" w:space="0" w:color="000000"/>
            </w:tcBorders>
            <w:shd w:val="clear" w:color="auto" w:fill="D2D2D2"/>
          </w:tcPr>
          <w:p>
            <w:pPr/>
          </w:p>
        </w:tc>
        <w:tc>
          <w:tcPr>
            <w:tcW w:w="1195" w:type="dxa"/>
            <w:vMerge/>
            <w:tcBorders>
              <w:left w:val="single" w:sz="4" w:space="0" w:color="000000"/>
              <w:bottom w:val="nil" w:sz="6" w:space="0" w:color="auto"/>
              <w:right w:val="single" w:sz="4" w:space="0" w:color="000000"/>
            </w:tcBorders>
            <w:shd w:val="clear" w:color="auto" w:fill="D2D2D2"/>
          </w:tcPr>
          <w:p>
            <w:pPr/>
          </w:p>
        </w:tc>
        <w:tc>
          <w:tcPr>
            <w:tcW w:w="1196" w:type="dxa"/>
            <w:vMerge/>
            <w:tcBorders>
              <w:left w:val="single" w:sz="4" w:space="0" w:color="000000"/>
              <w:right w:val="single" w:sz="4" w:space="0" w:color="000000"/>
            </w:tcBorders>
            <w:shd w:val="clear" w:color="auto" w:fill="D2D2D2"/>
          </w:tcPr>
          <w:p>
            <w:pPr/>
          </w:p>
        </w:tc>
        <w:tc>
          <w:tcPr>
            <w:tcW w:w="1195" w:type="dxa"/>
            <w:vMerge/>
            <w:tcBorders>
              <w:left w:val="single" w:sz="4" w:space="0" w:color="000000"/>
              <w:right w:val="single" w:sz="4" w:space="0" w:color="000000"/>
            </w:tcBorders>
            <w:shd w:val="clear" w:color="auto" w:fill="D2D2D2"/>
          </w:tcPr>
          <w:p>
            <w:pPr/>
          </w:p>
        </w:tc>
        <w:tc>
          <w:tcPr>
            <w:tcW w:w="1198" w:type="dxa"/>
            <w:vMerge/>
            <w:tcBorders>
              <w:left w:val="single" w:sz="4" w:space="0" w:color="000000"/>
              <w:right w:val="single" w:sz="4" w:space="0" w:color="000000"/>
            </w:tcBorders>
            <w:shd w:val="clear" w:color="auto" w:fill="D2D2D2"/>
          </w:tcPr>
          <w:p>
            <w:pPr/>
          </w:p>
        </w:tc>
        <w:tc>
          <w:tcPr>
            <w:tcW w:w="1195" w:type="dxa"/>
            <w:vMerge/>
            <w:tcBorders>
              <w:left w:val="single" w:sz="4" w:space="0" w:color="000000"/>
              <w:right w:val="single" w:sz="4" w:space="0" w:color="000000"/>
            </w:tcBorders>
            <w:shd w:val="clear" w:color="auto" w:fill="D2D2D2"/>
          </w:tcPr>
          <w:p>
            <w:pPr/>
          </w:p>
        </w:tc>
        <w:tc>
          <w:tcPr>
            <w:tcW w:w="1197" w:type="dxa"/>
            <w:vMerge/>
            <w:tcBorders>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1198" w:type="dxa"/>
            <w:vMerge/>
            <w:tcBorders>
              <w:left w:val="single" w:sz="4" w:space="0" w:color="000000"/>
              <w:right w:val="single" w:sz="4" w:space="0" w:color="000000"/>
            </w:tcBorders>
            <w:shd w:val="clear" w:color="auto" w:fill="D2D2D2"/>
          </w:tcPr>
          <w:p>
            <w:pPr/>
          </w:p>
        </w:tc>
        <w:tc>
          <w:tcPr>
            <w:tcW w:w="1195" w:type="dxa"/>
            <w:vMerge w:val="restart"/>
            <w:tcBorders>
              <w:top w:val="nil" w:sz="6" w:space="0" w:color="auto"/>
              <w:left w:val="single" w:sz="4" w:space="0" w:color="000000"/>
              <w:right w:val="single" w:sz="4" w:space="0" w:color="000000"/>
            </w:tcBorders>
            <w:shd w:val="clear" w:color="auto" w:fill="D2D2D2"/>
          </w:tcPr>
          <w:p>
            <w:pPr/>
          </w:p>
        </w:tc>
        <w:tc>
          <w:tcPr>
            <w:tcW w:w="1196" w:type="dxa"/>
            <w:vMerge/>
            <w:tcBorders>
              <w:left w:val="single" w:sz="4" w:space="0" w:color="000000"/>
              <w:right w:val="single" w:sz="4" w:space="0" w:color="000000"/>
            </w:tcBorders>
            <w:shd w:val="clear" w:color="auto" w:fill="D2D2D2"/>
          </w:tcPr>
          <w:p>
            <w:pPr/>
          </w:p>
        </w:tc>
        <w:tc>
          <w:tcPr>
            <w:tcW w:w="1195" w:type="dxa"/>
            <w:vMerge/>
            <w:tcBorders>
              <w:left w:val="single" w:sz="4" w:space="0" w:color="000000"/>
              <w:right w:val="single" w:sz="4" w:space="0" w:color="000000"/>
            </w:tcBorders>
            <w:shd w:val="clear" w:color="auto" w:fill="D2D2D2"/>
          </w:tcPr>
          <w:p>
            <w:pPr/>
          </w:p>
        </w:tc>
        <w:tc>
          <w:tcPr>
            <w:tcW w:w="1198" w:type="dxa"/>
            <w:vMerge/>
            <w:tcBorders>
              <w:left w:val="single" w:sz="4" w:space="0" w:color="000000"/>
              <w:right w:val="single" w:sz="4" w:space="0" w:color="000000"/>
            </w:tcBorders>
            <w:shd w:val="clear" w:color="auto" w:fill="D2D2D2"/>
          </w:tcPr>
          <w:p>
            <w:pPr/>
          </w:p>
        </w:tc>
        <w:tc>
          <w:tcPr>
            <w:tcW w:w="1195" w:type="dxa"/>
            <w:vMerge/>
            <w:tcBorders>
              <w:left w:val="single" w:sz="4" w:space="0" w:color="000000"/>
              <w:right w:val="single" w:sz="4" w:space="0" w:color="000000"/>
            </w:tcBorders>
            <w:shd w:val="clear" w:color="auto" w:fill="D2D2D2"/>
          </w:tcPr>
          <w:p>
            <w:pPr/>
          </w:p>
        </w:tc>
        <w:tc>
          <w:tcPr>
            <w:tcW w:w="1197" w:type="dxa"/>
            <w:vMerge/>
            <w:tcBorders>
              <w:left w:val="single" w:sz="4" w:space="0" w:color="000000"/>
              <w:bottom w:val="nil" w:sz="6" w:space="0" w:color="auto"/>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1198" w:type="dxa"/>
            <w:vMerge/>
            <w:tcBorders>
              <w:left w:val="single" w:sz="4" w:space="0" w:color="000000"/>
              <w:right w:val="single" w:sz="4" w:space="0" w:color="000000"/>
            </w:tcBorders>
            <w:shd w:val="clear" w:color="auto" w:fill="D2D2D2"/>
          </w:tcPr>
          <w:p>
            <w:pPr/>
          </w:p>
        </w:tc>
        <w:tc>
          <w:tcPr>
            <w:tcW w:w="1195" w:type="dxa"/>
            <w:vMerge/>
            <w:tcBorders>
              <w:left w:val="single" w:sz="4" w:space="0" w:color="000000"/>
              <w:right w:val="single" w:sz="4" w:space="0" w:color="000000"/>
            </w:tcBorders>
            <w:shd w:val="clear" w:color="auto" w:fill="D2D2D2"/>
          </w:tcPr>
          <w:p>
            <w:pPr/>
          </w:p>
        </w:tc>
        <w:tc>
          <w:tcPr>
            <w:tcW w:w="1196" w:type="dxa"/>
            <w:vMerge/>
            <w:tcBorders>
              <w:left w:val="single" w:sz="4" w:space="0" w:color="000000"/>
              <w:right w:val="single" w:sz="4" w:space="0" w:color="000000"/>
            </w:tcBorders>
            <w:shd w:val="clear" w:color="auto" w:fill="D2D2D2"/>
          </w:tcPr>
          <w:p>
            <w:pPr/>
          </w:p>
        </w:tc>
        <w:tc>
          <w:tcPr>
            <w:tcW w:w="1195" w:type="dxa"/>
            <w:vMerge/>
            <w:tcBorders>
              <w:left w:val="single" w:sz="4" w:space="0" w:color="000000"/>
              <w:right w:val="single" w:sz="4" w:space="0" w:color="000000"/>
            </w:tcBorders>
            <w:shd w:val="clear" w:color="auto" w:fill="D2D2D2"/>
          </w:tcPr>
          <w:p>
            <w:pPr/>
          </w:p>
        </w:tc>
        <w:tc>
          <w:tcPr>
            <w:tcW w:w="1198" w:type="dxa"/>
            <w:vMerge/>
            <w:tcBorders>
              <w:left w:val="single" w:sz="4" w:space="0" w:color="000000"/>
              <w:bottom w:val="nil" w:sz="6" w:space="0" w:color="auto"/>
              <w:right w:val="single" w:sz="4" w:space="0" w:color="000000"/>
            </w:tcBorders>
            <w:shd w:val="clear" w:color="auto" w:fill="D2D2D2"/>
          </w:tcPr>
          <w:p>
            <w:pPr/>
          </w:p>
        </w:tc>
        <w:tc>
          <w:tcPr>
            <w:tcW w:w="1195" w:type="dxa"/>
            <w:vMerge/>
            <w:tcBorders>
              <w:left w:val="single" w:sz="4" w:space="0" w:color="000000"/>
              <w:right w:val="single" w:sz="4" w:space="0" w:color="000000"/>
            </w:tcBorders>
            <w:shd w:val="clear" w:color="auto" w:fill="D2D2D2"/>
          </w:tcPr>
          <w:p>
            <w:pPr/>
          </w:p>
        </w:tc>
        <w:tc>
          <w:tcPr>
            <w:tcW w:w="1197" w:type="dxa"/>
            <w:vMerge w:val="restart"/>
            <w:tcBorders>
              <w:top w:val="nil" w:sz="6" w:space="0" w:color="auto"/>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1198" w:type="dxa"/>
            <w:vMerge/>
            <w:tcBorders>
              <w:left w:val="single" w:sz="4" w:space="0" w:color="000000"/>
              <w:right w:val="single" w:sz="4" w:space="0" w:color="000000"/>
            </w:tcBorders>
            <w:shd w:val="clear" w:color="auto" w:fill="D2D2D2"/>
          </w:tcPr>
          <w:p>
            <w:pPr/>
          </w:p>
        </w:tc>
        <w:tc>
          <w:tcPr>
            <w:tcW w:w="1195" w:type="dxa"/>
            <w:vMerge/>
            <w:tcBorders>
              <w:left w:val="single" w:sz="4" w:space="0" w:color="000000"/>
              <w:right w:val="single" w:sz="4" w:space="0" w:color="000000"/>
            </w:tcBorders>
            <w:shd w:val="clear" w:color="auto" w:fill="D2D2D2"/>
          </w:tcPr>
          <w:p>
            <w:pPr/>
          </w:p>
        </w:tc>
        <w:tc>
          <w:tcPr>
            <w:tcW w:w="1196" w:type="dxa"/>
            <w:vMerge/>
            <w:tcBorders>
              <w:left w:val="single" w:sz="4" w:space="0" w:color="000000"/>
              <w:bottom w:val="nil" w:sz="6" w:space="0" w:color="auto"/>
              <w:right w:val="single" w:sz="4" w:space="0" w:color="000000"/>
            </w:tcBorders>
            <w:shd w:val="clear" w:color="auto" w:fill="D2D2D2"/>
          </w:tcPr>
          <w:p>
            <w:pPr/>
          </w:p>
        </w:tc>
        <w:tc>
          <w:tcPr>
            <w:tcW w:w="1195" w:type="dxa"/>
            <w:vMerge/>
            <w:tcBorders>
              <w:left w:val="single" w:sz="4" w:space="0" w:color="000000"/>
              <w:right w:val="single" w:sz="4" w:space="0" w:color="000000"/>
            </w:tcBorders>
            <w:shd w:val="clear" w:color="auto" w:fill="D2D2D2"/>
          </w:tcPr>
          <w:p>
            <w:pPr/>
          </w:p>
        </w:tc>
        <w:tc>
          <w:tcPr>
            <w:tcW w:w="1198" w:type="dxa"/>
            <w:vMerge w:val="restart"/>
            <w:tcBorders>
              <w:top w:val="nil" w:sz="6" w:space="0" w:color="auto"/>
              <w:left w:val="single" w:sz="4" w:space="0" w:color="000000"/>
              <w:right w:val="single" w:sz="4" w:space="0" w:color="000000"/>
            </w:tcBorders>
            <w:shd w:val="clear" w:color="auto" w:fill="D2D2D2"/>
          </w:tcPr>
          <w:p>
            <w:pPr/>
          </w:p>
        </w:tc>
        <w:tc>
          <w:tcPr>
            <w:tcW w:w="1195" w:type="dxa"/>
            <w:vMerge/>
            <w:tcBorders>
              <w:left w:val="single" w:sz="4" w:space="0" w:color="000000"/>
              <w:right w:val="single" w:sz="4" w:space="0" w:color="000000"/>
            </w:tcBorders>
            <w:shd w:val="clear" w:color="auto" w:fill="D2D2D2"/>
          </w:tcPr>
          <w:p>
            <w:pPr/>
          </w:p>
        </w:tc>
        <w:tc>
          <w:tcPr>
            <w:tcW w:w="1197" w:type="dxa"/>
            <w:vMerge/>
            <w:tcBorders>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1198" w:type="dxa"/>
            <w:vMerge/>
            <w:tcBorders>
              <w:left w:val="single" w:sz="4" w:space="0" w:color="000000"/>
              <w:right w:val="single" w:sz="4" w:space="0" w:color="000000"/>
            </w:tcBorders>
            <w:shd w:val="clear" w:color="auto" w:fill="D2D2D2"/>
          </w:tcPr>
          <w:p>
            <w:pPr/>
          </w:p>
        </w:tc>
        <w:tc>
          <w:tcPr>
            <w:tcW w:w="1195" w:type="dxa"/>
            <w:vMerge/>
            <w:tcBorders>
              <w:left w:val="single" w:sz="4" w:space="0" w:color="000000"/>
              <w:right w:val="single" w:sz="4" w:space="0" w:color="000000"/>
            </w:tcBorders>
            <w:shd w:val="clear" w:color="auto" w:fill="D2D2D2"/>
          </w:tcPr>
          <w:p>
            <w:pPr/>
          </w:p>
        </w:tc>
        <w:tc>
          <w:tcPr>
            <w:tcW w:w="1196" w:type="dxa"/>
            <w:vMerge w:val="restart"/>
            <w:tcBorders>
              <w:top w:val="nil" w:sz="6" w:space="0" w:color="auto"/>
              <w:left w:val="single" w:sz="4" w:space="0" w:color="000000"/>
              <w:right w:val="single" w:sz="4" w:space="0" w:color="000000"/>
            </w:tcBorders>
            <w:shd w:val="clear" w:color="auto" w:fill="D2D2D2"/>
          </w:tcPr>
          <w:p>
            <w:pPr/>
          </w:p>
        </w:tc>
        <w:tc>
          <w:tcPr>
            <w:tcW w:w="1195" w:type="dxa"/>
            <w:vMerge/>
            <w:tcBorders>
              <w:left w:val="single" w:sz="4" w:space="0" w:color="000000"/>
              <w:bottom w:val="nil" w:sz="6" w:space="0" w:color="auto"/>
              <w:right w:val="single" w:sz="4" w:space="0" w:color="000000"/>
            </w:tcBorders>
            <w:shd w:val="clear" w:color="auto" w:fill="D2D2D2"/>
          </w:tcPr>
          <w:p>
            <w:pPr/>
          </w:p>
        </w:tc>
        <w:tc>
          <w:tcPr>
            <w:tcW w:w="1198" w:type="dxa"/>
            <w:vMerge/>
            <w:tcBorders>
              <w:left w:val="single" w:sz="4" w:space="0" w:color="000000"/>
              <w:right w:val="single" w:sz="4" w:space="0" w:color="000000"/>
            </w:tcBorders>
            <w:shd w:val="clear" w:color="auto" w:fill="D2D2D2"/>
          </w:tcPr>
          <w:p>
            <w:pPr/>
          </w:p>
        </w:tc>
        <w:tc>
          <w:tcPr>
            <w:tcW w:w="1195" w:type="dxa"/>
            <w:vMerge/>
            <w:tcBorders>
              <w:left w:val="single" w:sz="4" w:space="0" w:color="000000"/>
              <w:bottom w:val="nil" w:sz="6" w:space="0" w:color="auto"/>
              <w:right w:val="single" w:sz="4" w:space="0" w:color="000000"/>
            </w:tcBorders>
            <w:shd w:val="clear" w:color="auto" w:fill="D2D2D2"/>
          </w:tcPr>
          <w:p>
            <w:pPr/>
          </w:p>
        </w:tc>
        <w:tc>
          <w:tcPr>
            <w:tcW w:w="1197" w:type="dxa"/>
            <w:vMerge/>
            <w:tcBorders>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61" w:hRule="exact"/>
        </w:trPr>
        <w:tc>
          <w:tcPr>
            <w:tcW w:w="1198" w:type="dxa"/>
            <w:vMerge/>
            <w:tcBorders>
              <w:left w:val="single" w:sz="4" w:space="0" w:color="000000"/>
              <w:bottom w:val="single" w:sz="4" w:space="0" w:color="000000"/>
              <w:right w:val="single" w:sz="4" w:space="0" w:color="000000"/>
            </w:tcBorders>
            <w:shd w:val="clear" w:color="auto" w:fill="D2D2D2"/>
          </w:tcPr>
          <w:p>
            <w:pPr/>
          </w:p>
        </w:tc>
        <w:tc>
          <w:tcPr>
            <w:tcW w:w="1195" w:type="dxa"/>
            <w:vMerge/>
            <w:tcBorders>
              <w:left w:val="single" w:sz="4" w:space="0" w:color="000000"/>
              <w:bottom w:val="single" w:sz="4" w:space="0" w:color="000000"/>
              <w:right w:val="single" w:sz="4" w:space="0" w:color="000000"/>
            </w:tcBorders>
            <w:shd w:val="clear" w:color="auto" w:fill="D2D2D2"/>
          </w:tcPr>
          <w:p>
            <w:pPr/>
          </w:p>
        </w:tc>
        <w:tc>
          <w:tcPr>
            <w:tcW w:w="1196" w:type="dxa"/>
            <w:vMerge/>
            <w:tcBorders>
              <w:left w:val="single" w:sz="4" w:space="0" w:color="000000"/>
              <w:bottom w:val="single" w:sz="4" w:space="0" w:color="000000"/>
              <w:right w:val="single" w:sz="4" w:space="0" w:color="000000"/>
            </w:tcBorders>
            <w:shd w:val="clear" w:color="auto" w:fill="D2D2D2"/>
          </w:tcPr>
          <w:p>
            <w:pPr/>
          </w:p>
        </w:tc>
        <w:tc>
          <w:tcPr>
            <w:tcW w:w="1195" w:type="dxa"/>
            <w:tcBorders>
              <w:top w:val="nil" w:sz="6" w:space="0" w:color="auto"/>
              <w:left w:val="single" w:sz="4" w:space="0" w:color="000000"/>
              <w:bottom w:val="single" w:sz="4" w:space="0" w:color="000000"/>
              <w:right w:val="single" w:sz="4" w:space="0" w:color="000000"/>
            </w:tcBorders>
            <w:shd w:val="clear" w:color="auto" w:fill="D2D2D2"/>
          </w:tcPr>
          <w:p>
            <w:pPr/>
          </w:p>
        </w:tc>
        <w:tc>
          <w:tcPr>
            <w:tcW w:w="1198" w:type="dxa"/>
            <w:vMerge/>
            <w:tcBorders>
              <w:left w:val="single" w:sz="4" w:space="0" w:color="000000"/>
              <w:bottom w:val="single" w:sz="4" w:space="0" w:color="000000"/>
              <w:right w:val="single" w:sz="4" w:space="0" w:color="000000"/>
            </w:tcBorders>
            <w:shd w:val="clear" w:color="auto" w:fill="D2D2D2"/>
          </w:tcPr>
          <w:p>
            <w:pPr/>
          </w:p>
        </w:tc>
        <w:tc>
          <w:tcPr>
            <w:tcW w:w="1195" w:type="dxa"/>
            <w:tcBorders>
              <w:top w:val="nil" w:sz="6" w:space="0" w:color="auto"/>
              <w:left w:val="single" w:sz="4" w:space="0" w:color="000000"/>
              <w:bottom w:val="single" w:sz="4" w:space="0" w:color="000000"/>
              <w:right w:val="single" w:sz="4" w:space="0" w:color="000000"/>
            </w:tcBorders>
            <w:shd w:val="clear" w:color="auto" w:fill="D2D2D2"/>
          </w:tcPr>
          <w:p>
            <w:pPr/>
          </w:p>
        </w:tc>
        <w:tc>
          <w:tcPr>
            <w:tcW w:w="1197" w:type="dxa"/>
            <w:vMerge/>
            <w:tcBorders>
              <w:left w:val="single" w:sz="4" w:space="0" w:color="000000"/>
              <w:bottom w:val="single" w:sz="4" w:space="0" w:color="000000"/>
              <w:right w:val="single" w:sz="4" w:space="0" w:color="000000"/>
            </w:tcBorders>
            <w:shd w:val="clear" w:color="auto" w:fill="D2D2D2"/>
          </w:tcPr>
          <w:p>
            <w:pPr/>
          </w:p>
        </w:tc>
        <w:tc>
          <w:tcPr>
            <w:tcW w:w="1184"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11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195"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18,317,392.24</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479,070,711.85</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3.82%</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30,001,482.59</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6.26%</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48,318,874.83</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6"/>
              <w:jc w:val="right"/>
              <w:rPr>
                <w:rFonts w:ascii="Times New Roman" w:hAnsi="Times New Roman" w:cs="Times New Roman" w:eastAsia="Times New Roman" w:hint="default"/>
                <w:sz w:val="18"/>
                <w:szCs w:val="18"/>
              </w:rPr>
            </w:pPr>
            <w:r>
              <w:rPr>
                <w:rFonts w:ascii="Times New Roman"/>
                <w:sz w:val="18"/>
              </w:rPr>
              <w:t>10.09%</w:t>
            </w:r>
          </w:p>
        </w:tc>
      </w:tr>
      <w:tr>
        <w:trPr>
          <w:trHeight w:val="403" w:hRule="exact"/>
        </w:trPr>
        <w:tc>
          <w:tcPr>
            <w:tcW w:w="11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195"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54,997,781.24</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265,199,610.30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20.74%</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0.00%</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54,997,781.24</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6"/>
              <w:jc w:val="right"/>
              <w:rPr>
                <w:rFonts w:ascii="Times New Roman" w:hAnsi="Times New Roman" w:cs="Times New Roman" w:eastAsia="Times New Roman" w:hint="default"/>
                <w:sz w:val="18"/>
                <w:szCs w:val="18"/>
              </w:rPr>
            </w:pPr>
            <w:r>
              <w:rPr>
                <w:rFonts w:ascii="Times New Roman"/>
                <w:sz w:val="18"/>
              </w:rPr>
              <w:t>20.74%</w:t>
            </w:r>
          </w:p>
        </w:tc>
      </w:tr>
      <w:tr>
        <w:trPr>
          <w:trHeight w:val="403" w:hRule="exact"/>
        </w:trPr>
        <w:tc>
          <w:tcPr>
            <w:tcW w:w="11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195"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47,456,755.48</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156,569,086.39</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30.31%</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47,456,755.48</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6"/>
              <w:jc w:val="right"/>
              <w:rPr>
                <w:rFonts w:ascii="Times New Roman" w:hAnsi="Times New Roman" w:cs="Times New Roman" w:eastAsia="Times New Roman" w:hint="default"/>
                <w:sz w:val="18"/>
                <w:szCs w:val="18"/>
              </w:rPr>
            </w:pPr>
            <w:r>
              <w:rPr>
                <w:rFonts w:ascii="Times New Roman"/>
                <w:sz w:val="18"/>
              </w:rPr>
              <w:t>30.31%</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9"/>
        <w:rPr>
          <w:rFonts w:ascii="宋体" w:hAnsi="宋体" w:cs="宋体" w:eastAsia="宋体" w:hint="default"/>
          <w:sz w:val="25"/>
          <w:szCs w:val="25"/>
        </w:rPr>
      </w:pPr>
    </w:p>
    <w:p>
      <w:pPr>
        <w:pStyle w:val="BodyText"/>
        <w:spacing w:line="240" w:lineRule="auto" w:before="44"/>
        <w:ind w:right="982"/>
        <w:jc w:val="left"/>
      </w:pPr>
      <w:r>
        <w:rPr/>
        <w:t>公司报告期内盈利且母公司可供普通股股东分配利润为正但未提出普通股现金红利分配预案</w:t>
      </w:r>
    </w:p>
    <w:p>
      <w:pPr>
        <w:pStyle w:val="BodyText"/>
        <w:spacing w:line="240" w:lineRule="auto" w:before="117"/>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0"/>
        <w:rPr>
          <w:rFonts w:ascii="宋体" w:hAnsi="宋体" w:cs="宋体" w:eastAsia="宋体" w:hint="default"/>
          <w:sz w:val="24"/>
          <w:szCs w:val="24"/>
        </w:rPr>
      </w:pPr>
    </w:p>
    <w:p>
      <w:pPr>
        <w:pStyle w:val="Heading2"/>
        <w:spacing w:line="240" w:lineRule="auto"/>
        <w:ind w:right="982"/>
        <w:jc w:val="left"/>
        <w:rPr>
          <w:b w:val="0"/>
          <w:bCs w:val="0"/>
        </w:rPr>
      </w:pPr>
      <w:r>
        <w:rPr/>
        <w:t>二、本报告期利润分配及资本公积金转增股本预案</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4"/>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773"/>
        <w:gridCol w:w="5786"/>
      </w:tblGrid>
      <w:tr>
        <w:trPr>
          <w:trHeight w:val="402" w:hRule="exact"/>
        </w:trPr>
        <w:tc>
          <w:tcPr>
            <w:tcW w:w="37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股送红股数（股）</w:t>
            </w:r>
          </w:p>
        </w:tc>
        <w:tc>
          <w:tcPr>
            <w:tcW w:w="578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7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4"/>
                <w:sz w:val="18"/>
                <w:szCs w:val="18"/>
              </w:rPr>
              <w:t> </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股派息数（元</w:t>
            </w:r>
            <w:r>
              <w:rPr>
                <w:rFonts w:ascii="宋体" w:hAnsi="宋体" w:cs="宋体" w:eastAsia="宋体" w:hint="default"/>
                <w:spacing w:val="-92"/>
                <w:sz w:val="18"/>
                <w:szCs w:val="18"/>
              </w:rPr>
              <w:t>）</w:t>
            </w:r>
            <w:r>
              <w:rPr>
                <w:rFonts w:ascii="宋体" w:hAnsi="宋体" w:cs="宋体" w:eastAsia="宋体" w:hint="default"/>
                <w:sz w:val="18"/>
                <w:szCs w:val="18"/>
              </w:rPr>
              <w:t>（含税）</w:t>
            </w:r>
          </w:p>
        </w:tc>
        <w:tc>
          <w:tcPr>
            <w:tcW w:w="578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0.14</w:t>
            </w:r>
          </w:p>
        </w:tc>
      </w:tr>
      <w:tr>
        <w:trPr>
          <w:trHeight w:val="402" w:hRule="exact"/>
        </w:trPr>
        <w:tc>
          <w:tcPr>
            <w:tcW w:w="37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股转增数（股）</w:t>
            </w:r>
          </w:p>
        </w:tc>
        <w:tc>
          <w:tcPr>
            <w:tcW w:w="578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5</w:t>
            </w:r>
          </w:p>
        </w:tc>
      </w:tr>
      <w:tr>
        <w:trPr>
          <w:trHeight w:val="402" w:hRule="exact"/>
        </w:trPr>
        <w:tc>
          <w:tcPr>
            <w:tcW w:w="37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分配预案的股本基数（股）</w:t>
            </w:r>
          </w:p>
        </w:tc>
        <w:tc>
          <w:tcPr>
            <w:tcW w:w="578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1,308,385,160</w:t>
            </w:r>
          </w:p>
        </w:tc>
      </w:tr>
      <w:tr>
        <w:trPr>
          <w:trHeight w:val="403" w:hRule="exact"/>
        </w:trPr>
        <w:tc>
          <w:tcPr>
            <w:tcW w:w="37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现金分红金额（元</w:t>
            </w:r>
            <w:r>
              <w:rPr>
                <w:rFonts w:ascii="宋体" w:hAnsi="宋体" w:cs="宋体" w:eastAsia="宋体" w:hint="default"/>
                <w:spacing w:val="-92"/>
                <w:sz w:val="18"/>
                <w:szCs w:val="18"/>
              </w:rPr>
              <w:t>）</w:t>
            </w:r>
            <w:r>
              <w:rPr>
                <w:rFonts w:ascii="宋体" w:hAnsi="宋体" w:cs="宋体" w:eastAsia="宋体" w:hint="default"/>
                <w:sz w:val="18"/>
                <w:szCs w:val="18"/>
              </w:rPr>
              <w:t>（含税）</w:t>
            </w:r>
          </w:p>
        </w:tc>
        <w:tc>
          <w:tcPr>
            <w:tcW w:w="578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18,317,392.24</w:t>
            </w:r>
          </w:p>
        </w:tc>
      </w:tr>
      <w:tr>
        <w:trPr>
          <w:trHeight w:val="402" w:hRule="exact"/>
        </w:trPr>
        <w:tc>
          <w:tcPr>
            <w:tcW w:w="3773" w:type="dxa"/>
            <w:tcBorders>
              <w:top w:val="single" w:sz="4" w:space="0" w:color="000000"/>
              <w:left w:val="single" w:sz="4" w:space="0" w:color="000000"/>
              <w:bottom w:val="single" w:sz="4" w:space="0" w:color="000000"/>
              <w:right w:val="single" w:sz="13" w:space="0" w:color="FFFFFF"/>
            </w:tcBorders>
            <w:shd w:val="clear" w:color="auto" w:fill="D2D2D2"/>
          </w:tcPr>
          <w:p>
            <w:pPr>
              <w:pStyle w:val="TableParagraph"/>
              <w:spacing w:line="240" w:lineRule="auto" w:before="50"/>
              <w:ind w:left="12" w:right="-42"/>
              <w:jc w:val="left"/>
              <w:rPr>
                <w:rFonts w:ascii="宋体" w:hAnsi="宋体" w:cs="宋体" w:eastAsia="宋体" w:hint="default"/>
                <w:sz w:val="18"/>
                <w:szCs w:val="18"/>
              </w:rPr>
            </w:pPr>
            <w:r>
              <w:rPr>
                <w:rFonts w:ascii="宋体" w:hAnsi="宋体" w:cs="宋体" w:eastAsia="宋体" w:hint="default"/>
                <w:sz w:val="18"/>
                <w:szCs w:val="18"/>
              </w:rPr>
              <w:t>以其他方式（如回购股份）现金分红金额（元）</w:t>
            </w:r>
          </w:p>
        </w:tc>
        <w:tc>
          <w:tcPr>
            <w:tcW w:w="5786" w:type="dxa"/>
            <w:tcBorders>
              <w:top w:val="single" w:sz="4" w:space="0" w:color="000000"/>
              <w:left w:val="single" w:sz="22"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30,001,482.59</w:t>
            </w:r>
          </w:p>
        </w:tc>
      </w:tr>
      <w:tr>
        <w:trPr>
          <w:trHeight w:val="402" w:hRule="exact"/>
        </w:trPr>
        <w:tc>
          <w:tcPr>
            <w:tcW w:w="37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现金分红总额（含其他方式</w:t>
            </w:r>
            <w:r>
              <w:rPr>
                <w:rFonts w:ascii="宋体" w:hAnsi="宋体" w:cs="宋体" w:eastAsia="宋体" w:hint="default"/>
                <w:spacing w:val="-92"/>
                <w:sz w:val="18"/>
                <w:szCs w:val="18"/>
              </w:rPr>
              <w:t>）</w:t>
            </w:r>
            <w:r>
              <w:rPr>
                <w:rFonts w:ascii="宋体" w:hAnsi="宋体" w:cs="宋体" w:eastAsia="宋体" w:hint="default"/>
                <w:spacing w:val="2"/>
                <w:sz w:val="18"/>
                <w:szCs w:val="18"/>
              </w:rPr>
              <w:t>（</w:t>
            </w:r>
            <w:r>
              <w:rPr>
                <w:rFonts w:ascii="宋体" w:hAnsi="宋体" w:cs="宋体" w:eastAsia="宋体" w:hint="default"/>
                <w:sz w:val="18"/>
                <w:szCs w:val="18"/>
              </w:rPr>
              <w:t>元）</w:t>
            </w:r>
          </w:p>
        </w:tc>
        <w:tc>
          <w:tcPr>
            <w:tcW w:w="578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48,318,874.83</w:t>
            </w:r>
          </w:p>
        </w:tc>
      </w:tr>
      <w:tr>
        <w:trPr>
          <w:trHeight w:val="402" w:hRule="exact"/>
        </w:trPr>
        <w:tc>
          <w:tcPr>
            <w:tcW w:w="37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可分配利润（元）</w:t>
            </w:r>
          </w:p>
        </w:tc>
        <w:tc>
          <w:tcPr>
            <w:tcW w:w="578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1,535,012,703.46</w:t>
            </w:r>
          </w:p>
        </w:tc>
      </w:tr>
      <w:tr>
        <w:trPr>
          <w:trHeight w:val="714" w:hRule="exact"/>
        </w:trPr>
        <w:tc>
          <w:tcPr>
            <w:tcW w:w="37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9"/>
              <w:jc w:val="left"/>
              <w:rPr>
                <w:rFonts w:ascii="宋体" w:hAnsi="宋体" w:cs="宋体" w:eastAsia="宋体" w:hint="default"/>
                <w:sz w:val="18"/>
                <w:szCs w:val="18"/>
              </w:rPr>
            </w:pPr>
            <w:r>
              <w:rPr>
                <w:rFonts w:ascii="宋体" w:hAnsi="宋体" w:cs="宋体" w:eastAsia="宋体" w:hint="default"/>
                <w:spacing w:val="-2"/>
                <w:sz w:val="18"/>
                <w:szCs w:val="18"/>
              </w:rPr>
              <w:t>现金分红总额（含其他方式）占利润分配总额的</w:t>
            </w:r>
            <w:r>
              <w:rPr>
                <w:rFonts w:ascii="宋体" w:hAnsi="宋体" w:cs="宋体" w:eastAsia="宋体" w:hint="default"/>
                <w:sz w:val="18"/>
                <w:szCs w:val="18"/>
              </w:rPr>
              <w:t> 比例</w:t>
            </w:r>
          </w:p>
        </w:tc>
        <w:tc>
          <w:tcPr>
            <w:tcW w:w="578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2" w:hRule="exact"/>
        </w:trPr>
        <w:tc>
          <w:tcPr>
            <w:tcW w:w="955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12"/>
              <w:jc w:val="center"/>
              <w:rPr>
                <w:rFonts w:ascii="宋体" w:hAnsi="宋体" w:cs="宋体" w:eastAsia="宋体" w:hint="default"/>
                <w:sz w:val="18"/>
                <w:szCs w:val="18"/>
              </w:rPr>
            </w:pPr>
            <w:r>
              <w:rPr>
                <w:rFonts w:ascii="宋体" w:hAnsi="宋体" w:cs="宋体" w:eastAsia="宋体" w:hint="default"/>
                <w:sz w:val="18"/>
                <w:szCs w:val="18"/>
              </w:rPr>
              <w:t>本次现金分红情况</w:t>
            </w:r>
          </w:p>
        </w:tc>
      </w:tr>
      <w:tr>
        <w:trPr>
          <w:trHeight w:val="402" w:hRule="exact"/>
        </w:trPr>
        <w:tc>
          <w:tcPr>
            <w:tcW w:w="955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2"/>
                <w:sz w:val="18"/>
                <w:szCs w:val="18"/>
              </w:rPr>
              <w:t>公司发展阶段属成长期且有重大资金支出安排的，进行利润分配时，现金分红在本次利润分配中所占比例最低应达到</w:t>
            </w:r>
            <w:r>
              <w:rPr>
                <w:rFonts w:ascii="宋体" w:hAnsi="宋体" w:cs="宋体" w:eastAsia="宋体" w:hint="default"/>
                <w:spacing w:val="-11"/>
                <w:sz w:val="18"/>
                <w:szCs w:val="18"/>
              </w:rPr>
              <w:t> </w:t>
            </w:r>
            <w:r>
              <w:rPr>
                <w:rFonts w:ascii="Times New Roman" w:hAnsi="Times New Roman" w:cs="Times New Roman" w:eastAsia="Times New Roman" w:hint="default"/>
                <w:spacing w:val="-1"/>
                <w:sz w:val="18"/>
                <w:szCs w:val="18"/>
              </w:rPr>
              <w:t>20</w:t>
            </w:r>
            <w:r>
              <w:rPr>
                <w:rFonts w:ascii="宋体" w:hAnsi="宋体" w:cs="宋体" w:eastAsia="宋体" w:hint="default"/>
                <w:spacing w:val="-1"/>
                <w:sz w:val="18"/>
                <w:szCs w:val="18"/>
              </w:rPr>
              <w:t>％</w:t>
            </w:r>
          </w:p>
        </w:tc>
      </w:tr>
      <w:tr>
        <w:trPr>
          <w:trHeight w:val="402" w:hRule="exact"/>
        </w:trPr>
        <w:tc>
          <w:tcPr>
            <w:tcW w:w="955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878" w:right="0"/>
              <w:jc w:val="left"/>
              <w:rPr>
                <w:rFonts w:ascii="宋体" w:hAnsi="宋体" w:cs="宋体" w:eastAsia="宋体" w:hint="default"/>
                <w:sz w:val="18"/>
                <w:szCs w:val="18"/>
              </w:rPr>
            </w:pPr>
            <w:r>
              <w:rPr>
                <w:rFonts w:ascii="宋体" w:hAnsi="宋体" w:cs="宋体" w:eastAsia="宋体" w:hint="default"/>
                <w:sz w:val="18"/>
                <w:szCs w:val="18"/>
              </w:rPr>
              <w:t>利润分配或资本公积金转增预案的详细情况说明</w:t>
            </w:r>
          </w:p>
        </w:tc>
      </w:tr>
      <w:tr>
        <w:trPr>
          <w:trHeight w:val="1378" w:hRule="exact"/>
        </w:trPr>
        <w:tc>
          <w:tcPr>
            <w:tcW w:w="955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20</w:t>
            </w:r>
            <w:r>
              <w:rPr>
                <w:rFonts w:ascii="Times New Roman" w:hAnsi="Times New Roman" w:cs="Times New Roman" w:eastAsia="Times New Roman" w:hint="default"/>
                <w:spacing w:val="-2"/>
                <w:sz w:val="18"/>
                <w:szCs w:val="18"/>
              </w:rPr>
              <w:t>1</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年度利润分配预案：每</w:t>
            </w:r>
            <w:r>
              <w:rPr>
                <w:rFonts w:ascii="宋体" w:hAnsi="宋体" w:cs="宋体" w:eastAsia="宋体" w:hint="default"/>
                <w:spacing w:val="-47"/>
                <w:sz w:val="18"/>
                <w:szCs w:val="18"/>
              </w:rPr>
              <w:t> </w:t>
            </w:r>
            <w:r>
              <w:rPr>
                <w:rFonts w:ascii="Times New Roman" w:hAnsi="Times New Roman" w:cs="Times New Roman" w:eastAsia="Times New Roman" w:hint="default"/>
                <w:spacing w:val="-2"/>
                <w:sz w:val="18"/>
                <w:szCs w:val="18"/>
              </w:rPr>
              <w:t>1</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股派发现金</w:t>
            </w:r>
            <w:r>
              <w:rPr>
                <w:rFonts w:ascii="宋体" w:hAnsi="宋体" w:cs="宋体" w:eastAsia="宋体" w:hint="default"/>
                <w:spacing w:val="-44"/>
                <w:sz w:val="18"/>
                <w:szCs w:val="18"/>
              </w:rPr>
              <w:t> </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
                <w:sz w:val="18"/>
                <w:szCs w:val="18"/>
              </w:rPr>
              <w:t>1</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元（含税</w:t>
            </w:r>
            <w:r>
              <w:rPr>
                <w:rFonts w:ascii="宋体" w:hAnsi="宋体" w:cs="宋体" w:eastAsia="宋体" w:hint="default"/>
                <w:spacing w:val="-92"/>
                <w:sz w:val="18"/>
                <w:szCs w:val="18"/>
              </w:rPr>
              <w:t>）</w:t>
            </w:r>
            <w:r>
              <w:rPr>
                <w:rFonts w:ascii="宋体" w:hAnsi="宋体" w:cs="宋体" w:eastAsia="宋体" w:hint="default"/>
                <w:sz w:val="18"/>
                <w:szCs w:val="18"/>
              </w:rPr>
              <w:t>，转增资本公积</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w:t>
            </w:r>
          </w:p>
          <w:p>
            <w:pPr>
              <w:pStyle w:val="TableParagraph"/>
              <w:spacing w:line="240" w:lineRule="auto" w:before="101"/>
              <w:ind w:left="12" w:right="0"/>
              <w:jc w:val="left"/>
              <w:rPr>
                <w:rFonts w:ascii="宋体" w:hAnsi="宋体" w:cs="宋体" w:eastAsia="宋体" w:hint="default"/>
                <w:sz w:val="18"/>
                <w:szCs w:val="18"/>
              </w:rPr>
            </w:pPr>
            <w:r>
              <w:rPr>
                <w:rFonts w:ascii="宋体" w:hAnsi="宋体" w:cs="宋体" w:eastAsia="宋体" w:hint="default"/>
                <w:sz w:val="18"/>
                <w:szCs w:val="18"/>
              </w:rPr>
              <w:t>分配预案的股本基数计算依据：截止</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年底，公司现有总股本</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1,309,470,982 </w:t>
            </w:r>
            <w:r>
              <w:rPr>
                <w:rFonts w:ascii="宋体" w:hAnsi="宋体" w:cs="宋体" w:eastAsia="宋体" w:hint="default"/>
                <w:sz w:val="18"/>
                <w:szCs w:val="18"/>
              </w:rPr>
              <w:t>股，扣除公司董事会审议通过的拟回购注</w:t>
            </w:r>
          </w:p>
          <w:p>
            <w:pPr>
              <w:pStyle w:val="TableParagraph"/>
              <w:spacing w:line="240" w:lineRule="auto" w:before="63"/>
              <w:ind w:left="12" w:right="0"/>
              <w:jc w:val="left"/>
              <w:rPr>
                <w:rFonts w:ascii="宋体" w:hAnsi="宋体" w:cs="宋体" w:eastAsia="宋体" w:hint="default"/>
                <w:sz w:val="18"/>
                <w:szCs w:val="18"/>
              </w:rPr>
            </w:pPr>
            <w:r>
              <w:rPr>
                <w:rFonts w:ascii="宋体" w:hAnsi="宋体" w:cs="宋体" w:eastAsia="宋体" w:hint="default"/>
                <w:sz w:val="18"/>
                <w:szCs w:val="18"/>
              </w:rPr>
              <w:t>销的已离职激励对象限制性股票</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673,122 </w:t>
            </w:r>
            <w:r>
              <w:rPr>
                <w:rFonts w:ascii="宋体" w:hAnsi="宋体" w:cs="宋体" w:eastAsia="宋体" w:hint="default"/>
                <w:sz w:val="18"/>
                <w:szCs w:val="18"/>
              </w:rPr>
              <w:t>股和公司拟注销的已回购社会公众股</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1,962,700</w:t>
            </w:r>
            <w:r>
              <w:rPr>
                <w:rFonts w:ascii="Times New Roman" w:hAnsi="Times New Roman" w:cs="Times New Roman" w:eastAsia="Times New Roman" w:hint="default"/>
                <w:spacing w:val="-1"/>
                <w:sz w:val="18"/>
                <w:szCs w:val="18"/>
              </w:rPr>
              <w:t> </w:t>
            </w:r>
            <w:r>
              <w:rPr>
                <w:rFonts w:ascii="宋体" w:hAnsi="宋体" w:cs="宋体" w:eastAsia="宋体" w:hint="default"/>
                <w:spacing w:val="-5"/>
                <w:sz w:val="18"/>
                <w:szCs w:val="18"/>
              </w:rPr>
              <w:t>股，加上公司预计在权益分派前登</w:t>
            </w:r>
          </w:p>
          <w:p>
            <w:pPr>
              <w:pStyle w:val="TableParagraph"/>
              <w:spacing w:line="240" w:lineRule="auto" w:before="63"/>
              <w:ind w:left="12" w:right="0"/>
              <w:jc w:val="left"/>
              <w:rPr>
                <w:rFonts w:ascii="宋体" w:hAnsi="宋体" w:cs="宋体" w:eastAsia="宋体" w:hint="default"/>
                <w:sz w:val="18"/>
                <w:szCs w:val="18"/>
              </w:rPr>
            </w:pPr>
            <w:r>
              <w:rPr>
                <w:rFonts w:ascii="宋体" w:hAnsi="宋体" w:cs="宋体" w:eastAsia="宋体" w:hint="default"/>
                <w:sz w:val="18"/>
                <w:szCs w:val="18"/>
              </w:rPr>
              <w:t>记完成的预留限制性股票</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1,550,000 </w:t>
            </w:r>
            <w:r>
              <w:rPr>
                <w:rFonts w:ascii="宋体" w:hAnsi="宋体" w:cs="宋体" w:eastAsia="宋体" w:hint="default"/>
                <w:sz w:val="18"/>
                <w:szCs w:val="18"/>
              </w:rPr>
              <w:t>股。鉴于此，预计权益分派实施股权登记日公司股份总数为</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1,308,385,160 </w:t>
            </w:r>
            <w:r>
              <w:rPr>
                <w:rFonts w:ascii="宋体" w:hAnsi="宋体" w:cs="宋体" w:eastAsia="宋体" w:hint="default"/>
                <w:sz w:val="18"/>
                <w:szCs w:val="18"/>
              </w:rPr>
              <w:t>股。</w:t>
            </w:r>
          </w:p>
        </w:tc>
      </w:tr>
    </w:tbl>
    <w:p>
      <w:pPr>
        <w:spacing w:line="240" w:lineRule="auto" w:before="1"/>
        <w:rPr>
          <w:rFonts w:ascii="宋体" w:hAnsi="宋体" w:cs="宋体" w:eastAsia="宋体" w:hint="default"/>
          <w:sz w:val="18"/>
          <w:szCs w:val="18"/>
        </w:rPr>
      </w:pPr>
    </w:p>
    <w:p>
      <w:pPr>
        <w:pStyle w:val="Heading2"/>
        <w:spacing w:line="240" w:lineRule="auto" w:before="26"/>
        <w:ind w:right="982"/>
        <w:jc w:val="left"/>
        <w:rPr>
          <w:b w:val="0"/>
          <w:bCs w:val="0"/>
        </w:rPr>
      </w:pPr>
      <w:r>
        <w:rPr/>
        <w:t>三、承诺事项履行情况</w:t>
      </w:r>
      <w:r>
        <w:rPr>
          <w:b w:val="0"/>
          <w:bCs w:val="0"/>
        </w:rPr>
      </w:r>
    </w:p>
    <w:p>
      <w:pPr>
        <w:spacing w:line="240" w:lineRule="auto" w:before="12"/>
        <w:rPr>
          <w:rFonts w:ascii="宋体" w:hAnsi="宋体" w:cs="宋体" w:eastAsia="宋体" w:hint="default"/>
          <w:b/>
          <w:bCs/>
          <w:sz w:val="24"/>
          <w:szCs w:val="24"/>
        </w:rPr>
      </w:pPr>
    </w:p>
    <w:p>
      <w:pPr>
        <w:pStyle w:val="Heading4"/>
        <w:spacing w:line="256" w:lineRule="auto"/>
        <w:ind w:right="982"/>
        <w:jc w:val="left"/>
        <w:rPr>
          <w:b w:val="0"/>
          <w:bCs w:val="0"/>
        </w:rPr>
      </w:pPr>
      <w:r>
        <w:rPr>
          <w:rFonts w:ascii="Times New Roman" w:hAnsi="Times New Roman" w:cs="Times New Roman" w:eastAsia="Times New Roman" w:hint="default"/>
        </w:rPr>
        <w:t>1</w:t>
      </w:r>
      <w:r>
        <w:rPr/>
        <w:t>、公司实际控制人、股东、关联方、收购人以及公司等承诺相关方在报告期内履行完毕及截至报告期末</w:t>
      </w:r>
      <w:r>
        <w:rPr>
          <w:spacing w:val="-65"/>
        </w:rPr>
        <w:t> </w:t>
      </w:r>
      <w:r>
        <w:rPr>
          <w:spacing w:val="-65"/>
        </w:rPr>
      </w:r>
      <w:r>
        <w:rPr/>
        <w:t>尚未履行完毕的承诺事项</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2"/>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832"/>
        <w:gridCol w:w="1419"/>
        <w:gridCol w:w="991"/>
        <w:gridCol w:w="2552"/>
        <w:gridCol w:w="994"/>
        <w:gridCol w:w="992"/>
        <w:gridCol w:w="778"/>
      </w:tblGrid>
      <w:tr>
        <w:trPr>
          <w:trHeight w:val="403" w:hRule="exact"/>
        </w:trPr>
        <w:tc>
          <w:tcPr>
            <w:tcW w:w="18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45" w:right="0"/>
              <w:jc w:val="left"/>
              <w:rPr>
                <w:rFonts w:ascii="宋体" w:hAnsi="宋体" w:cs="宋体" w:eastAsia="宋体" w:hint="default"/>
                <w:sz w:val="18"/>
                <w:szCs w:val="18"/>
              </w:rPr>
            </w:pPr>
            <w:r>
              <w:rPr>
                <w:rFonts w:ascii="宋体" w:hAnsi="宋体" w:cs="宋体" w:eastAsia="宋体" w:hint="default"/>
                <w:sz w:val="18"/>
                <w:szCs w:val="18"/>
              </w:rPr>
              <w:t>承诺事由</w:t>
            </w:r>
          </w:p>
        </w:tc>
        <w:tc>
          <w:tcPr>
            <w:tcW w:w="14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4" w:right="0"/>
              <w:jc w:val="left"/>
              <w:rPr>
                <w:rFonts w:ascii="宋体" w:hAnsi="宋体" w:cs="宋体" w:eastAsia="宋体" w:hint="default"/>
                <w:sz w:val="18"/>
                <w:szCs w:val="18"/>
              </w:rPr>
            </w:pPr>
            <w:r>
              <w:rPr>
                <w:rFonts w:ascii="宋体" w:hAnsi="宋体" w:cs="宋体" w:eastAsia="宋体" w:hint="default"/>
                <w:sz w:val="18"/>
                <w:szCs w:val="18"/>
              </w:rPr>
              <w:t>承诺方</w:t>
            </w:r>
          </w:p>
        </w:tc>
        <w:tc>
          <w:tcPr>
            <w:tcW w:w="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32" w:right="0"/>
              <w:jc w:val="left"/>
              <w:rPr>
                <w:rFonts w:ascii="宋体" w:hAnsi="宋体" w:cs="宋体" w:eastAsia="宋体" w:hint="default"/>
                <w:sz w:val="18"/>
                <w:szCs w:val="18"/>
              </w:rPr>
            </w:pPr>
            <w:r>
              <w:rPr>
                <w:rFonts w:ascii="宋体" w:hAnsi="宋体" w:cs="宋体" w:eastAsia="宋体" w:hint="default"/>
                <w:sz w:val="18"/>
                <w:szCs w:val="18"/>
              </w:rPr>
              <w:t>承诺类型</w:t>
            </w:r>
          </w:p>
        </w:tc>
        <w:tc>
          <w:tcPr>
            <w:tcW w:w="2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承诺内容</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31" w:right="0"/>
              <w:jc w:val="left"/>
              <w:rPr>
                <w:rFonts w:ascii="宋体" w:hAnsi="宋体" w:cs="宋体" w:eastAsia="宋体" w:hint="default"/>
                <w:sz w:val="18"/>
                <w:szCs w:val="18"/>
              </w:rPr>
            </w:pPr>
            <w:r>
              <w:rPr>
                <w:rFonts w:ascii="宋体" w:hAnsi="宋体" w:cs="宋体" w:eastAsia="宋体" w:hint="default"/>
                <w:sz w:val="18"/>
                <w:szCs w:val="18"/>
              </w:rPr>
              <w:t>承诺时间</w:t>
            </w:r>
          </w:p>
        </w:tc>
        <w:tc>
          <w:tcPr>
            <w:tcW w:w="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31" w:right="0"/>
              <w:jc w:val="left"/>
              <w:rPr>
                <w:rFonts w:ascii="宋体" w:hAnsi="宋体" w:cs="宋体" w:eastAsia="宋体" w:hint="default"/>
                <w:sz w:val="18"/>
                <w:szCs w:val="18"/>
              </w:rPr>
            </w:pPr>
            <w:r>
              <w:rPr>
                <w:rFonts w:ascii="宋体" w:hAnsi="宋体" w:cs="宋体" w:eastAsia="宋体" w:hint="default"/>
                <w:sz w:val="18"/>
                <w:szCs w:val="18"/>
              </w:rPr>
              <w:t>承诺期限</w:t>
            </w:r>
          </w:p>
        </w:tc>
        <w:tc>
          <w:tcPr>
            <w:tcW w:w="7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履行情况</w:t>
            </w:r>
          </w:p>
        </w:tc>
      </w:tr>
      <w:tr>
        <w:trPr>
          <w:trHeight w:val="401" w:hRule="exact"/>
        </w:trPr>
        <w:tc>
          <w:tcPr>
            <w:tcW w:w="18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股改承诺</w:t>
            </w:r>
          </w:p>
        </w:tc>
        <w:tc>
          <w:tcPr>
            <w:tcW w:w="1419" w:type="dxa"/>
            <w:tcBorders>
              <w:top w:val="single" w:sz="4" w:space="0" w:color="000000"/>
              <w:left w:val="single" w:sz="9" w:space="0" w:color="D2D2D2"/>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552"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77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8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189"/>
              <w:jc w:val="left"/>
              <w:rPr>
                <w:rFonts w:ascii="宋体" w:hAnsi="宋体" w:cs="宋体" w:eastAsia="宋体" w:hint="default"/>
                <w:sz w:val="18"/>
                <w:szCs w:val="18"/>
              </w:rPr>
            </w:pPr>
            <w:r>
              <w:rPr>
                <w:rFonts w:ascii="宋体" w:hAnsi="宋体" w:cs="宋体" w:eastAsia="宋体" w:hint="default"/>
                <w:sz w:val="18"/>
                <w:szCs w:val="18"/>
              </w:rPr>
              <w:t>收购报告书或权益变 动报告书中所作承诺</w:t>
            </w:r>
          </w:p>
        </w:tc>
        <w:tc>
          <w:tcPr>
            <w:tcW w:w="1419" w:type="dxa"/>
            <w:tcBorders>
              <w:top w:val="single" w:sz="4" w:space="0" w:color="000000"/>
              <w:left w:val="single" w:sz="9" w:space="0" w:color="D2D2D2"/>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552"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778" w:type="dxa"/>
            <w:tcBorders>
              <w:top w:val="single" w:sz="4" w:space="0" w:color="000000"/>
              <w:left w:val="single" w:sz="4" w:space="0" w:color="000000"/>
              <w:bottom w:val="single" w:sz="4" w:space="0" w:color="000000"/>
              <w:right w:val="single" w:sz="4" w:space="0" w:color="000000"/>
            </w:tcBorders>
          </w:tcPr>
          <w:p>
            <w:pPr/>
          </w:p>
        </w:tc>
      </w:tr>
      <w:tr>
        <w:trPr>
          <w:trHeight w:val="610" w:hRule="exact"/>
        </w:trPr>
        <w:tc>
          <w:tcPr>
            <w:tcW w:w="1832" w:type="dxa"/>
            <w:tcBorders>
              <w:top w:val="single" w:sz="4" w:space="0" w:color="000000"/>
              <w:left w:val="single" w:sz="4" w:space="0" w:color="000000"/>
              <w:bottom w:val="nil" w:sz="6" w:space="0" w:color="auto"/>
              <w:right w:val="single" w:sz="4" w:space="0" w:color="000000"/>
            </w:tcBorders>
            <w:shd w:val="clear" w:color="auto" w:fill="D2D2D2"/>
          </w:tcPr>
          <w:p>
            <w:pPr/>
          </w:p>
        </w:tc>
        <w:tc>
          <w:tcPr>
            <w:tcW w:w="1419" w:type="dxa"/>
            <w:vMerge w:val="restart"/>
            <w:tcBorders>
              <w:top w:val="single" w:sz="4" w:space="0" w:color="000000"/>
              <w:left w:val="single" w:sz="9"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0"/>
                <w:szCs w:val="20"/>
              </w:rPr>
            </w:pPr>
          </w:p>
          <w:p>
            <w:pPr>
              <w:pStyle w:val="TableParagraph"/>
              <w:spacing w:line="314" w:lineRule="auto"/>
              <w:ind w:left="17" w:right="123"/>
              <w:jc w:val="left"/>
              <w:rPr>
                <w:rFonts w:ascii="宋体" w:hAnsi="宋体" w:cs="宋体" w:eastAsia="宋体" w:hint="default"/>
                <w:sz w:val="18"/>
                <w:szCs w:val="18"/>
              </w:rPr>
            </w:pPr>
            <w:r>
              <w:rPr>
                <w:rFonts w:ascii="宋体" w:hAnsi="宋体" w:cs="宋体" w:eastAsia="宋体" w:hint="default"/>
                <w:sz w:val="18"/>
                <w:szCs w:val="18"/>
              </w:rPr>
              <w:t>杰发科技的全体 股东</w:t>
            </w:r>
          </w:p>
        </w:tc>
        <w:tc>
          <w:tcPr>
            <w:tcW w:w="99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0"/>
                <w:szCs w:val="20"/>
              </w:rPr>
            </w:pPr>
          </w:p>
          <w:p>
            <w:pPr>
              <w:pStyle w:val="TableParagraph"/>
              <w:spacing w:line="314" w:lineRule="auto"/>
              <w:ind w:left="24" w:right="55"/>
              <w:jc w:val="left"/>
              <w:rPr>
                <w:rFonts w:ascii="宋体" w:hAnsi="宋体" w:cs="宋体" w:eastAsia="宋体" w:hint="default"/>
                <w:sz w:val="18"/>
                <w:szCs w:val="18"/>
              </w:rPr>
            </w:pPr>
            <w:r>
              <w:rPr>
                <w:rFonts w:ascii="宋体" w:hAnsi="宋体" w:cs="宋体" w:eastAsia="宋体" w:hint="default"/>
                <w:sz w:val="18"/>
                <w:szCs w:val="18"/>
              </w:rPr>
              <w:t>业绩承诺及 补偿安排</w:t>
            </w:r>
          </w:p>
        </w:tc>
        <w:tc>
          <w:tcPr>
            <w:tcW w:w="2552" w:type="dxa"/>
            <w:vMerge w:val="restart"/>
            <w:tcBorders>
              <w:top w:val="single" w:sz="4" w:space="0" w:color="000000"/>
              <w:left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杰发科技 </w:t>
            </w: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45"/>
                <w:sz w:val="18"/>
                <w:szCs w:val="18"/>
              </w:rPr>
              <w:t> </w:t>
            </w:r>
            <w:r>
              <w:rPr>
                <w:rFonts w:ascii="宋体" w:hAnsi="宋体" w:cs="宋体" w:eastAsia="宋体" w:hint="default"/>
                <w:sz w:val="18"/>
                <w:szCs w:val="18"/>
              </w:rPr>
              <w:t>年和</w:t>
            </w:r>
          </w:p>
          <w:p>
            <w:pPr>
              <w:pStyle w:val="TableParagraph"/>
              <w:spacing w:line="240" w:lineRule="auto" w:before="6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年实现的年度税后净利润</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分别为 </w:t>
            </w:r>
            <w:r>
              <w:rPr>
                <w:rFonts w:ascii="Times New Roman" w:hAnsi="Times New Roman" w:cs="Times New Roman" w:eastAsia="Times New Roman" w:hint="default"/>
                <w:sz w:val="18"/>
                <w:szCs w:val="18"/>
              </w:rPr>
              <w:t>18,665.07  </w:t>
            </w:r>
            <w:r>
              <w:rPr>
                <w:rFonts w:ascii="宋体" w:hAnsi="宋体" w:cs="宋体" w:eastAsia="宋体" w:hint="default"/>
                <w:sz w:val="18"/>
                <w:szCs w:val="18"/>
              </w:rPr>
              <w:t>万元、</w:t>
            </w:r>
          </w:p>
          <w:p>
            <w:pPr>
              <w:pStyle w:val="TableParagraph"/>
              <w:spacing w:line="240" w:lineRule="auto" w:before="6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22,798.51  </w:t>
            </w:r>
            <w:r>
              <w:rPr>
                <w:rFonts w:ascii="宋体" w:hAnsi="宋体" w:cs="宋体" w:eastAsia="宋体" w:hint="default"/>
                <w:sz w:val="18"/>
                <w:szCs w:val="18"/>
              </w:rPr>
              <w:t>万元和 </w:t>
            </w:r>
            <w:r>
              <w:rPr>
                <w:rFonts w:ascii="Times New Roman" w:hAnsi="Times New Roman" w:cs="Times New Roman" w:eastAsia="Times New Roman" w:hint="default"/>
                <w:sz w:val="18"/>
                <w:szCs w:val="18"/>
              </w:rPr>
              <w:t>30,290.37</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万</w:t>
            </w:r>
          </w:p>
          <w:p>
            <w:pPr>
              <w:pStyle w:val="TableParagraph"/>
              <w:spacing w:line="240" w:lineRule="auto" w:before="62"/>
              <w:ind w:left="24" w:right="0"/>
              <w:jc w:val="left"/>
              <w:rPr>
                <w:rFonts w:ascii="宋体" w:hAnsi="宋体" w:cs="宋体" w:eastAsia="宋体" w:hint="default"/>
                <w:sz w:val="18"/>
                <w:szCs w:val="18"/>
              </w:rPr>
            </w:pPr>
            <w:r>
              <w:rPr>
                <w:rFonts w:ascii="宋体" w:hAnsi="宋体" w:cs="宋体" w:eastAsia="宋体" w:hint="default"/>
                <w:sz w:val="18"/>
                <w:szCs w:val="18"/>
              </w:rPr>
              <w:t>元，三年累计税后净利润为</w:t>
            </w:r>
          </w:p>
        </w:tc>
        <w:tc>
          <w:tcPr>
            <w:tcW w:w="99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 </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年至</w:t>
            </w:r>
          </w:p>
          <w:p>
            <w:pPr>
              <w:pStyle w:val="TableParagraph"/>
              <w:spacing w:line="240" w:lineRule="auto" w:before="60"/>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77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履行完毕</w:t>
            </w:r>
          </w:p>
        </w:tc>
      </w:tr>
      <w:tr>
        <w:trPr>
          <w:trHeight w:val="391" w:hRule="exact"/>
        </w:trPr>
        <w:tc>
          <w:tcPr>
            <w:tcW w:w="183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资产重组时所作承诺</w:t>
            </w:r>
          </w:p>
        </w:tc>
        <w:tc>
          <w:tcPr>
            <w:tcW w:w="1419" w:type="dxa"/>
            <w:vMerge/>
            <w:tcBorders>
              <w:left w:val="single" w:sz="9" w:space="0" w:color="D2D2D2"/>
              <w:right w:val="single" w:sz="4" w:space="0" w:color="000000"/>
            </w:tcBorders>
          </w:tcPr>
          <w:p>
            <w:pPr/>
          </w:p>
        </w:tc>
        <w:tc>
          <w:tcPr>
            <w:tcW w:w="991" w:type="dxa"/>
            <w:vMerge/>
            <w:tcBorders>
              <w:left w:val="single" w:sz="4" w:space="0" w:color="000000"/>
              <w:right w:val="single" w:sz="4" w:space="0" w:color="000000"/>
            </w:tcBorders>
          </w:tcPr>
          <w:p>
            <w:pPr/>
          </w:p>
        </w:tc>
        <w:tc>
          <w:tcPr>
            <w:tcW w:w="2552" w:type="dxa"/>
            <w:vMerge/>
            <w:tcBorders>
              <w:left w:val="single" w:sz="4" w:space="0" w:color="000000"/>
              <w:right w:val="single" w:sz="4" w:space="0" w:color="000000"/>
            </w:tcBorders>
          </w:tcPr>
          <w:p>
            <w:pPr/>
          </w:p>
        </w:tc>
        <w:tc>
          <w:tcPr>
            <w:tcW w:w="994"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c>
          <w:tcPr>
            <w:tcW w:w="778" w:type="dxa"/>
            <w:vMerge/>
            <w:tcBorders>
              <w:left w:val="single" w:sz="4" w:space="0" w:color="000000"/>
              <w:right w:val="single" w:sz="4" w:space="0" w:color="000000"/>
            </w:tcBorders>
          </w:tcPr>
          <w:p>
            <w:pPr/>
          </w:p>
        </w:tc>
      </w:tr>
      <w:tr>
        <w:trPr>
          <w:trHeight w:val="610" w:hRule="exact"/>
        </w:trPr>
        <w:tc>
          <w:tcPr>
            <w:tcW w:w="1832" w:type="dxa"/>
            <w:tcBorders>
              <w:top w:val="nil" w:sz="6" w:space="0" w:color="auto"/>
              <w:left w:val="single" w:sz="4" w:space="0" w:color="000000"/>
              <w:bottom w:val="single" w:sz="4" w:space="0" w:color="000000"/>
              <w:right w:val="single" w:sz="4" w:space="0" w:color="000000"/>
            </w:tcBorders>
            <w:shd w:val="clear" w:color="auto" w:fill="D2D2D2"/>
          </w:tcPr>
          <w:p>
            <w:pPr/>
          </w:p>
        </w:tc>
        <w:tc>
          <w:tcPr>
            <w:tcW w:w="1419" w:type="dxa"/>
            <w:vMerge/>
            <w:tcBorders>
              <w:left w:val="single" w:sz="9" w:space="0" w:color="D2D2D2"/>
              <w:bottom w:val="single" w:sz="4" w:space="0" w:color="000000"/>
              <w:right w:val="single" w:sz="4" w:space="0" w:color="000000"/>
            </w:tcBorders>
          </w:tcPr>
          <w:p>
            <w:pPr/>
          </w:p>
        </w:tc>
        <w:tc>
          <w:tcPr>
            <w:tcW w:w="991" w:type="dxa"/>
            <w:vMerge/>
            <w:tcBorders>
              <w:left w:val="single" w:sz="4" w:space="0" w:color="000000"/>
              <w:bottom w:val="single" w:sz="4" w:space="0" w:color="000000"/>
              <w:right w:val="single" w:sz="4" w:space="0" w:color="000000"/>
            </w:tcBorders>
          </w:tcPr>
          <w:p>
            <w:pPr/>
          </w:p>
        </w:tc>
        <w:tc>
          <w:tcPr>
            <w:tcW w:w="2552" w:type="dxa"/>
            <w:vMerge/>
            <w:tcBorders>
              <w:left w:val="single" w:sz="4" w:space="0" w:color="000000"/>
              <w:bottom w:val="single" w:sz="4" w:space="0" w:color="000000"/>
              <w:right w:val="single" w:sz="4" w:space="0" w:color="000000"/>
            </w:tcBorders>
          </w:tcPr>
          <w:p>
            <w:pPr/>
          </w:p>
        </w:tc>
        <w:tc>
          <w:tcPr>
            <w:tcW w:w="994" w:type="dxa"/>
            <w:vMerge/>
            <w:tcBorders>
              <w:left w:val="single" w:sz="4" w:space="0" w:color="000000"/>
              <w:bottom w:val="single" w:sz="4" w:space="0" w:color="000000"/>
              <w:right w:val="single" w:sz="4" w:space="0" w:color="000000"/>
            </w:tcBorders>
          </w:tcPr>
          <w:p>
            <w:pPr/>
          </w:p>
        </w:tc>
        <w:tc>
          <w:tcPr>
            <w:tcW w:w="992" w:type="dxa"/>
            <w:vMerge/>
            <w:tcBorders>
              <w:left w:val="single" w:sz="4" w:space="0" w:color="000000"/>
              <w:bottom w:val="single" w:sz="4" w:space="0" w:color="000000"/>
              <w:right w:val="single" w:sz="4" w:space="0" w:color="000000"/>
            </w:tcBorders>
          </w:tcPr>
          <w:p>
            <w:pPr/>
          </w:p>
        </w:tc>
        <w:tc>
          <w:tcPr>
            <w:tcW w:w="778" w:type="dxa"/>
            <w:vMerge/>
            <w:tcBorders>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0"/>
        </w:sectPr>
      </w:pPr>
    </w:p>
    <w:p>
      <w:pPr>
        <w:spacing w:line="240" w:lineRule="auto" w:before="6"/>
        <w:rPr>
          <w:rFonts w:ascii="宋体" w:hAnsi="宋体" w:cs="宋体" w:eastAsia="宋体" w:hint="default"/>
          <w:sz w:val="28"/>
          <w:szCs w:val="28"/>
        </w:rPr>
      </w:pPr>
      <w:r>
        <w:rPr/>
        <w:pict>
          <v:group style="position:absolute;margin-left:220.009995pt;margin-top:375.885986pt;width:49.2pt;height:62.45pt;mso-position-horizontal-relative:page;mso-position-vertical-relative:page;z-index:-1325272" coordorigin="4400,7518" coordsize="984,1249">
            <v:shape style="position:absolute;left:4400;top:7518;width:984;height:1249" coordorigin="4400,7518" coordsize="984,1249" path="m4400,8766l5384,8766,5384,7518,4400,7518,4400,8766xe" filled="true" fillcolor="#ffffff" stroked="false">
              <v:path arrowok="t"/>
              <v:fill type="solid"/>
            </v:shape>
            <w10:wrap type="none"/>
          </v:group>
        </w:pict>
      </w:r>
    </w:p>
    <w:tbl>
      <w:tblPr>
        <w:tblW w:w="0" w:type="auto"/>
        <w:jc w:val="left"/>
        <w:tblInd w:w="149" w:type="dxa"/>
        <w:tblLayout w:type="fixed"/>
        <w:tblCellMar>
          <w:top w:w="0" w:type="dxa"/>
          <w:left w:w="0" w:type="dxa"/>
          <w:bottom w:w="0" w:type="dxa"/>
          <w:right w:w="0" w:type="dxa"/>
        </w:tblCellMar>
        <w:tblLook w:val="01E0"/>
      </w:tblPr>
      <w:tblGrid>
        <w:gridCol w:w="1842"/>
        <w:gridCol w:w="1419"/>
        <w:gridCol w:w="991"/>
        <w:gridCol w:w="2552"/>
        <w:gridCol w:w="994"/>
        <w:gridCol w:w="992"/>
        <w:gridCol w:w="778"/>
      </w:tblGrid>
      <w:tr>
        <w:trPr>
          <w:trHeight w:val="1923" w:hRule="exact"/>
        </w:trPr>
        <w:tc>
          <w:tcPr>
            <w:tcW w:w="1842" w:type="dxa"/>
            <w:vMerge w:val="restart"/>
            <w:tcBorders>
              <w:top w:val="single" w:sz="4" w:space="0" w:color="000000"/>
              <w:left w:val="single" w:sz="4" w:space="0" w:color="000000"/>
              <w:right w:val="single" w:sz="4" w:space="0" w:color="000000"/>
            </w:tcBorders>
            <w:shd w:val="clear" w:color="auto" w:fill="D2D2D2"/>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8"/>
              <w:ind w:left="24" w:right="19"/>
              <w:jc w:val="left"/>
              <w:rPr>
                <w:rFonts w:ascii="宋体" w:hAnsi="宋体" w:cs="宋体" w:eastAsia="宋体" w:hint="default"/>
                <w:sz w:val="18"/>
                <w:szCs w:val="18"/>
              </w:rPr>
            </w:pPr>
            <w:r>
              <w:rPr>
                <w:rFonts w:ascii="Times New Roman" w:hAnsi="Times New Roman" w:cs="Times New Roman" w:eastAsia="Times New Roman" w:hint="default"/>
                <w:sz w:val="18"/>
                <w:szCs w:val="18"/>
              </w:rPr>
              <w:t>71,753.94 </w:t>
            </w:r>
            <w:r>
              <w:rPr>
                <w:rFonts w:ascii="宋体" w:hAnsi="宋体" w:cs="宋体" w:eastAsia="宋体" w:hint="default"/>
                <w:sz w:val="18"/>
                <w:szCs w:val="18"/>
              </w:rPr>
              <w:t>万元。在业绩承诺期 </w:t>
            </w:r>
            <w:r>
              <w:rPr>
                <w:rFonts w:ascii="宋体" w:hAnsi="宋体" w:cs="宋体" w:eastAsia="宋体" w:hint="default"/>
                <w:spacing w:val="-2"/>
                <w:sz w:val="18"/>
                <w:szCs w:val="18"/>
              </w:rPr>
              <w:t>满后，如出现杰发科技需要做业</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2"/>
                <w:sz w:val="18"/>
                <w:szCs w:val="18"/>
              </w:rPr>
              <w:t>绩补偿的情形，交易对价调减金</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额不超过 </w:t>
            </w:r>
            <w:r>
              <w:rPr>
                <w:rFonts w:ascii="Times New Roman" w:hAnsi="Times New Roman" w:cs="Times New Roman" w:eastAsia="Times New Roman" w:hint="default"/>
                <w:sz w:val="18"/>
                <w:szCs w:val="18"/>
              </w:rPr>
              <w:t>6.4585</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亿元，由杰发 科技全体股东对上市公司予以 补偿。</w:t>
            </w:r>
          </w:p>
        </w:tc>
        <w:tc>
          <w:tcPr>
            <w:tcW w:w="994"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778" w:type="dxa"/>
            <w:tcBorders>
              <w:top w:val="single" w:sz="4" w:space="0" w:color="000000"/>
              <w:left w:val="single" w:sz="4" w:space="0" w:color="000000"/>
              <w:bottom w:val="single" w:sz="4" w:space="0" w:color="000000"/>
              <w:right w:val="single" w:sz="4" w:space="0" w:color="000000"/>
            </w:tcBorders>
          </w:tcPr>
          <w:p>
            <w:pPr/>
          </w:p>
        </w:tc>
      </w:tr>
      <w:tr>
        <w:trPr>
          <w:trHeight w:val="4145" w:hRule="exact"/>
        </w:trPr>
        <w:tc>
          <w:tcPr>
            <w:tcW w:w="1842" w:type="dxa"/>
            <w:vMerge/>
            <w:tcBorders>
              <w:left w:val="single" w:sz="4" w:space="0" w:color="000000"/>
              <w:bottom w:val="single" w:sz="4" w:space="0" w:color="000000"/>
              <w:right w:val="single" w:sz="4" w:space="0" w:color="000000"/>
            </w:tcBorders>
            <w:shd w:val="clear" w:color="auto" w:fill="D2D2D2"/>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雷凌科技</w:t>
            </w:r>
            <w:r>
              <w:rPr>
                <w:rFonts w:ascii="宋体" w:hAnsi="宋体" w:cs="宋体" w:eastAsia="宋体" w:hint="default"/>
                <w:spacing w:val="-80"/>
                <w:sz w:val="18"/>
                <w:szCs w:val="18"/>
              </w:rPr>
              <w:t>、</w:t>
            </w:r>
            <w:r>
              <w:rPr>
                <w:rFonts w:ascii="宋体" w:hAnsi="宋体" w:cs="宋体" w:eastAsia="宋体" w:hint="default"/>
                <w:sz w:val="18"/>
                <w:szCs w:val="18"/>
              </w:rPr>
              <w:t>联发科</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6"/>
                <w:szCs w:val="26"/>
              </w:rPr>
            </w:pPr>
          </w:p>
          <w:p>
            <w:pPr>
              <w:pStyle w:val="TableParagraph"/>
              <w:spacing w:line="316" w:lineRule="auto"/>
              <w:ind w:left="24" w:right="55"/>
              <w:jc w:val="left"/>
              <w:rPr>
                <w:rFonts w:ascii="宋体" w:hAnsi="宋体" w:cs="宋体" w:eastAsia="宋体" w:hint="default"/>
                <w:sz w:val="18"/>
                <w:szCs w:val="18"/>
              </w:rPr>
            </w:pPr>
            <w:r>
              <w:rPr>
                <w:rFonts w:ascii="宋体" w:hAnsi="宋体" w:cs="宋体" w:eastAsia="宋体" w:hint="default"/>
                <w:sz w:val="18"/>
                <w:szCs w:val="18"/>
              </w:rPr>
              <w:t>业绩承诺及 补偿安排</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20"/>
              <w:jc w:val="left"/>
              <w:rPr>
                <w:rFonts w:ascii="Times New Roman" w:hAnsi="Times New Roman" w:cs="Times New Roman" w:eastAsia="Times New Roman" w:hint="default"/>
                <w:sz w:val="18"/>
                <w:szCs w:val="18"/>
              </w:rPr>
            </w:pPr>
            <w:r>
              <w:rPr>
                <w:rFonts w:ascii="宋体" w:hAnsi="宋体" w:cs="宋体" w:eastAsia="宋体" w:hint="default"/>
                <w:spacing w:val="-2"/>
                <w:sz w:val="18"/>
                <w:szCs w:val="18"/>
              </w:rPr>
              <w:t>根据《资产购买协议》中约定公</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式计算的交易对价调减金额超 过 </w:t>
            </w:r>
            <w:r>
              <w:rPr>
                <w:rFonts w:ascii="Times New Roman" w:hAnsi="Times New Roman" w:cs="Times New Roman" w:eastAsia="Times New Roman" w:hint="default"/>
                <w:sz w:val="18"/>
                <w:szCs w:val="18"/>
              </w:rPr>
              <w:t>6.4585  </w:t>
            </w:r>
            <w:r>
              <w:rPr>
                <w:rFonts w:ascii="宋体" w:hAnsi="宋体" w:cs="宋体" w:eastAsia="宋体" w:hint="default"/>
                <w:spacing w:val="-4"/>
                <w:sz w:val="18"/>
                <w:szCs w:val="18"/>
              </w:rPr>
              <w:t>亿元，除其中</w:t>
            </w:r>
            <w:r>
              <w:rPr>
                <w:rFonts w:ascii="宋体" w:hAnsi="宋体" w:cs="宋体" w:eastAsia="宋体" w:hint="default"/>
                <w:spacing w:val="-5"/>
                <w:sz w:val="18"/>
                <w:szCs w:val="18"/>
              </w:rPr>
              <w:t> </w:t>
            </w:r>
            <w:r>
              <w:rPr>
                <w:rFonts w:ascii="Times New Roman" w:hAnsi="Times New Roman" w:cs="Times New Roman" w:eastAsia="Times New Roman" w:hint="default"/>
                <w:sz w:val="18"/>
                <w:szCs w:val="18"/>
              </w:rPr>
              <w:t>6.4585</w:t>
            </w:r>
          </w:p>
          <w:p>
            <w:pPr>
              <w:pStyle w:val="TableParagraph"/>
              <w:spacing w:line="314" w:lineRule="auto"/>
              <w:ind w:left="24" w:right="-3"/>
              <w:jc w:val="left"/>
              <w:rPr>
                <w:rFonts w:ascii="宋体" w:hAnsi="宋体" w:cs="宋体" w:eastAsia="宋体" w:hint="default"/>
                <w:sz w:val="18"/>
                <w:szCs w:val="18"/>
              </w:rPr>
            </w:pPr>
            <w:r>
              <w:rPr>
                <w:rFonts w:ascii="宋体" w:hAnsi="宋体" w:cs="宋体" w:eastAsia="宋体" w:hint="default"/>
                <w:sz w:val="18"/>
                <w:szCs w:val="18"/>
              </w:rPr>
              <w:t>亿元部分仍按《资产购买协议》 的约定由杰发科技全体股东对 上市公司予以补偿外，超出 </w:t>
            </w:r>
            <w:r>
              <w:rPr>
                <w:rFonts w:ascii="Times New Roman" w:hAnsi="Times New Roman" w:cs="Times New Roman" w:eastAsia="Times New Roman" w:hint="default"/>
                <w:sz w:val="18"/>
                <w:szCs w:val="18"/>
              </w:rPr>
              <w:t>6.4585 </w:t>
            </w:r>
            <w:r>
              <w:rPr>
                <w:rFonts w:ascii="宋体" w:hAnsi="宋体" w:cs="宋体" w:eastAsia="宋体" w:hint="default"/>
                <w:sz w:val="18"/>
                <w:szCs w:val="18"/>
              </w:rPr>
              <w:t>亿元部分的</w:t>
            </w:r>
            <w:r>
              <w:rPr>
                <w:rFonts w:ascii="宋体" w:hAnsi="宋体" w:cs="宋体" w:eastAsia="宋体" w:hint="default"/>
                <w:spacing w:val="-3"/>
                <w:sz w:val="18"/>
                <w:szCs w:val="18"/>
              </w:rPr>
              <w:t> </w:t>
            </w:r>
            <w:r>
              <w:rPr>
                <w:rFonts w:ascii="Times New Roman" w:hAnsi="Times New Roman" w:cs="Times New Roman" w:eastAsia="Times New Roman" w:hint="default"/>
                <w:sz w:val="18"/>
                <w:szCs w:val="18"/>
              </w:rPr>
              <w:t>82.90%</w:t>
            </w:r>
            <w:r>
              <w:rPr>
                <w:rFonts w:ascii="宋体" w:hAnsi="宋体" w:cs="宋体" w:eastAsia="宋体" w:hint="default"/>
                <w:sz w:val="18"/>
                <w:szCs w:val="18"/>
              </w:rPr>
              <w:t>由雷 凌科技以人民币现金对上市公 </w:t>
            </w:r>
            <w:r>
              <w:rPr>
                <w:rFonts w:ascii="宋体" w:hAnsi="宋体" w:cs="宋体" w:eastAsia="宋体" w:hint="default"/>
                <w:spacing w:val="-2"/>
                <w:sz w:val="18"/>
                <w:szCs w:val="18"/>
              </w:rPr>
              <w:t>司予以补偿，雷凌科技将在交易</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对价调减金额经计算确定后的 </w:t>
            </w:r>
            <w:r>
              <w:rPr>
                <w:rFonts w:ascii="Times New Roman" w:hAnsi="Times New Roman" w:cs="Times New Roman" w:eastAsia="Times New Roman" w:hint="default"/>
                <w:sz w:val="18"/>
                <w:szCs w:val="18"/>
              </w:rPr>
              <w:t>60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日内一次性向上市公司支 </w:t>
            </w:r>
            <w:r>
              <w:rPr>
                <w:rFonts w:ascii="宋体" w:hAnsi="宋体" w:cs="宋体" w:eastAsia="宋体" w:hint="default"/>
                <w:spacing w:val="-2"/>
                <w:sz w:val="18"/>
                <w:szCs w:val="18"/>
              </w:rPr>
              <w:t>付，联发科将以连带责任方式承</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担前述补偿责任。</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 </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年至</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履行完毕</w:t>
            </w:r>
          </w:p>
        </w:tc>
      </w:tr>
      <w:tr>
        <w:trPr>
          <w:trHeight w:val="3212" w:hRule="exact"/>
        </w:trPr>
        <w:tc>
          <w:tcPr>
            <w:tcW w:w="18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19"/>
              <w:ind w:left="22" w:right="189"/>
              <w:jc w:val="left"/>
              <w:rPr>
                <w:rFonts w:ascii="宋体" w:hAnsi="宋体" w:cs="宋体" w:eastAsia="宋体" w:hint="default"/>
                <w:sz w:val="18"/>
                <w:szCs w:val="18"/>
              </w:rPr>
            </w:pPr>
            <w:r>
              <w:rPr>
                <w:rFonts w:ascii="宋体" w:hAnsi="宋体" w:cs="宋体" w:eastAsia="宋体" w:hint="default"/>
                <w:sz w:val="18"/>
                <w:szCs w:val="18"/>
              </w:rPr>
              <w:t>首次公开发行或再融 资时所作承诺</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316" w:lineRule="auto"/>
              <w:ind w:left="23" w:right="20"/>
              <w:jc w:val="left"/>
              <w:rPr>
                <w:rFonts w:ascii="宋体" w:hAnsi="宋体" w:cs="宋体" w:eastAsia="宋体" w:hint="default"/>
                <w:sz w:val="18"/>
                <w:szCs w:val="18"/>
              </w:rPr>
            </w:pPr>
            <w:r>
              <w:rPr>
                <w:rFonts w:ascii="宋体" w:hAnsi="宋体" w:cs="宋体" w:eastAsia="宋体" w:hint="default"/>
                <w:sz w:val="18"/>
                <w:szCs w:val="18"/>
              </w:rPr>
              <w:t>孙玉国、赖丰福 </w:t>
            </w:r>
            <w:r>
              <w:rPr>
                <w:rFonts w:ascii="宋体" w:hAnsi="宋体" w:cs="宋体" w:eastAsia="宋体" w:hint="default"/>
                <w:spacing w:val="-10"/>
                <w:sz w:val="18"/>
                <w:szCs w:val="18"/>
              </w:rPr>
              <w:t>程鹏、金水祥、黄</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10"/>
                <w:sz w:val="18"/>
                <w:szCs w:val="18"/>
              </w:rPr>
              <w:t>维远、雷文辉、徐</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10"/>
                <w:sz w:val="18"/>
                <w:szCs w:val="18"/>
              </w:rPr>
              <w:t>晋晖、吴浩、黄栋</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135"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316" w:lineRule="auto" w:before="76"/>
              <w:ind w:left="24" w:right="55"/>
              <w:jc w:val="left"/>
              <w:rPr>
                <w:rFonts w:ascii="宋体" w:hAnsi="宋体" w:cs="宋体" w:eastAsia="宋体" w:hint="default"/>
                <w:sz w:val="18"/>
                <w:szCs w:val="18"/>
              </w:rPr>
            </w:pPr>
            <w:r>
              <w:rPr>
                <w:rFonts w:ascii="宋体" w:hAnsi="宋体" w:cs="宋体" w:eastAsia="宋体" w:hint="default"/>
                <w:sz w:val="18"/>
                <w:szCs w:val="18"/>
              </w:rPr>
              <w:t>股份限售承 诺</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3"/>
              <w:jc w:val="left"/>
              <w:rPr>
                <w:rFonts w:ascii="宋体" w:hAnsi="宋体" w:cs="宋体" w:eastAsia="宋体" w:hint="default"/>
                <w:sz w:val="18"/>
                <w:szCs w:val="18"/>
              </w:rPr>
            </w:pPr>
            <w:r>
              <w:rPr>
                <w:rFonts w:ascii="宋体" w:hAnsi="宋体" w:cs="宋体" w:eastAsia="宋体" w:hint="default"/>
                <w:sz w:val="18"/>
                <w:szCs w:val="18"/>
              </w:rPr>
              <w:t>本人自四维图新股票上市之日 </w:t>
            </w:r>
            <w:r>
              <w:rPr>
                <w:rFonts w:ascii="宋体" w:hAnsi="宋体" w:cs="宋体" w:eastAsia="宋体" w:hint="default"/>
                <w:spacing w:val="-2"/>
                <w:sz w:val="18"/>
                <w:szCs w:val="18"/>
              </w:rPr>
              <w:t>起十二个月内不转让、不委托他</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人管理四维图新首次公开发行 </w:t>
            </w:r>
            <w:r>
              <w:rPr>
                <w:rFonts w:ascii="宋体" w:hAnsi="宋体" w:cs="宋体" w:eastAsia="宋体" w:hint="default"/>
                <w:spacing w:val="-2"/>
                <w:sz w:val="18"/>
                <w:szCs w:val="18"/>
              </w:rPr>
              <w:t>前本人持有四维图新之股票，也</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不由四维图新回购该部分股票。 本人在任职期间每年转让的四 维图新股份不超过所持有的股 份总数的</w:t>
            </w:r>
            <w:r>
              <w:rPr>
                <w:rFonts w:ascii="宋体" w:hAnsi="宋体" w:cs="宋体" w:eastAsia="宋体" w:hint="default"/>
                <w:spacing w:val="-44"/>
                <w:sz w:val="18"/>
                <w:szCs w:val="18"/>
              </w:rPr>
              <w:t> </w:t>
            </w:r>
            <w:r>
              <w:rPr>
                <w:rFonts w:ascii="Times New Roman" w:hAnsi="Times New Roman" w:cs="Times New Roman" w:eastAsia="Times New Roman" w:hint="default"/>
                <w:spacing w:val="-6"/>
                <w:sz w:val="18"/>
                <w:szCs w:val="18"/>
              </w:rPr>
              <w:t>25%</w:t>
            </w:r>
            <w:r>
              <w:rPr>
                <w:rFonts w:ascii="宋体" w:hAnsi="宋体" w:cs="宋体" w:eastAsia="宋体" w:hint="default"/>
                <w:spacing w:val="-6"/>
                <w:sz w:val="18"/>
                <w:szCs w:val="18"/>
              </w:rPr>
              <w:t>，离职后的</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2"/>
                <w:sz w:val="18"/>
                <w:szCs w:val="18"/>
              </w:rPr>
              <w:t> </w:t>
            </w:r>
            <w:r>
              <w:rPr>
                <w:rFonts w:ascii="宋体" w:hAnsi="宋体" w:cs="宋体" w:eastAsia="宋体" w:hint="default"/>
                <w:spacing w:val="-3"/>
                <w:sz w:val="18"/>
                <w:szCs w:val="18"/>
              </w:rPr>
              <w:t>个月 </w:t>
            </w:r>
            <w:r>
              <w:rPr>
                <w:rFonts w:ascii="宋体" w:hAnsi="宋体" w:cs="宋体" w:eastAsia="宋体" w:hint="default"/>
                <w:spacing w:val="-2"/>
                <w:sz w:val="18"/>
                <w:szCs w:val="18"/>
              </w:rPr>
              <w:t>内，不转让所持有的四维图新股</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份。</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2010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309" w:lineRule="auto"/>
              <w:ind w:left="23" w:right="17"/>
              <w:jc w:val="both"/>
              <w:rPr>
                <w:rFonts w:ascii="宋体" w:hAnsi="宋体" w:cs="宋体" w:eastAsia="宋体" w:hint="default"/>
                <w:sz w:val="18"/>
                <w:szCs w:val="18"/>
              </w:rPr>
            </w:pPr>
            <w:r>
              <w:rPr>
                <w:rFonts w:ascii="宋体" w:hAnsi="宋体" w:cs="宋体" w:eastAsia="宋体" w:hint="default"/>
                <w:sz w:val="18"/>
                <w:szCs w:val="18"/>
              </w:rPr>
              <w:t>上市后的</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个月及任职 期间</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正在履行</w:t>
            </w:r>
          </w:p>
        </w:tc>
      </w:tr>
      <w:tr>
        <w:trPr>
          <w:trHeight w:val="401" w:hRule="exact"/>
        </w:trPr>
        <w:tc>
          <w:tcPr>
            <w:tcW w:w="18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股权激励承诺</w:t>
            </w:r>
          </w:p>
        </w:tc>
        <w:tc>
          <w:tcPr>
            <w:tcW w:w="1419"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552"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77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8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189"/>
              <w:jc w:val="left"/>
              <w:rPr>
                <w:rFonts w:ascii="宋体" w:hAnsi="宋体" w:cs="宋体" w:eastAsia="宋体" w:hint="default"/>
                <w:sz w:val="18"/>
                <w:szCs w:val="18"/>
              </w:rPr>
            </w:pPr>
            <w:r>
              <w:rPr>
                <w:rFonts w:ascii="宋体" w:hAnsi="宋体" w:cs="宋体" w:eastAsia="宋体" w:hint="default"/>
                <w:sz w:val="18"/>
                <w:szCs w:val="18"/>
              </w:rPr>
              <w:t>其他对公司中小股东 所作承诺</w:t>
            </w:r>
          </w:p>
        </w:tc>
        <w:tc>
          <w:tcPr>
            <w:tcW w:w="1419"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552"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77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8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承诺是否按时履行</w:t>
            </w:r>
          </w:p>
        </w:tc>
        <w:tc>
          <w:tcPr>
            <w:tcW w:w="7725"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1339" w:hRule="exact"/>
        </w:trPr>
        <w:tc>
          <w:tcPr>
            <w:tcW w:w="18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20"/>
              <w:jc w:val="left"/>
              <w:rPr>
                <w:rFonts w:ascii="宋体" w:hAnsi="宋体" w:cs="宋体" w:eastAsia="宋体" w:hint="default"/>
                <w:sz w:val="18"/>
                <w:szCs w:val="18"/>
              </w:rPr>
            </w:pPr>
            <w:r>
              <w:rPr>
                <w:rFonts w:ascii="宋体" w:hAnsi="宋体" w:cs="宋体" w:eastAsia="宋体" w:hint="default"/>
                <w:sz w:val="18"/>
                <w:szCs w:val="18"/>
              </w:rPr>
              <w:t>如承诺超期未履行完 </w:t>
            </w:r>
            <w:r>
              <w:rPr>
                <w:rFonts w:ascii="宋体" w:hAnsi="宋体" w:cs="宋体" w:eastAsia="宋体" w:hint="default"/>
                <w:spacing w:val="-2"/>
                <w:sz w:val="18"/>
                <w:szCs w:val="18"/>
              </w:rPr>
              <w:t>毕的，应当详细说明未</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完成履行的具体原因 及下一步的工作计划</w:t>
            </w:r>
          </w:p>
        </w:tc>
        <w:tc>
          <w:tcPr>
            <w:tcW w:w="7725"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line="240" w:lineRule="auto" w:before="3"/>
        <w:rPr>
          <w:rFonts w:ascii="宋体" w:hAnsi="宋体" w:cs="宋体" w:eastAsia="宋体" w:hint="default"/>
          <w:sz w:val="19"/>
          <w:szCs w:val="19"/>
        </w:rPr>
      </w:pPr>
    </w:p>
    <w:p>
      <w:pPr>
        <w:pStyle w:val="Heading4"/>
        <w:spacing w:line="256" w:lineRule="auto" w:before="36"/>
        <w:ind w:right="982"/>
        <w:jc w:val="left"/>
        <w:rPr>
          <w:b w:val="0"/>
          <w:bCs w:val="0"/>
        </w:rPr>
      </w:pPr>
      <w:r>
        <w:rPr>
          <w:rFonts w:ascii="Times New Roman" w:hAnsi="Times New Roman" w:cs="Times New Roman" w:eastAsia="Times New Roman" w:hint="default"/>
        </w:rPr>
        <w:t>2</w:t>
      </w:r>
      <w:r>
        <w:rPr/>
        <w:t>、公司资产或项目存在盈利预测，且报告期仍处在盈利预测期间，公司就资产或项目达到原盈利预测及</w:t>
      </w:r>
      <w:r>
        <w:rPr>
          <w:spacing w:val="-65"/>
        </w:rPr>
        <w:t> </w:t>
      </w:r>
      <w:r>
        <w:rPr>
          <w:spacing w:val="-65"/>
        </w:rPr>
      </w:r>
      <w:r>
        <w:rPr/>
        <w:t>其原因做出说明</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after="0" w:line="240" w:lineRule="auto"/>
        <w:jc w:val="left"/>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136"/>
        <w:gridCol w:w="850"/>
        <w:gridCol w:w="850"/>
        <w:gridCol w:w="852"/>
        <w:gridCol w:w="850"/>
        <w:gridCol w:w="1844"/>
        <w:gridCol w:w="852"/>
        <w:gridCol w:w="2333"/>
      </w:tblGrid>
      <w:tr>
        <w:trPr>
          <w:trHeight w:val="1025" w:hRule="exact"/>
        </w:trPr>
        <w:tc>
          <w:tcPr>
            <w:tcW w:w="11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112" w:right="111"/>
              <w:jc w:val="center"/>
              <w:rPr>
                <w:rFonts w:ascii="宋体" w:hAnsi="宋体" w:cs="宋体" w:eastAsia="宋体" w:hint="default"/>
                <w:sz w:val="18"/>
                <w:szCs w:val="18"/>
              </w:rPr>
            </w:pPr>
            <w:r>
              <w:rPr>
                <w:rFonts w:ascii="宋体" w:hAnsi="宋体" w:cs="宋体" w:eastAsia="宋体" w:hint="default"/>
                <w:sz w:val="18"/>
                <w:szCs w:val="18"/>
              </w:rPr>
              <w:t>盈利预测资 产或项目名 称</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39" w:right="59" w:hanging="180"/>
              <w:jc w:val="left"/>
              <w:rPr>
                <w:rFonts w:ascii="宋体" w:hAnsi="宋体" w:cs="宋体" w:eastAsia="宋体" w:hint="default"/>
                <w:sz w:val="18"/>
                <w:szCs w:val="18"/>
              </w:rPr>
            </w:pPr>
            <w:r>
              <w:rPr>
                <w:rFonts w:ascii="宋体" w:hAnsi="宋体" w:cs="宋体" w:eastAsia="宋体" w:hint="default"/>
                <w:sz w:val="18"/>
                <w:szCs w:val="18"/>
              </w:rPr>
              <w:t>预测起始 时间</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40" w:right="58" w:hanging="180"/>
              <w:jc w:val="left"/>
              <w:rPr>
                <w:rFonts w:ascii="宋体" w:hAnsi="宋体" w:cs="宋体" w:eastAsia="宋体" w:hint="default"/>
                <w:sz w:val="18"/>
                <w:szCs w:val="18"/>
              </w:rPr>
            </w:pPr>
            <w:r>
              <w:rPr>
                <w:rFonts w:ascii="宋体" w:hAnsi="宋体" w:cs="宋体" w:eastAsia="宋体" w:hint="default"/>
                <w:sz w:val="18"/>
                <w:szCs w:val="18"/>
              </w:rPr>
              <w:t>预测终止 时间</w:t>
            </w:r>
          </w:p>
        </w:tc>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60" w:right="60"/>
              <w:jc w:val="center"/>
              <w:rPr>
                <w:rFonts w:ascii="宋体" w:hAnsi="宋体" w:cs="宋体" w:eastAsia="宋体" w:hint="default"/>
                <w:sz w:val="18"/>
                <w:szCs w:val="18"/>
              </w:rPr>
            </w:pPr>
            <w:r>
              <w:rPr>
                <w:rFonts w:ascii="宋体" w:hAnsi="宋体" w:cs="宋体" w:eastAsia="宋体" w:hint="default"/>
                <w:sz w:val="18"/>
                <w:szCs w:val="18"/>
              </w:rPr>
              <w:t>当期预测 业绩（万 元）</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60" w:right="59"/>
              <w:jc w:val="center"/>
              <w:rPr>
                <w:rFonts w:ascii="宋体" w:hAnsi="宋体" w:cs="宋体" w:eastAsia="宋体" w:hint="default"/>
                <w:sz w:val="18"/>
                <w:szCs w:val="18"/>
              </w:rPr>
            </w:pPr>
            <w:r>
              <w:rPr>
                <w:rFonts w:ascii="宋体" w:hAnsi="宋体" w:cs="宋体" w:eastAsia="宋体" w:hint="default"/>
                <w:sz w:val="18"/>
                <w:szCs w:val="18"/>
              </w:rPr>
              <w:t>当期实际 业绩（万 元）</w:t>
            </w:r>
          </w:p>
        </w:tc>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736" w:right="20" w:hanging="713"/>
              <w:jc w:val="left"/>
              <w:rPr>
                <w:rFonts w:ascii="宋体" w:hAnsi="宋体" w:cs="宋体" w:eastAsia="宋体" w:hint="default"/>
                <w:sz w:val="18"/>
                <w:szCs w:val="18"/>
              </w:rPr>
            </w:pPr>
            <w:r>
              <w:rPr>
                <w:rFonts w:ascii="宋体" w:hAnsi="宋体" w:cs="宋体" w:eastAsia="宋体" w:hint="default"/>
                <w:spacing w:val="-2"/>
                <w:sz w:val="18"/>
                <w:szCs w:val="18"/>
              </w:rPr>
              <w:t>未达预测的原因（如适</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用）</w:t>
            </w:r>
          </w:p>
        </w:tc>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51" w:right="60" w:hanging="92"/>
              <w:jc w:val="left"/>
              <w:rPr>
                <w:rFonts w:ascii="宋体" w:hAnsi="宋体" w:cs="宋体" w:eastAsia="宋体" w:hint="default"/>
                <w:sz w:val="18"/>
                <w:szCs w:val="18"/>
              </w:rPr>
            </w:pPr>
            <w:r>
              <w:rPr>
                <w:rFonts w:ascii="宋体" w:hAnsi="宋体" w:cs="宋体" w:eastAsia="宋体" w:hint="default"/>
                <w:sz w:val="18"/>
                <w:szCs w:val="18"/>
              </w:rPr>
              <w:t>原预测披 露日期</w:t>
            </w:r>
          </w:p>
        </w:tc>
        <w:tc>
          <w:tcPr>
            <w:tcW w:w="23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532" w:right="0"/>
              <w:jc w:val="left"/>
              <w:rPr>
                <w:rFonts w:ascii="宋体" w:hAnsi="宋体" w:cs="宋体" w:eastAsia="宋体" w:hint="default"/>
                <w:sz w:val="18"/>
                <w:szCs w:val="18"/>
              </w:rPr>
            </w:pPr>
            <w:r>
              <w:rPr>
                <w:rFonts w:ascii="宋体" w:hAnsi="宋体" w:cs="宋体" w:eastAsia="宋体" w:hint="default"/>
                <w:sz w:val="18"/>
                <w:szCs w:val="18"/>
              </w:rPr>
              <w:t>原预测披露索引</w:t>
            </w:r>
          </w:p>
        </w:tc>
      </w:tr>
      <w:tr>
        <w:trPr>
          <w:trHeight w:val="3524" w:hRule="exact"/>
        </w:trPr>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1"/>
                <w:szCs w:val="21"/>
              </w:rPr>
            </w:pPr>
          </w:p>
          <w:p>
            <w:pPr>
              <w:pStyle w:val="TableParagraph"/>
              <w:spacing w:line="314" w:lineRule="auto"/>
              <w:ind w:left="24" w:right="93"/>
              <w:jc w:val="left"/>
              <w:rPr>
                <w:rFonts w:ascii="宋体" w:hAnsi="宋体" w:cs="宋体" w:eastAsia="宋体" w:hint="default"/>
                <w:sz w:val="18"/>
                <w:szCs w:val="18"/>
              </w:rPr>
            </w:pPr>
            <w:r>
              <w:rPr>
                <w:rFonts w:ascii="宋体" w:hAnsi="宋体" w:cs="宋体" w:eastAsia="宋体" w:hint="default"/>
                <w:sz w:val="18"/>
                <w:szCs w:val="18"/>
              </w:rPr>
              <w:t>收购杰发科 技</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100%</w:t>
            </w:r>
            <w:r>
              <w:rPr>
                <w:rFonts w:ascii="宋体" w:hAnsi="宋体" w:cs="宋体" w:eastAsia="宋体" w:hint="default"/>
                <w:sz w:val="18"/>
                <w:szCs w:val="18"/>
              </w:rPr>
              <w:t>股权</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01</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12</w:t>
            </w:r>
          </w:p>
          <w:p>
            <w:pPr>
              <w:pStyle w:val="TableParagraph"/>
              <w:spacing w:line="240" w:lineRule="auto" w:before="60"/>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30,290.37</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19,906.12</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4" w:right="20"/>
              <w:jc w:val="left"/>
              <w:rPr>
                <w:rFonts w:ascii="宋体" w:hAnsi="宋体" w:cs="宋体" w:eastAsia="宋体" w:hint="default"/>
                <w:sz w:val="18"/>
                <w:szCs w:val="18"/>
              </w:rPr>
            </w:pPr>
            <w:r>
              <w:rPr>
                <w:rFonts w:ascii="宋体" w:hAnsi="宋体" w:cs="宋体" w:eastAsia="宋体" w:hint="default"/>
                <w:sz w:val="18"/>
                <w:szCs w:val="18"/>
              </w:rPr>
              <w:t>杰发科技</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年业绩 未达预期主要原因为 受国内乘用车销量下 降特别是轿车销量下 </w:t>
            </w:r>
            <w:r>
              <w:rPr>
                <w:rFonts w:ascii="宋体" w:hAnsi="宋体" w:cs="宋体" w:eastAsia="宋体" w:hint="default"/>
                <w:spacing w:val="-2"/>
                <w:sz w:val="18"/>
                <w:szCs w:val="18"/>
              </w:rPr>
              <w:t>降的影响，杰发科技的</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Times New Roman" w:hAnsi="Times New Roman" w:cs="Times New Roman" w:eastAsia="Times New Roman" w:hint="default"/>
                <w:sz w:val="18"/>
                <w:szCs w:val="18"/>
              </w:rPr>
              <w:t>IVI</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芯片销量未能达到</w:t>
            </w:r>
            <w:r>
              <w:rPr>
                <w:rFonts w:ascii="宋体" w:hAnsi="宋体" w:cs="宋体" w:eastAsia="宋体" w:hint="default"/>
                <w:w w:val="99"/>
                <w:sz w:val="18"/>
                <w:szCs w:val="18"/>
              </w:rPr>
              <w:t> </w:t>
            </w:r>
            <w:r>
              <w:rPr>
                <w:rFonts w:ascii="宋体" w:hAnsi="宋体" w:cs="宋体" w:eastAsia="宋体" w:hint="default"/>
                <w:sz w:val="18"/>
                <w:szCs w:val="18"/>
              </w:rPr>
              <w:t>预期；</w:t>
            </w:r>
            <w:r>
              <w:rPr>
                <w:rFonts w:ascii="Times New Roman" w:hAnsi="Times New Roman" w:cs="Times New Roman" w:eastAsia="Times New Roman" w:hint="default"/>
                <w:sz w:val="18"/>
                <w:szCs w:val="18"/>
              </w:rPr>
              <w:t>IVI </w:t>
            </w:r>
            <w:r>
              <w:rPr>
                <w:rFonts w:ascii="宋体" w:hAnsi="宋体" w:cs="宋体" w:eastAsia="宋体" w:hint="default"/>
                <w:sz w:val="18"/>
                <w:szCs w:val="18"/>
              </w:rPr>
              <w:t>新款芯片、</w:t>
            </w:r>
            <w:r>
              <w:rPr>
                <w:rFonts w:ascii="宋体" w:hAnsi="宋体" w:cs="宋体" w:eastAsia="宋体" w:hint="default"/>
                <w:w w:val="99"/>
                <w:sz w:val="18"/>
                <w:szCs w:val="18"/>
              </w:rPr>
              <w:t> </w:t>
            </w:r>
            <w:r>
              <w:rPr>
                <w:rFonts w:ascii="Times New Roman" w:hAnsi="Times New Roman" w:cs="Times New Roman" w:eastAsia="Times New Roman" w:hint="default"/>
                <w:sz w:val="18"/>
                <w:szCs w:val="18"/>
              </w:rPr>
              <w:t>MCU</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芯片及</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TPMS </w:t>
            </w:r>
            <w:r>
              <w:rPr>
                <w:rFonts w:ascii="宋体" w:hAnsi="宋体" w:cs="宋体" w:eastAsia="宋体" w:hint="default"/>
                <w:sz w:val="18"/>
                <w:szCs w:val="18"/>
              </w:rPr>
              <w:t>芯 片研发投入比预期要 </w:t>
            </w:r>
            <w:r>
              <w:rPr>
                <w:rFonts w:ascii="宋体" w:hAnsi="宋体" w:cs="宋体" w:eastAsia="宋体" w:hint="default"/>
                <w:spacing w:val="-2"/>
                <w:sz w:val="18"/>
                <w:szCs w:val="18"/>
              </w:rPr>
              <w:t>高，研发周期较预期略</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长。</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05</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4" w:right="-41"/>
              <w:jc w:val="left"/>
              <w:rPr>
                <w:rFonts w:ascii="宋体" w:hAnsi="宋体" w:cs="宋体" w:eastAsia="宋体" w:hint="default"/>
                <w:sz w:val="18"/>
                <w:szCs w:val="18"/>
              </w:rPr>
            </w:pPr>
            <w:r>
              <w:rPr>
                <w:rFonts w:ascii="宋体" w:hAnsi="宋体" w:cs="宋体" w:eastAsia="宋体" w:hint="default"/>
                <w:sz w:val="18"/>
                <w:szCs w:val="18"/>
              </w:rPr>
              <w:t>公告名称：</w:t>
            </w:r>
            <w:r>
              <w:rPr>
                <w:rFonts w:ascii="宋体" w:hAnsi="宋体" w:cs="宋体" w:eastAsia="宋体" w:hint="default"/>
                <w:spacing w:val="1"/>
                <w:sz w:val="18"/>
                <w:szCs w:val="18"/>
              </w:rPr>
              <w:t> </w:t>
            </w:r>
            <w:r>
              <w:rPr>
                <w:rFonts w:ascii="宋体" w:hAnsi="宋体" w:cs="宋体" w:eastAsia="宋体" w:hint="default"/>
                <w:sz w:val="18"/>
                <w:szCs w:val="18"/>
              </w:rPr>
              <w:t>发行股份及支付</w:t>
            </w:r>
            <w:r>
              <w:rPr>
                <w:rFonts w:ascii="宋体" w:hAnsi="宋体" w:cs="宋体" w:eastAsia="宋体" w:hint="default"/>
                <w:sz w:val="18"/>
                <w:szCs w:val="18"/>
              </w:rPr>
              <w:t> 现金购买资产并募集配套资 金暨关联交易报告书（草案） 巨潮资讯网：</w:t>
            </w:r>
          </w:p>
          <w:p>
            <w:pPr>
              <w:pStyle w:val="TableParagraph"/>
              <w:spacing w:line="362" w:lineRule="auto" w:before="61"/>
              <w:ind w:left="24" w:right="48"/>
              <w:jc w:val="both"/>
              <w:rPr>
                <w:rFonts w:ascii="Times New Roman" w:hAnsi="Times New Roman" w:cs="Times New Roman" w:eastAsia="Times New Roman" w:hint="default"/>
                <w:sz w:val="18"/>
                <w:szCs w:val="18"/>
              </w:rPr>
            </w:pPr>
            <w:hyperlink r:id="rId48">
              <w:r>
                <w:rPr>
                  <w:rFonts w:ascii="Times New Roman"/>
                  <w:spacing w:val="-1"/>
                  <w:sz w:val="18"/>
                </w:rPr>
                <w:t>http://www.cninfo.com.cn/cnin</w:t>
              </w:r>
            </w:hyperlink>
            <w:r>
              <w:rPr>
                <w:rFonts w:ascii="Times New Roman"/>
                <w:spacing w:val="-38"/>
                <w:sz w:val="18"/>
              </w:rPr>
              <w:t> </w:t>
            </w:r>
            <w:r>
              <w:rPr>
                <w:rFonts w:ascii="Times New Roman"/>
                <w:spacing w:val="-38"/>
                <w:sz w:val="18"/>
              </w:rPr>
            </w:r>
            <w:r>
              <w:rPr>
                <w:rFonts w:ascii="Times New Roman"/>
                <w:sz w:val="18"/>
              </w:rPr>
              <w:t>fo-new/disclosure/szse_sme/bu</w:t>
            </w:r>
            <w:r>
              <w:rPr>
                <w:rFonts w:ascii="Times New Roman"/>
                <w:sz w:val="18"/>
              </w:rPr>
              <w:t> lletin_detail/true/1202325397? announceTime=2016-05-17%2 008:05</w:t>
            </w:r>
          </w:p>
        </w:tc>
      </w:tr>
    </w:tbl>
    <w:p>
      <w:pPr>
        <w:pStyle w:val="BodyText"/>
        <w:spacing w:line="240" w:lineRule="auto" w:before="49"/>
        <w:ind w:right="982"/>
        <w:jc w:val="left"/>
      </w:pPr>
      <w:r>
        <w:rPr/>
        <w:t>公司股东、交易对手方在报告年度经营业绩做出的承诺情况</w:t>
      </w:r>
    </w:p>
    <w:p>
      <w:pPr>
        <w:pStyle w:val="BodyText"/>
        <w:spacing w:line="240" w:lineRule="auto" w:before="115"/>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240" w:lineRule="auto" w:before="103"/>
        <w:ind w:left="513" w:right="982"/>
        <w:jc w:val="left"/>
      </w:pPr>
      <w:r>
        <w:rPr>
          <w:spacing w:val="3"/>
        </w:rPr>
        <w:t>杰发科技的全体股东承诺：杰发科技 </w:t>
      </w:r>
      <w:r>
        <w:rPr>
          <w:rFonts w:ascii="Times New Roman" w:hAnsi="Times New Roman" w:cs="Times New Roman" w:eastAsia="Times New Roman" w:hint="default"/>
        </w:rPr>
        <w:t>2016  </w:t>
      </w:r>
      <w:r>
        <w:rPr/>
        <w:t>年、</w:t>
      </w:r>
      <w:r>
        <w:rPr>
          <w:rFonts w:ascii="Times New Roman" w:hAnsi="Times New Roman" w:cs="Times New Roman" w:eastAsia="Times New Roman" w:hint="default"/>
        </w:rPr>
        <w:t>2017  </w:t>
      </w:r>
      <w:r>
        <w:rPr/>
        <w:t>年和 </w:t>
      </w:r>
      <w:r>
        <w:rPr>
          <w:rFonts w:ascii="Times New Roman" w:hAnsi="Times New Roman" w:cs="Times New Roman" w:eastAsia="Times New Roman" w:hint="default"/>
        </w:rPr>
        <w:t>2018  </w:t>
      </w:r>
      <w:r>
        <w:rPr>
          <w:spacing w:val="3"/>
        </w:rPr>
        <w:t>年实现的年度税后净利润分别为 </w:t>
      </w:r>
      <w:r>
        <w:rPr>
          <w:rFonts w:ascii="Times New Roman" w:hAnsi="Times New Roman" w:cs="Times New Roman" w:eastAsia="Times New Roman" w:hint="default"/>
        </w:rPr>
        <w:t>18,665.07  </w:t>
      </w:r>
      <w:r>
        <w:rPr>
          <w:rFonts w:ascii="Times New Roman" w:hAnsi="Times New Roman" w:cs="Times New Roman" w:eastAsia="Times New Roman" w:hint="default"/>
          <w:spacing w:val="14"/>
        </w:rPr>
        <w:t> </w:t>
      </w:r>
      <w:r>
        <w:rPr>
          <w:spacing w:val="4"/>
        </w:rPr>
        <w:t>万元、</w:t>
      </w:r>
      <w:r>
        <w:rPr/>
      </w:r>
    </w:p>
    <w:p>
      <w:pPr>
        <w:pStyle w:val="BodyText"/>
        <w:spacing w:line="240" w:lineRule="auto" w:before="63"/>
        <w:ind w:right="982"/>
        <w:jc w:val="left"/>
      </w:pPr>
      <w:r>
        <w:rPr>
          <w:rFonts w:ascii="Times New Roman" w:hAnsi="Times New Roman" w:cs="Times New Roman" w:eastAsia="Times New Roman" w:hint="default"/>
        </w:rPr>
        <w:t>22,798.51  </w:t>
      </w:r>
      <w:r>
        <w:rPr/>
        <w:t>万元和 </w:t>
      </w:r>
      <w:r>
        <w:rPr>
          <w:rFonts w:ascii="Times New Roman" w:hAnsi="Times New Roman" w:cs="Times New Roman" w:eastAsia="Times New Roman" w:hint="default"/>
        </w:rPr>
        <w:t>30,290.37  </w:t>
      </w:r>
      <w:r>
        <w:rPr/>
        <w:t>万元，三年累计税后净利润为</w:t>
      </w:r>
      <w:r>
        <w:rPr>
          <w:rFonts w:ascii="Times New Roman" w:hAnsi="Times New Roman" w:cs="Times New Roman" w:eastAsia="Times New Roman" w:hint="default"/>
        </w:rPr>
        <w:t>71,753.94</w:t>
      </w:r>
      <w:r>
        <w:rPr>
          <w:rFonts w:ascii="Times New Roman" w:hAnsi="Times New Roman" w:cs="Times New Roman" w:eastAsia="Times New Roman" w:hint="default"/>
          <w:spacing w:val="25"/>
        </w:rPr>
        <w:t> </w:t>
      </w:r>
      <w:r>
        <w:rPr>
          <w:spacing w:val="-3"/>
        </w:rPr>
        <w:t>万元。在业绩承诺期满后，如出现杰发科技需要做业绩</w:t>
      </w:r>
    </w:p>
    <w:p>
      <w:pPr>
        <w:pStyle w:val="BodyText"/>
        <w:spacing w:line="240" w:lineRule="auto" w:before="63"/>
        <w:ind w:right="982"/>
        <w:jc w:val="left"/>
      </w:pPr>
      <w:r>
        <w:rPr/>
        <w:t>补偿的情形，交易对价调减金额不超过 </w:t>
      </w:r>
      <w:r>
        <w:rPr>
          <w:rFonts w:ascii="Times New Roman" w:hAnsi="Times New Roman" w:cs="Times New Roman" w:eastAsia="Times New Roman" w:hint="default"/>
        </w:rPr>
        <w:t>6.4585</w:t>
      </w:r>
      <w:r>
        <w:rPr>
          <w:rFonts w:ascii="Times New Roman" w:hAnsi="Times New Roman" w:cs="Times New Roman" w:eastAsia="Times New Roman" w:hint="default"/>
          <w:spacing w:val="42"/>
        </w:rPr>
        <w:t> </w:t>
      </w:r>
      <w:r>
        <w:rPr/>
        <w:t>亿元，由杰发科技全体股东对上市公司予以补偿。</w:t>
      </w:r>
    </w:p>
    <w:p>
      <w:pPr>
        <w:pStyle w:val="BodyText"/>
        <w:spacing w:line="300" w:lineRule="auto" w:before="63"/>
        <w:ind w:right="0" w:firstLine="360"/>
        <w:jc w:val="left"/>
      </w:pPr>
      <w:r>
        <w:rPr/>
        <w:t>雷凌科技、联发科承诺：根据《资产购买协议》中约定公式计算的交易对价调减金额超过 </w:t>
      </w:r>
      <w:r>
        <w:rPr>
          <w:rFonts w:ascii="Times New Roman" w:hAnsi="Times New Roman" w:cs="Times New Roman" w:eastAsia="Times New Roman" w:hint="default"/>
        </w:rPr>
        <w:t>6.4585 </w:t>
      </w:r>
      <w:r>
        <w:rPr>
          <w:spacing w:val="-3"/>
        </w:rPr>
        <w:t>亿元，除其中</w:t>
      </w:r>
      <w:r>
        <w:rPr>
          <w:spacing w:val="-38"/>
        </w:rPr>
        <w:t> </w:t>
      </w:r>
      <w:r>
        <w:rPr>
          <w:rFonts w:ascii="Times New Roman" w:hAnsi="Times New Roman" w:cs="Times New Roman" w:eastAsia="Times New Roman" w:hint="default"/>
        </w:rPr>
        <w:t>6.4585 </w:t>
      </w:r>
      <w:r>
        <w:rPr/>
        <w:t>亿元部分仍按《资产购买协议》的约定由杰发科技全体股东对上市公司予以补偿外，超出</w:t>
      </w:r>
      <w:r>
        <w:rPr>
          <w:spacing w:val="11"/>
        </w:rPr>
        <w:t> </w:t>
      </w:r>
      <w:r>
        <w:rPr>
          <w:rFonts w:ascii="Times New Roman" w:hAnsi="Times New Roman" w:cs="Times New Roman" w:eastAsia="Times New Roman" w:hint="default"/>
        </w:rPr>
        <w:t>6.4585</w:t>
      </w:r>
      <w:r>
        <w:rPr>
          <w:rFonts w:ascii="Times New Roman" w:hAnsi="Times New Roman" w:cs="Times New Roman" w:eastAsia="Times New Roman" w:hint="default"/>
          <w:spacing w:val="6"/>
        </w:rPr>
        <w:t> </w:t>
      </w:r>
      <w:r>
        <w:rPr/>
        <w:t>亿元部分的</w:t>
      </w:r>
      <w:r>
        <w:rPr>
          <w:spacing w:val="4"/>
        </w:rPr>
        <w:t> </w:t>
      </w:r>
      <w:r>
        <w:rPr>
          <w:rFonts w:ascii="Times New Roman" w:hAnsi="Times New Roman" w:cs="Times New Roman" w:eastAsia="Times New Roman" w:hint="default"/>
        </w:rPr>
        <w:t>82.90%</w:t>
      </w:r>
      <w:r>
        <w:rPr/>
        <w:t>由雷</w:t>
      </w:r>
      <w:r>
        <w:rPr>
          <w:spacing w:val="-82"/>
        </w:rPr>
        <w:t> </w:t>
      </w:r>
      <w:r>
        <w:rPr>
          <w:spacing w:val="-3"/>
        </w:rPr>
        <w:t>凌科技以人民币现金对上市公司予以补偿，雷凌科技将在交易对价调减金额经计算确定后的</w:t>
      </w:r>
      <w:r>
        <w:rPr>
          <w:spacing w:val="25"/>
        </w:rPr>
        <w:t> </w:t>
      </w:r>
      <w:r>
        <w:rPr>
          <w:rFonts w:ascii="Times New Roman" w:hAnsi="Times New Roman" w:cs="Times New Roman" w:eastAsia="Times New Roman" w:hint="default"/>
        </w:rPr>
        <w:t>60</w:t>
      </w:r>
      <w:r>
        <w:rPr>
          <w:rFonts w:ascii="Times New Roman" w:hAnsi="Times New Roman" w:cs="Times New Roman" w:eastAsia="Times New Roman" w:hint="default"/>
          <w:spacing w:val="25"/>
        </w:rPr>
        <w:t> </w:t>
      </w:r>
      <w:r>
        <w:rPr>
          <w:spacing w:val="-1"/>
        </w:rPr>
        <w:t>日内一次性向上市公司支付，</w:t>
      </w:r>
      <w:r>
        <w:rPr>
          <w:spacing w:val="-88"/>
        </w:rPr>
        <w:t> </w:t>
      </w:r>
      <w:r>
        <w:rPr>
          <w:spacing w:val="-88"/>
        </w:rPr>
      </w:r>
      <w:r>
        <w:rPr/>
        <w:t>联发科将以连带责任方式承担前述补偿责任。</w:t>
      </w:r>
    </w:p>
    <w:p>
      <w:pPr>
        <w:pStyle w:val="BodyText"/>
        <w:spacing w:line="300" w:lineRule="auto" w:before="31"/>
        <w:ind w:right="1128" w:firstLine="360"/>
        <w:jc w:val="both"/>
      </w:pPr>
      <w:r>
        <w:rPr/>
        <w:t>因受国内乘用车销量下降特别是轿车销量下降的影响，杰发科技的</w:t>
      </w:r>
      <w:r>
        <w:rPr>
          <w:rFonts w:ascii="Times New Roman" w:hAnsi="Times New Roman" w:cs="Times New Roman" w:eastAsia="Times New Roman" w:hint="default"/>
        </w:rPr>
        <w:t>IVI</w:t>
      </w:r>
      <w:r>
        <w:rPr>
          <w:rFonts w:ascii="Times New Roman" w:hAnsi="Times New Roman" w:cs="Times New Roman" w:eastAsia="Times New Roman" w:hint="default"/>
          <w:spacing w:val="10"/>
        </w:rPr>
        <w:t> </w:t>
      </w:r>
      <w:r>
        <w:rPr>
          <w:spacing w:val="-6"/>
        </w:rPr>
        <w:t>芯片销量未能达到预期，同时</w:t>
      </w:r>
      <w:r>
        <w:rPr>
          <w:rFonts w:ascii="Times New Roman" w:hAnsi="Times New Roman" w:cs="Times New Roman" w:eastAsia="Times New Roman" w:hint="default"/>
          <w:spacing w:val="-6"/>
        </w:rPr>
        <w:t>IVI</w:t>
      </w:r>
      <w:r>
        <w:rPr>
          <w:spacing w:val="-6"/>
        </w:rPr>
        <w:t>新款芯片、</w:t>
      </w:r>
      <w:r>
        <w:rPr>
          <w:rFonts w:ascii="Times New Roman" w:hAnsi="Times New Roman" w:cs="Times New Roman" w:eastAsia="Times New Roman" w:hint="default"/>
          <w:spacing w:val="-6"/>
        </w:rPr>
        <w:t>MCU</w:t>
      </w:r>
      <w:r>
        <w:rPr>
          <w:rFonts w:ascii="Times New Roman" w:hAnsi="Times New Roman" w:cs="Times New Roman" w:eastAsia="Times New Roman" w:hint="default"/>
          <w:w w:val="99"/>
        </w:rPr>
        <w:t> </w:t>
      </w:r>
      <w:r>
        <w:rPr>
          <w:spacing w:val="-1"/>
        </w:rPr>
        <w:t>芯片及</w:t>
      </w:r>
      <w:r>
        <w:rPr>
          <w:rFonts w:ascii="Times New Roman" w:hAnsi="Times New Roman" w:cs="Times New Roman" w:eastAsia="Times New Roman" w:hint="default"/>
          <w:spacing w:val="-1"/>
        </w:rPr>
        <w:t>TPMS</w:t>
      </w:r>
      <w:r>
        <w:rPr>
          <w:spacing w:val="-1"/>
        </w:rPr>
        <w:t>芯片研发投入比预期要高，研发周期较预期略长，综合导致杰发科技经营业绩低于业绩承诺，交易对方需向公</w:t>
      </w:r>
      <w:r>
        <w:rPr>
          <w:spacing w:val="-53"/>
        </w:rPr>
        <w:t> </w:t>
      </w:r>
      <w:r>
        <w:rPr>
          <w:spacing w:val="-53"/>
        </w:rPr>
      </w:r>
      <w:r>
        <w:rPr/>
        <w:t>司进行业绩补偿，根据补偿协议计算，交易对方需支付的现金补偿金额合计为 </w:t>
      </w:r>
      <w:r>
        <w:rPr>
          <w:rFonts w:ascii="Times New Roman" w:hAnsi="Times New Roman" w:cs="Times New Roman" w:eastAsia="Times New Roman" w:hint="default"/>
        </w:rPr>
        <w:t>61,592.18</w:t>
      </w:r>
      <w:r>
        <w:rPr>
          <w:rFonts w:ascii="Times New Roman" w:hAnsi="Times New Roman" w:cs="Times New Roman" w:eastAsia="Times New Roman" w:hint="default"/>
          <w:spacing w:val="43"/>
        </w:rPr>
        <w:t> </w:t>
      </w:r>
      <w:r>
        <w:rPr/>
        <w:t>万元。</w:t>
      </w:r>
    </w:p>
    <w:p>
      <w:pPr>
        <w:spacing w:line="240" w:lineRule="auto" w:before="0"/>
        <w:rPr>
          <w:rFonts w:ascii="宋体" w:hAnsi="宋体" w:cs="宋体" w:eastAsia="宋体" w:hint="default"/>
          <w:sz w:val="18"/>
          <w:szCs w:val="18"/>
        </w:rPr>
      </w:pPr>
    </w:p>
    <w:p>
      <w:pPr>
        <w:pStyle w:val="BodyText"/>
        <w:spacing w:line="240" w:lineRule="auto" w:before="130"/>
        <w:ind w:right="982"/>
        <w:jc w:val="left"/>
      </w:pPr>
      <w:r>
        <w:rPr/>
        <w:t>业绩承诺的完成情况及其对商誉减值测试的影响</w:t>
      </w:r>
    </w:p>
    <w:p>
      <w:pPr>
        <w:pStyle w:val="BodyText"/>
        <w:spacing w:line="300" w:lineRule="auto" w:before="115"/>
        <w:ind w:right="1131" w:firstLine="360"/>
        <w:jc w:val="both"/>
      </w:pPr>
      <w:r>
        <w:rPr>
          <w:rFonts w:ascii="Times New Roman" w:hAnsi="Times New Roman" w:cs="Times New Roman" w:eastAsia="Times New Roman" w:hint="default"/>
          <w:spacing w:val="-1"/>
        </w:rPr>
        <w:t>2016-2018</w:t>
      </w:r>
      <w:r>
        <w:rPr>
          <w:spacing w:val="-1"/>
        </w:rPr>
        <w:t>年度杰发科技经审计的累计归属于母公司净利润为</w:t>
      </w:r>
      <w:r>
        <w:rPr>
          <w:rFonts w:ascii="Times New Roman" w:hAnsi="Times New Roman" w:cs="Times New Roman" w:eastAsia="Times New Roman" w:hint="default"/>
          <w:spacing w:val="-1"/>
        </w:rPr>
        <w:t>60,349.12</w:t>
      </w:r>
      <w:r>
        <w:rPr>
          <w:spacing w:val="-1"/>
        </w:rPr>
        <w:t>万元，</w:t>
      </w:r>
      <w:r>
        <w:rPr>
          <w:rFonts w:ascii="Times New Roman" w:hAnsi="Times New Roman" w:cs="Times New Roman" w:eastAsia="Times New Roman" w:hint="default"/>
          <w:spacing w:val="-1"/>
        </w:rPr>
        <w:t>2016-2018</w:t>
      </w:r>
      <w:r>
        <w:rPr>
          <w:spacing w:val="-1"/>
        </w:rPr>
        <w:t>年度承诺累计归属于母公司净利</w:t>
      </w:r>
      <w:r>
        <w:rPr/>
        <w:t> 润为</w:t>
      </w:r>
      <w:r>
        <w:rPr>
          <w:rFonts w:ascii="Times New Roman" w:hAnsi="Times New Roman" w:cs="Times New Roman" w:eastAsia="Times New Roman" w:hint="default"/>
        </w:rPr>
        <w:t>71,753.94</w:t>
      </w:r>
      <w:r>
        <w:rPr/>
        <w:t>万元，完成比例为</w:t>
      </w:r>
      <w:r>
        <w:rPr>
          <w:rFonts w:ascii="Times New Roman" w:hAnsi="Times New Roman" w:cs="Times New Roman" w:eastAsia="Times New Roman" w:hint="default"/>
        </w:rPr>
        <w:t>84.11%</w:t>
      </w:r>
      <w:r>
        <w:rPr/>
        <w:t>，杰发科技资产组（包含商誉）出现减值迹象。</w:t>
      </w:r>
    </w:p>
    <w:p>
      <w:pPr>
        <w:pStyle w:val="BodyText"/>
        <w:spacing w:line="307" w:lineRule="auto" w:before="13"/>
        <w:ind w:right="1129" w:firstLine="360"/>
        <w:jc w:val="both"/>
      </w:pPr>
      <w:r>
        <w:rPr>
          <w:spacing w:val="-2"/>
        </w:rPr>
        <w:t>根据《企业会计准则》及公司会计政策的相关规定，按照谨慎性原则，公司聘请了北京中同华资产评估有限公司以截至</w:t>
      </w:r>
      <w:r>
        <w:rPr/>
        <w:t> </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日为评估基准日，对所涉及的杰发科技股东的全部权益价值进行估值，并于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2</w:t>
      </w:r>
      <w:r>
        <w:rPr/>
        <w:t>月</w:t>
      </w:r>
      <w:r>
        <w:rPr>
          <w:rFonts w:ascii="Times New Roman" w:hAnsi="Times New Roman" w:cs="Times New Roman" w:eastAsia="Times New Roman" w:hint="default"/>
        </w:rPr>
        <w:t>22</w:t>
      </w:r>
      <w:r>
        <w:rPr/>
        <w:t>日出具了《北京四维</w:t>
      </w:r>
      <w:r>
        <w:rPr>
          <w:spacing w:val="-87"/>
        </w:rPr>
        <w:t> </w:t>
      </w:r>
      <w:r>
        <w:rPr/>
        <w:t>图新科技股份有限公司以财务报告为目的所涉及的北京四维图新科技股份有限公司收购合肥杰发科技有限公司形成的商誉</w:t>
      </w:r>
      <w:r>
        <w:rPr>
          <w:spacing w:val="-11"/>
        </w:rPr>
        <w:t> </w:t>
      </w:r>
      <w:r>
        <w:rPr>
          <w:spacing w:val="-11"/>
        </w:rPr>
      </w:r>
      <w:r>
        <w:rPr/>
        <w:t>减值测试项目资产评估报告》（中同华评报字（</w:t>
      </w:r>
      <w:r>
        <w:rPr>
          <w:rFonts w:ascii="Times New Roman" w:hAnsi="Times New Roman" w:cs="Times New Roman" w:eastAsia="Times New Roman" w:hint="default"/>
        </w:rPr>
        <w:t>2019</w:t>
      </w:r>
      <w:r>
        <w:rPr/>
        <w:t>）第</w:t>
      </w:r>
      <w:r>
        <w:rPr>
          <w:rFonts w:ascii="Times New Roman" w:hAnsi="Times New Roman" w:cs="Times New Roman" w:eastAsia="Times New Roman" w:hint="default"/>
        </w:rPr>
        <w:t>030076</w:t>
      </w:r>
      <w:r>
        <w:rPr/>
        <w:t>号），评估报告所载</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日杰发科技</w:t>
      </w:r>
      <w:r>
        <w:rPr>
          <w:rFonts w:ascii="Times New Roman" w:hAnsi="Times New Roman" w:cs="Times New Roman" w:eastAsia="Times New Roman" w:hint="default"/>
        </w:rPr>
        <w:t>100%</w:t>
      </w:r>
      <w:r>
        <w:rPr/>
        <w:t>股东权</w:t>
      </w:r>
      <w:r>
        <w:rPr>
          <w:spacing w:val="-62"/>
        </w:rPr>
        <w:t> </w:t>
      </w:r>
      <w:r>
        <w:rPr>
          <w:spacing w:val="-2"/>
        </w:rPr>
        <w:t>益评估结果（资产可回收金额）为</w:t>
      </w:r>
      <w:r>
        <w:rPr>
          <w:rFonts w:ascii="Times New Roman" w:hAnsi="Times New Roman" w:cs="Times New Roman" w:eastAsia="Times New Roman" w:hint="default"/>
          <w:spacing w:val="-2"/>
        </w:rPr>
        <w:t>331,701.00</w:t>
      </w:r>
      <w:r>
        <w:rPr>
          <w:spacing w:val="-2"/>
        </w:rPr>
        <w:t>万元，杰发科技资产组账面价值</w:t>
      </w:r>
      <w:r>
        <w:rPr>
          <w:rFonts w:ascii="Times New Roman" w:hAnsi="Times New Roman" w:cs="Times New Roman" w:eastAsia="Times New Roman" w:hint="default"/>
          <w:spacing w:val="-2"/>
        </w:rPr>
        <w:t>420,290.17</w:t>
      </w:r>
      <w:r>
        <w:rPr>
          <w:spacing w:val="-2"/>
        </w:rPr>
        <w:t>万元，资产可回收金额低于资产组账</w:t>
      </w:r>
      <w:r>
        <w:rPr>
          <w:spacing w:val="-50"/>
        </w:rPr>
        <w:t> </w:t>
      </w:r>
      <w:r>
        <w:rPr>
          <w:spacing w:val="-50"/>
        </w:rPr>
      </w:r>
      <w:r>
        <w:rPr/>
        <w:t>面价值</w:t>
      </w:r>
      <w:r>
        <w:rPr>
          <w:rFonts w:ascii="Times New Roman" w:hAnsi="Times New Roman" w:cs="Times New Roman" w:eastAsia="Times New Roman" w:hint="default"/>
        </w:rPr>
        <w:t>88,589.17</w:t>
      </w:r>
      <w:r>
        <w:rPr/>
        <w:t>万元于本期计提商誉减值准备，相应减少公司</w:t>
      </w:r>
      <w:r>
        <w:rPr>
          <w:rFonts w:ascii="Times New Roman" w:hAnsi="Times New Roman" w:cs="Times New Roman" w:eastAsia="Times New Roman" w:hint="default"/>
        </w:rPr>
        <w:t>2018</w:t>
      </w:r>
      <w:r>
        <w:rPr/>
        <w:t>年度利润总额。</w:t>
      </w:r>
    </w:p>
    <w:p>
      <w:pPr>
        <w:spacing w:line="240" w:lineRule="auto" w:before="12"/>
        <w:rPr>
          <w:rFonts w:ascii="宋体" w:hAnsi="宋体" w:cs="宋体" w:eastAsia="宋体" w:hint="default"/>
          <w:sz w:val="19"/>
          <w:szCs w:val="19"/>
        </w:rPr>
      </w:pPr>
    </w:p>
    <w:p>
      <w:pPr>
        <w:pStyle w:val="Heading2"/>
        <w:spacing w:line="240" w:lineRule="auto"/>
        <w:ind w:right="982"/>
        <w:jc w:val="left"/>
        <w:rPr>
          <w:b w:val="0"/>
          <w:bCs w:val="0"/>
        </w:rPr>
      </w:pPr>
      <w:r>
        <w:rPr/>
        <w:t>四、控股股东及其关联方对上市公司的非经营性占用资金情况</w:t>
      </w:r>
      <w:r>
        <w:rPr>
          <w:b w:val="0"/>
          <w:bCs w:val="0"/>
        </w:rPr>
      </w:r>
    </w:p>
    <w:p>
      <w:pPr>
        <w:spacing w:line="240" w:lineRule="auto" w:before="6"/>
        <w:rPr>
          <w:rFonts w:ascii="宋体" w:hAnsi="宋体" w:cs="宋体" w:eastAsia="宋体" w:hint="default"/>
          <w:b/>
          <w:bCs/>
          <w:sz w:val="26"/>
          <w:szCs w:val="26"/>
        </w:rPr>
      </w:pPr>
    </w:p>
    <w:p>
      <w:pPr>
        <w:pStyle w:val="BodyText"/>
        <w:spacing w:line="340" w:lineRule="auto"/>
        <w:ind w:right="499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公司报告期不存在控股股东及其关联方对上市公司的非经营性占用资金。</w:t>
      </w:r>
    </w:p>
    <w:p>
      <w:pPr>
        <w:spacing w:after="0" w:line="340" w:lineRule="auto"/>
        <w:jc w:val="left"/>
        <w:sectPr>
          <w:pgSz w:w="11910" w:h="16840"/>
          <w:pgMar w:header="745" w:footer="979" w:top="1060" w:bottom="1160" w:left="980" w:right="0"/>
        </w:sectPr>
      </w:pPr>
    </w:p>
    <w:p>
      <w:pPr>
        <w:spacing w:line="240" w:lineRule="auto" w:before="8"/>
        <w:rPr>
          <w:rFonts w:ascii="宋体" w:hAnsi="宋体" w:cs="宋体" w:eastAsia="宋体" w:hint="default"/>
          <w:sz w:val="23"/>
          <w:szCs w:val="23"/>
        </w:rPr>
      </w:pPr>
    </w:p>
    <w:p>
      <w:pPr>
        <w:pStyle w:val="Heading2"/>
        <w:spacing w:line="240" w:lineRule="auto" w:before="26"/>
        <w:ind w:left="212" w:right="1035"/>
        <w:jc w:val="left"/>
        <w:rPr>
          <w:b w:val="0"/>
          <w:bCs w:val="0"/>
        </w:rPr>
      </w:pPr>
      <w:r>
        <w:rPr/>
        <w:t>五、董事会、监事会、独立董事（如有）对会计师事务所本报告期</w:t>
      </w:r>
      <w:r>
        <w:rPr>
          <w:rFonts w:ascii="Times New Roman" w:hAnsi="Times New Roman" w:cs="Times New Roman" w:eastAsia="Times New Roman" w:hint="default"/>
        </w:rPr>
        <w:t>“</w:t>
      </w:r>
      <w:r>
        <w:rPr/>
        <w:t>非标准审计报告</w:t>
      </w:r>
      <w:r>
        <w:rPr>
          <w:rFonts w:ascii="Times New Roman" w:hAnsi="Times New Roman" w:cs="Times New Roman" w:eastAsia="Times New Roman" w:hint="default"/>
        </w:rPr>
        <w:t>”</w:t>
      </w:r>
      <w:r>
        <w:rPr/>
        <w:t>的说明</w:t>
      </w:r>
      <w:r>
        <w:rPr>
          <w:b w:val="0"/>
          <w:bCs w:val="0"/>
        </w:rPr>
      </w:r>
    </w:p>
    <w:p>
      <w:pPr>
        <w:spacing w:line="240" w:lineRule="auto" w:before="2"/>
        <w:rPr>
          <w:rFonts w:ascii="宋体" w:hAnsi="宋体" w:cs="宋体" w:eastAsia="宋体" w:hint="default"/>
          <w:b/>
          <w:bCs/>
          <w:sz w:val="25"/>
          <w:szCs w:val="25"/>
        </w:rPr>
      </w:pPr>
    </w:p>
    <w:p>
      <w:pPr>
        <w:pStyle w:val="BodyText"/>
        <w:spacing w:line="240" w:lineRule="auto"/>
        <w:ind w:left="212" w:right="1035"/>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0"/>
        <w:rPr>
          <w:rFonts w:ascii="宋体" w:hAnsi="宋体" w:cs="宋体" w:eastAsia="宋体" w:hint="default"/>
          <w:sz w:val="24"/>
          <w:szCs w:val="24"/>
        </w:rPr>
      </w:pPr>
    </w:p>
    <w:p>
      <w:pPr>
        <w:pStyle w:val="Heading2"/>
        <w:spacing w:line="240" w:lineRule="auto"/>
        <w:ind w:left="212" w:right="1035"/>
        <w:jc w:val="left"/>
        <w:rPr>
          <w:b w:val="0"/>
          <w:bCs w:val="0"/>
        </w:rPr>
      </w:pPr>
      <w:r>
        <w:rPr/>
        <w:t>六、与上年度财务报告相比，会计政策、会计估计和核算方法发生变化的情况说明</w:t>
      </w:r>
      <w:r>
        <w:rPr>
          <w:b w:val="0"/>
          <w:bCs w:val="0"/>
        </w:rPr>
      </w:r>
    </w:p>
    <w:p>
      <w:pPr>
        <w:spacing w:line="240" w:lineRule="auto" w:before="6"/>
        <w:rPr>
          <w:rFonts w:ascii="宋体" w:hAnsi="宋体" w:cs="宋体" w:eastAsia="宋体" w:hint="default"/>
          <w:b/>
          <w:bCs/>
          <w:sz w:val="26"/>
          <w:szCs w:val="26"/>
        </w:rPr>
      </w:pPr>
    </w:p>
    <w:p>
      <w:pPr>
        <w:pStyle w:val="BodyText"/>
        <w:spacing w:line="340" w:lineRule="auto"/>
        <w:ind w:left="212" w:right="9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2"/>
        </w:rPr>
        <w:t> </w:t>
      </w:r>
      <w:r>
        <w:rPr/>
        <w:t>不适用 重要的会计政策变更</w:t>
      </w:r>
    </w:p>
    <w:p>
      <w:pPr>
        <w:pStyle w:val="BodyText"/>
        <w:spacing w:line="240" w:lineRule="auto" w:before="39"/>
        <w:ind w:left="573" w:right="1035"/>
        <w:jc w:val="left"/>
      </w:pPr>
      <w:r>
        <w:rPr>
          <w:rFonts w:ascii="Times New Roman" w:hAnsi="Times New Roman" w:cs="Times New Roman" w:eastAsia="Times New Roman" w:hint="default"/>
        </w:rPr>
        <w:t>1</w:t>
      </w:r>
      <w:r>
        <w:rPr/>
        <w:t>、新金融工具准则的会计政策</w:t>
      </w:r>
    </w:p>
    <w:p>
      <w:pPr>
        <w:pStyle w:val="BodyText"/>
        <w:spacing w:line="240" w:lineRule="auto" w:before="103"/>
        <w:ind w:left="573" w:right="1035"/>
        <w:jc w:val="left"/>
      </w:pPr>
      <w:r>
        <w:rPr>
          <w:rFonts w:ascii="Times New Roman" w:hAnsi="Times New Roman" w:cs="Times New Roman" w:eastAsia="Times New Roman" w:hint="default"/>
          <w:spacing w:val="1"/>
        </w:rPr>
        <w:t>20</w:t>
      </w:r>
      <w:r>
        <w:rPr>
          <w:rFonts w:ascii="Times New Roman" w:hAnsi="Times New Roman" w:cs="Times New Roman" w:eastAsia="Times New Roman" w:hint="default"/>
          <w:spacing w:val="-2"/>
        </w:rPr>
        <w:t>1</w:t>
      </w:r>
      <w:r>
        <w:rPr>
          <w:rFonts w:ascii="Times New Roman" w:hAnsi="Times New Roman" w:cs="Times New Roman" w:eastAsia="Times New Roman" w:hint="default"/>
        </w:rPr>
        <w:t>7</w:t>
      </w:r>
      <w:r>
        <w:rPr>
          <w:rFonts w:ascii="Times New Roman" w:hAnsi="Times New Roman" w:cs="Times New Roman" w:eastAsia="Times New Roman" w:hint="default"/>
          <w:spacing w:val="2"/>
        </w:rPr>
        <w:t> </w:t>
      </w:r>
      <w:r>
        <w:rPr/>
        <w:t>年</w:t>
      </w:r>
      <w:r>
        <w:rPr>
          <w:spacing w:val="-13"/>
        </w:rPr>
        <w:t>，</w:t>
      </w:r>
      <w:r>
        <w:rPr/>
        <w:t>财政部修订发布</w:t>
      </w:r>
      <w:r>
        <w:rPr>
          <w:spacing w:val="-12"/>
        </w:rPr>
        <w:t>了</w:t>
      </w:r>
      <w:r>
        <w:rPr>
          <w:spacing w:val="-3"/>
        </w:rPr>
        <w:t>《</w:t>
      </w:r>
      <w:r>
        <w:rPr/>
        <w:t>企业会计准则第</w:t>
      </w:r>
      <w:r>
        <w:rPr>
          <w:spacing w:val="-44"/>
        </w:rPr>
        <w:t> </w:t>
      </w:r>
      <w:r>
        <w:rPr>
          <w:rFonts w:ascii="Times New Roman" w:hAnsi="Times New Roman" w:cs="Times New Roman" w:eastAsia="Times New Roman" w:hint="default"/>
          <w:spacing w:val="1"/>
        </w:rPr>
        <w:t>2</w:t>
      </w:r>
      <w:r>
        <w:rPr>
          <w:rFonts w:ascii="Times New Roman" w:hAnsi="Times New Roman" w:cs="Times New Roman" w:eastAsia="Times New Roman" w:hint="default"/>
        </w:rPr>
        <w:t>2</w:t>
      </w:r>
      <w:r>
        <w:rPr>
          <w:rFonts w:ascii="Times New Roman" w:hAnsi="Times New Roman" w:cs="Times New Roman" w:eastAsia="Times New Roman" w:hint="default"/>
          <w:spacing w:val="1"/>
        </w:rPr>
        <w:t> </w:t>
      </w:r>
      <w:r>
        <w:rPr/>
        <w:t>号</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spacing w:val="-3"/>
        </w:rPr>
        <w:t>金</w:t>
      </w:r>
      <w:r>
        <w:rPr/>
        <w:t>融工具确认和计量</w:t>
      </w:r>
      <w:r>
        <w:rPr>
          <w:spacing w:val="-92"/>
        </w:rPr>
        <w:t>》</w:t>
      </w:r>
      <w:r>
        <w:rPr>
          <w:spacing w:val="-104"/>
        </w:rPr>
        <w:t>、</w:t>
      </w:r>
      <w:r>
        <w:rPr/>
        <w:t>《企业</w:t>
      </w:r>
      <w:r>
        <w:rPr>
          <w:spacing w:val="2"/>
        </w:rPr>
        <w:t>会</w:t>
      </w:r>
      <w:r>
        <w:rPr/>
        <w:t>计准则第</w:t>
      </w:r>
      <w:r>
        <w:rPr>
          <w:spacing w:val="-44"/>
        </w:rPr>
        <w:t> </w:t>
      </w:r>
      <w:r>
        <w:rPr>
          <w:rFonts w:ascii="Times New Roman" w:hAnsi="Times New Roman" w:cs="Times New Roman" w:eastAsia="Times New Roman" w:hint="default"/>
          <w:spacing w:val="1"/>
        </w:rPr>
        <w:t>2</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t>号</w:t>
      </w:r>
      <w:r>
        <w:rPr>
          <w:rFonts w:ascii="Times New Roman" w:hAnsi="Times New Roman" w:cs="Times New Roman" w:eastAsia="Times New Roman" w:hint="default"/>
        </w:rPr>
        <w:t>——</w:t>
      </w:r>
      <w:r>
        <w:rPr/>
        <w:t>金融资产</w:t>
      </w:r>
    </w:p>
    <w:p>
      <w:pPr>
        <w:pStyle w:val="BodyText"/>
        <w:spacing w:line="240" w:lineRule="auto" w:before="63"/>
        <w:ind w:left="212" w:right="1035"/>
        <w:jc w:val="left"/>
      </w:pPr>
      <w:r>
        <w:rPr/>
        <w:t>转移</w:t>
      </w:r>
      <w:r>
        <w:rPr>
          <w:spacing w:val="-92"/>
        </w:rPr>
        <w:t>》</w:t>
      </w:r>
      <w:r>
        <w:rPr>
          <w:spacing w:val="-108"/>
        </w:rPr>
        <w:t>、</w:t>
      </w:r>
      <w:r>
        <w:rPr/>
        <w:t>《企业会计准则第</w:t>
      </w:r>
      <w:r>
        <w:rPr>
          <w:spacing w:val="-44"/>
        </w:rPr>
        <w:t> </w:t>
      </w:r>
      <w:r>
        <w:rPr>
          <w:rFonts w:ascii="Times New Roman" w:hAnsi="Times New Roman" w:cs="Times New Roman" w:eastAsia="Times New Roman" w:hint="default"/>
          <w:spacing w:val="1"/>
        </w:rPr>
        <w:t>2</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spacing w:val="-3"/>
        </w:rPr>
        <w:t>号</w:t>
      </w:r>
      <w:r>
        <w:rPr>
          <w:rFonts w:ascii="Times New Roman" w:hAnsi="Times New Roman" w:cs="Times New Roman" w:eastAsia="Times New Roman" w:hint="default"/>
        </w:rPr>
        <w:t>——</w:t>
      </w:r>
      <w:r>
        <w:rPr/>
        <w:t>套期会计</w:t>
      </w:r>
      <w:r>
        <w:rPr>
          <w:spacing w:val="-17"/>
        </w:rPr>
        <w:t>》及</w:t>
      </w:r>
      <w:r>
        <w:rPr/>
        <w:t>《企业会</w:t>
      </w:r>
      <w:r>
        <w:rPr>
          <w:spacing w:val="-3"/>
        </w:rPr>
        <w:t>计</w:t>
      </w:r>
      <w:r>
        <w:rPr/>
        <w:t>准则第</w:t>
      </w:r>
      <w:r>
        <w:rPr>
          <w:spacing w:val="-44"/>
        </w:rPr>
        <w:t> </w:t>
      </w:r>
      <w:r>
        <w:rPr>
          <w:rFonts w:ascii="Times New Roman" w:hAnsi="Times New Roman" w:cs="Times New Roman" w:eastAsia="Times New Roman" w:hint="default"/>
          <w:spacing w:val="1"/>
        </w:rPr>
        <w:t>3</w:t>
      </w:r>
      <w:r>
        <w:rPr>
          <w:rFonts w:ascii="Times New Roman" w:hAnsi="Times New Roman" w:cs="Times New Roman" w:eastAsia="Times New Roman" w:hint="default"/>
        </w:rPr>
        <w:t>7</w:t>
      </w:r>
      <w:r>
        <w:rPr>
          <w:rFonts w:ascii="Times New Roman" w:hAnsi="Times New Roman" w:cs="Times New Roman" w:eastAsia="Times New Roman" w:hint="default"/>
          <w:spacing w:val="2"/>
        </w:rPr>
        <w:t> </w:t>
      </w:r>
      <w:r>
        <w:rPr/>
        <w:t>号</w:t>
      </w:r>
      <w:r>
        <w:rPr>
          <w:rFonts w:ascii="Times New Roman" w:hAnsi="Times New Roman" w:cs="Times New Roman" w:eastAsia="Times New Roman" w:hint="default"/>
        </w:rPr>
        <w:t>——</w:t>
      </w:r>
      <w:r>
        <w:rPr/>
        <w:t>金融工具列</w:t>
      </w:r>
      <w:r>
        <w:rPr>
          <w:spacing w:val="-3"/>
        </w:rPr>
        <w:t>报</w:t>
      </w:r>
      <w:r>
        <w:rPr>
          <w:spacing w:val="-108"/>
        </w:rPr>
        <w:t>》</w:t>
      </w:r>
      <w:r>
        <w:rPr/>
        <w:t>（</w:t>
      </w:r>
      <w:r>
        <w:rPr>
          <w:spacing w:val="-1"/>
        </w:rPr>
        <w:t>以</w:t>
      </w:r>
      <w:r>
        <w:rPr/>
        <w:t>上四项准则统称</w:t>
      </w:r>
      <w:r>
        <w:rPr>
          <w:rFonts w:ascii="Times New Roman" w:hAnsi="Times New Roman" w:cs="Times New Roman" w:eastAsia="Times New Roman" w:hint="default"/>
          <w:spacing w:val="-1"/>
          <w:w w:val="100"/>
        </w:rPr>
        <w:t>“</w:t>
      </w:r>
      <w:r>
        <w:rPr/>
        <w:t>新金融工</w:t>
      </w:r>
    </w:p>
    <w:p>
      <w:pPr>
        <w:pStyle w:val="BodyText"/>
        <w:spacing w:line="340" w:lineRule="auto" w:before="63"/>
        <w:ind w:left="573" w:right="1035" w:hanging="361"/>
        <w:jc w:val="left"/>
      </w:pPr>
      <w:r>
        <w:rPr>
          <w:spacing w:val="-6"/>
          <w:w w:val="100"/>
        </w:rPr>
        <w:t>具准则</w:t>
      </w:r>
      <w:r>
        <w:rPr>
          <w:rFonts w:ascii="Times New Roman" w:hAnsi="Times New Roman" w:cs="Times New Roman" w:eastAsia="Times New Roman" w:hint="default"/>
          <w:spacing w:val="-6"/>
          <w:w w:val="100"/>
        </w:rPr>
        <w:t>”</w:t>
      </w:r>
      <w:r>
        <w:rPr>
          <w:spacing w:val="-6"/>
          <w:w w:val="100"/>
        </w:rPr>
        <w:t>），并要求境内上市企业自</w:t>
      </w:r>
      <w:r>
        <w:rPr>
          <w:spacing w:val="1"/>
          <w:w w:val="100"/>
        </w:rPr>
        <w:t> </w:t>
      </w:r>
      <w:r>
        <w:rPr>
          <w:rFonts w:ascii="Times New Roman" w:hAnsi="Times New Roman" w:cs="Times New Roman" w:eastAsia="Times New Roman" w:hint="default"/>
        </w:rPr>
        <w:t>2019 </w:t>
      </w:r>
      <w:r>
        <w:rPr/>
        <w:t>年</w:t>
      </w:r>
      <w:r>
        <w:rPr>
          <w:spacing w:val="-47"/>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月</w:t>
      </w:r>
      <w:r>
        <w:rPr>
          <w:spacing w:val="-47"/>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spacing w:val="-1"/>
        </w:rPr>
        <w:t>日起施行新金融工具相关会计准则。</w:t>
      </w:r>
      <w:r>
        <w:rPr>
          <w:spacing w:val="-75"/>
        </w:rPr>
        <w:t> </w:t>
      </w:r>
      <w:r>
        <w:rPr>
          <w:spacing w:val="-75"/>
        </w:rPr>
      </w:r>
      <w:r>
        <w:rPr>
          <w:spacing w:val="-2"/>
        </w:rPr>
        <w:t>本次变更后，公司将按照新金融工具准则相关规则执行。根据新旧准则衔接规定，公司无需追溯调整前期可比数。公司</w:t>
      </w:r>
    </w:p>
    <w:p>
      <w:pPr>
        <w:pStyle w:val="BodyText"/>
        <w:spacing w:line="300" w:lineRule="auto" w:before="1"/>
        <w:ind w:left="212" w:right="1118"/>
        <w:jc w:val="left"/>
      </w:pPr>
      <w:r>
        <w:rPr/>
        <w:t>自</w:t>
      </w:r>
      <w:r>
        <w:rPr>
          <w:spacing w:val="-44"/>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年第一季度起按新准则要求进行会计报表披露，不追溯调整</w:t>
      </w:r>
      <w:r>
        <w:rPr>
          <w:spacing w:val="-45"/>
        </w:rPr>
        <w:t> </w:t>
      </w:r>
      <w:r>
        <w:rPr>
          <w:rFonts w:ascii="Times New Roman" w:hAnsi="Times New Roman" w:cs="Times New Roman" w:eastAsia="Times New Roman" w:hint="default"/>
        </w:rPr>
        <w:t>2018</w:t>
      </w:r>
      <w:r>
        <w:rPr>
          <w:rFonts w:ascii="Times New Roman" w:hAnsi="Times New Roman" w:cs="Times New Roman" w:eastAsia="Times New Roman" w:hint="default"/>
          <w:spacing w:val="2"/>
        </w:rPr>
        <w:t> </w:t>
      </w:r>
      <w:r>
        <w:rPr/>
        <w:t>年可比数，本次会计政策变更不影响公司</w:t>
      </w:r>
      <w:r>
        <w:rPr>
          <w:spacing w:val="-44"/>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 度相关财务指标。</w:t>
      </w:r>
    </w:p>
    <w:p>
      <w:pPr>
        <w:pStyle w:val="BodyText"/>
        <w:spacing w:line="240" w:lineRule="auto" w:before="72"/>
        <w:ind w:left="573" w:right="1035"/>
        <w:jc w:val="left"/>
      </w:pPr>
      <w:r>
        <w:rPr>
          <w:rFonts w:ascii="Times New Roman" w:hAnsi="Times New Roman" w:cs="Times New Roman" w:eastAsia="Times New Roman" w:hint="default"/>
        </w:rPr>
        <w:t>2</w:t>
      </w:r>
      <w:r>
        <w:rPr/>
        <w:t>、财务报表格式调整的会计政策</w:t>
      </w:r>
    </w:p>
    <w:p>
      <w:pPr>
        <w:pStyle w:val="BodyText"/>
        <w:spacing w:line="302" w:lineRule="auto" w:before="101"/>
        <w:ind w:left="212" w:right="1035" w:firstLine="360"/>
        <w:jc w:val="left"/>
      </w:pPr>
      <w:r>
        <w:rPr>
          <w:rFonts w:ascii="Times New Roman" w:hAnsi="Times New Roman" w:cs="Times New Roman" w:eastAsia="Times New Roman" w:hint="default"/>
        </w:rPr>
        <w:t>2018</w:t>
      </w:r>
      <w:r>
        <w:rPr>
          <w:rFonts w:ascii="Times New Roman" w:hAnsi="Times New Roman" w:cs="Times New Roman" w:eastAsia="Times New Roman" w:hint="default"/>
          <w:spacing w:val="3"/>
        </w:rPr>
        <w:t> </w:t>
      </w:r>
      <w:r>
        <w:rPr/>
        <w:t>年</w:t>
      </w:r>
      <w:r>
        <w:rPr>
          <w:spacing w:val="-46"/>
        </w:rPr>
        <w:t> </w:t>
      </w:r>
      <w:r>
        <w:rPr>
          <w:rFonts w:ascii="Times New Roman" w:hAnsi="Times New Roman" w:cs="Times New Roman" w:eastAsia="Times New Roman" w:hint="default"/>
        </w:rPr>
        <w:t>6</w:t>
      </w:r>
      <w:r>
        <w:rPr>
          <w:rFonts w:ascii="Times New Roman" w:hAnsi="Times New Roman" w:cs="Times New Roman" w:eastAsia="Times New Roman" w:hint="default"/>
          <w:spacing w:val="2"/>
        </w:rPr>
        <w:t> </w:t>
      </w:r>
      <w:r>
        <w:rPr/>
        <w:t>月</w:t>
      </w:r>
      <w:r>
        <w:rPr>
          <w:spacing w:val="-46"/>
        </w:rPr>
        <w:t> </w:t>
      </w:r>
      <w:r>
        <w:rPr>
          <w:rFonts w:ascii="Times New Roman" w:hAnsi="Times New Roman" w:cs="Times New Roman" w:eastAsia="Times New Roman" w:hint="default"/>
          <w:spacing w:val="-1"/>
        </w:rPr>
        <w:t>15</w:t>
      </w:r>
      <w:r>
        <w:rPr>
          <w:rFonts w:ascii="Times New Roman" w:hAnsi="Times New Roman" w:cs="Times New Roman" w:eastAsia="Times New Roman" w:hint="default"/>
          <w:spacing w:val="2"/>
        </w:rPr>
        <w:t> </w:t>
      </w:r>
      <w:r>
        <w:rPr/>
        <w:t>日</w:t>
      </w:r>
      <w:r>
        <w:rPr>
          <w:spacing w:val="4"/>
        </w:rPr>
        <w:t> </w:t>
      </w:r>
      <w:r>
        <w:rPr>
          <w:spacing w:val="-5"/>
        </w:rPr>
        <w:t>，财政部下发了</w:t>
      </w:r>
      <w:r>
        <w:rPr>
          <w:spacing w:val="-23"/>
        </w:rPr>
        <w:t> </w:t>
      </w:r>
      <w:r>
        <w:rPr/>
        <w:t>《关于修订印发</w:t>
      </w:r>
      <w:r>
        <w:rPr>
          <w:spacing w:val="4"/>
        </w:rPr>
        <w:t> </w:t>
      </w:r>
      <w:r>
        <w:rPr>
          <w:rFonts w:ascii="Times New Roman" w:hAnsi="Times New Roman" w:cs="Times New Roman" w:eastAsia="Times New Roman" w:hint="default"/>
          <w:spacing w:val="-1"/>
        </w:rPr>
        <w:t>2018</w:t>
      </w:r>
      <w:r>
        <w:rPr>
          <w:rFonts w:ascii="Times New Roman" w:hAnsi="Times New Roman" w:cs="Times New Roman" w:eastAsia="Times New Roman" w:hint="default"/>
          <w:spacing w:val="5"/>
        </w:rPr>
        <w:t> </w:t>
      </w:r>
      <w:r>
        <w:rPr>
          <w:spacing w:val="-7"/>
        </w:rPr>
        <w:t>年度一般企业财务报表格式的通知》（财会〔</w:t>
      </w:r>
      <w:r>
        <w:rPr>
          <w:rFonts w:ascii="Times New Roman" w:hAnsi="Times New Roman" w:cs="Times New Roman" w:eastAsia="Times New Roman" w:hint="default"/>
          <w:spacing w:val="-7"/>
        </w:rPr>
        <w:t>2018</w:t>
      </w:r>
      <w:r>
        <w:rPr>
          <w:spacing w:val="-7"/>
        </w:rPr>
        <w:t>〕</w:t>
      </w:r>
      <w:r>
        <w:rPr>
          <w:rFonts w:ascii="Times New Roman" w:hAnsi="Times New Roman" w:cs="Times New Roman" w:eastAsia="Times New Roman" w:hint="default"/>
          <w:spacing w:val="-7"/>
        </w:rPr>
        <w:t>15</w:t>
      </w:r>
      <w:r>
        <w:rPr>
          <w:rFonts w:ascii="Times New Roman" w:hAnsi="Times New Roman" w:cs="Times New Roman" w:eastAsia="Times New Roman" w:hint="default"/>
          <w:spacing w:val="3"/>
        </w:rPr>
        <w:t> </w:t>
      </w:r>
      <w:r>
        <w:rPr>
          <w:spacing w:val="-31"/>
        </w:rPr>
        <w:t>号）。</w:t>
      </w:r>
      <w:r>
        <w:rPr/>
        <w:t> </w:t>
      </w:r>
      <w:r>
        <w:rPr>
          <w:spacing w:val="-2"/>
        </w:rPr>
        <w:t>公司按照一般企业财务报表格式（适用于尚未执行新金融准则和新收入准则的企业）调整以下财务报表项目的列报，并对可</w:t>
      </w:r>
      <w:r>
        <w:rPr>
          <w:spacing w:val="-63"/>
        </w:rPr>
        <w:t> </w:t>
      </w:r>
      <w:r>
        <w:rPr>
          <w:spacing w:val="-63"/>
        </w:rPr>
      </w:r>
      <w:r>
        <w:rPr>
          <w:spacing w:val="-5"/>
          <w:w w:val="100"/>
        </w:rPr>
        <w:t>比会计期间的比较数据进行相应调整：（</w:t>
      </w:r>
      <w:r>
        <w:rPr>
          <w:rFonts w:ascii="Times New Roman" w:hAnsi="Times New Roman" w:cs="Times New Roman" w:eastAsia="Times New Roman" w:hint="default"/>
          <w:spacing w:val="-5"/>
          <w:w w:val="100"/>
        </w:rPr>
        <w:t>1</w:t>
      </w:r>
      <w:r>
        <w:rPr>
          <w:spacing w:val="-5"/>
          <w:w w:val="100"/>
        </w:rPr>
        <w:t>）原</w:t>
      </w:r>
      <w:r>
        <w:rPr>
          <w:rFonts w:ascii="Times New Roman" w:hAnsi="Times New Roman" w:cs="Times New Roman" w:eastAsia="Times New Roman" w:hint="default"/>
          <w:spacing w:val="-5"/>
          <w:w w:val="100"/>
        </w:rPr>
        <w:t>“</w:t>
      </w:r>
      <w:r>
        <w:rPr>
          <w:spacing w:val="-5"/>
          <w:w w:val="100"/>
        </w:rPr>
        <w:t>应收票据</w:t>
      </w:r>
      <w:r>
        <w:rPr>
          <w:rFonts w:ascii="Times New Roman" w:hAnsi="Times New Roman" w:cs="Times New Roman" w:eastAsia="Times New Roman" w:hint="default"/>
          <w:spacing w:val="-5"/>
          <w:w w:val="100"/>
        </w:rPr>
        <w:t>”</w:t>
      </w:r>
      <w:r>
        <w:rPr>
          <w:spacing w:val="-5"/>
          <w:w w:val="100"/>
        </w:rPr>
        <w:t>和</w:t>
      </w:r>
      <w:r>
        <w:rPr>
          <w:rFonts w:ascii="Times New Roman" w:hAnsi="Times New Roman" w:cs="Times New Roman" w:eastAsia="Times New Roman" w:hint="default"/>
          <w:spacing w:val="-5"/>
          <w:w w:val="100"/>
        </w:rPr>
        <w:t>“</w:t>
      </w:r>
      <w:r>
        <w:rPr>
          <w:spacing w:val="-5"/>
          <w:w w:val="100"/>
        </w:rPr>
        <w:t>应收账款</w:t>
      </w:r>
      <w:r>
        <w:rPr>
          <w:rFonts w:ascii="Times New Roman" w:hAnsi="Times New Roman" w:cs="Times New Roman" w:eastAsia="Times New Roman" w:hint="default"/>
          <w:spacing w:val="-5"/>
          <w:w w:val="100"/>
        </w:rPr>
        <w:t>”</w:t>
      </w:r>
      <w:r>
        <w:rPr>
          <w:spacing w:val="-5"/>
          <w:w w:val="100"/>
        </w:rPr>
        <w:t>项目，合并为</w:t>
      </w:r>
      <w:r>
        <w:rPr>
          <w:rFonts w:ascii="Times New Roman" w:hAnsi="Times New Roman" w:cs="Times New Roman" w:eastAsia="Times New Roman" w:hint="default"/>
          <w:spacing w:val="-5"/>
          <w:w w:val="100"/>
        </w:rPr>
        <w:t>“</w:t>
      </w:r>
      <w:r>
        <w:rPr>
          <w:spacing w:val="-5"/>
          <w:w w:val="100"/>
        </w:rPr>
        <w:t>应收票据及应收账款</w:t>
      </w:r>
      <w:r>
        <w:rPr>
          <w:rFonts w:ascii="Times New Roman" w:hAnsi="Times New Roman" w:cs="Times New Roman" w:eastAsia="Times New Roman" w:hint="default"/>
          <w:spacing w:val="-5"/>
          <w:w w:val="100"/>
        </w:rPr>
        <w:t>”</w:t>
      </w:r>
      <w:r>
        <w:rPr>
          <w:spacing w:val="-5"/>
          <w:w w:val="100"/>
        </w:rPr>
        <w:t>项目；（</w:t>
      </w:r>
      <w:r>
        <w:rPr>
          <w:rFonts w:ascii="Times New Roman" w:hAnsi="Times New Roman" w:cs="Times New Roman" w:eastAsia="Times New Roman" w:hint="default"/>
          <w:spacing w:val="-5"/>
          <w:w w:val="100"/>
        </w:rPr>
        <w:t>2</w:t>
      </w:r>
      <w:r>
        <w:rPr>
          <w:spacing w:val="-5"/>
          <w:w w:val="100"/>
        </w:rPr>
        <w:t>）原</w:t>
      </w:r>
      <w:r>
        <w:rPr>
          <w:rFonts w:ascii="Times New Roman" w:hAnsi="Times New Roman" w:cs="Times New Roman" w:eastAsia="Times New Roman" w:hint="default"/>
          <w:spacing w:val="-5"/>
          <w:w w:val="100"/>
        </w:rPr>
        <w:t>“</w:t>
      </w:r>
      <w:r>
        <w:rPr>
          <w:spacing w:val="-5"/>
          <w:w w:val="100"/>
        </w:rPr>
        <w:t>应</w:t>
      </w:r>
      <w:r>
        <w:rPr>
          <w:spacing w:val="-80"/>
          <w:w w:val="100"/>
        </w:rPr>
        <w:t> </w:t>
      </w:r>
      <w:r>
        <w:rPr>
          <w:spacing w:val="-6"/>
          <w:w w:val="100"/>
        </w:rPr>
        <w:t>收利息</w:t>
      </w:r>
      <w:r>
        <w:rPr>
          <w:rFonts w:ascii="Times New Roman" w:hAnsi="Times New Roman" w:cs="Times New Roman" w:eastAsia="Times New Roman" w:hint="default"/>
          <w:spacing w:val="-6"/>
          <w:w w:val="100"/>
        </w:rPr>
        <w:t>”</w:t>
      </w:r>
      <w:r>
        <w:rPr>
          <w:spacing w:val="-6"/>
          <w:w w:val="100"/>
        </w:rPr>
        <w:t>、</w:t>
      </w:r>
      <w:r>
        <w:rPr>
          <w:rFonts w:ascii="Times New Roman" w:hAnsi="Times New Roman" w:cs="Times New Roman" w:eastAsia="Times New Roman" w:hint="default"/>
          <w:spacing w:val="-6"/>
          <w:w w:val="100"/>
        </w:rPr>
        <w:t>“</w:t>
      </w:r>
      <w:r>
        <w:rPr>
          <w:spacing w:val="-6"/>
          <w:w w:val="100"/>
        </w:rPr>
        <w:t>应收股利</w:t>
      </w:r>
      <w:r>
        <w:rPr>
          <w:rFonts w:ascii="Times New Roman" w:hAnsi="Times New Roman" w:cs="Times New Roman" w:eastAsia="Times New Roman" w:hint="default"/>
          <w:spacing w:val="-6"/>
          <w:w w:val="100"/>
        </w:rPr>
        <w:t>”</w:t>
      </w:r>
      <w:r>
        <w:rPr>
          <w:spacing w:val="-6"/>
          <w:w w:val="100"/>
        </w:rPr>
        <w:t>项目并入</w:t>
      </w:r>
      <w:r>
        <w:rPr>
          <w:rFonts w:ascii="Times New Roman" w:hAnsi="Times New Roman" w:cs="Times New Roman" w:eastAsia="Times New Roman" w:hint="default"/>
          <w:spacing w:val="-6"/>
          <w:w w:val="100"/>
        </w:rPr>
        <w:t>“</w:t>
      </w:r>
      <w:r>
        <w:rPr>
          <w:spacing w:val="-6"/>
          <w:w w:val="100"/>
        </w:rPr>
        <w:t>其他应收款</w:t>
      </w:r>
      <w:r>
        <w:rPr>
          <w:rFonts w:ascii="Times New Roman" w:hAnsi="Times New Roman" w:cs="Times New Roman" w:eastAsia="Times New Roman" w:hint="default"/>
          <w:spacing w:val="-6"/>
          <w:w w:val="100"/>
        </w:rPr>
        <w:t>”</w:t>
      </w:r>
      <w:r>
        <w:rPr>
          <w:spacing w:val="-6"/>
          <w:w w:val="100"/>
        </w:rPr>
        <w:t>项目中列报；（</w:t>
      </w:r>
      <w:r>
        <w:rPr>
          <w:rFonts w:ascii="Times New Roman" w:hAnsi="Times New Roman" w:cs="Times New Roman" w:eastAsia="Times New Roman" w:hint="default"/>
          <w:spacing w:val="-6"/>
          <w:w w:val="100"/>
        </w:rPr>
        <w:t>3</w:t>
      </w:r>
      <w:r>
        <w:rPr>
          <w:spacing w:val="-6"/>
          <w:w w:val="100"/>
        </w:rPr>
        <w:t>）原</w:t>
      </w:r>
      <w:r>
        <w:rPr>
          <w:rFonts w:ascii="Times New Roman" w:hAnsi="Times New Roman" w:cs="Times New Roman" w:eastAsia="Times New Roman" w:hint="default"/>
          <w:spacing w:val="-6"/>
          <w:w w:val="100"/>
        </w:rPr>
        <w:t>“</w:t>
      </w:r>
      <w:r>
        <w:rPr>
          <w:spacing w:val="-6"/>
          <w:w w:val="100"/>
        </w:rPr>
        <w:t>固定资产清理</w:t>
      </w:r>
      <w:r>
        <w:rPr>
          <w:rFonts w:ascii="Times New Roman" w:hAnsi="Times New Roman" w:cs="Times New Roman" w:eastAsia="Times New Roman" w:hint="default"/>
          <w:spacing w:val="-6"/>
          <w:w w:val="100"/>
        </w:rPr>
        <w:t>”</w:t>
      </w:r>
      <w:r>
        <w:rPr>
          <w:spacing w:val="-6"/>
          <w:w w:val="100"/>
        </w:rPr>
        <w:t>项目并入</w:t>
      </w:r>
      <w:r>
        <w:rPr>
          <w:rFonts w:ascii="Times New Roman" w:hAnsi="Times New Roman" w:cs="Times New Roman" w:eastAsia="Times New Roman" w:hint="default"/>
          <w:spacing w:val="-6"/>
          <w:w w:val="100"/>
        </w:rPr>
        <w:t>“</w:t>
      </w:r>
      <w:r>
        <w:rPr>
          <w:spacing w:val="-6"/>
          <w:w w:val="100"/>
        </w:rPr>
        <w:t>固定资产</w:t>
      </w:r>
      <w:r>
        <w:rPr>
          <w:rFonts w:ascii="Times New Roman" w:hAnsi="Times New Roman" w:cs="Times New Roman" w:eastAsia="Times New Roman" w:hint="default"/>
          <w:spacing w:val="-6"/>
          <w:w w:val="100"/>
        </w:rPr>
        <w:t>”</w:t>
      </w:r>
      <w:r>
        <w:rPr>
          <w:spacing w:val="-6"/>
          <w:w w:val="100"/>
        </w:rPr>
        <w:t>项目中列报；（</w:t>
      </w:r>
      <w:r>
        <w:rPr>
          <w:rFonts w:ascii="Times New Roman" w:hAnsi="Times New Roman" w:cs="Times New Roman" w:eastAsia="Times New Roman" w:hint="default"/>
          <w:spacing w:val="-6"/>
          <w:w w:val="100"/>
        </w:rPr>
        <w:t>4</w:t>
      </w:r>
      <w:r>
        <w:rPr>
          <w:spacing w:val="-6"/>
          <w:w w:val="100"/>
        </w:rPr>
        <w:t>）原</w:t>
      </w:r>
      <w:r>
        <w:rPr>
          <w:rFonts w:ascii="Times New Roman" w:hAnsi="Times New Roman" w:cs="Times New Roman" w:eastAsia="Times New Roman" w:hint="default"/>
          <w:spacing w:val="-6"/>
          <w:w w:val="100"/>
        </w:rPr>
        <w:t>“</w:t>
      </w:r>
      <w:r>
        <w:rPr>
          <w:spacing w:val="-6"/>
          <w:w w:val="100"/>
        </w:rPr>
        <w:t>工</w:t>
      </w:r>
      <w:r>
        <w:rPr>
          <w:spacing w:val="-65"/>
          <w:w w:val="100"/>
        </w:rPr>
        <w:t> </w:t>
      </w:r>
      <w:r>
        <w:rPr>
          <w:spacing w:val="-5"/>
          <w:w w:val="100"/>
        </w:rPr>
        <w:t>程物资</w:t>
      </w:r>
      <w:r>
        <w:rPr>
          <w:rFonts w:ascii="Times New Roman" w:hAnsi="Times New Roman" w:cs="Times New Roman" w:eastAsia="Times New Roman" w:hint="default"/>
          <w:spacing w:val="-5"/>
          <w:w w:val="100"/>
        </w:rPr>
        <w:t>”</w:t>
      </w:r>
      <w:r>
        <w:rPr>
          <w:spacing w:val="-5"/>
          <w:w w:val="100"/>
        </w:rPr>
        <w:t>项目并入</w:t>
      </w:r>
      <w:r>
        <w:rPr>
          <w:rFonts w:ascii="Times New Roman" w:hAnsi="Times New Roman" w:cs="Times New Roman" w:eastAsia="Times New Roman" w:hint="default"/>
          <w:spacing w:val="-5"/>
          <w:w w:val="100"/>
        </w:rPr>
        <w:t>“</w:t>
      </w:r>
      <w:r>
        <w:rPr>
          <w:spacing w:val="-5"/>
          <w:w w:val="100"/>
        </w:rPr>
        <w:t>在建工程</w:t>
      </w:r>
      <w:r>
        <w:rPr>
          <w:rFonts w:ascii="Times New Roman" w:hAnsi="Times New Roman" w:cs="Times New Roman" w:eastAsia="Times New Roman" w:hint="default"/>
          <w:spacing w:val="-5"/>
          <w:w w:val="100"/>
        </w:rPr>
        <w:t>”</w:t>
      </w:r>
      <w:r>
        <w:rPr>
          <w:spacing w:val="-5"/>
          <w:w w:val="100"/>
        </w:rPr>
        <w:t>项目中列报；（</w:t>
      </w:r>
      <w:r>
        <w:rPr>
          <w:rFonts w:ascii="Times New Roman" w:hAnsi="Times New Roman" w:cs="Times New Roman" w:eastAsia="Times New Roman" w:hint="default"/>
          <w:spacing w:val="-5"/>
          <w:w w:val="100"/>
        </w:rPr>
        <w:t>5</w:t>
      </w:r>
      <w:r>
        <w:rPr>
          <w:spacing w:val="-5"/>
          <w:w w:val="100"/>
        </w:rPr>
        <w:t>）原</w:t>
      </w:r>
      <w:r>
        <w:rPr>
          <w:rFonts w:ascii="Times New Roman" w:hAnsi="Times New Roman" w:cs="Times New Roman" w:eastAsia="Times New Roman" w:hint="default"/>
          <w:spacing w:val="-5"/>
          <w:w w:val="100"/>
        </w:rPr>
        <w:t>“</w:t>
      </w:r>
      <w:r>
        <w:rPr>
          <w:spacing w:val="-5"/>
          <w:w w:val="100"/>
        </w:rPr>
        <w:t>应付票据</w:t>
      </w:r>
      <w:r>
        <w:rPr>
          <w:rFonts w:ascii="Times New Roman" w:hAnsi="Times New Roman" w:cs="Times New Roman" w:eastAsia="Times New Roman" w:hint="default"/>
          <w:spacing w:val="-5"/>
          <w:w w:val="100"/>
        </w:rPr>
        <w:t>”</w:t>
      </w:r>
      <w:r>
        <w:rPr>
          <w:spacing w:val="-5"/>
          <w:w w:val="100"/>
        </w:rPr>
        <w:t>和</w:t>
      </w:r>
      <w:r>
        <w:rPr>
          <w:rFonts w:ascii="Times New Roman" w:hAnsi="Times New Roman" w:cs="Times New Roman" w:eastAsia="Times New Roman" w:hint="default"/>
          <w:spacing w:val="-5"/>
          <w:w w:val="100"/>
        </w:rPr>
        <w:t>“</w:t>
      </w:r>
      <w:r>
        <w:rPr>
          <w:spacing w:val="-5"/>
          <w:w w:val="100"/>
        </w:rPr>
        <w:t>应付账款</w:t>
      </w:r>
      <w:r>
        <w:rPr>
          <w:rFonts w:ascii="Times New Roman" w:hAnsi="Times New Roman" w:cs="Times New Roman" w:eastAsia="Times New Roman" w:hint="default"/>
          <w:spacing w:val="-5"/>
          <w:w w:val="100"/>
        </w:rPr>
        <w:t>”</w:t>
      </w:r>
      <w:r>
        <w:rPr>
          <w:spacing w:val="-5"/>
          <w:w w:val="100"/>
        </w:rPr>
        <w:t>项目，合并为</w:t>
      </w:r>
      <w:r>
        <w:rPr>
          <w:rFonts w:ascii="Times New Roman" w:hAnsi="Times New Roman" w:cs="Times New Roman" w:eastAsia="Times New Roman" w:hint="default"/>
          <w:spacing w:val="-5"/>
          <w:w w:val="100"/>
        </w:rPr>
        <w:t>“</w:t>
      </w:r>
      <w:r>
        <w:rPr>
          <w:spacing w:val="-5"/>
          <w:w w:val="100"/>
        </w:rPr>
        <w:t>应付票据及应付账款</w:t>
      </w:r>
      <w:r>
        <w:rPr>
          <w:rFonts w:ascii="Times New Roman" w:hAnsi="Times New Roman" w:cs="Times New Roman" w:eastAsia="Times New Roman" w:hint="default"/>
          <w:spacing w:val="-5"/>
          <w:w w:val="100"/>
        </w:rPr>
        <w:t>”</w:t>
      </w:r>
      <w:r>
        <w:rPr>
          <w:spacing w:val="-5"/>
          <w:w w:val="100"/>
        </w:rPr>
        <w:t>项目；（</w:t>
      </w:r>
      <w:r>
        <w:rPr>
          <w:rFonts w:ascii="Times New Roman" w:hAnsi="Times New Roman" w:cs="Times New Roman" w:eastAsia="Times New Roman" w:hint="default"/>
          <w:spacing w:val="-5"/>
          <w:w w:val="100"/>
        </w:rPr>
        <w:t>6</w:t>
      </w:r>
      <w:r>
        <w:rPr>
          <w:spacing w:val="-5"/>
          <w:w w:val="100"/>
        </w:rPr>
        <w:t>）原</w:t>
      </w:r>
      <w:r>
        <w:rPr>
          <w:spacing w:val="-54"/>
          <w:w w:val="100"/>
        </w:rPr>
        <w:t> </w:t>
      </w:r>
      <w:r>
        <w:rPr>
          <w:spacing w:val="-54"/>
          <w:w w:val="100"/>
        </w:rPr>
      </w:r>
      <w:r>
        <w:rPr>
          <w:rFonts w:ascii="Times New Roman" w:hAnsi="Times New Roman" w:cs="Times New Roman" w:eastAsia="Times New Roman" w:hint="default"/>
          <w:spacing w:val="-2"/>
          <w:w w:val="100"/>
        </w:rPr>
        <w:t>“</w:t>
      </w:r>
      <w:r>
        <w:rPr>
          <w:spacing w:val="-2"/>
          <w:w w:val="100"/>
        </w:rPr>
        <w:t>应付利息</w:t>
      </w:r>
      <w:r>
        <w:rPr>
          <w:rFonts w:ascii="Times New Roman" w:hAnsi="Times New Roman" w:cs="Times New Roman" w:eastAsia="Times New Roman" w:hint="default"/>
          <w:spacing w:val="-2"/>
          <w:w w:val="100"/>
        </w:rPr>
        <w:t>”</w:t>
      </w:r>
      <w:r>
        <w:rPr>
          <w:spacing w:val="-2"/>
          <w:w w:val="100"/>
        </w:rPr>
        <w:t>、</w:t>
      </w:r>
      <w:r>
        <w:rPr>
          <w:rFonts w:ascii="Times New Roman" w:hAnsi="Times New Roman" w:cs="Times New Roman" w:eastAsia="Times New Roman" w:hint="default"/>
          <w:spacing w:val="-2"/>
          <w:w w:val="100"/>
        </w:rPr>
        <w:t>“</w:t>
      </w:r>
      <w:r>
        <w:rPr>
          <w:spacing w:val="-2"/>
          <w:w w:val="100"/>
        </w:rPr>
        <w:t>应付股利</w:t>
      </w:r>
      <w:r>
        <w:rPr>
          <w:rFonts w:ascii="Times New Roman" w:hAnsi="Times New Roman" w:cs="Times New Roman" w:eastAsia="Times New Roman" w:hint="default"/>
          <w:spacing w:val="-2"/>
          <w:w w:val="100"/>
        </w:rPr>
        <w:t>”</w:t>
      </w:r>
      <w:r>
        <w:rPr>
          <w:spacing w:val="-2"/>
          <w:w w:val="100"/>
        </w:rPr>
        <w:t>项目并入</w:t>
      </w:r>
      <w:r>
        <w:rPr>
          <w:rFonts w:ascii="Times New Roman" w:hAnsi="Times New Roman" w:cs="Times New Roman" w:eastAsia="Times New Roman" w:hint="default"/>
          <w:spacing w:val="-2"/>
          <w:w w:val="100"/>
        </w:rPr>
        <w:t>“</w:t>
      </w:r>
      <w:r>
        <w:rPr>
          <w:spacing w:val="-2"/>
          <w:w w:val="100"/>
        </w:rPr>
        <w:t>其他应付款</w:t>
      </w:r>
      <w:r>
        <w:rPr>
          <w:rFonts w:ascii="Times New Roman" w:hAnsi="Times New Roman" w:cs="Times New Roman" w:eastAsia="Times New Roman" w:hint="default"/>
          <w:spacing w:val="-2"/>
          <w:w w:val="100"/>
        </w:rPr>
        <w:t>”</w:t>
      </w:r>
      <w:r>
        <w:rPr>
          <w:spacing w:val="-2"/>
          <w:w w:val="100"/>
        </w:rPr>
        <w:t>项目中列报；（</w:t>
      </w:r>
      <w:r>
        <w:rPr>
          <w:rFonts w:ascii="Times New Roman" w:hAnsi="Times New Roman" w:cs="Times New Roman" w:eastAsia="Times New Roman" w:hint="default"/>
          <w:spacing w:val="-2"/>
          <w:w w:val="100"/>
        </w:rPr>
        <w:t>7</w:t>
      </w:r>
      <w:r>
        <w:rPr>
          <w:spacing w:val="-2"/>
          <w:w w:val="100"/>
        </w:rPr>
        <w:t>）原</w:t>
      </w:r>
      <w:r>
        <w:rPr>
          <w:rFonts w:ascii="Times New Roman" w:hAnsi="Times New Roman" w:cs="Times New Roman" w:eastAsia="Times New Roman" w:hint="default"/>
          <w:spacing w:val="-2"/>
          <w:w w:val="100"/>
        </w:rPr>
        <w:t>“</w:t>
      </w:r>
      <w:r>
        <w:rPr>
          <w:spacing w:val="-2"/>
          <w:w w:val="100"/>
        </w:rPr>
        <w:t>专项应付款</w:t>
      </w:r>
      <w:r>
        <w:rPr>
          <w:rFonts w:ascii="Times New Roman" w:hAnsi="Times New Roman" w:cs="Times New Roman" w:eastAsia="Times New Roman" w:hint="default"/>
          <w:spacing w:val="-2"/>
          <w:w w:val="100"/>
        </w:rPr>
        <w:t>”</w:t>
      </w:r>
      <w:r>
        <w:rPr>
          <w:spacing w:val="-2"/>
          <w:w w:val="100"/>
        </w:rPr>
        <w:t>项目并入</w:t>
      </w:r>
      <w:r>
        <w:rPr>
          <w:spacing w:val="15"/>
          <w:w w:val="100"/>
        </w:rPr>
        <w:t> </w:t>
      </w:r>
      <w:r>
        <w:rPr>
          <w:rFonts w:ascii="Times New Roman" w:hAnsi="Times New Roman" w:cs="Times New Roman" w:eastAsia="Times New Roman" w:hint="default"/>
          <w:spacing w:val="-6"/>
          <w:w w:val="100"/>
        </w:rPr>
        <w:t>“</w:t>
      </w:r>
      <w:r>
        <w:rPr>
          <w:spacing w:val="-6"/>
          <w:w w:val="100"/>
        </w:rPr>
        <w:t>长期应付款</w:t>
      </w:r>
      <w:r>
        <w:rPr>
          <w:rFonts w:ascii="Times New Roman" w:hAnsi="Times New Roman" w:cs="Times New Roman" w:eastAsia="Times New Roman" w:hint="default"/>
          <w:spacing w:val="-6"/>
          <w:w w:val="100"/>
        </w:rPr>
        <w:t>”</w:t>
      </w:r>
      <w:r>
        <w:rPr>
          <w:spacing w:val="-6"/>
          <w:w w:val="100"/>
        </w:rPr>
        <w:t>项目中列报；（</w:t>
      </w:r>
      <w:r>
        <w:rPr>
          <w:rFonts w:ascii="Times New Roman" w:hAnsi="Times New Roman" w:cs="Times New Roman" w:eastAsia="Times New Roman" w:hint="default"/>
          <w:spacing w:val="-6"/>
          <w:w w:val="100"/>
        </w:rPr>
        <w:t>8</w:t>
      </w:r>
      <w:r>
        <w:rPr>
          <w:spacing w:val="-6"/>
          <w:w w:val="100"/>
        </w:rPr>
        <w:t>）</w:t>
      </w:r>
      <w:r>
        <w:rPr>
          <w:spacing w:val="-88"/>
          <w:w w:val="100"/>
        </w:rPr>
        <w:t> </w:t>
      </w:r>
      <w:r>
        <w:rPr>
          <w:spacing w:val="-2"/>
          <w:w w:val="100"/>
        </w:rPr>
        <w:t>新增</w:t>
      </w:r>
      <w:r>
        <w:rPr>
          <w:rFonts w:ascii="Times New Roman" w:hAnsi="Times New Roman" w:cs="Times New Roman" w:eastAsia="Times New Roman" w:hint="default"/>
          <w:spacing w:val="-2"/>
          <w:w w:val="100"/>
        </w:rPr>
        <w:t>“</w:t>
      </w:r>
      <w:r>
        <w:rPr>
          <w:spacing w:val="-2"/>
          <w:w w:val="100"/>
        </w:rPr>
        <w:t>研发费用</w:t>
      </w:r>
      <w:r>
        <w:rPr>
          <w:rFonts w:ascii="Times New Roman" w:hAnsi="Times New Roman" w:cs="Times New Roman" w:eastAsia="Times New Roman" w:hint="default"/>
          <w:spacing w:val="-2"/>
          <w:w w:val="100"/>
        </w:rPr>
        <w:t>”</w:t>
      </w:r>
      <w:r>
        <w:rPr>
          <w:spacing w:val="-2"/>
          <w:w w:val="100"/>
        </w:rPr>
        <w:t>项目，原计入</w:t>
      </w:r>
      <w:r>
        <w:rPr>
          <w:rFonts w:ascii="Times New Roman" w:hAnsi="Times New Roman" w:cs="Times New Roman" w:eastAsia="Times New Roman" w:hint="default"/>
          <w:spacing w:val="-2"/>
          <w:w w:val="100"/>
        </w:rPr>
        <w:t>“</w:t>
      </w:r>
      <w:r>
        <w:rPr>
          <w:spacing w:val="-2"/>
          <w:w w:val="100"/>
        </w:rPr>
        <w:t>管理费用</w:t>
      </w:r>
      <w:r>
        <w:rPr>
          <w:rFonts w:ascii="Times New Roman" w:hAnsi="Times New Roman" w:cs="Times New Roman" w:eastAsia="Times New Roman" w:hint="default"/>
          <w:spacing w:val="-2"/>
          <w:w w:val="100"/>
        </w:rPr>
        <w:t>”</w:t>
      </w:r>
      <w:r>
        <w:rPr>
          <w:spacing w:val="-2"/>
          <w:w w:val="100"/>
        </w:rPr>
        <w:t>项目的研发费用单独列示为</w:t>
      </w:r>
      <w:r>
        <w:rPr>
          <w:rFonts w:ascii="Times New Roman" w:hAnsi="Times New Roman" w:cs="Times New Roman" w:eastAsia="Times New Roman" w:hint="default"/>
          <w:spacing w:val="-2"/>
          <w:w w:val="100"/>
        </w:rPr>
        <w:t>“</w:t>
      </w:r>
      <w:r>
        <w:rPr>
          <w:spacing w:val="-2"/>
          <w:w w:val="100"/>
        </w:rPr>
        <w:t>研发费用</w:t>
      </w:r>
      <w:r>
        <w:rPr>
          <w:rFonts w:ascii="Times New Roman" w:hAnsi="Times New Roman" w:cs="Times New Roman" w:eastAsia="Times New Roman" w:hint="default"/>
          <w:spacing w:val="-2"/>
          <w:w w:val="100"/>
        </w:rPr>
        <w:t>”</w:t>
      </w:r>
      <w:r>
        <w:rPr>
          <w:spacing w:val="-2"/>
          <w:w w:val="100"/>
        </w:rPr>
        <w:t>项目；（</w:t>
      </w:r>
      <w:r>
        <w:rPr>
          <w:rFonts w:ascii="Times New Roman" w:hAnsi="Times New Roman" w:cs="Times New Roman" w:eastAsia="Times New Roman" w:hint="default"/>
          <w:spacing w:val="-2"/>
          <w:w w:val="100"/>
        </w:rPr>
        <w:t>9</w:t>
      </w:r>
      <w:r>
        <w:rPr>
          <w:spacing w:val="-2"/>
          <w:w w:val="100"/>
        </w:rPr>
        <w:t>）利润表中</w:t>
      </w:r>
      <w:r>
        <w:rPr>
          <w:rFonts w:ascii="Times New Roman" w:hAnsi="Times New Roman" w:cs="Times New Roman" w:eastAsia="Times New Roman" w:hint="default"/>
          <w:spacing w:val="-2"/>
          <w:w w:val="100"/>
        </w:rPr>
        <w:t>“</w:t>
      </w:r>
      <w:r>
        <w:rPr>
          <w:spacing w:val="-2"/>
          <w:w w:val="100"/>
        </w:rPr>
        <w:t>财务费用</w:t>
      </w:r>
      <w:r>
        <w:rPr>
          <w:rFonts w:ascii="Times New Roman" w:hAnsi="Times New Roman" w:cs="Times New Roman" w:eastAsia="Times New Roman" w:hint="default"/>
          <w:spacing w:val="-2"/>
          <w:w w:val="100"/>
        </w:rPr>
        <w:t>”</w:t>
      </w:r>
      <w:r>
        <w:rPr>
          <w:spacing w:val="-2"/>
          <w:w w:val="100"/>
        </w:rPr>
        <w:t>项目下增加</w:t>
      </w:r>
      <w:r>
        <w:rPr>
          <w:spacing w:val="-69"/>
          <w:w w:val="100"/>
        </w:rPr>
        <w:t> </w:t>
      </w:r>
      <w:r>
        <w:rPr>
          <w:spacing w:val="-69"/>
          <w:w w:val="100"/>
        </w:rPr>
      </w:r>
      <w:r>
        <w:rPr>
          <w:rFonts w:ascii="Times New Roman" w:hAnsi="Times New Roman" w:cs="Times New Roman" w:eastAsia="Times New Roman" w:hint="default"/>
          <w:spacing w:val="-2"/>
          <w:w w:val="100"/>
        </w:rPr>
        <w:t>“</w:t>
      </w:r>
      <w:r>
        <w:rPr>
          <w:spacing w:val="-2"/>
          <w:w w:val="100"/>
        </w:rPr>
        <w:t>利息费用</w:t>
      </w:r>
      <w:r>
        <w:rPr>
          <w:rFonts w:ascii="Times New Roman" w:hAnsi="Times New Roman" w:cs="Times New Roman" w:eastAsia="Times New Roman" w:hint="default"/>
          <w:spacing w:val="-2"/>
          <w:w w:val="100"/>
        </w:rPr>
        <w:t>”</w:t>
      </w:r>
      <w:r>
        <w:rPr>
          <w:spacing w:val="-2"/>
          <w:w w:val="100"/>
        </w:rPr>
        <w:t>和</w:t>
      </w:r>
      <w:r>
        <w:rPr>
          <w:rFonts w:ascii="Times New Roman" w:hAnsi="Times New Roman" w:cs="Times New Roman" w:eastAsia="Times New Roman" w:hint="default"/>
          <w:spacing w:val="-2"/>
          <w:w w:val="100"/>
        </w:rPr>
        <w:t>“</w:t>
      </w:r>
      <w:r>
        <w:rPr>
          <w:spacing w:val="-2"/>
          <w:w w:val="100"/>
        </w:rPr>
        <w:t>利息收入</w:t>
      </w:r>
      <w:r>
        <w:rPr>
          <w:rFonts w:ascii="Times New Roman" w:hAnsi="Times New Roman" w:cs="Times New Roman" w:eastAsia="Times New Roman" w:hint="default"/>
          <w:spacing w:val="-2"/>
          <w:w w:val="100"/>
        </w:rPr>
        <w:t>”</w:t>
      </w:r>
      <w:r>
        <w:rPr>
          <w:spacing w:val="-2"/>
          <w:w w:val="100"/>
        </w:rPr>
        <w:t>明细项目列报；（</w:t>
      </w:r>
      <w:r>
        <w:rPr>
          <w:rFonts w:ascii="Times New Roman" w:hAnsi="Times New Roman" w:cs="Times New Roman" w:eastAsia="Times New Roman" w:hint="default"/>
          <w:spacing w:val="-2"/>
          <w:w w:val="100"/>
        </w:rPr>
        <w:t>10</w:t>
      </w:r>
      <w:r>
        <w:rPr>
          <w:spacing w:val="-2"/>
          <w:w w:val="100"/>
        </w:rPr>
        <w:t>）所有者权益变动表新增</w:t>
      </w:r>
      <w:r>
        <w:rPr>
          <w:rFonts w:ascii="Times New Roman" w:hAnsi="Times New Roman" w:cs="Times New Roman" w:eastAsia="Times New Roman" w:hint="default"/>
          <w:spacing w:val="-2"/>
          <w:w w:val="100"/>
        </w:rPr>
        <w:t>“</w:t>
      </w:r>
      <w:r>
        <w:rPr>
          <w:spacing w:val="-2"/>
          <w:w w:val="100"/>
        </w:rPr>
        <w:t>设定受益计划变动额结转留存收益</w:t>
      </w:r>
      <w:r>
        <w:rPr>
          <w:rFonts w:ascii="Times New Roman" w:hAnsi="Times New Roman" w:cs="Times New Roman" w:eastAsia="Times New Roman" w:hint="default"/>
          <w:spacing w:val="-2"/>
          <w:w w:val="100"/>
        </w:rPr>
        <w:t>”</w:t>
      </w:r>
      <w:r>
        <w:rPr>
          <w:spacing w:val="-2"/>
          <w:w w:val="100"/>
        </w:rPr>
        <w:t>项目。</w:t>
      </w:r>
    </w:p>
    <w:p>
      <w:pPr>
        <w:pStyle w:val="BodyText"/>
        <w:spacing w:line="316" w:lineRule="auto" w:before="52"/>
        <w:ind w:left="212" w:right="1035" w:firstLine="360"/>
        <w:jc w:val="left"/>
      </w:pPr>
      <w:r>
        <w:rPr>
          <w:spacing w:val="-2"/>
        </w:rPr>
        <w:t>本公司根据上述列报要求相应追溯重述了比较期间数据，导致本期财务报表和比较期间原财务报表的部分项目列报内容</w:t>
      </w:r>
      <w:r>
        <w:rPr/>
        <w:t> 不同，对上年合并报表相关项目重述调整如下：</w:t>
      </w:r>
    </w:p>
    <w:tbl>
      <w:tblPr>
        <w:tblW w:w="0" w:type="auto"/>
        <w:jc w:val="left"/>
        <w:tblInd w:w="100" w:type="dxa"/>
        <w:tblLayout w:type="fixed"/>
        <w:tblCellMar>
          <w:top w:w="0" w:type="dxa"/>
          <w:left w:w="0" w:type="dxa"/>
          <w:bottom w:w="0" w:type="dxa"/>
          <w:right w:w="0" w:type="dxa"/>
        </w:tblCellMar>
        <w:tblLook w:val="01E0"/>
      </w:tblPr>
      <w:tblGrid>
        <w:gridCol w:w="2763"/>
        <w:gridCol w:w="2766"/>
        <w:gridCol w:w="2163"/>
        <w:gridCol w:w="2165"/>
      </w:tblGrid>
      <w:tr>
        <w:trPr>
          <w:trHeight w:val="350" w:hRule="exact"/>
        </w:trPr>
        <w:tc>
          <w:tcPr>
            <w:tcW w:w="2763"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566" w:right="0"/>
              <w:jc w:val="left"/>
              <w:rPr>
                <w:rFonts w:ascii="宋体" w:hAnsi="宋体" w:cs="宋体" w:eastAsia="宋体" w:hint="default"/>
                <w:sz w:val="18"/>
                <w:szCs w:val="18"/>
              </w:rPr>
            </w:pPr>
            <w:r>
              <w:rPr>
                <w:rFonts w:ascii="宋体" w:hAnsi="宋体" w:cs="宋体" w:eastAsia="宋体" w:hint="default"/>
                <w:sz w:val="18"/>
                <w:szCs w:val="18"/>
              </w:rPr>
              <w:t>会计政策变更的内容</w:t>
            </w:r>
          </w:p>
        </w:tc>
        <w:tc>
          <w:tcPr>
            <w:tcW w:w="2766"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480" w:right="0"/>
              <w:jc w:val="left"/>
              <w:rPr>
                <w:rFonts w:ascii="宋体" w:hAnsi="宋体" w:cs="宋体" w:eastAsia="宋体" w:hint="default"/>
                <w:sz w:val="18"/>
                <w:szCs w:val="18"/>
              </w:rPr>
            </w:pPr>
            <w:r>
              <w:rPr>
                <w:rFonts w:ascii="宋体" w:hAnsi="宋体" w:cs="宋体" w:eastAsia="宋体" w:hint="default"/>
                <w:sz w:val="18"/>
                <w:szCs w:val="18"/>
              </w:rPr>
              <w:t>受影响的报表项目名称</w:t>
            </w:r>
          </w:p>
        </w:tc>
        <w:tc>
          <w:tcPr>
            <w:tcW w:w="432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2"/>
              <w:ind w:left="101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年度</w:t>
            </w:r>
          </w:p>
        </w:tc>
      </w:tr>
      <w:tr>
        <w:trPr>
          <w:trHeight w:val="348" w:hRule="exact"/>
        </w:trPr>
        <w:tc>
          <w:tcPr>
            <w:tcW w:w="2763" w:type="dxa"/>
            <w:vMerge/>
            <w:tcBorders>
              <w:left w:val="single" w:sz="4" w:space="0" w:color="000000"/>
              <w:bottom w:val="single" w:sz="4" w:space="0" w:color="000000"/>
              <w:right w:val="single" w:sz="4" w:space="0" w:color="000000"/>
            </w:tcBorders>
            <w:shd w:val="clear" w:color="auto" w:fill="D9D9D9"/>
          </w:tcPr>
          <w:p>
            <w:pPr/>
          </w:p>
        </w:tc>
        <w:tc>
          <w:tcPr>
            <w:tcW w:w="2766" w:type="dxa"/>
            <w:vMerge/>
            <w:tcBorders>
              <w:left w:val="single" w:sz="4" w:space="0" w:color="000000"/>
              <w:bottom w:val="single" w:sz="4" w:space="0" w:color="000000"/>
              <w:right w:val="single" w:sz="4" w:space="0" w:color="000000"/>
            </w:tcBorders>
            <w:shd w:val="clear" w:color="auto" w:fill="D9D9D9"/>
          </w:tcPr>
          <w:p>
            <w:pPr/>
          </w:p>
        </w:tc>
        <w:tc>
          <w:tcPr>
            <w:tcW w:w="216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2"/>
              <w:ind w:left="4" w:right="0"/>
              <w:jc w:val="center"/>
              <w:rPr>
                <w:rFonts w:ascii="宋体" w:hAnsi="宋体" w:cs="宋体" w:eastAsia="宋体" w:hint="default"/>
                <w:sz w:val="18"/>
                <w:szCs w:val="18"/>
              </w:rPr>
            </w:pPr>
            <w:r>
              <w:rPr>
                <w:rFonts w:ascii="宋体" w:hAnsi="宋体" w:cs="宋体" w:eastAsia="宋体" w:hint="default"/>
                <w:sz w:val="18"/>
                <w:szCs w:val="18"/>
              </w:rPr>
              <w:t>变更前</w:t>
            </w:r>
          </w:p>
        </w:tc>
        <w:tc>
          <w:tcPr>
            <w:tcW w:w="21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2"/>
              <w:ind w:left="2" w:right="0"/>
              <w:jc w:val="center"/>
              <w:rPr>
                <w:rFonts w:ascii="宋体" w:hAnsi="宋体" w:cs="宋体" w:eastAsia="宋体" w:hint="default"/>
                <w:sz w:val="18"/>
                <w:szCs w:val="18"/>
              </w:rPr>
            </w:pPr>
            <w:r>
              <w:rPr>
                <w:rFonts w:ascii="宋体" w:hAnsi="宋体" w:cs="宋体" w:eastAsia="宋体" w:hint="default"/>
                <w:sz w:val="18"/>
                <w:szCs w:val="18"/>
              </w:rPr>
              <w:t>变更后</w:t>
            </w:r>
          </w:p>
        </w:tc>
      </w:tr>
      <w:tr>
        <w:trPr>
          <w:trHeight w:val="350" w:hRule="exact"/>
        </w:trPr>
        <w:tc>
          <w:tcPr>
            <w:tcW w:w="2763"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8"/>
              <w:ind w:right="0"/>
              <w:jc w:val="left"/>
              <w:rPr>
                <w:rFonts w:ascii="宋体" w:hAnsi="宋体" w:cs="宋体" w:eastAsia="宋体" w:hint="default"/>
                <w:sz w:val="16"/>
                <w:szCs w:val="16"/>
              </w:rPr>
            </w:pPr>
          </w:p>
          <w:p>
            <w:pPr>
              <w:pStyle w:val="TableParagraph"/>
              <w:spacing w:line="316" w:lineRule="auto"/>
              <w:ind w:left="103" w:right="101"/>
              <w:jc w:val="left"/>
              <w:rPr>
                <w:rFonts w:ascii="宋体" w:hAnsi="宋体" w:cs="宋体" w:eastAsia="宋体" w:hint="default"/>
                <w:sz w:val="18"/>
                <w:szCs w:val="18"/>
              </w:rPr>
            </w:pPr>
            <w:r>
              <w:rPr>
                <w:rFonts w:ascii="宋体" w:hAnsi="宋体" w:cs="宋体" w:eastAsia="宋体" w:hint="default"/>
                <w:sz w:val="18"/>
                <w:szCs w:val="18"/>
              </w:rPr>
              <w:t>将应收票据和应收账款合并为应</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收票据及应收账款项目</w:t>
            </w:r>
          </w:p>
        </w:tc>
        <w:tc>
          <w:tcPr>
            <w:tcW w:w="2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105"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98"/>
              <w:jc w:val="right"/>
              <w:rPr>
                <w:rFonts w:ascii="Times New Roman" w:hAnsi="Times New Roman" w:cs="Times New Roman" w:eastAsia="Times New Roman" w:hint="default"/>
                <w:sz w:val="18"/>
                <w:szCs w:val="18"/>
              </w:rPr>
            </w:pPr>
            <w:r>
              <w:rPr>
                <w:rFonts w:ascii="Times New Roman"/>
                <w:spacing w:val="-1"/>
                <w:sz w:val="18"/>
              </w:rPr>
              <w:t>101,274,757.52</w:t>
            </w:r>
          </w:p>
        </w:tc>
        <w:tc>
          <w:tcPr>
            <w:tcW w:w="2165"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2763" w:type="dxa"/>
            <w:vMerge/>
            <w:tcBorders>
              <w:left w:val="single" w:sz="4" w:space="0" w:color="000000"/>
              <w:right w:val="single" w:sz="4" w:space="0" w:color="000000"/>
            </w:tcBorders>
            <w:shd w:val="clear" w:color="auto" w:fill="D9D9D9"/>
          </w:tcPr>
          <w:p>
            <w:pPr/>
          </w:p>
        </w:tc>
        <w:tc>
          <w:tcPr>
            <w:tcW w:w="2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105"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8"/>
                <w:szCs w:val="18"/>
              </w:rPr>
            </w:pPr>
            <w:r>
              <w:rPr>
                <w:rFonts w:ascii="Times New Roman"/>
                <w:spacing w:val="-1"/>
                <w:sz w:val="18"/>
              </w:rPr>
              <w:t>626,954,316.42</w:t>
            </w:r>
          </w:p>
        </w:tc>
        <w:tc>
          <w:tcPr>
            <w:tcW w:w="2165"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2763" w:type="dxa"/>
            <w:vMerge/>
            <w:tcBorders>
              <w:left w:val="single" w:sz="4" w:space="0" w:color="000000"/>
              <w:bottom w:val="single" w:sz="4" w:space="0" w:color="000000"/>
              <w:right w:val="single" w:sz="4" w:space="0" w:color="000000"/>
            </w:tcBorders>
            <w:shd w:val="clear" w:color="auto" w:fill="D9D9D9"/>
          </w:tcPr>
          <w:p>
            <w:pPr/>
          </w:p>
        </w:tc>
        <w:tc>
          <w:tcPr>
            <w:tcW w:w="2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105" w:right="0"/>
              <w:jc w:val="left"/>
              <w:rPr>
                <w:rFonts w:ascii="宋体" w:hAnsi="宋体" w:cs="宋体" w:eastAsia="宋体" w:hint="default"/>
                <w:sz w:val="18"/>
                <w:szCs w:val="18"/>
              </w:rPr>
            </w:pPr>
            <w:r>
              <w:rPr>
                <w:rFonts w:ascii="宋体" w:hAnsi="宋体" w:cs="宋体" w:eastAsia="宋体" w:hint="default"/>
                <w:sz w:val="18"/>
                <w:szCs w:val="18"/>
              </w:rPr>
              <w:t>应收票据及应收账款</w:t>
            </w:r>
          </w:p>
        </w:tc>
        <w:tc>
          <w:tcPr>
            <w:tcW w:w="2163" w:type="dxa"/>
            <w:tcBorders>
              <w:top w:val="single" w:sz="4" w:space="0" w:color="000000"/>
              <w:left w:val="single" w:sz="4" w:space="0" w:color="000000"/>
              <w:bottom w:val="single" w:sz="4" w:space="0" w:color="000000"/>
              <w:right w:val="single" w:sz="4" w:space="0" w:color="000000"/>
            </w:tcBorders>
          </w:tcPr>
          <w:p>
            <w:pP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98"/>
              <w:jc w:val="right"/>
              <w:rPr>
                <w:rFonts w:ascii="Times New Roman" w:hAnsi="Times New Roman" w:cs="Times New Roman" w:eastAsia="Times New Roman" w:hint="default"/>
                <w:sz w:val="18"/>
                <w:szCs w:val="18"/>
              </w:rPr>
            </w:pPr>
            <w:r>
              <w:rPr>
                <w:rFonts w:ascii="Times New Roman"/>
                <w:spacing w:val="-1"/>
                <w:sz w:val="18"/>
              </w:rPr>
              <w:t>728,229,073.94</w:t>
            </w:r>
          </w:p>
        </w:tc>
      </w:tr>
      <w:tr>
        <w:trPr>
          <w:trHeight w:val="350" w:hRule="exact"/>
        </w:trPr>
        <w:tc>
          <w:tcPr>
            <w:tcW w:w="2763"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8"/>
              <w:ind w:right="0"/>
              <w:jc w:val="left"/>
              <w:rPr>
                <w:rFonts w:ascii="宋体" w:hAnsi="宋体" w:cs="宋体" w:eastAsia="宋体" w:hint="default"/>
                <w:sz w:val="16"/>
                <w:szCs w:val="16"/>
              </w:rPr>
            </w:pPr>
          </w:p>
          <w:p>
            <w:pPr>
              <w:pStyle w:val="TableParagraph"/>
              <w:spacing w:line="319" w:lineRule="auto"/>
              <w:ind w:left="103" w:right="101"/>
              <w:jc w:val="left"/>
              <w:rPr>
                <w:rFonts w:ascii="宋体" w:hAnsi="宋体" w:cs="宋体" w:eastAsia="宋体" w:hint="default"/>
                <w:sz w:val="18"/>
                <w:szCs w:val="18"/>
              </w:rPr>
            </w:pPr>
            <w:r>
              <w:rPr>
                <w:rFonts w:ascii="宋体" w:hAnsi="宋体" w:cs="宋体" w:eastAsia="宋体" w:hint="default"/>
                <w:sz w:val="18"/>
                <w:szCs w:val="18"/>
              </w:rPr>
              <w:t>将应收利息和应收股利并入其他</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应收款项目</w:t>
            </w:r>
          </w:p>
        </w:tc>
        <w:tc>
          <w:tcPr>
            <w:tcW w:w="2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105"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98"/>
              <w:jc w:val="right"/>
              <w:rPr>
                <w:rFonts w:ascii="Times New Roman" w:hAnsi="Times New Roman" w:cs="Times New Roman" w:eastAsia="Times New Roman" w:hint="default"/>
                <w:sz w:val="18"/>
                <w:szCs w:val="18"/>
              </w:rPr>
            </w:pPr>
            <w:r>
              <w:rPr>
                <w:rFonts w:ascii="Times New Roman"/>
                <w:spacing w:val="-1"/>
                <w:sz w:val="18"/>
              </w:rPr>
              <w:t>35,500,706.76</w:t>
            </w:r>
          </w:p>
        </w:tc>
        <w:tc>
          <w:tcPr>
            <w:tcW w:w="2165" w:type="dxa"/>
            <w:tcBorders>
              <w:top w:val="single" w:sz="4" w:space="0" w:color="000000"/>
              <w:left w:val="single" w:sz="4" w:space="0" w:color="000000"/>
              <w:bottom w:val="single" w:sz="4" w:space="0" w:color="000000"/>
              <w:right w:val="single" w:sz="4" w:space="0" w:color="000000"/>
            </w:tcBorders>
          </w:tcPr>
          <w:p>
            <w:pPr/>
          </w:p>
        </w:tc>
      </w:tr>
      <w:tr>
        <w:trPr>
          <w:trHeight w:val="351" w:hRule="exact"/>
        </w:trPr>
        <w:tc>
          <w:tcPr>
            <w:tcW w:w="2763" w:type="dxa"/>
            <w:vMerge/>
            <w:tcBorders>
              <w:left w:val="single" w:sz="4" w:space="0" w:color="000000"/>
              <w:right w:val="single" w:sz="4" w:space="0" w:color="000000"/>
            </w:tcBorders>
            <w:shd w:val="clear" w:color="auto" w:fill="D9D9D9"/>
          </w:tcPr>
          <w:p>
            <w:pPr/>
          </w:p>
        </w:tc>
        <w:tc>
          <w:tcPr>
            <w:tcW w:w="2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5"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98"/>
              <w:jc w:val="right"/>
              <w:rPr>
                <w:rFonts w:ascii="Times New Roman" w:hAnsi="Times New Roman" w:cs="Times New Roman" w:eastAsia="Times New Roman" w:hint="default"/>
                <w:sz w:val="18"/>
                <w:szCs w:val="18"/>
              </w:rPr>
            </w:pPr>
            <w:r>
              <w:rPr>
                <w:rFonts w:ascii="Times New Roman"/>
                <w:spacing w:val="-1"/>
                <w:sz w:val="18"/>
              </w:rPr>
              <w:t>23,924,933.06</w:t>
            </w:r>
          </w:p>
        </w:tc>
        <w:tc>
          <w:tcPr>
            <w:tcW w:w="2165" w:type="dxa"/>
            <w:tcBorders>
              <w:top w:val="single" w:sz="4" w:space="0" w:color="000000"/>
              <w:left w:val="single" w:sz="4" w:space="0" w:color="000000"/>
              <w:bottom w:val="single" w:sz="4" w:space="0" w:color="000000"/>
              <w:right w:val="single" w:sz="4" w:space="0" w:color="000000"/>
            </w:tcBorders>
          </w:tcPr>
          <w:p>
            <w:pPr/>
          </w:p>
        </w:tc>
      </w:tr>
      <w:tr>
        <w:trPr>
          <w:trHeight w:val="348" w:hRule="exact"/>
        </w:trPr>
        <w:tc>
          <w:tcPr>
            <w:tcW w:w="2763" w:type="dxa"/>
            <w:vMerge/>
            <w:tcBorders>
              <w:left w:val="single" w:sz="4" w:space="0" w:color="000000"/>
              <w:bottom w:val="single" w:sz="4" w:space="0" w:color="000000"/>
              <w:right w:val="single" w:sz="4" w:space="0" w:color="000000"/>
            </w:tcBorders>
            <w:shd w:val="clear" w:color="auto" w:fill="D9D9D9"/>
          </w:tcPr>
          <w:p>
            <w:pPr/>
          </w:p>
        </w:tc>
        <w:tc>
          <w:tcPr>
            <w:tcW w:w="2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105"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98"/>
              <w:jc w:val="right"/>
              <w:rPr>
                <w:rFonts w:ascii="Times New Roman" w:hAnsi="Times New Roman" w:cs="Times New Roman" w:eastAsia="Times New Roman" w:hint="default"/>
                <w:sz w:val="18"/>
                <w:szCs w:val="18"/>
              </w:rPr>
            </w:pPr>
            <w:r>
              <w:rPr>
                <w:rFonts w:ascii="Times New Roman"/>
                <w:spacing w:val="-1"/>
                <w:sz w:val="18"/>
              </w:rPr>
              <w:t>30,249,616.83</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98"/>
              <w:jc w:val="right"/>
              <w:rPr>
                <w:rFonts w:ascii="Times New Roman" w:hAnsi="Times New Roman" w:cs="Times New Roman" w:eastAsia="Times New Roman" w:hint="default"/>
                <w:sz w:val="18"/>
                <w:szCs w:val="18"/>
              </w:rPr>
            </w:pPr>
            <w:r>
              <w:rPr>
                <w:rFonts w:ascii="Times New Roman"/>
                <w:spacing w:val="-1"/>
                <w:sz w:val="18"/>
              </w:rPr>
              <w:t>89,675,256.65</w:t>
            </w:r>
          </w:p>
        </w:tc>
      </w:tr>
      <w:tr>
        <w:trPr>
          <w:trHeight w:val="350" w:hRule="exact"/>
        </w:trPr>
        <w:tc>
          <w:tcPr>
            <w:tcW w:w="2763"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8"/>
              <w:ind w:right="0"/>
              <w:jc w:val="left"/>
              <w:rPr>
                <w:rFonts w:ascii="宋体" w:hAnsi="宋体" w:cs="宋体" w:eastAsia="宋体" w:hint="default"/>
                <w:sz w:val="16"/>
                <w:szCs w:val="16"/>
              </w:rPr>
            </w:pPr>
          </w:p>
          <w:p>
            <w:pPr>
              <w:pStyle w:val="TableParagraph"/>
              <w:spacing w:line="316" w:lineRule="auto"/>
              <w:ind w:left="103" w:right="101"/>
              <w:jc w:val="left"/>
              <w:rPr>
                <w:rFonts w:ascii="宋体" w:hAnsi="宋体" w:cs="宋体" w:eastAsia="宋体" w:hint="default"/>
                <w:sz w:val="18"/>
                <w:szCs w:val="18"/>
              </w:rPr>
            </w:pPr>
            <w:r>
              <w:rPr>
                <w:rFonts w:ascii="宋体" w:hAnsi="宋体" w:cs="宋体" w:eastAsia="宋体" w:hint="default"/>
                <w:sz w:val="18"/>
                <w:szCs w:val="18"/>
              </w:rPr>
              <w:t>将应付票据和应付账款合并为应</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付票据及应付账款项目</w:t>
            </w:r>
          </w:p>
        </w:tc>
        <w:tc>
          <w:tcPr>
            <w:tcW w:w="2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105"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98"/>
              <w:jc w:val="right"/>
              <w:rPr>
                <w:rFonts w:ascii="Times New Roman" w:hAnsi="Times New Roman" w:cs="Times New Roman" w:eastAsia="Times New Roman" w:hint="default"/>
                <w:sz w:val="18"/>
                <w:szCs w:val="18"/>
              </w:rPr>
            </w:pPr>
            <w:r>
              <w:rPr>
                <w:rFonts w:ascii="Times New Roman"/>
                <w:spacing w:val="-1"/>
                <w:sz w:val="18"/>
              </w:rPr>
              <w:t>5,724,911.00</w:t>
            </w:r>
          </w:p>
        </w:tc>
        <w:tc>
          <w:tcPr>
            <w:tcW w:w="2165"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2763" w:type="dxa"/>
            <w:vMerge/>
            <w:tcBorders>
              <w:left w:val="single" w:sz="4" w:space="0" w:color="000000"/>
              <w:right w:val="single" w:sz="4" w:space="0" w:color="000000"/>
            </w:tcBorders>
            <w:shd w:val="clear" w:color="auto" w:fill="D9D9D9"/>
          </w:tcPr>
          <w:p>
            <w:pPr/>
          </w:p>
        </w:tc>
        <w:tc>
          <w:tcPr>
            <w:tcW w:w="2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105"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98"/>
              <w:jc w:val="right"/>
              <w:rPr>
                <w:rFonts w:ascii="Times New Roman" w:hAnsi="Times New Roman" w:cs="Times New Roman" w:eastAsia="Times New Roman" w:hint="default"/>
                <w:sz w:val="18"/>
                <w:szCs w:val="18"/>
              </w:rPr>
            </w:pPr>
            <w:r>
              <w:rPr>
                <w:rFonts w:ascii="Times New Roman"/>
                <w:spacing w:val="-1"/>
                <w:sz w:val="18"/>
              </w:rPr>
              <w:t>116,651,648.93</w:t>
            </w:r>
          </w:p>
        </w:tc>
        <w:tc>
          <w:tcPr>
            <w:tcW w:w="2165"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2763" w:type="dxa"/>
            <w:vMerge/>
            <w:tcBorders>
              <w:left w:val="single" w:sz="4" w:space="0" w:color="000000"/>
              <w:bottom w:val="single" w:sz="4" w:space="0" w:color="000000"/>
              <w:right w:val="single" w:sz="4" w:space="0" w:color="000000"/>
            </w:tcBorders>
            <w:shd w:val="clear" w:color="auto" w:fill="D9D9D9"/>
          </w:tcPr>
          <w:p>
            <w:pPr/>
          </w:p>
        </w:tc>
        <w:tc>
          <w:tcPr>
            <w:tcW w:w="2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105" w:right="0"/>
              <w:jc w:val="left"/>
              <w:rPr>
                <w:rFonts w:ascii="宋体" w:hAnsi="宋体" w:cs="宋体" w:eastAsia="宋体" w:hint="default"/>
                <w:sz w:val="18"/>
                <w:szCs w:val="18"/>
              </w:rPr>
            </w:pPr>
            <w:r>
              <w:rPr>
                <w:rFonts w:ascii="宋体" w:hAnsi="宋体" w:cs="宋体" w:eastAsia="宋体" w:hint="default"/>
                <w:sz w:val="18"/>
                <w:szCs w:val="18"/>
              </w:rPr>
              <w:t>应付票据及应付账款</w:t>
            </w:r>
          </w:p>
        </w:tc>
        <w:tc>
          <w:tcPr>
            <w:tcW w:w="2163" w:type="dxa"/>
            <w:tcBorders>
              <w:top w:val="single" w:sz="4" w:space="0" w:color="000000"/>
              <w:left w:val="single" w:sz="4" w:space="0" w:color="000000"/>
              <w:bottom w:val="single" w:sz="4" w:space="0" w:color="000000"/>
              <w:right w:val="single" w:sz="4" w:space="0" w:color="000000"/>
            </w:tcBorders>
          </w:tcPr>
          <w:p>
            <w:pP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98"/>
              <w:jc w:val="right"/>
              <w:rPr>
                <w:rFonts w:ascii="Times New Roman" w:hAnsi="Times New Roman" w:cs="Times New Roman" w:eastAsia="Times New Roman" w:hint="default"/>
                <w:sz w:val="18"/>
                <w:szCs w:val="18"/>
              </w:rPr>
            </w:pPr>
            <w:r>
              <w:rPr>
                <w:rFonts w:ascii="Times New Roman"/>
                <w:spacing w:val="-1"/>
                <w:sz w:val="18"/>
              </w:rPr>
              <w:t>122,376,559.93</w:t>
            </w:r>
          </w:p>
        </w:tc>
      </w:tr>
      <w:tr>
        <w:trPr>
          <w:trHeight w:val="350" w:hRule="exact"/>
        </w:trPr>
        <w:tc>
          <w:tcPr>
            <w:tcW w:w="2763"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8"/>
              <w:ind w:right="0"/>
              <w:jc w:val="left"/>
              <w:rPr>
                <w:rFonts w:ascii="宋体" w:hAnsi="宋体" w:cs="宋体" w:eastAsia="宋体" w:hint="default"/>
                <w:sz w:val="16"/>
                <w:szCs w:val="16"/>
              </w:rPr>
            </w:pPr>
          </w:p>
          <w:p>
            <w:pPr>
              <w:pStyle w:val="TableParagraph"/>
              <w:spacing w:line="316" w:lineRule="auto"/>
              <w:ind w:left="103" w:right="101"/>
              <w:jc w:val="left"/>
              <w:rPr>
                <w:rFonts w:ascii="宋体" w:hAnsi="宋体" w:cs="宋体" w:eastAsia="宋体" w:hint="default"/>
                <w:sz w:val="18"/>
                <w:szCs w:val="18"/>
              </w:rPr>
            </w:pPr>
            <w:r>
              <w:rPr>
                <w:rFonts w:ascii="宋体" w:hAnsi="宋体" w:cs="宋体" w:eastAsia="宋体" w:hint="default"/>
                <w:sz w:val="18"/>
                <w:szCs w:val="18"/>
              </w:rPr>
              <w:t>将应付利息和应付股利并入其他</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应付款项目</w:t>
            </w:r>
          </w:p>
        </w:tc>
        <w:tc>
          <w:tcPr>
            <w:tcW w:w="2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105"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98"/>
              <w:jc w:val="right"/>
              <w:rPr>
                <w:rFonts w:ascii="Times New Roman" w:hAnsi="Times New Roman" w:cs="Times New Roman" w:eastAsia="Times New Roman" w:hint="default"/>
                <w:sz w:val="18"/>
                <w:szCs w:val="18"/>
              </w:rPr>
            </w:pPr>
            <w:r>
              <w:rPr>
                <w:rFonts w:ascii="Times New Roman"/>
                <w:spacing w:val="-1"/>
                <w:sz w:val="18"/>
              </w:rPr>
              <w:t>320,547.95</w:t>
            </w:r>
          </w:p>
        </w:tc>
        <w:tc>
          <w:tcPr>
            <w:tcW w:w="2165"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2763" w:type="dxa"/>
            <w:vMerge/>
            <w:tcBorders>
              <w:left w:val="single" w:sz="4" w:space="0" w:color="000000"/>
              <w:right w:val="single" w:sz="4" w:space="0" w:color="000000"/>
            </w:tcBorders>
            <w:shd w:val="clear" w:color="auto" w:fill="D9D9D9"/>
          </w:tcPr>
          <w:p>
            <w:pPr/>
          </w:p>
        </w:tc>
        <w:tc>
          <w:tcPr>
            <w:tcW w:w="2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105"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2163" w:type="dxa"/>
            <w:tcBorders>
              <w:top w:val="single" w:sz="4" w:space="0" w:color="000000"/>
              <w:left w:val="single" w:sz="4" w:space="0" w:color="000000"/>
              <w:bottom w:val="single" w:sz="4" w:space="0" w:color="000000"/>
              <w:right w:val="single" w:sz="4" w:space="0" w:color="000000"/>
            </w:tcBorders>
          </w:tcPr>
          <w:p>
            <w:pPr/>
          </w:p>
        </w:tc>
        <w:tc>
          <w:tcPr>
            <w:tcW w:w="2165" w:type="dxa"/>
            <w:tcBorders>
              <w:top w:val="single" w:sz="4" w:space="0" w:color="000000"/>
              <w:left w:val="single" w:sz="4" w:space="0" w:color="000000"/>
              <w:bottom w:val="single" w:sz="4" w:space="0" w:color="000000"/>
              <w:right w:val="single" w:sz="4" w:space="0" w:color="000000"/>
            </w:tcBorders>
          </w:tcPr>
          <w:p>
            <w:pPr/>
          </w:p>
        </w:tc>
      </w:tr>
      <w:tr>
        <w:trPr>
          <w:trHeight w:val="348" w:hRule="exact"/>
        </w:trPr>
        <w:tc>
          <w:tcPr>
            <w:tcW w:w="2763" w:type="dxa"/>
            <w:vMerge/>
            <w:tcBorders>
              <w:left w:val="single" w:sz="4" w:space="0" w:color="000000"/>
              <w:bottom w:val="single" w:sz="4" w:space="0" w:color="FFFFFF"/>
              <w:right w:val="single" w:sz="4" w:space="0" w:color="000000"/>
            </w:tcBorders>
            <w:shd w:val="clear" w:color="auto" w:fill="D9D9D9"/>
          </w:tcPr>
          <w:p>
            <w:pPr/>
          </w:p>
        </w:tc>
        <w:tc>
          <w:tcPr>
            <w:tcW w:w="2766"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22"/>
              <w:ind w:left="105"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163"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64"/>
              <w:ind w:right="99"/>
              <w:jc w:val="right"/>
              <w:rPr>
                <w:rFonts w:ascii="Times New Roman" w:hAnsi="Times New Roman" w:cs="Times New Roman" w:eastAsia="Times New Roman" w:hint="default"/>
                <w:sz w:val="18"/>
                <w:szCs w:val="18"/>
              </w:rPr>
            </w:pPr>
            <w:r>
              <w:rPr>
                <w:rFonts w:ascii="Times New Roman"/>
                <w:spacing w:val="-1"/>
                <w:sz w:val="18"/>
              </w:rPr>
              <w:t>2,240,998,697.04</w:t>
            </w:r>
          </w:p>
        </w:tc>
        <w:tc>
          <w:tcPr>
            <w:tcW w:w="2165"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64"/>
              <w:ind w:right="99"/>
              <w:jc w:val="right"/>
              <w:rPr>
                <w:rFonts w:ascii="Times New Roman" w:hAnsi="Times New Roman" w:cs="Times New Roman" w:eastAsia="Times New Roman" w:hint="default"/>
                <w:sz w:val="18"/>
                <w:szCs w:val="18"/>
              </w:rPr>
            </w:pPr>
            <w:r>
              <w:rPr>
                <w:rFonts w:ascii="Times New Roman"/>
                <w:spacing w:val="-1"/>
                <w:sz w:val="18"/>
              </w:rPr>
              <w:t>2,241,319,244.99</w:t>
            </w:r>
          </w:p>
        </w:tc>
      </w:tr>
      <w:tr>
        <w:trPr>
          <w:trHeight w:val="350" w:hRule="exact"/>
        </w:trPr>
        <w:tc>
          <w:tcPr>
            <w:tcW w:w="2763" w:type="dxa"/>
            <w:tcBorders>
              <w:top w:val="single" w:sz="4" w:space="0" w:color="FFFFFF"/>
              <w:left w:val="single" w:sz="4" w:space="0" w:color="000000"/>
              <w:bottom w:val="single" w:sz="4" w:space="0" w:color="000000"/>
              <w:right w:val="single" w:sz="4" w:space="0" w:color="000000"/>
            </w:tcBorders>
            <w:shd w:val="clear" w:color="auto" w:fill="D9D9D9"/>
          </w:tcPr>
          <w:p>
            <w:pPr>
              <w:pStyle w:val="TableParagraph"/>
              <w:spacing w:line="240" w:lineRule="auto" w:before="22"/>
              <w:ind w:left="103" w:right="0"/>
              <w:jc w:val="left"/>
              <w:rPr>
                <w:rFonts w:ascii="宋体" w:hAnsi="宋体" w:cs="宋体" w:eastAsia="宋体" w:hint="default"/>
                <w:sz w:val="18"/>
                <w:szCs w:val="18"/>
              </w:rPr>
            </w:pPr>
            <w:r>
              <w:rPr>
                <w:rFonts w:ascii="宋体" w:hAnsi="宋体" w:cs="宋体" w:eastAsia="宋体" w:hint="default"/>
                <w:sz w:val="18"/>
                <w:szCs w:val="18"/>
              </w:rPr>
              <w:t>将原管理费用中的研发费用产单</w:t>
            </w:r>
          </w:p>
        </w:tc>
        <w:tc>
          <w:tcPr>
            <w:tcW w:w="2766"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22"/>
              <w:ind w:left="105"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2163"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64"/>
              <w:ind w:right="99"/>
              <w:jc w:val="right"/>
              <w:rPr>
                <w:rFonts w:ascii="Times New Roman" w:hAnsi="Times New Roman" w:cs="Times New Roman" w:eastAsia="Times New Roman" w:hint="default"/>
                <w:sz w:val="18"/>
                <w:szCs w:val="18"/>
              </w:rPr>
            </w:pPr>
            <w:r>
              <w:rPr>
                <w:rFonts w:ascii="Times New Roman"/>
                <w:spacing w:val="-1"/>
                <w:sz w:val="18"/>
              </w:rPr>
              <w:t>1,314,248,738.41</w:t>
            </w:r>
          </w:p>
        </w:tc>
        <w:tc>
          <w:tcPr>
            <w:tcW w:w="2165"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64"/>
              <w:ind w:right="98"/>
              <w:jc w:val="right"/>
              <w:rPr>
                <w:rFonts w:ascii="Times New Roman" w:hAnsi="Times New Roman" w:cs="Times New Roman" w:eastAsia="Times New Roman" w:hint="default"/>
                <w:sz w:val="18"/>
                <w:szCs w:val="18"/>
              </w:rPr>
            </w:pPr>
            <w:r>
              <w:rPr>
                <w:rFonts w:ascii="Times New Roman"/>
                <w:spacing w:val="-1"/>
                <w:sz w:val="18"/>
              </w:rPr>
              <w:t>440,751,131.82</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20" w:right="0"/>
        </w:sectPr>
      </w:pPr>
    </w:p>
    <w:p>
      <w:pPr>
        <w:spacing w:line="240" w:lineRule="auto" w:before="6"/>
        <w:rPr>
          <w:rFonts w:ascii="宋体" w:hAnsi="宋体" w:cs="宋体" w:eastAsia="宋体" w:hint="default"/>
          <w:sz w:val="28"/>
          <w:szCs w:val="28"/>
        </w:rPr>
      </w:pPr>
    </w:p>
    <w:tbl>
      <w:tblPr>
        <w:tblW w:w="0" w:type="auto"/>
        <w:jc w:val="left"/>
        <w:tblInd w:w="101" w:type="dxa"/>
        <w:tblLayout w:type="fixed"/>
        <w:tblCellMar>
          <w:top w:w="0" w:type="dxa"/>
          <w:left w:w="0" w:type="dxa"/>
          <w:bottom w:w="0" w:type="dxa"/>
          <w:right w:w="0" w:type="dxa"/>
        </w:tblCellMar>
        <w:tblLook w:val="01E0"/>
      </w:tblPr>
      <w:tblGrid>
        <w:gridCol w:w="2762"/>
        <w:gridCol w:w="2766"/>
        <w:gridCol w:w="2163"/>
        <w:gridCol w:w="2165"/>
      </w:tblGrid>
      <w:tr>
        <w:trPr>
          <w:trHeight w:val="351" w:hRule="exact"/>
        </w:trPr>
        <w:tc>
          <w:tcPr>
            <w:tcW w:w="276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left="102" w:right="0"/>
              <w:jc w:val="left"/>
              <w:rPr>
                <w:rFonts w:ascii="宋体" w:hAnsi="宋体" w:cs="宋体" w:eastAsia="宋体" w:hint="default"/>
                <w:sz w:val="18"/>
                <w:szCs w:val="18"/>
              </w:rPr>
            </w:pPr>
            <w:r>
              <w:rPr>
                <w:rFonts w:ascii="宋体" w:hAnsi="宋体" w:cs="宋体" w:eastAsia="宋体" w:hint="default"/>
                <w:sz w:val="18"/>
                <w:szCs w:val="18"/>
              </w:rPr>
              <w:t>独列示为研发费用项目</w:t>
            </w:r>
          </w:p>
        </w:tc>
        <w:tc>
          <w:tcPr>
            <w:tcW w:w="2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105"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2163" w:type="dxa"/>
            <w:tcBorders>
              <w:top w:val="single" w:sz="4" w:space="0" w:color="000000"/>
              <w:left w:val="single" w:sz="4" w:space="0" w:color="000000"/>
              <w:bottom w:val="single" w:sz="4" w:space="0" w:color="000000"/>
              <w:right w:val="single" w:sz="4" w:space="0" w:color="000000"/>
            </w:tcBorders>
          </w:tcPr>
          <w:p>
            <w:pP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929" w:right="0"/>
              <w:jc w:val="left"/>
              <w:rPr>
                <w:rFonts w:ascii="Times New Roman" w:hAnsi="Times New Roman" w:cs="Times New Roman" w:eastAsia="Times New Roman" w:hint="default"/>
                <w:sz w:val="18"/>
                <w:szCs w:val="18"/>
              </w:rPr>
            </w:pPr>
            <w:r>
              <w:rPr>
                <w:rFonts w:ascii="Times New Roman"/>
                <w:sz w:val="18"/>
              </w:rPr>
              <w:t>873,497,606.59</w:t>
            </w:r>
          </w:p>
        </w:tc>
      </w:tr>
    </w:tbl>
    <w:p>
      <w:pPr>
        <w:spacing w:line="240" w:lineRule="auto" w:before="1"/>
        <w:rPr>
          <w:rFonts w:ascii="宋体" w:hAnsi="宋体" w:cs="宋体" w:eastAsia="宋体" w:hint="default"/>
          <w:sz w:val="18"/>
          <w:szCs w:val="18"/>
        </w:rPr>
      </w:pPr>
    </w:p>
    <w:p>
      <w:pPr>
        <w:pStyle w:val="Heading2"/>
        <w:spacing w:line="240" w:lineRule="auto" w:before="26"/>
        <w:ind w:left="212" w:right="1035"/>
        <w:jc w:val="left"/>
        <w:rPr>
          <w:b w:val="0"/>
          <w:bCs w:val="0"/>
        </w:rPr>
      </w:pPr>
      <w:r>
        <w:rPr/>
        <w:t>七、报告期内发生重大会计差错更正需追溯重述的情况说明</w:t>
      </w:r>
      <w:r>
        <w:rPr>
          <w:b w:val="0"/>
          <w:bCs w:val="0"/>
        </w:rPr>
      </w:r>
    </w:p>
    <w:p>
      <w:pPr>
        <w:spacing w:line="240" w:lineRule="auto" w:before="6"/>
        <w:rPr>
          <w:rFonts w:ascii="宋体" w:hAnsi="宋体" w:cs="宋体" w:eastAsia="宋体" w:hint="default"/>
          <w:b/>
          <w:bCs/>
          <w:sz w:val="26"/>
          <w:szCs w:val="26"/>
        </w:rPr>
      </w:pPr>
    </w:p>
    <w:p>
      <w:pPr>
        <w:pStyle w:val="BodyText"/>
        <w:spacing w:line="338" w:lineRule="auto"/>
        <w:ind w:left="212" w:right="661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公司报告期无重大会计差错更正需追溯重述的情况。</w:t>
      </w:r>
    </w:p>
    <w:p>
      <w:pPr>
        <w:spacing w:line="240" w:lineRule="auto" w:before="8"/>
        <w:rPr>
          <w:rFonts w:ascii="宋体" w:hAnsi="宋体" w:cs="宋体" w:eastAsia="宋体" w:hint="default"/>
          <w:sz w:val="19"/>
          <w:szCs w:val="19"/>
        </w:rPr>
      </w:pPr>
    </w:p>
    <w:p>
      <w:pPr>
        <w:pStyle w:val="Heading2"/>
        <w:spacing w:line="240" w:lineRule="auto"/>
        <w:ind w:left="212" w:right="1035"/>
        <w:jc w:val="left"/>
        <w:rPr>
          <w:b w:val="0"/>
          <w:bCs w:val="0"/>
        </w:rPr>
      </w:pPr>
      <w:r>
        <w:rPr/>
        <w:t>八、与上年度财务报告相比，合并报表范围发生变化的情况说明</w:t>
      </w:r>
      <w:r>
        <w:rPr>
          <w:b w:val="0"/>
          <w:bCs w:val="0"/>
        </w:rPr>
      </w:r>
    </w:p>
    <w:p>
      <w:pPr>
        <w:spacing w:line="240" w:lineRule="auto" w:before="6"/>
        <w:rPr>
          <w:rFonts w:ascii="宋体" w:hAnsi="宋体" w:cs="宋体" w:eastAsia="宋体" w:hint="default"/>
          <w:b/>
          <w:bCs/>
          <w:sz w:val="26"/>
          <w:szCs w:val="26"/>
        </w:rPr>
      </w:pPr>
    </w:p>
    <w:p>
      <w:pPr>
        <w:pStyle w:val="BodyText"/>
        <w:spacing w:line="328" w:lineRule="auto"/>
        <w:ind w:left="212" w:right="2304"/>
        <w:jc w:val="left"/>
        <w:rPr>
          <w:rFonts w:ascii="宋体" w:hAnsi="宋体" w:cs="宋体" w:eastAsia="宋体" w:hint="default"/>
        </w:rPr>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2"/>
        </w:rPr>
        <w:t> </w:t>
      </w:r>
      <w:r>
        <w:rPr/>
        <w:t>不适用 本报告期内，公司投资设立北京六分科技有限公司，自设立之日起将其纳入合并报表范围。</w:t>
      </w:r>
      <w:r>
        <w:rPr>
          <w:rFonts w:ascii="宋体" w:hAnsi="宋体" w:cs="宋体" w:eastAsia="宋体" w:hint="default"/>
        </w:rPr>
        <w:t> </w:t>
      </w:r>
      <w:r>
        <w:rPr/>
        <w:t>本报告期内，公司投资设立四维图新日本有限公司，自设立之日起将其纳入合并报表范围。</w:t>
      </w:r>
      <w:r>
        <w:rPr>
          <w:rFonts w:ascii="宋体" w:hAnsi="宋体" w:cs="宋体" w:eastAsia="宋体" w:hint="default"/>
        </w:rPr>
        <w:t> </w:t>
      </w:r>
    </w:p>
    <w:p>
      <w:pPr>
        <w:pStyle w:val="BodyText"/>
        <w:spacing w:line="312" w:lineRule="auto" w:before="10"/>
        <w:ind w:left="212" w:right="1035"/>
        <w:jc w:val="left"/>
      </w:pPr>
      <w:r>
        <w:rPr/>
        <w:t>本报告期内，第三方股东对</w:t>
      </w:r>
      <w:r>
        <w:rPr>
          <w:rFonts w:ascii="Times New Roman" w:hAnsi="Times New Roman" w:cs="Times New Roman" w:eastAsia="Times New Roman" w:hint="default"/>
        </w:rPr>
        <w:t>Mapbar Technology Limited</w:t>
      </w:r>
      <w:r>
        <w:rPr/>
        <w:t>增资，本公司失去对</w:t>
      </w:r>
      <w:r>
        <w:rPr>
          <w:rFonts w:ascii="Times New Roman" w:hAnsi="Times New Roman" w:cs="Times New Roman" w:eastAsia="Times New Roman" w:hint="default"/>
        </w:rPr>
        <w:t>Mapbar Technology</w:t>
      </w:r>
      <w:r>
        <w:rPr>
          <w:rFonts w:ascii="Times New Roman" w:hAnsi="Times New Roman" w:cs="Times New Roman" w:eastAsia="Times New Roman" w:hint="default"/>
          <w:spacing w:val="22"/>
        </w:rPr>
        <w:t> </w:t>
      </w:r>
      <w:r>
        <w:rPr>
          <w:rFonts w:ascii="Times New Roman" w:hAnsi="Times New Roman" w:cs="Times New Roman" w:eastAsia="Times New Roman" w:hint="default"/>
        </w:rPr>
        <w:t>Limited</w:t>
      </w:r>
      <w:r>
        <w:rPr/>
        <w:t>的控制权，不再将其 纳入合并范围。 本报告期内，公司转让所持有的北京图新智盛信息技术有限公司股权，自交割完成日起不再将其纳入合并范围。 本报告期内，公司注销全资子公司西安四维图新实业有限公司，自注销完成日起不再将其纳入合并范围。</w:t>
      </w:r>
    </w:p>
    <w:p>
      <w:pPr>
        <w:spacing w:line="240" w:lineRule="auto" w:before="2"/>
        <w:rPr>
          <w:rFonts w:ascii="宋体" w:hAnsi="宋体" w:cs="宋体" w:eastAsia="宋体" w:hint="default"/>
          <w:sz w:val="21"/>
          <w:szCs w:val="21"/>
        </w:rPr>
      </w:pPr>
    </w:p>
    <w:p>
      <w:pPr>
        <w:pStyle w:val="Heading2"/>
        <w:spacing w:line="240" w:lineRule="auto"/>
        <w:ind w:left="212" w:right="1035"/>
        <w:jc w:val="left"/>
        <w:rPr>
          <w:b w:val="0"/>
          <w:bCs w:val="0"/>
        </w:rPr>
      </w:pPr>
      <w:r>
        <w:rPr/>
        <w:t>九、聘任、解聘会计师事务所情况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left="212" w:right="1035"/>
        <w:jc w:val="left"/>
      </w:pPr>
      <w:r>
        <w:rPr/>
        <w:t>现聘任的会计师事务所</w:t>
      </w:r>
    </w:p>
    <w:p>
      <w:pPr>
        <w:spacing w:line="240" w:lineRule="auto" w:before="4"/>
        <w:rPr>
          <w:rFonts w:ascii="宋体" w:hAnsi="宋体" w:cs="宋体" w:eastAsia="宋体" w:hint="default"/>
          <w:sz w:val="8"/>
          <w:szCs w:val="8"/>
        </w:rPr>
      </w:pPr>
    </w:p>
    <w:tbl>
      <w:tblPr>
        <w:tblW w:w="0" w:type="auto"/>
        <w:jc w:val="left"/>
        <w:tblInd w:w="209" w:type="dxa"/>
        <w:tblLayout w:type="fixed"/>
        <w:tblCellMar>
          <w:top w:w="0" w:type="dxa"/>
          <w:left w:w="0" w:type="dxa"/>
          <w:bottom w:w="0" w:type="dxa"/>
          <w:right w:w="0" w:type="dxa"/>
        </w:tblCellMar>
        <w:tblLook w:val="01E0"/>
      </w:tblPr>
      <w:tblGrid>
        <w:gridCol w:w="4790"/>
        <w:gridCol w:w="4779"/>
      </w:tblGrid>
      <w:tr>
        <w:trPr>
          <w:trHeight w:val="401" w:hRule="exact"/>
        </w:trPr>
        <w:tc>
          <w:tcPr>
            <w:tcW w:w="4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境内会计师事务所名称</w:t>
            </w:r>
          </w:p>
        </w:tc>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信永中和会计师事务所（特殊普通合伙）</w:t>
            </w:r>
          </w:p>
        </w:tc>
      </w:tr>
      <w:tr>
        <w:trPr>
          <w:trHeight w:val="403" w:hRule="exact"/>
        </w:trPr>
        <w:tc>
          <w:tcPr>
            <w:tcW w:w="4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境内会计师事务所报酬（万元）</w:t>
            </w:r>
          </w:p>
        </w:tc>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190</w:t>
            </w:r>
          </w:p>
        </w:tc>
      </w:tr>
      <w:tr>
        <w:trPr>
          <w:trHeight w:val="401" w:hRule="exact"/>
        </w:trPr>
        <w:tc>
          <w:tcPr>
            <w:tcW w:w="4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境内会计师事务所审计服务的连续年限</w:t>
            </w:r>
          </w:p>
        </w:tc>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十二年</w:t>
            </w:r>
          </w:p>
        </w:tc>
      </w:tr>
      <w:tr>
        <w:trPr>
          <w:trHeight w:val="403" w:hRule="exact"/>
        </w:trPr>
        <w:tc>
          <w:tcPr>
            <w:tcW w:w="4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境内会计师事务所注册会计师姓名</w:t>
            </w:r>
          </w:p>
        </w:tc>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季晟、李宏志</w:t>
            </w:r>
          </w:p>
        </w:tc>
      </w:tr>
      <w:tr>
        <w:trPr>
          <w:trHeight w:val="401" w:hRule="exact"/>
        </w:trPr>
        <w:tc>
          <w:tcPr>
            <w:tcW w:w="4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境内会计师事务所注册会计师审计服务的连续年限</w:t>
            </w:r>
          </w:p>
        </w:tc>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四年</w:t>
            </w:r>
          </w:p>
        </w:tc>
      </w:tr>
    </w:tbl>
    <w:p>
      <w:pPr>
        <w:pStyle w:val="BodyText"/>
        <w:spacing w:line="240" w:lineRule="auto" w:before="49"/>
        <w:ind w:left="212" w:right="1035"/>
        <w:jc w:val="left"/>
      </w:pPr>
      <w:r>
        <w:rPr/>
        <w:t>当期是否改聘会计师事务所</w:t>
      </w:r>
    </w:p>
    <w:p>
      <w:pPr>
        <w:pStyle w:val="BodyText"/>
        <w:spacing w:line="338" w:lineRule="auto" w:before="117"/>
        <w:ind w:left="212" w:right="6254"/>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否 聘请内部控制审计会计师事务所、财务顾问或保荐人情况</w:t>
      </w:r>
    </w:p>
    <w:p>
      <w:pPr>
        <w:pStyle w:val="BodyText"/>
        <w:spacing w:line="240" w:lineRule="auto" w:before="43"/>
        <w:ind w:left="212" w:right="1035"/>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3"/>
        <w:rPr>
          <w:rFonts w:ascii="宋体" w:hAnsi="宋体" w:cs="宋体" w:eastAsia="宋体" w:hint="default"/>
          <w:sz w:val="24"/>
          <w:szCs w:val="24"/>
        </w:rPr>
      </w:pPr>
    </w:p>
    <w:p>
      <w:pPr>
        <w:pStyle w:val="Heading2"/>
        <w:spacing w:line="240" w:lineRule="auto"/>
        <w:ind w:left="212" w:right="1035"/>
        <w:jc w:val="left"/>
        <w:rPr>
          <w:b w:val="0"/>
          <w:bCs w:val="0"/>
        </w:rPr>
      </w:pPr>
      <w:r>
        <w:rPr/>
        <w:t>十、年度报告披露后面临暂停上市和终止上市情况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212" w:right="1035"/>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3"/>
        <w:rPr>
          <w:rFonts w:ascii="宋体" w:hAnsi="宋体" w:cs="宋体" w:eastAsia="宋体" w:hint="default"/>
          <w:sz w:val="24"/>
          <w:szCs w:val="24"/>
        </w:rPr>
      </w:pPr>
    </w:p>
    <w:p>
      <w:pPr>
        <w:pStyle w:val="Heading2"/>
        <w:spacing w:line="240" w:lineRule="auto"/>
        <w:ind w:left="212" w:right="1035"/>
        <w:jc w:val="left"/>
        <w:rPr>
          <w:b w:val="0"/>
          <w:bCs w:val="0"/>
        </w:rPr>
      </w:pPr>
      <w:r>
        <w:rPr/>
        <w:t>十一、破产重整相关事项</w:t>
      </w:r>
      <w:r>
        <w:rPr>
          <w:b w:val="0"/>
          <w:bCs w:val="0"/>
        </w:rPr>
      </w:r>
    </w:p>
    <w:p>
      <w:pPr>
        <w:spacing w:line="240" w:lineRule="auto" w:before="6"/>
        <w:rPr>
          <w:rFonts w:ascii="宋体" w:hAnsi="宋体" w:cs="宋体" w:eastAsia="宋体" w:hint="default"/>
          <w:b/>
          <w:bCs/>
          <w:sz w:val="26"/>
          <w:szCs w:val="26"/>
        </w:rPr>
      </w:pPr>
    </w:p>
    <w:p>
      <w:pPr>
        <w:pStyle w:val="BodyText"/>
        <w:spacing w:line="340" w:lineRule="auto"/>
        <w:ind w:left="212" w:right="769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公司报告期未发生破产重整相关事项。</w:t>
      </w:r>
    </w:p>
    <w:p>
      <w:pPr>
        <w:spacing w:line="240" w:lineRule="auto" w:before="4"/>
        <w:rPr>
          <w:rFonts w:ascii="宋体" w:hAnsi="宋体" w:cs="宋体" w:eastAsia="宋体" w:hint="default"/>
          <w:sz w:val="19"/>
          <w:szCs w:val="19"/>
        </w:rPr>
      </w:pPr>
    </w:p>
    <w:p>
      <w:pPr>
        <w:pStyle w:val="Heading2"/>
        <w:spacing w:line="240" w:lineRule="auto"/>
        <w:ind w:left="212" w:right="1035"/>
        <w:jc w:val="left"/>
        <w:rPr>
          <w:b w:val="0"/>
          <w:bCs w:val="0"/>
        </w:rPr>
      </w:pPr>
      <w:r>
        <w:rPr/>
        <w:t>十二、重大诉讼、仲裁事项</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left="212" w:right="1035"/>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after="0" w:line="240" w:lineRule="auto"/>
        <w:jc w:val="left"/>
        <w:sectPr>
          <w:pgSz w:w="11910" w:h="16840"/>
          <w:pgMar w:header="745" w:footer="979" w:top="1060" w:bottom="1160" w:left="920" w:right="0"/>
        </w:sectPr>
      </w:pPr>
    </w:p>
    <w:p>
      <w:pPr>
        <w:spacing w:line="240" w:lineRule="auto" w:before="9"/>
        <w:rPr>
          <w:rFonts w:ascii="宋体" w:hAnsi="宋体" w:cs="宋体" w:eastAsia="宋体" w:hint="default"/>
          <w:sz w:val="25"/>
          <w:szCs w:val="25"/>
        </w:rPr>
      </w:pPr>
    </w:p>
    <w:p>
      <w:pPr>
        <w:pStyle w:val="BodyText"/>
        <w:spacing w:line="240" w:lineRule="auto" w:before="44"/>
        <w:ind w:right="0"/>
        <w:jc w:val="both"/>
      </w:pPr>
      <w:r>
        <w:rPr/>
        <w:t>本报告期公司无重大诉讼、仲裁事项。</w:t>
      </w:r>
    </w:p>
    <w:p>
      <w:pPr>
        <w:spacing w:line="240" w:lineRule="auto" w:before="4"/>
        <w:rPr>
          <w:rFonts w:ascii="宋体" w:hAnsi="宋体" w:cs="宋体" w:eastAsia="宋体" w:hint="default"/>
          <w:sz w:val="25"/>
          <w:szCs w:val="25"/>
        </w:rPr>
      </w:pPr>
    </w:p>
    <w:p>
      <w:pPr>
        <w:pStyle w:val="Heading2"/>
        <w:spacing w:line="240" w:lineRule="auto"/>
        <w:ind w:right="0"/>
        <w:jc w:val="both"/>
        <w:rPr>
          <w:b w:val="0"/>
          <w:bCs w:val="0"/>
        </w:rPr>
      </w:pPr>
      <w:r>
        <w:rPr/>
        <w:t>十三、处罚及整改情况</w:t>
      </w:r>
      <w:r>
        <w:rPr>
          <w:b w:val="0"/>
          <w:bCs w:val="0"/>
        </w:rPr>
      </w:r>
    </w:p>
    <w:p>
      <w:pPr>
        <w:spacing w:line="240" w:lineRule="auto" w:before="6"/>
        <w:rPr>
          <w:rFonts w:ascii="宋体" w:hAnsi="宋体" w:cs="宋体" w:eastAsia="宋体" w:hint="default"/>
          <w:b/>
          <w:bCs/>
          <w:sz w:val="26"/>
          <w:szCs w:val="26"/>
        </w:rPr>
      </w:pPr>
    </w:p>
    <w:p>
      <w:pPr>
        <w:pStyle w:val="BodyText"/>
        <w:spacing w:line="338" w:lineRule="auto"/>
        <w:ind w:right="787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公司报告期不存在处罚及整改情况。</w:t>
      </w:r>
    </w:p>
    <w:p>
      <w:pPr>
        <w:spacing w:line="240" w:lineRule="auto" w:before="8"/>
        <w:rPr>
          <w:rFonts w:ascii="宋体" w:hAnsi="宋体" w:cs="宋体" w:eastAsia="宋体" w:hint="default"/>
          <w:sz w:val="19"/>
          <w:szCs w:val="19"/>
        </w:rPr>
      </w:pPr>
    </w:p>
    <w:p>
      <w:pPr>
        <w:pStyle w:val="Heading2"/>
        <w:spacing w:line="240" w:lineRule="auto"/>
        <w:ind w:right="0"/>
        <w:jc w:val="both"/>
        <w:rPr>
          <w:b w:val="0"/>
          <w:bCs w:val="0"/>
        </w:rPr>
      </w:pPr>
      <w:r>
        <w:rPr/>
        <w:t>十四、公司及其控股股东、实际控制人的诚信状况</w:t>
      </w:r>
      <w:r>
        <w:rPr>
          <w:b w:val="0"/>
          <w:bCs w:val="0"/>
        </w:rPr>
      </w:r>
    </w:p>
    <w:p>
      <w:pPr>
        <w:spacing w:line="240" w:lineRule="auto" w:before="6"/>
        <w:rPr>
          <w:rFonts w:ascii="宋体" w:hAnsi="宋体" w:cs="宋体" w:eastAsia="宋体" w:hint="default"/>
          <w:b/>
          <w:bCs/>
          <w:sz w:val="26"/>
          <w:szCs w:val="26"/>
        </w:rPr>
      </w:pPr>
    </w:p>
    <w:p>
      <w:pPr>
        <w:pStyle w:val="BodyText"/>
        <w:spacing w:line="338" w:lineRule="auto"/>
        <w:ind w:right="175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2"/>
        </w:rPr>
        <w:t> </w:t>
      </w:r>
      <w:r>
        <w:rPr/>
        <w:t>不适用 报告期内，公司第一大股东及其实际控制人不存在未履行法院生效判决、所负数额较大的债务到期未清偿等情况。</w:t>
      </w:r>
    </w:p>
    <w:p>
      <w:pPr>
        <w:spacing w:line="240" w:lineRule="auto" w:before="9"/>
        <w:rPr>
          <w:rFonts w:ascii="宋体" w:hAnsi="宋体" w:cs="宋体" w:eastAsia="宋体" w:hint="default"/>
          <w:sz w:val="19"/>
          <w:szCs w:val="19"/>
        </w:rPr>
      </w:pPr>
    </w:p>
    <w:p>
      <w:pPr>
        <w:pStyle w:val="Heading2"/>
        <w:spacing w:line="240" w:lineRule="auto"/>
        <w:ind w:right="0"/>
        <w:jc w:val="both"/>
        <w:rPr>
          <w:b w:val="0"/>
          <w:bCs w:val="0"/>
        </w:rPr>
      </w:pPr>
      <w:r>
        <w:rPr/>
        <w:t>十五、公司股权激励计划、员工持股计划或其他员工激励措施的实施情况</w:t>
      </w:r>
      <w:r>
        <w:rPr>
          <w:b w:val="0"/>
          <w:bCs w:val="0"/>
        </w:rPr>
      </w:r>
    </w:p>
    <w:p>
      <w:pPr>
        <w:spacing w:line="240" w:lineRule="auto" w:before="6"/>
        <w:rPr>
          <w:rFonts w:ascii="宋体" w:hAnsi="宋体" w:cs="宋体" w:eastAsia="宋体" w:hint="default"/>
          <w:b/>
          <w:bCs/>
          <w:sz w:val="26"/>
          <w:szCs w:val="26"/>
        </w:rPr>
      </w:pPr>
    </w:p>
    <w:p>
      <w:pPr>
        <w:pStyle w:val="BodyText"/>
        <w:spacing w:line="340" w:lineRule="auto"/>
        <w:ind w:left="513" w:right="1123" w:hanging="361"/>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2"/>
        </w:rPr>
        <w:t> </w:t>
      </w:r>
      <w:r>
        <w:rPr/>
        <w:t>不适用 </w:t>
      </w:r>
      <w:r>
        <w:rPr>
          <w:rFonts w:ascii="宋体" w:hAnsi="宋体" w:cs="宋体" w:eastAsia="宋体" w:hint="default"/>
        </w:rPr>
        <w:t>1</w:t>
      </w:r>
      <w:r>
        <w:rPr/>
        <w:t>、公司于</w:t>
      </w:r>
      <w:r>
        <w:rPr>
          <w:rFonts w:ascii="宋体" w:hAnsi="宋体" w:cs="宋体" w:eastAsia="宋体" w:hint="default"/>
        </w:rPr>
        <w:t>2018</w:t>
      </w:r>
      <w:r>
        <w:rPr/>
        <w:t>年</w:t>
      </w:r>
      <w:r>
        <w:rPr>
          <w:rFonts w:ascii="宋体" w:hAnsi="宋体" w:cs="宋体" w:eastAsia="宋体" w:hint="default"/>
        </w:rPr>
        <w:t>3</w:t>
      </w:r>
      <w:r>
        <w:rPr/>
        <w:t>月</w:t>
      </w:r>
      <w:r>
        <w:rPr>
          <w:rFonts w:ascii="宋体" w:hAnsi="宋体" w:cs="宋体" w:eastAsia="宋体" w:hint="default"/>
        </w:rPr>
        <w:t>16</w:t>
      </w:r>
      <w:r>
        <w:rPr/>
        <w:t>日召开第四届董事会第六次会议和第四届监事会第四次会议，审议通过《关于</w:t>
      </w:r>
      <w:r>
        <w:rPr>
          <w:rFonts w:ascii="宋体" w:hAnsi="宋体" w:cs="宋体" w:eastAsia="宋体" w:hint="default"/>
        </w:rPr>
        <w:t>&lt;</w:t>
      </w:r>
      <w:r>
        <w:rPr/>
        <w:t>北京四维图新科</w:t>
      </w:r>
    </w:p>
    <w:p>
      <w:pPr>
        <w:pStyle w:val="BodyText"/>
        <w:spacing w:line="316" w:lineRule="auto" w:before="1"/>
        <w:ind w:right="1131"/>
        <w:jc w:val="both"/>
        <w:rPr>
          <w:rFonts w:ascii="宋体" w:hAnsi="宋体" w:cs="宋体" w:eastAsia="宋体" w:hint="default"/>
        </w:rPr>
      </w:pPr>
      <w:r>
        <w:rPr>
          <w:spacing w:val="-2"/>
        </w:rPr>
        <w:t>技股份有限公司</w:t>
      </w:r>
      <w:r>
        <w:rPr>
          <w:rFonts w:ascii="宋体" w:hAnsi="宋体" w:cs="宋体" w:eastAsia="宋体" w:hint="default"/>
          <w:spacing w:val="-2"/>
        </w:rPr>
        <w:t>2018</w:t>
      </w:r>
      <w:r>
        <w:rPr>
          <w:spacing w:val="-2"/>
        </w:rPr>
        <w:t>年度限制性股票激励计划（草案）</w:t>
      </w:r>
      <w:r>
        <w:rPr>
          <w:rFonts w:ascii="宋体" w:hAnsi="宋体" w:cs="宋体" w:eastAsia="宋体" w:hint="default"/>
          <w:spacing w:val="-2"/>
        </w:rPr>
        <w:t>&gt;</w:t>
      </w:r>
      <w:r>
        <w:rPr>
          <w:spacing w:val="-2"/>
        </w:rPr>
        <w:t>及其摘要的议案》等议案，公司拟向激励对象共计</w:t>
      </w:r>
      <w:r>
        <w:rPr>
          <w:rFonts w:ascii="宋体" w:hAnsi="宋体" w:cs="宋体" w:eastAsia="宋体" w:hint="default"/>
          <w:spacing w:val="-2"/>
        </w:rPr>
        <w:t>391</w:t>
      </w:r>
      <w:r>
        <w:rPr>
          <w:spacing w:val="-2"/>
        </w:rPr>
        <w:t>人授予限制性</w:t>
      </w:r>
      <w:r>
        <w:rPr>
          <w:spacing w:val="-60"/>
        </w:rPr>
        <w:t> </w:t>
      </w:r>
      <w:r>
        <w:rPr>
          <w:spacing w:val="-60"/>
        </w:rPr>
      </w:r>
      <w:r>
        <w:rPr/>
        <w:t>股票合计</w:t>
      </w:r>
      <w:r>
        <w:rPr>
          <w:rFonts w:ascii="宋体" w:hAnsi="宋体" w:cs="宋体" w:eastAsia="宋体" w:hint="default"/>
        </w:rPr>
        <w:t>3100</w:t>
      </w:r>
      <w:r>
        <w:rPr/>
        <w:t>万股，占公司总股本的</w:t>
      </w:r>
      <w:r>
        <w:rPr>
          <w:rFonts w:ascii="宋体" w:hAnsi="宋体" w:cs="宋体" w:eastAsia="宋体" w:hint="default"/>
        </w:rPr>
        <w:t>2.42%</w:t>
      </w:r>
      <w:r>
        <w:rPr/>
        <w:t>，其中，首次授予限制性股票 </w:t>
      </w:r>
      <w:r>
        <w:rPr>
          <w:rFonts w:ascii="宋体" w:hAnsi="宋体" w:cs="宋体" w:eastAsia="宋体" w:hint="default"/>
        </w:rPr>
        <w:t>2,968 </w:t>
      </w:r>
      <w:r>
        <w:rPr/>
        <w:t>万股，占公司股本总额的</w:t>
      </w:r>
      <w:r>
        <w:rPr>
          <w:spacing w:val="-59"/>
        </w:rPr>
        <w:t> </w:t>
      </w:r>
      <w:r>
        <w:rPr>
          <w:rFonts w:ascii="宋体" w:hAnsi="宋体" w:cs="宋体" w:eastAsia="宋体" w:hint="default"/>
          <w:spacing w:val="-59"/>
        </w:rPr>
      </w:r>
      <w:r>
        <w:rPr>
          <w:rFonts w:ascii="宋体" w:hAnsi="宋体" w:cs="宋体" w:eastAsia="宋体" w:hint="default"/>
          <w:spacing w:val="-3"/>
        </w:rPr>
        <w:t>2.31%</w:t>
      </w:r>
      <w:r>
        <w:rPr>
          <w:spacing w:val="-3"/>
        </w:rPr>
        <w:t>；预留授予</w:t>
      </w:r>
      <w:r>
        <w:rPr/>
        <w:t> 限制性股票</w:t>
      </w:r>
      <w:r>
        <w:rPr>
          <w:rFonts w:ascii="宋体" w:hAnsi="宋体" w:cs="宋体" w:eastAsia="宋体" w:hint="default"/>
        </w:rPr>
        <w:t>132 </w:t>
      </w:r>
      <w:r>
        <w:rPr/>
        <w:t>万股，占本次限制性股票授予总量的 </w:t>
      </w:r>
      <w:r>
        <w:rPr>
          <w:rFonts w:ascii="宋体" w:hAnsi="宋体" w:cs="宋体" w:eastAsia="宋体" w:hint="default"/>
        </w:rPr>
        <w:t>4.26%</w:t>
      </w:r>
      <w:r>
        <w:rPr/>
        <w:t>，占目前公司总股本的</w:t>
      </w:r>
      <w:r>
        <w:rPr>
          <w:spacing w:val="-7"/>
        </w:rPr>
        <w:t> </w:t>
      </w:r>
      <w:r>
        <w:rPr>
          <w:rFonts w:ascii="宋体" w:hAnsi="宋体" w:cs="宋体" w:eastAsia="宋体" w:hint="default"/>
          <w:spacing w:val="-7"/>
        </w:rPr>
      </w:r>
      <w:r>
        <w:rPr>
          <w:rFonts w:ascii="宋体" w:hAnsi="宋体" w:cs="宋体" w:eastAsia="宋体" w:hint="default"/>
        </w:rPr>
        <w:t>0.10%</w:t>
      </w:r>
      <w:r>
        <w:rPr/>
        <w:t>。授予价格为每股</w:t>
      </w:r>
      <w:r>
        <w:rPr>
          <w:rFonts w:ascii="宋体" w:hAnsi="宋体" w:cs="宋体" w:eastAsia="宋体" w:hint="default"/>
        </w:rPr>
        <w:t>12.15</w:t>
      </w:r>
      <w:r>
        <w:rPr/>
        <w:t>元，股票 来源为公司向激励对象定向发行</w:t>
      </w:r>
      <w:r>
        <w:rPr>
          <w:rFonts w:ascii="宋体" w:hAnsi="宋体" w:cs="宋体" w:eastAsia="宋体" w:hint="default"/>
        </w:rPr>
        <w:t>A</w:t>
      </w:r>
      <w:r>
        <w:rPr/>
        <w:t>股普通股。</w:t>
      </w:r>
      <w:r>
        <w:rPr>
          <w:rFonts w:ascii="宋体" w:hAnsi="宋体" w:cs="宋体" w:eastAsia="宋体" w:hint="default"/>
        </w:rPr>
        <w:t> </w:t>
      </w:r>
    </w:p>
    <w:p>
      <w:pPr>
        <w:pStyle w:val="BodyText"/>
        <w:spacing w:line="316" w:lineRule="auto" w:before="19"/>
        <w:ind w:right="1129" w:firstLine="360"/>
        <w:jc w:val="both"/>
        <w:rPr>
          <w:rFonts w:ascii="宋体" w:hAnsi="宋体" w:cs="宋体" w:eastAsia="宋体" w:hint="default"/>
        </w:rPr>
      </w:pPr>
      <w:r>
        <w:rPr>
          <w:spacing w:val="-2"/>
        </w:rPr>
        <w:t>公司于</w:t>
      </w:r>
      <w:r>
        <w:rPr>
          <w:rFonts w:ascii="宋体" w:hAnsi="宋体" w:cs="宋体" w:eastAsia="宋体" w:hint="default"/>
          <w:spacing w:val="-2"/>
        </w:rPr>
        <w:t>2018</w:t>
      </w:r>
      <w:r>
        <w:rPr>
          <w:spacing w:val="-2"/>
        </w:rPr>
        <w:t>年</w:t>
      </w:r>
      <w:r>
        <w:rPr>
          <w:rFonts w:ascii="宋体" w:hAnsi="宋体" w:cs="宋体" w:eastAsia="宋体" w:hint="default"/>
          <w:spacing w:val="-2"/>
        </w:rPr>
        <w:t>4</w:t>
      </w:r>
      <w:r>
        <w:rPr>
          <w:spacing w:val="-2"/>
        </w:rPr>
        <w:t>月</w:t>
      </w:r>
      <w:r>
        <w:rPr>
          <w:rFonts w:ascii="宋体" w:hAnsi="宋体" w:cs="宋体" w:eastAsia="宋体" w:hint="default"/>
          <w:spacing w:val="-2"/>
        </w:rPr>
        <w:t>24</w:t>
      </w:r>
      <w:r>
        <w:rPr>
          <w:spacing w:val="-2"/>
        </w:rPr>
        <w:t>日召开第四届董事会第七次会议和第四届监事会第五次会议，审议通过《关于</w:t>
      </w:r>
      <w:r>
        <w:rPr>
          <w:rFonts w:ascii="宋体" w:hAnsi="宋体" w:cs="宋体" w:eastAsia="宋体" w:hint="default"/>
          <w:spacing w:val="-2"/>
        </w:rPr>
        <w:t>&lt;</w:t>
      </w:r>
      <w:r>
        <w:rPr>
          <w:spacing w:val="-2"/>
        </w:rPr>
        <w:t>北京四维图新科技股</w:t>
      </w:r>
      <w:r>
        <w:rPr/>
        <w:t> 份有限公司</w:t>
      </w:r>
      <w:r>
        <w:rPr>
          <w:rFonts w:ascii="宋体" w:hAnsi="宋体" w:cs="宋体" w:eastAsia="宋体" w:hint="default"/>
        </w:rPr>
        <w:t>2018</w:t>
      </w:r>
      <w:r>
        <w:rPr/>
        <w:t>年度限制性股票激励计划（草案修订稿）</w:t>
      </w:r>
      <w:r>
        <w:rPr>
          <w:rFonts w:ascii="宋体" w:hAnsi="宋体" w:cs="宋体" w:eastAsia="宋体" w:hint="default"/>
        </w:rPr>
        <w:t>&gt;</w:t>
      </w:r>
      <w:r>
        <w:rPr/>
        <w:t>及其摘要的议案》等议案。</w:t>
      </w:r>
      <w:r>
        <w:rPr>
          <w:rFonts w:ascii="宋体" w:hAnsi="宋体" w:cs="宋体" w:eastAsia="宋体" w:hint="default"/>
        </w:rPr>
        <w:t> </w:t>
      </w:r>
    </w:p>
    <w:p>
      <w:pPr>
        <w:pStyle w:val="BodyText"/>
        <w:spacing w:line="319" w:lineRule="auto" w:before="19"/>
        <w:ind w:right="1128" w:firstLine="360"/>
        <w:jc w:val="both"/>
        <w:rPr>
          <w:rFonts w:ascii="宋体" w:hAnsi="宋体" w:cs="宋体" w:eastAsia="宋体" w:hint="default"/>
        </w:rPr>
      </w:pPr>
      <w:r>
        <w:rPr>
          <w:spacing w:val="-2"/>
        </w:rPr>
        <w:t>公司于</w:t>
      </w:r>
      <w:r>
        <w:rPr>
          <w:rFonts w:ascii="宋体" w:hAnsi="宋体" w:cs="宋体" w:eastAsia="宋体" w:hint="default"/>
          <w:spacing w:val="-2"/>
        </w:rPr>
        <w:t>2018</w:t>
      </w:r>
      <w:r>
        <w:rPr>
          <w:spacing w:val="-2"/>
        </w:rPr>
        <w:t>年</w:t>
      </w:r>
      <w:r>
        <w:rPr>
          <w:rFonts w:ascii="宋体" w:hAnsi="宋体" w:cs="宋体" w:eastAsia="宋体" w:hint="default"/>
          <w:spacing w:val="-2"/>
        </w:rPr>
        <w:t>5</w:t>
      </w:r>
      <w:r>
        <w:rPr>
          <w:spacing w:val="-2"/>
        </w:rPr>
        <w:t>月</w:t>
      </w:r>
      <w:r>
        <w:rPr>
          <w:rFonts w:ascii="宋体" w:hAnsi="宋体" w:cs="宋体" w:eastAsia="宋体" w:hint="default"/>
          <w:spacing w:val="-2"/>
        </w:rPr>
        <w:t>14</w:t>
      </w:r>
      <w:r>
        <w:rPr>
          <w:spacing w:val="-2"/>
        </w:rPr>
        <w:t>日召开</w:t>
      </w:r>
      <w:r>
        <w:rPr>
          <w:rFonts w:ascii="宋体" w:hAnsi="宋体" w:cs="宋体" w:eastAsia="宋体" w:hint="default"/>
          <w:spacing w:val="-2"/>
        </w:rPr>
        <w:t>2018</w:t>
      </w:r>
      <w:r>
        <w:rPr>
          <w:spacing w:val="-2"/>
        </w:rPr>
        <w:t>年第一次临时股东大会，审议通过《关于</w:t>
      </w:r>
      <w:r>
        <w:rPr>
          <w:rFonts w:ascii="宋体" w:hAnsi="宋体" w:cs="宋体" w:eastAsia="宋体" w:hint="default"/>
          <w:spacing w:val="-2"/>
        </w:rPr>
        <w:t>&lt;</w:t>
      </w:r>
      <w:r>
        <w:rPr>
          <w:spacing w:val="-2"/>
        </w:rPr>
        <w:t>北京四维图新科技股份有限公司</w:t>
      </w:r>
      <w:r>
        <w:rPr>
          <w:rFonts w:ascii="宋体" w:hAnsi="宋体" w:cs="宋体" w:eastAsia="宋体" w:hint="default"/>
          <w:spacing w:val="-2"/>
        </w:rPr>
        <w:t>2018</w:t>
      </w:r>
      <w:r>
        <w:rPr>
          <w:spacing w:val="-2"/>
        </w:rPr>
        <w:t>年度限制</w:t>
      </w:r>
      <w:r>
        <w:rPr/>
        <w:t> 性股票激励计划（草案修订稿）</w:t>
      </w:r>
      <w:r>
        <w:rPr>
          <w:rFonts w:ascii="宋体" w:hAnsi="宋体" w:cs="宋体" w:eastAsia="宋体" w:hint="default"/>
        </w:rPr>
        <w:t>&gt;</w:t>
      </w:r>
      <w:r>
        <w:rPr/>
        <w:t>及其摘要的议案》等议案。</w:t>
      </w:r>
      <w:r>
        <w:rPr>
          <w:rFonts w:ascii="宋体" w:hAnsi="宋体" w:cs="宋体" w:eastAsia="宋体" w:hint="default"/>
        </w:rPr>
        <w:t> </w:t>
      </w:r>
    </w:p>
    <w:p>
      <w:pPr>
        <w:pStyle w:val="BodyText"/>
        <w:spacing w:line="316" w:lineRule="auto" w:before="17"/>
        <w:ind w:right="1134" w:firstLine="360"/>
        <w:jc w:val="both"/>
        <w:rPr>
          <w:rFonts w:ascii="宋体" w:hAnsi="宋体" w:cs="宋体" w:eastAsia="宋体" w:hint="default"/>
        </w:rPr>
      </w:pPr>
      <w:r>
        <w:rPr/>
        <w:t>公司于</w:t>
      </w:r>
      <w:r>
        <w:rPr>
          <w:rFonts w:ascii="宋体" w:hAnsi="宋体" w:cs="宋体" w:eastAsia="宋体" w:hint="default"/>
        </w:rPr>
        <w:t>2018</w:t>
      </w:r>
      <w:r>
        <w:rPr/>
        <w:t>年</w:t>
      </w:r>
      <w:r>
        <w:rPr>
          <w:rFonts w:ascii="宋体" w:hAnsi="宋体" w:cs="宋体" w:eastAsia="宋体" w:hint="default"/>
        </w:rPr>
        <w:t>6</w:t>
      </w:r>
      <w:r>
        <w:rPr/>
        <w:t>月</w:t>
      </w:r>
      <w:r>
        <w:rPr>
          <w:rFonts w:ascii="宋体" w:hAnsi="宋体" w:cs="宋体" w:eastAsia="宋体" w:hint="default"/>
        </w:rPr>
        <w:t>11</w:t>
      </w:r>
      <w:r>
        <w:rPr/>
        <w:t>日召开第四届董事会第九次会议和第四届监事会第六次会议，审议通过《关于向</w:t>
      </w:r>
      <w:r>
        <w:rPr>
          <w:rFonts w:ascii="宋体" w:hAnsi="宋体" w:cs="宋体" w:eastAsia="宋体" w:hint="default"/>
        </w:rPr>
        <w:t>2018</w:t>
      </w:r>
      <w:r>
        <w:rPr/>
        <w:t>年限制性股票 </w:t>
      </w:r>
      <w:r>
        <w:rPr>
          <w:spacing w:val="-2"/>
        </w:rPr>
        <w:t>激励计划激励对象首次授予限制性股票的议案》，</w:t>
      </w:r>
      <w:r>
        <w:rPr>
          <w:rFonts w:ascii="宋体" w:hAnsi="宋体" w:cs="宋体" w:eastAsia="宋体" w:hint="default"/>
          <w:spacing w:val="-2"/>
        </w:rPr>
        <w:t>2018</w:t>
      </w:r>
      <w:r>
        <w:rPr>
          <w:spacing w:val="-2"/>
        </w:rPr>
        <w:t>年</w:t>
      </w:r>
      <w:r>
        <w:rPr>
          <w:rFonts w:ascii="宋体" w:hAnsi="宋体" w:cs="宋体" w:eastAsia="宋体" w:hint="default"/>
          <w:spacing w:val="-2"/>
        </w:rPr>
        <w:t>7</w:t>
      </w:r>
      <w:r>
        <w:rPr>
          <w:spacing w:val="-2"/>
        </w:rPr>
        <w:t>月</w:t>
      </w:r>
      <w:r>
        <w:rPr>
          <w:rFonts w:ascii="宋体" w:hAnsi="宋体" w:cs="宋体" w:eastAsia="宋体" w:hint="default"/>
          <w:spacing w:val="-2"/>
        </w:rPr>
        <w:t>9</w:t>
      </w:r>
      <w:r>
        <w:rPr>
          <w:spacing w:val="-2"/>
        </w:rPr>
        <w:t>日，公司披露《关于</w:t>
      </w:r>
      <w:r>
        <w:rPr>
          <w:rFonts w:ascii="宋体" w:hAnsi="宋体" w:cs="宋体" w:eastAsia="宋体" w:hint="default"/>
          <w:spacing w:val="-2"/>
        </w:rPr>
        <w:t>2018</w:t>
      </w:r>
      <w:r>
        <w:rPr>
          <w:spacing w:val="-2"/>
        </w:rPr>
        <w:t>年股权激励计划限制性股票首次授予</w:t>
      </w:r>
      <w:r>
        <w:rPr>
          <w:spacing w:val="-61"/>
        </w:rPr>
        <w:t> </w:t>
      </w:r>
      <w:r>
        <w:rPr>
          <w:spacing w:val="-61"/>
        </w:rPr>
      </w:r>
      <w:r>
        <w:rPr/>
        <w:t>登记完成的公告》，首次限制性股票授予日为</w:t>
      </w:r>
      <w:r>
        <w:rPr>
          <w:rFonts w:ascii="宋体" w:hAnsi="宋体" w:cs="宋体" w:eastAsia="宋体" w:hint="default"/>
        </w:rPr>
        <w:t>2018</w:t>
      </w:r>
      <w:r>
        <w:rPr/>
        <w:t>年</w:t>
      </w:r>
      <w:r>
        <w:rPr>
          <w:rFonts w:ascii="宋体" w:hAnsi="宋体" w:cs="宋体" w:eastAsia="宋体" w:hint="default"/>
        </w:rPr>
        <w:t>6</w:t>
      </w:r>
      <w:r>
        <w:rPr/>
        <w:t>月</w:t>
      </w:r>
      <w:r>
        <w:rPr>
          <w:rFonts w:ascii="宋体" w:hAnsi="宋体" w:cs="宋体" w:eastAsia="宋体" w:hint="default"/>
        </w:rPr>
        <w:t>11</w:t>
      </w:r>
      <w:r>
        <w:rPr/>
        <w:t>日，授予价格</w:t>
      </w:r>
      <w:r>
        <w:rPr>
          <w:rFonts w:ascii="宋体" w:hAnsi="宋体" w:cs="宋体" w:eastAsia="宋体" w:hint="default"/>
        </w:rPr>
        <w:t>12.15</w:t>
      </w:r>
      <w:r>
        <w:rPr/>
        <w:t>元</w:t>
      </w:r>
      <w:r>
        <w:rPr>
          <w:rFonts w:ascii="宋体" w:hAnsi="宋体" w:cs="宋体" w:eastAsia="宋体" w:hint="default"/>
        </w:rPr>
        <w:t>/</w:t>
      </w:r>
      <w:r>
        <w:rPr/>
        <w:t>股，由于认购过程中部分激励对象放弃认 购或部分认购，公司实际向</w:t>
      </w:r>
      <w:r>
        <w:rPr>
          <w:rFonts w:ascii="宋体" w:hAnsi="宋体" w:cs="宋体" w:eastAsia="宋体" w:hint="default"/>
        </w:rPr>
        <w:t>360</w:t>
      </w:r>
      <w:r>
        <w:rPr/>
        <w:t>名激励对象授予</w:t>
      </w:r>
      <w:r>
        <w:rPr>
          <w:rFonts w:ascii="宋体" w:hAnsi="宋体" w:cs="宋体" w:eastAsia="宋体" w:hint="default"/>
        </w:rPr>
        <w:t>2704.6469</w:t>
      </w:r>
      <w:r>
        <w:rPr/>
        <w:t>万股限制性股票，限制性股票上市日期为</w:t>
      </w:r>
      <w:r>
        <w:rPr>
          <w:rFonts w:ascii="宋体" w:hAnsi="宋体" w:cs="宋体" w:eastAsia="宋体" w:hint="default"/>
        </w:rPr>
        <w:t>2018</w:t>
      </w:r>
      <w:r>
        <w:rPr/>
        <w:t>年</w:t>
      </w:r>
      <w:r>
        <w:rPr>
          <w:rFonts w:ascii="宋体" w:hAnsi="宋体" w:cs="宋体" w:eastAsia="宋体" w:hint="default"/>
        </w:rPr>
        <w:t>7</w:t>
      </w:r>
      <w:r>
        <w:rPr/>
        <w:t>月</w:t>
      </w:r>
      <w:r>
        <w:rPr>
          <w:rFonts w:ascii="宋体" w:hAnsi="宋体" w:cs="宋体" w:eastAsia="宋体" w:hint="default"/>
        </w:rPr>
        <w:t>12</w:t>
      </w:r>
      <w:r>
        <w:rPr/>
        <w:t>日。</w:t>
      </w:r>
      <w:r>
        <w:rPr>
          <w:rFonts w:ascii="宋体" w:hAnsi="宋体" w:cs="宋体" w:eastAsia="宋体" w:hint="default"/>
        </w:rPr>
        <w:t> </w:t>
      </w:r>
    </w:p>
    <w:p>
      <w:pPr>
        <w:pStyle w:val="BodyText"/>
        <w:spacing w:line="240" w:lineRule="auto" w:before="19"/>
        <w:ind w:left="510" w:right="982"/>
        <w:jc w:val="left"/>
        <w:rPr>
          <w:rFonts w:ascii="宋体" w:hAnsi="宋体" w:cs="宋体" w:eastAsia="宋体" w:hint="default"/>
        </w:rPr>
      </w:pPr>
      <w:r>
        <w:rPr/>
        <w:t>上述内容详见公司披露的相关公告：</w:t>
      </w:r>
      <w:hyperlink r:id="rId13">
        <w:r>
          <w:rPr>
            <w:rFonts w:ascii="宋体" w:hAnsi="宋体" w:cs="宋体" w:eastAsia="宋体" w:hint="default"/>
          </w:rPr>
          <w:t>http://www.cninfo.com.cn</w:t>
        </w:r>
      </w:hyperlink>
      <w:r>
        <w:rPr/>
        <w:t>。</w:t>
      </w:r>
      <w:r>
        <w:rPr>
          <w:rFonts w:ascii="宋体" w:hAnsi="宋体" w:cs="宋体" w:eastAsia="宋体" w:hint="default"/>
        </w:rPr>
        <w:t> </w:t>
      </w:r>
    </w:p>
    <w:p>
      <w:pPr>
        <w:spacing w:line="240" w:lineRule="auto" w:before="10"/>
        <w:rPr>
          <w:rFonts w:ascii="宋体" w:hAnsi="宋体" w:cs="宋体" w:eastAsia="宋体" w:hint="default"/>
          <w:sz w:val="17"/>
          <w:szCs w:val="17"/>
        </w:rPr>
      </w:pPr>
    </w:p>
    <w:p>
      <w:pPr>
        <w:pStyle w:val="BodyText"/>
        <w:spacing w:line="319" w:lineRule="auto"/>
        <w:ind w:right="1129" w:firstLine="360"/>
        <w:jc w:val="both"/>
        <w:rPr>
          <w:rFonts w:ascii="宋体" w:hAnsi="宋体" w:cs="宋体" w:eastAsia="宋体" w:hint="default"/>
        </w:rPr>
      </w:pPr>
      <w:r>
        <w:rPr>
          <w:rFonts w:ascii="宋体" w:hAnsi="宋体" w:cs="宋体" w:eastAsia="宋体" w:hint="default"/>
          <w:spacing w:val="-2"/>
        </w:rPr>
        <w:t>2</w:t>
      </w:r>
      <w:r>
        <w:rPr>
          <w:spacing w:val="-2"/>
        </w:rPr>
        <w:t>、公司于</w:t>
      </w:r>
      <w:r>
        <w:rPr>
          <w:rFonts w:ascii="宋体" w:hAnsi="宋体" w:cs="宋体" w:eastAsia="宋体" w:hint="default"/>
          <w:spacing w:val="-2"/>
        </w:rPr>
        <w:t>2018</w:t>
      </w:r>
      <w:r>
        <w:rPr>
          <w:spacing w:val="-2"/>
        </w:rPr>
        <w:t>年</w:t>
      </w:r>
      <w:r>
        <w:rPr>
          <w:rFonts w:ascii="宋体" w:hAnsi="宋体" w:cs="宋体" w:eastAsia="宋体" w:hint="default"/>
          <w:spacing w:val="-2"/>
        </w:rPr>
        <w:t>4</w:t>
      </w:r>
      <w:r>
        <w:rPr>
          <w:spacing w:val="-2"/>
        </w:rPr>
        <w:t>月</w:t>
      </w:r>
      <w:r>
        <w:rPr>
          <w:rFonts w:ascii="宋体" w:hAnsi="宋体" w:cs="宋体" w:eastAsia="宋体" w:hint="default"/>
          <w:spacing w:val="-2"/>
        </w:rPr>
        <w:t>24</w:t>
      </w:r>
      <w:r>
        <w:rPr>
          <w:spacing w:val="-2"/>
        </w:rPr>
        <w:t>日召开第四届董事会第七次会议，审议通过《关于回购注销部分限制性股票的议案》，对已离职</w:t>
      </w:r>
      <w:r>
        <w:rPr/>
        <w:t> </w:t>
      </w:r>
      <w:r>
        <w:rPr>
          <w:spacing w:val="-6"/>
        </w:rPr>
        <w:t>激励对象杨津萍、高剑、邓红萍、马汀、张渤、张伟、张宇、孙婷、施先忠、冯赓、王跃先、王萌、孙丽、黎艳平共计</w:t>
      </w:r>
      <w:r>
        <w:rPr>
          <w:spacing w:val="15"/>
        </w:rPr>
        <w:t> </w:t>
      </w:r>
      <w:r>
        <w:rPr>
          <w:rFonts w:ascii="宋体" w:hAnsi="宋体" w:cs="宋体" w:eastAsia="宋体" w:hint="default"/>
          <w:spacing w:val="15"/>
        </w:rPr>
      </w:r>
      <w:r>
        <w:rPr>
          <w:rFonts w:ascii="宋体" w:hAnsi="宋体" w:cs="宋体" w:eastAsia="宋体" w:hint="default"/>
        </w:rPr>
        <w:t>14</w:t>
      </w:r>
      <w:r>
        <w:rPr>
          <w:rFonts w:ascii="宋体" w:hAnsi="宋体" w:cs="宋体" w:eastAsia="宋体" w:hint="default"/>
          <w:spacing w:val="15"/>
        </w:rPr>
        <w:t> </w:t>
      </w:r>
      <w:r>
        <w:rPr/>
        <w:t>人</w:t>
      </w:r>
      <w:r>
        <w:rPr>
          <w:spacing w:val="-86"/>
        </w:rPr>
        <w:t> </w:t>
      </w:r>
      <w:r>
        <w:rPr/>
        <w:t>原持有的已获授但尚未解锁的全部</w:t>
      </w:r>
      <w:r>
        <w:rPr>
          <w:rFonts w:ascii="宋体" w:hAnsi="宋体" w:cs="宋体" w:eastAsia="宋体" w:hint="default"/>
        </w:rPr>
        <w:t>2015</w:t>
      </w:r>
      <w:r>
        <w:rPr/>
        <w:t>年限制性股票进行回购，回购数量为</w:t>
      </w:r>
      <w:r>
        <w:rPr>
          <w:rFonts w:ascii="宋体" w:hAnsi="宋体" w:cs="宋体" w:eastAsia="宋体" w:hint="default"/>
        </w:rPr>
        <w:t>225,500</w:t>
      </w:r>
      <w:r>
        <w:rPr>
          <w:rFonts w:ascii="宋体" w:hAnsi="宋体" w:cs="宋体" w:eastAsia="宋体" w:hint="default"/>
          <w:spacing w:val="-6"/>
        </w:rPr>
        <w:t> </w:t>
      </w:r>
      <w:r>
        <w:rPr/>
        <w:t>股，占公司股本总额的</w:t>
      </w:r>
      <w:r>
        <w:rPr>
          <w:rFonts w:ascii="宋体" w:hAnsi="宋体" w:cs="宋体" w:eastAsia="宋体" w:hint="default"/>
        </w:rPr>
        <w:t>0.0176%</w:t>
      </w:r>
      <w:r>
        <w:rPr/>
        <w:t>，回购 价格为</w:t>
      </w:r>
      <w:r>
        <w:rPr>
          <w:rFonts w:ascii="宋体" w:hAnsi="宋体" w:cs="宋体" w:eastAsia="宋体" w:hint="default"/>
        </w:rPr>
        <w:t>7.4457 </w:t>
      </w:r>
      <w:r>
        <w:rPr/>
        <w:t>元</w:t>
      </w:r>
      <w:r>
        <w:rPr>
          <w:rFonts w:ascii="宋体" w:hAnsi="宋体" w:cs="宋体" w:eastAsia="宋体" w:hint="default"/>
        </w:rPr>
        <w:t>/</w:t>
      </w:r>
      <w:r>
        <w:rPr/>
        <w:t>股。</w:t>
      </w:r>
      <w:r>
        <w:rPr>
          <w:rFonts w:ascii="宋体" w:hAnsi="宋体" w:cs="宋体" w:eastAsia="宋体" w:hint="default"/>
        </w:rPr>
        <w:t>2018</w:t>
      </w:r>
      <w:r>
        <w:rPr/>
        <w:t>年</w:t>
      </w:r>
      <w:r>
        <w:rPr>
          <w:rFonts w:ascii="宋体" w:hAnsi="宋体" w:cs="宋体" w:eastAsia="宋体" w:hint="default"/>
        </w:rPr>
        <w:t>6</w:t>
      </w:r>
      <w:r>
        <w:rPr/>
        <w:t>月</w:t>
      </w:r>
      <w:r>
        <w:rPr>
          <w:rFonts w:ascii="宋体" w:hAnsi="宋体" w:cs="宋体" w:eastAsia="宋体" w:hint="default"/>
        </w:rPr>
        <w:t>26</w:t>
      </w:r>
      <w:r>
        <w:rPr/>
        <w:t>日，公司披露《关于部分限制性股票回购注销完成的公告》，本次实际回购 </w:t>
      </w:r>
      <w:r>
        <w:rPr>
          <w:rFonts w:ascii="宋体" w:hAnsi="宋体" w:cs="宋体" w:eastAsia="宋体" w:hint="default"/>
        </w:rPr>
        <w:t>13</w:t>
      </w:r>
      <w:r>
        <w:rPr>
          <w:rFonts w:ascii="宋体" w:hAnsi="宋体" w:cs="宋体" w:eastAsia="宋体" w:hint="default"/>
          <w:spacing w:val="-7"/>
        </w:rPr>
        <w:t> </w:t>
      </w:r>
      <w:r>
        <w:rPr/>
        <w:t>人尚未 </w:t>
      </w:r>
      <w:r>
        <w:rPr>
          <w:spacing w:val="-2"/>
        </w:rPr>
        <w:t>解锁的限制性股票，实际回购数量为</w:t>
      </w:r>
      <w:r>
        <w:rPr>
          <w:rFonts w:ascii="宋体" w:hAnsi="宋体" w:cs="宋体" w:eastAsia="宋体" w:hint="default"/>
          <w:spacing w:val="-2"/>
        </w:rPr>
        <w:t>190,500</w:t>
      </w:r>
      <w:r>
        <w:rPr>
          <w:rFonts w:ascii="宋体" w:hAnsi="宋体" w:cs="宋体" w:eastAsia="宋体" w:hint="default"/>
          <w:spacing w:val="31"/>
        </w:rPr>
        <w:t> </w:t>
      </w:r>
      <w:r>
        <w:rPr>
          <w:spacing w:val="-2"/>
        </w:rPr>
        <w:t>股，占回购前总股本的</w:t>
      </w:r>
      <w:r>
        <w:rPr>
          <w:rFonts w:ascii="宋体" w:hAnsi="宋体" w:cs="宋体" w:eastAsia="宋体" w:hint="default"/>
          <w:spacing w:val="-2"/>
        </w:rPr>
        <w:t>0.0149%</w:t>
      </w:r>
      <w:r>
        <w:rPr>
          <w:spacing w:val="-2"/>
        </w:rPr>
        <w:t>，公司已于</w:t>
      </w:r>
      <w:r>
        <w:rPr>
          <w:rFonts w:ascii="宋体" w:hAnsi="宋体" w:cs="宋体" w:eastAsia="宋体" w:hint="default"/>
          <w:spacing w:val="-2"/>
        </w:rPr>
        <w:t>2018</w:t>
      </w:r>
      <w:r>
        <w:rPr>
          <w:spacing w:val="-2"/>
        </w:rPr>
        <w:t>年</w:t>
      </w:r>
      <w:r>
        <w:rPr>
          <w:rFonts w:ascii="宋体" w:hAnsi="宋体" w:cs="宋体" w:eastAsia="宋体" w:hint="default"/>
          <w:spacing w:val="-2"/>
        </w:rPr>
        <w:t>6</w:t>
      </w:r>
      <w:r>
        <w:rPr>
          <w:spacing w:val="-2"/>
        </w:rPr>
        <w:t>月</w:t>
      </w:r>
      <w:r>
        <w:rPr>
          <w:rFonts w:ascii="宋体" w:hAnsi="宋体" w:cs="宋体" w:eastAsia="宋体" w:hint="default"/>
          <w:spacing w:val="-2"/>
        </w:rPr>
        <w:t>25</w:t>
      </w:r>
      <w:r>
        <w:rPr>
          <w:spacing w:val="-2"/>
        </w:rPr>
        <w:t>日在中国证券登记结算</w:t>
      </w:r>
      <w:r>
        <w:rPr>
          <w:spacing w:val="-84"/>
        </w:rPr>
        <w:t> </w:t>
      </w:r>
      <w:r>
        <w:rPr>
          <w:spacing w:val="-84"/>
        </w:rPr>
      </w:r>
      <w:r>
        <w:rPr/>
        <w:t>有限责任公司深圳分公司完成限制性股票的回购注销手续。</w:t>
      </w:r>
      <w:r>
        <w:rPr>
          <w:rFonts w:ascii="宋体" w:hAnsi="宋体" w:cs="宋体" w:eastAsia="宋体" w:hint="default"/>
        </w:rPr>
        <w:t> </w:t>
      </w:r>
    </w:p>
    <w:p>
      <w:pPr>
        <w:pStyle w:val="BodyText"/>
        <w:spacing w:line="316" w:lineRule="auto" w:before="17"/>
        <w:ind w:right="1130" w:firstLine="360"/>
        <w:jc w:val="both"/>
        <w:rPr>
          <w:rFonts w:ascii="宋体" w:hAnsi="宋体" w:cs="宋体" w:eastAsia="宋体" w:hint="default"/>
        </w:rPr>
      </w:pPr>
      <w:r>
        <w:rPr/>
        <w:t>公司于</w:t>
      </w:r>
      <w:r>
        <w:rPr>
          <w:rFonts w:ascii="宋体" w:hAnsi="宋体" w:cs="宋体" w:eastAsia="宋体" w:hint="default"/>
        </w:rPr>
        <w:t>2018</w:t>
      </w:r>
      <w:r>
        <w:rPr/>
        <w:t>年</w:t>
      </w:r>
      <w:r>
        <w:rPr>
          <w:rFonts w:ascii="宋体" w:hAnsi="宋体" w:cs="宋体" w:eastAsia="宋体" w:hint="default"/>
        </w:rPr>
        <w:t>4</w:t>
      </w:r>
      <w:r>
        <w:rPr/>
        <w:t>月</w:t>
      </w:r>
      <w:r>
        <w:rPr>
          <w:rFonts w:ascii="宋体" w:hAnsi="宋体" w:cs="宋体" w:eastAsia="宋体" w:hint="default"/>
        </w:rPr>
        <w:t>24</w:t>
      </w:r>
      <w:r>
        <w:rPr/>
        <w:t>日召开第四届董事会第七次会议，审议通过《关于预留限制性股票第二期解锁的议案》，公司预留 </w:t>
      </w:r>
      <w:r>
        <w:rPr>
          <w:spacing w:val="-2"/>
        </w:rPr>
        <w:t>授予的</w:t>
      </w:r>
      <w:r>
        <w:rPr>
          <w:rFonts w:ascii="宋体" w:hAnsi="宋体" w:cs="宋体" w:eastAsia="宋体" w:hint="default"/>
          <w:spacing w:val="-2"/>
        </w:rPr>
        <w:t>2015</w:t>
      </w:r>
      <w:r>
        <w:rPr>
          <w:spacing w:val="-2"/>
        </w:rPr>
        <w:t>年限制性股票第二期解锁条件已全部成就，同意</w:t>
      </w:r>
      <w:r>
        <w:rPr>
          <w:rFonts w:ascii="宋体" w:hAnsi="宋体" w:cs="宋体" w:eastAsia="宋体" w:hint="default"/>
          <w:spacing w:val="-2"/>
        </w:rPr>
        <w:t>76</w:t>
      </w:r>
      <w:r>
        <w:rPr>
          <w:spacing w:val="-2"/>
        </w:rPr>
        <w:t>名激励对象获授的</w:t>
      </w:r>
      <w:r>
        <w:rPr>
          <w:rFonts w:ascii="宋体" w:hAnsi="宋体" w:cs="宋体" w:eastAsia="宋体" w:hint="default"/>
          <w:spacing w:val="-2"/>
        </w:rPr>
        <w:t>151.575</w:t>
      </w:r>
      <w:r>
        <w:rPr>
          <w:spacing w:val="-2"/>
        </w:rPr>
        <w:t>万股预留限制性股票解锁。</w:t>
      </w:r>
      <w:r>
        <w:rPr>
          <w:rFonts w:ascii="宋体" w:hAnsi="宋体" w:cs="宋体" w:eastAsia="宋体" w:hint="default"/>
          <w:spacing w:val="-2"/>
        </w:rPr>
        <w:t>2018</w:t>
      </w:r>
      <w:r>
        <w:rPr>
          <w:spacing w:val="-2"/>
        </w:rPr>
        <w:t>年</w:t>
      </w:r>
      <w:r>
        <w:rPr>
          <w:rFonts w:ascii="宋体" w:hAnsi="宋体" w:cs="宋体" w:eastAsia="宋体" w:hint="default"/>
          <w:spacing w:val="-2"/>
        </w:rPr>
        <w:t>6</w:t>
      </w:r>
      <w:r>
        <w:rPr>
          <w:rFonts w:ascii="宋体" w:hAnsi="宋体" w:cs="宋体" w:eastAsia="宋体" w:hint="default"/>
          <w:spacing w:val="-55"/>
        </w:rPr>
        <w:t> </w:t>
      </w:r>
      <w:r>
        <w:rPr>
          <w:spacing w:val="-2"/>
        </w:rPr>
        <w:t>月</w:t>
      </w:r>
      <w:r>
        <w:rPr>
          <w:rFonts w:ascii="宋体" w:hAnsi="宋体" w:cs="宋体" w:eastAsia="宋体" w:hint="default"/>
          <w:spacing w:val="-2"/>
        </w:rPr>
        <w:t>21</w:t>
      </w:r>
      <w:r>
        <w:rPr>
          <w:spacing w:val="-2"/>
        </w:rPr>
        <w:t>日，公司披露《关于预留限制性股票第二期解锁股份上市流通的提示性公告》，本次解锁股份可上市流通日为</w:t>
      </w:r>
      <w:r>
        <w:rPr>
          <w:spacing w:val="22"/>
        </w:rPr>
        <w:t> </w:t>
      </w:r>
      <w:r>
        <w:rPr>
          <w:rFonts w:ascii="宋体" w:hAnsi="宋体" w:cs="宋体" w:eastAsia="宋体" w:hint="default"/>
          <w:spacing w:val="22"/>
        </w:rPr>
      </w:r>
      <w:r>
        <w:rPr>
          <w:rFonts w:ascii="宋体" w:hAnsi="宋体" w:cs="宋体" w:eastAsia="宋体" w:hint="default"/>
          <w:spacing w:val="-1"/>
        </w:rPr>
        <w:t>2018</w:t>
      </w:r>
      <w:r>
        <w:rPr>
          <w:spacing w:val="-1"/>
        </w:rPr>
        <w:t>年</w:t>
      </w:r>
      <w:r>
        <w:rPr>
          <w:rFonts w:ascii="宋体" w:hAnsi="宋体" w:cs="宋体" w:eastAsia="宋体" w:hint="default"/>
          <w:spacing w:val="-1"/>
        </w:rPr>
        <w:t>6</w:t>
      </w:r>
      <w:r>
        <w:rPr>
          <w:rFonts w:ascii="宋体" w:hAnsi="宋体" w:cs="宋体" w:eastAsia="宋体" w:hint="default"/>
          <w:spacing w:val="-88"/>
        </w:rPr>
        <w:t> </w:t>
      </w:r>
      <w:r>
        <w:rPr/>
        <w:t>月</w:t>
      </w:r>
      <w:r>
        <w:rPr>
          <w:rFonts w:ascii="宋体" w:hAnsi="宋体" w:cs="宋体" w:eastAsia="宋体" w:hint="default"/>
        </w:rPr>
        <w:t>25</w:t>
      </w:r>
      <w:r>
        <w:rPr/>
        <w:t>日。</w:t>
      </w:r>
      <w:r>
        <w:rPr>
          <w:rFonts w:ascii="宋体" w:hAnsi="宋体" w:cs="宋体" w:eastAsia="宋体" w:hint="default"/>
        </w:rPr>
        <w:t> </w:t>
      </w:r>
    </w:p>
    <w:p>
      <w:pPr>
        <w:pStyle w:val="BodyText"/>
        <w:spacing w:line="316" w:lineRule="auto" w:before="19"/>
        <w:ind w:right="1134" w:firstLine="360"/>
        <w:jc w:val="both"/>
        <w:rPr>
          <w:rFonts w:ascii="宋体" w:hAnsi="宋体" w:cs="宋体" w:eastAsia="宋体" w:hint="default"/>
        </w:rPr>
      </w:pPr>
      <w:r>
        <w:rPr/>
        <w:t>公司于</w:t>
      </w:r>
      <w:r>
        <w:rPr>
          <w:rFonts w:ascii="宋体" w:hAnsi="宋体" w:cs="宋体" w:eastAsia="宋体" w:hint="default"/>
        </w:rPr>
        <w:t>2018</w:t>
      </w:r>
      <w:r>
        <w:rPr/>
        <w:t>年</w:t>
      </w:r>
      <w:r>
        <w:rPr>
          <w:rFonts w:ascii="宋体" w:hAnsi="宋体" w:cs="宋体" w:eastAsia="宋体" w:hint="default"/>
        </w:rPr>
        <w:t>8</w:t>
      </w:r>
      <w:r>
        <w:rPr/>
        <w:t>月</w:t>
      </w:r>
      <w:r>
        <w:rPr>
          <w:rFonts w:ascii="宋体" w:hAnsi="宋体" w:cs="宋体" w:eastAsia="宋体" w:hint="default"/>
        </w:rPr>
        <w:t>20</w:t>
      </w:r>
      <w:r>
        <w:rPr/>
        <w:t>日召开第四届董事会第十次会议，审议通过《关于</w:t>
      </w:r>
      <w:r>
        <w:rPr>
          <w:rFonts w:ascii="宋体" w:hAnsi="宋体" w:cs="宋体" w:eastAsia="宋体" w:hint="default"/>
        </w:rPr>
        <w:t>2015</w:t>
      </w:r>
      <w:r>
        <w:rPr/>
        <w:t>年限制性股票激励计划首次授予第三期解锁 的议案》，公司首次授予的限制性股票第三期解锁条件已全部成就，同意</w:t>
      </w:r>
      <w:r>
        <w:rPr>
          <w:spacing w:val="-4"/>
        </w:rPr>
        <w:t> </w:t>
      </w:r>
      <w:r>
        <w:rPr>
          <w:rFonts w:ascii="宋体" w:hAnsi="宋体" w:cs="宋体" w:eastAsia="宋体" w:hint="default"/>
          <w:spacing w:val="-4"/>
        </w:rPr>
      </w:r>
      <w:r>
        <w:rPr>
          <w:rFonts w:ascii="宋体" w:hAnsi="宋体" w:cs="宋体" w:eastAsia="宋体" w:hint="default"/>
        </w:rPr>
        <w:t>442</w:t>
      </w:r>
      <w:r>
        <w:rPr/>
        <w:t>名激励对象获授的</w:t>
      </w:r>
      <w:r>
        <w:rPr>
          <w:rFonts w:ascii="宋体" w:hAnsi="宋体" w:cs="宋体" w:eastAsia="宋体" w:hint="default"/>
        </w:rPr>
        <w:t>8,260,900</w:t>
      </w:r>
      <w:r>
        <w:rPr/>
        <w:t>股限制性股票解 </w:t>
      </w:r>
      <w:r>
        <w:rPr>
          <w:spacing w:val="-2"/>
        </w:rPr>
        <w:t>锁。</w:t>
      </w:r>
      <w:r>
        <w:rPr>
          <w:rFonts w:ascii="宋体" w:hAnsi="宋体" w:cs="宋体" w:eastAsia="宋体" w:hint="default"/>
          <w:spacing w:val="-2"/>
        </w:rPr>
        <w:t>2018</w:t>
      </w:r>
      <w:r>
        <w:rPr>
          <w:spacing w:val="-2"/>
        </w:rPr>
        <w:t>年</w:t>
      </w:r>
      <w:r>
        <w:rPr>
          <w:rFonts w:ascii="宋体" w:hAnsi="宋体" w:cs="宋体" w:eastAsia="宋体" w:hint="default"/>
          <w:spacing w:val="-2"/>
        </w:rPr>
        <w:t>9</w:t>
      </w:r>
      <w:r>
        <w:rPr>
          <w:spacing w:val="-2"/>
        </w:rPr>
        <w:t>月</w:t>
      </w:r>
      <w:r>
        <w:rPr>
          <w:rFonts w:ascii="宋体" w:hAnsi="宋体" w:cs="宋体" w:eastAsia="宋体" w:hint="default"/>
          <w:spacing w:val="-2"/>
        </w:rPr>
        <w:t>5</w:t>
      </w:r>
      <w:r>
        <w:rPr>
          <w:spacing w:val="-2"/>
        </w:rPr>
        <w:t>日，公司披露《关于</w:t>
      </w:r>
      <w:r>
        <w:rPr>
          <w:rFonts w:ascii="宋体" w:hAnsi="宋体" w:cs="宋体" w:eastAsia="宋体" w:hint="default"/>
          <w:spacing w:val="-2"/>
        </w:rPr>
        <w:t>2015</w:t>
      </w:r>
      <w:r>
        <w:rPr>
          <w:spacing w:val="-2"/>
        </w:rPr>
        <w:t>年限制性股票激励计划首次授予第三期解锁股份上市流通的提示性公告》，本次解</w:t>
      </w:r>
      <w:r>
        <w:rPr>
          <w:spacing w:val="-63"/>
        </w:rPr>
        <w:t> </w:t>
      </w:r>
      <w:r>
        <w:rPr>
          <w:spacing w:val="-63"/>
        </w:rPr>
      </w:r>
      <w:r>
        <w:rPr/>
        <w:t>锁股份可上市流通日为</w:t>
      </w:r>
      <w:r>
        <w:rPr>
          <w:spacing w:val="-1"/>
        </w:rPr>
        <w:t> </w:t>
      </w:r>
      <w:r>
        <w:rPr>
          <w:rFonts w:ascii="宋体" w:hAnsi="宋体" w:cs="宋体" w:eastAsia="宋体" w:hint="default"/>
          <w:spacing w:val="-1"/>
        </w:rPr>
      </w:r>
      <w:r>
        <w:rPr>
          <w:rFonts w:ascii="宋体" w:hAnsi="宋体" w:cs="宋体" w:eastAsia="宋体" w:hint="default"/>
        </w:rPr>
        <w:t>2018</w:t>
      </w:r>
      <w:r>
        <w:rPr/>
        <w:t>年</w:t>
      </w:r>
      <w:r>
        <w:rPr>
          <w:rFonts w:ascii="宋体" w:hAnsi="宋体" w:cs="宋体" w:eastAsia="宋体" w:hint="default"/>
        </w:rPr>
        <w:t>9</w:t>
      </w:r>
      <w:r>
        <w:rPr/>
        <w:t>月</w:t>
      </w:r>
      <w:r>
        <w:rPr>
          <w:rFonts w:ascii="宋体" w:hAnsi="宋体" w:cs="宋体" w:eastAsia="宋体" w:hint="default"/>
        </w:rPr>
        <w:t>10</w:t>
      </w:r>
      <w:r>
        <w:rPr/>
        <w:t>日。</w:t>
      </w:r>
      <w:r>
        <w:rPr>
          <w:rFonts w:ascii="宋体" w:hAnsi="宋体" w:cs="宋体" w:eastAsia="宋体" w:hint="default"/>
        </w:rPr>
        <w:t> </w:t>
      </w:r>
    </w:p>
    <w:p>
      <w:pPr>
        <w:pStyle w:val="BodyText"/>
        <w:spacing w:line="240" w:lineRule="auto" w:before="19"/>
        <w:ind w:left="510" w:right="982"/>
        <w:jc w:val="left"/>
        <w:rPr>
          <w:rFonts w:ascii="宋体" w:hAnsi="宋体" w:cs="宋体" w:eastAsia="宋体" w:hint="default"/>
        </w:rPr>
      </w:pPr>
      <w:r>
        <w:rPr/>
        <w:t>上述内容详见公司披露的相关公告：</w:t>
      </w:r>
      <w:hyperlink r:id="rId13">
        <w:r>
          <w:rPr>
            <w:rFonts w:ascii="宋体" w:hAnsi="宋体" w:cs="宋体" w:eastAsia="宋体" w:hint="default"/>
          </w:rPr>
          <w:t>http://www.cninfo.com.cn</w:t>
        </w:r>
      </w:hyperlink>
      <w:r>
        <w:rPr/>
        <w:t>。</w:t>
      </w:r>
      <w:r>
        <w:rPr>
          <w:rFonts w:ascii="宋体" w:hAnsi="宋体" w:cs="宋体" w:eastAsia="宋体" w:hint="default"/>
        </w:rPr>
        <w:t> </w:t>
      </w:r>
    </w:p>
    <w:p>
      <w:pPr>
        <w:spacing w:after="0" w:line="240" w:lineRule="auto"/>
        <w:jc w:val="left"/>
        <w:rPr>
          <w:rFonts w:ascii="宋体" w:hAnsi="宋体" w:cs="宋体" w:eastAsia="宋体" w:hint="default"/>
        </w:rPr>
        <w:sectPr>
          <w:pgSz w:w="11910" w:h="16840"/>
          <w:pgMar w:header="745" w:footer="979" w:top="1060" w:bottom="1160" w:left="980" w:right="0"/>
        </w:sectPr>
      </w:pPr>
    </w:p>
    <w:p>
      <w:pPr>
        <w:spacing w:line="240" w:lineRule="auto" w:before="9"/>
        <w:rPr>
          <w:rFonts w:ascii="宋体" w:hAnsi="宋体" w:cs="宋体" w:eastAsia="宋体" w:hint="default"/>
          <w:sz w:val="25"/>
          <w:szCs w:val="25"/>
        </w:rPr>
      </w:pPr>
    </w:p>
    <w:p>
      <w:pPr>
        <w:pStyle w:val="BodyText"/>
        <w:spacing w:line="316" w:lineRule="auto" w:before="44"/>
        <w:ind w:right="1128" w:firstLine="360"/>
        <w:jc w:val="both"/>
        <w:rPr>
          <w:rFonts w:ascii="宋体" w:hAnsi="宋体" w:cs="宋体" w:eastAsia="宋体" w:hint="default"/>
        </w:rPr>
      </w:pPr>
      <w:r>
        <w:rPr>
          <w:rFonts w:ascii="宋体" w:hAnsi="宋体" w:cs="宋体" w:eastAsia="宋体" w:hint="default"/>
        </w:rPr>
        <w:t>3</w:t>
      </w:r>
      <w:r>
        <w:rPr/>
        <w:t>、公司以发行股份及支付现金相结合方式收购合肥杰发科技有限公司</w:t>
      </w:r>
      <w:r>
        <w:rPr>
          <w:rFonts w:ascii="宋体" w:hAnsi="宋体" w:cs="宋体" w:eastAsia="宋体" w:hint="default"/>
        </w:rPr>
        <w:t>100%</w:t>
      </w:r>
      <w:r>
        <w:rPr/>
        <w:t>股权的重大重组事项，其中通过非公开发行 </w:t>
      </w:r>
      <w:r>
        <w:rPr>
          <w:spacing w:val="-5"/>
        </w:rPr>
        <w:t>股份方式募集配套资金的对象包括腾讯产业基金、芯动能基金、天安财险、中信建投证券、华泰资产、林芝锦华、华泰瑞联、</w:t>
      </w:r>
      <w:r>
        <w:rPr>
          <w:spacing w:val="-81"/>
        </w:rPr>
        <w:t> </w:t>
      </w:r>
      <w:r>
        <w:rPr>
          <w:spacing w:val="-81"/>
        </w:rPr>
      </w:r>
      <w:r>
        <w:rPr>
          <w:spacing w:val="-2"/>
        </w:rPr>
        <w:t>安鹏资本、龙华启富和员工持股计划。本员工持股计划的参加对象包括公司董事（不含独立董事）、监事、高级管理人员及</w:t>
      </w:r>
      <w:r>
        <w:rPr>
          <w:spacing w:val="-70"/>
        </w:rPr>
        <w:t> </w:t>
      </w:r>
      <w:r>
        <w:rPr>
          <w:spacing w:val="-70"/>
        </w:rPr>
      </w:r>
      <w:r>
        <w:rPr>
          <w:spacing w:val="-2"/>
        </w:rPr>
        <w:t>其他人员，公司及其全资、控股子公司以及杰发科技符合认购条件的员工，每单位份额的认购价格为人民币</w:t>
      </w:r>
      <w:r>
        <w:rPr>
          <w:rFonts w:ascii="宋体" w:hAnsi="宋体" w:cs="宋体" w:eastAsia="宋体" w:hint="default"/>
          <w:spacing w:val="-2"/>
        </w:rPr>
        <w:t>1.00</w:t>
      </w:r>
      <w:r>
        <w:rPr>
          <w:spacing w:val="-2"/>
        </w:rPr>
        <w:t>元，设立时</w:t>
      </w:r>
      <w:r>
        <w:rPr>
          <w:spacing w:val="-59"/>
        </w:rPr>
        <w:t> </w:t>
      </w:r>
      <w:r>
        <w:rPr>
          <w:spacing w:val="-59"/>
        </w:rPr>
      </w:r>
      <w:r>
        <w:rPr/>
        <w:t>的份额合计不超过</w:t>
      </w:r>
      <w:r>
        <w:rPr>
          <w:rFonts w:ascii="宋体" w:hAnsi="宋体" w:cs="宋体" w:eastAsia="宋体" w:hint="default"/>
        </w:rPr>
        <w:t>40,000</w:t>
      </w:r>
      <w:r>
        <w:rPr/>
        <w:t>万份，对应资金总额上限人民币</w:t>
      </w:r>
      <w:r>
        <w:rPr>
          <w:rFonts w:ascii="宋体" w:hAnsi="宋体" w:cs="宋体" w:eastAsia="宋体" w:hint="default"/>
        </w:rPr>
        <w:t>40,000</w:t>
      </w:r>
      <w:r>
        <w:rPr/>
        <w:t>万元。截至</w:t>
      </w:r>
      <w:r>
        <w:rPr>
          <w:rFonts w:ascii="宋体" w:hAnsi="宋体" w:cs="宋体" w:eastAsia="宋体" w:hint="default"/>
        </w:rPr>
        <w:t>2017</w:t>
      </w:r>
      <w:r>
        <w:rPr/>
        <w:t>年</w:t>
      </w:r>
      <w:r>
        <w:rPr>
          <w:rFonts w:ascii="宋体" w:hAnsi="宋体" w:cs="宋体" w:eastAsia="宋体" w:hint="default"/>
        </w:rPr>
        <w:t>3</w:t>
      </w:r>
      <w:r>
        <w:rPr/>
        <w:t>月</w:t>
      </w:r>
      <w:r>
        <w:rPr>
          <w:rFonts w:ascii="宋体" w:hAnsi="宋体" w:cs="宋体" w:eastAsia="宋体" w:hint="default"/>
        </w:rPr>
        <w:t>10</w:t>
      </w:r>
      <w:r>
        <w:rPr/>
        <w:t>日，公司第一期员工持股计划最终 的认购总额为</w:t>
      </w:r>
      <w:r>
        <w:rPr>
          <w:rFonts w:ascii="宋体" w:hAnsi="宋体" w:cs="宋体" w:eastAsia="宋体" w:hint="default"/>
        </w:rPr>
        <w:t>35,863.00</w:t>
      </w:r>
      <w:r>
        <w:rPr>
          <w:rFonts w:ascii="宋体" w:hAnsi="宋体" w:cs="宋体" w:eastAsia="宋体" w:hint="default"/>
          <w:spacing w:val="-4"/>
        </w:rPr>
        <w:t> </w:t>
      </w:r>
      <w:r>
        <w:rPr/>
        <w:t>万元。</w:t>
      </w:r>
      <w:r>
        <w:rPr>
          <w:rFonts w:ascii="宋体" w:hAnsi="宋体" w:cs="宋体" w:eastAsia="宋体" w:hint="default"/>
        </w:rPr>
        <w:t>3</w:t>
      </w:r>
      <w:r>
        <w:rPr/>
        <w:t>月</w:t>
      </w:r>
      <w:r>
        <w:rPr>
          <w:rFonts w:ascii="宋体" w:hAnsi="宋体" w:cs="宋体" w:eastAsia="宋体" w:hint="default"/>
        </w:rPr>
        <w:t>15</w:t>
      </w:r>
      <w:r>
        <w:rPr/>
        <w:t>日，公司本次发行新增股份取得了中国证券登记结算有限责任公司出具的《股份登记 申请受理确认书》，新增股份上市日为</w:t>
      </w:r>
      <w:r>
        <w:rPr>
          <w:rFonts w:ascii="宋体" w:hAnsi="宋体" w:cs="宋体" w:eastAsia="宋体" w:hint="default"/>
        </w:rPr>
        <w:t>2017</w:t>
      </w:r>
      <w:r>
        <w:rPr/>
        <w:t>年</w:t>
      </w:r>
      <w:r>
        <w:rPr>
          <w:rFonts w:ascii="宋体" w:hAnsi="宋体" w:cs="宋体" w:eastAsia="宋体" w:hint="default"/>
        </w:rPr>
        <w:t>3</w:t>
      </w:r>
      <w:r>
        <w:rPr/>
        <w:t>月</w:t>
      </w:r>
      <w:r>
        <w:rPr>
          <w:rFonts w:ascii="宋体" w:hAnsi="宋体" w:cs="宋体" w:eastAsia="宋体" w:hint="default"/>
        </w:rPr>
        <w:t>23</w:t>
      </w:r>
      <w:r>
        <w:rPr/>
        <w:t>日。</w:t>
      </w:r>
      <w:r>
        <w:rPr>
          <w:rFonts w:ascii="宋体" w:hAnsi="宋体" w:cs="宋体" w:eastAsia="宋体" w:hint="default"/>
          <w:spacing w:val="-2"/>
        </w:rPr>
        <w:t> </w:t>
      </w:r>
      <w:r>
        <w:rPr>
          <w:rFonts w:ascii="宋体" w:hAnsi="宋体" w:cs="宋体" w:eastAsia="宋体" w:hint="default"/>
        </w:rPr>
        <w:t> </w:t>
      </w:r>
    </w:p>
    <w:p>
      <w:pPr>
        <w:pStyle w:val="BodyText"/>
        <w:spacing w:line="240" w:lineRule="auto" w:before="19"/>
        <w:ind w:left="510" w:right="982"/>
        <w:jc w:val="left"/>
        <w:rPr>
          <w:rFonts w:ascii="宋体" w:hAnsi="宋体" w:cs="宋体" w:eastAsia="宋体" w:hint="default"/>
        </w:rPr>
      </w:pPr>
      <w:r>
        <w:rPr/>
        <w:t>上述内容详见公司披露的相关公告：</w:t>
      </w:r>
      <w:hyperlink r:id="rId13">
        <w:r>
          <w:rPr>
            <w:rFonts w:ascii="宋体" w:hAnsi="宋体" w:cs="宋体" w:eastAsia="宋体" w:hint="default"/>
          </w:rPr>
          <w:t>http://www.cninfo.com.cn</w:t>
        </w:r>
      </w:hyperlink>
      <w:r>
        <w:rPr/>
        <w:t>。</w:t>
      </w:r>
      <w:r>
        <w:rPr>
          <w:rFonts w:ascii="宋体" w:hAnsi="宋体" w:cs="宋体" w:eastAsia="宋体" w:hint="default"/>
        </w:rPr>
        <w:t> </w:t>
      </w:r>
    </w:p>
    <w:p>
      <w:pPr>
        <w:spacing w:line="240" w:lineRule="auto" w:before="10"/>
        <w:rPr>
          <w:rFonts w:ascii="宋体" w:hAnsi="宋体" w:cs="宋体" w:eastAsia="宋体" w:hint="default"/>
          <w:sz w:val="17"/>
          <w:szCs w:val="17"/>
        </w:rPr>
      </w:pPr>
    </w:p>
    <w:p>
      <w:pPr>
        <w:pStyle w:val="BodyText"/>
        <w:spacing w:line="240" w:lineRule="auto"/>
        <w:ind w:right="982"/>
        <w:jc w:val="left"/>
      </w:pPr>
      <w:r>
        <w:rPr/>
        <w:t>公司需遵守《深圳证券交易所行业信息披露指引第</w:t>
      </w:r>
      <w:r>
        <w:rPr>
          <w:spacing w:val="-45"/>
        </w:rPr>
        <w:t> </w:t>
      </w:r>
      <w:r>
        <w:rPr>
          <w:rFonts w:ascii="Times New Roman" w:hAnsi="Times New Roman" w:cs="Times New Roman" w:eastAsia="Times New Roman" w:hint="default"/>
        </w:rPr>
        <w:t>12 </w:t>
      </w:r>
      <w:r>
        <w:rPr/>
        <w:t>号</w:t>
      </w:r>
      <w:r>
        <w:rPr>
          <w:rFonts w:ascii="Times New Roman" w:hAnsi="Times New Roman" w:cs="Times New Roman" w:eastAsia="Times New Roman" w:hint="default"/>
        </w:rPr>
        <w:t>——</w:t>
      </w:r>
      <w:r>
        <w:rPr/>
        <w:t>上市公司从事软件与信息技术服务业务》的披露要求</w:t>
      </w:r>
    </w:p>
    <w:p>
      <w:pPr>
        <w:pStyle w:val="BodyText"/>
        <w:spacing w:line="300" w:lineRule="auto" w:before="103"/>
        <w:ind w:right="1131" w:firstLine="360"/>
        <w:jc w:val="both"/>
      </w:pPr>
      <w:r>
        <w:rPr/>
        <w:t>本报告期，公司实施股权激励计提的激励成本为</w:t>
      </w:r>
      <w:r>
        <w:rPr>
          <w:spacing w:val="-49"/>
        </w:rPr>
        <w:t> </w:t>
      </w:r>
      <w:r>
        <w:rPr>
          <w:rFonts w:ascii="Times New Roman" w:hAnsi="Times New Roman" w:cs="Times New Roman" w:eastAsia="Times New Roman" w:hint="default"/>
        </w:rPr>
        <w:t>2,836.73</w:t>
      </w:r>
      <w:r>
        <w:rPr>
          <w:rFonts w:ascii="Times New Roman" w:hAnsi="Times New Roman" w:cs="Times New Roman" w:eastAsia="Times New Roman" w:hint="default"/>
          <w:spacing w:val="-2"/>
        </w:rPr>
        <w:t> </w:t>
      </w:r>
      <w:r>
        <w:rPr>
          <w:spacing w:val="-3"/>
        </w:rPr>
        <w:t>万元，减少公司利润总额</w:t>
      </w:r>
      <w:r>
        <w:rPr>
          <w:spacing w:val="-48"/>
        </w:rPr>
        <w:t> </w:t>
      </w:r>
      <w:r>
        <w:rPr>
          <w:rFonts w:ascii="Times New Roman" w:hAnsi="Times New Roman" w:cs="Times New Roman" w:eastAsia="Times New Roman" w:hint="default"/>
        </w:rPr>
        <w:t>2,836.73</w:t>
      </w:r>
      <w:r>
        <w:rPr>
          <w:rFonts w:ascii="Times New Roman" w:hAnsi="Times New Roman" w:cs="Times New Roman" w:eastAsia="Times New Roman" w:hint="default"/>
          <w:spacing w:val="-2"/>
        </w:rPr>
        <w:t> </w:t>
      </w:r>
      <w:r>
        <w:rPr>
          <w:spacing w:val="-4"/>
        </w:rPr>
        <w:t>万元。其中，核心技术人员</w:t>
      </w:r>
      <w:r>
        <w:rPr/>
        <w:t> 的股权激励费用及占公司当期股权激励费用的比例为</w:t>
      </w:r>
      <w:r>
        <w:rPr>
          <w:spacing w:val="-46"/>
        </w:rPr>
        <w:t> </w:t>
      </w:r>
      <w:r>
        <w:rPr>
          <w:rFonts w:ascii="Times New Roman" w:hAnsi="Times New Roman" w:cs="Times New Roman" w:eastAsia="Times New Roman" w:hint="default"/>
        </w:rPr>
        <w:t>54.63%</w:t>
      </w:r>
      <w:r>
        <w:rPr/>
        <w:t>。</w:t>
      </w:r>
    </w:p>
    <w:p>
      <w:pPr>
        <w:spacing w:line="240" w:lineRule="auto" w:before="3"/>
        <w:rPr>
          <w:rFonts w:ascii="宋体" w:hAnsi="宋体" w:cs="宋体" w:eastAsia="宋体" w:hint="default"/>
          <w:sz w:val="20"/>
          <w:szCs w:val="20"/>
        </w:rPr>
      </w:pPr>
    </w:p>
    <w:p>
      <w:pPr>
        <w:pStyle w:val="Heading2"/>
        <w:spacing w:line="240" w:lineRule="auto"/>
        <w:ind w:right="982"/>
        <w:jc w:val="left"/>
        <w:rPr>
          <w:b w:val="0"/>
          <w:bCs w:val="0"/>
        </w:rPr>
      </w:pPr>
      <w:r>
        <w:rPr/>
        <w:t>十六、重大关联交易</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982"/>
        <w:jc w:val="left"/>
        <w:rPr>
          <w:b w:val="0"/>
          <w:bCs w:val="0"/>
        </w:rPr>
      </w:pPr>
      <w:r>
        <w:rPr>
          <w:rFonts w:ascii="Times New Roman" w:hAnsi="Times New Roman" w:cs="Times New Roman" w:eastAsia="Times New Roman" w:hint="default"/>
        </w:rPr>
        <w:t>1</w:t>
      </w:r>
      <w:r>
        <w:rPr/>
        <w:t>、与日常经营相关的关联交易</w:t>
      </w:r>
      <w:r>
        <w:rPr>
          <w:b w:val="0"/>
          <w:bCs w:val="0"/>
        </w:rPr>
      </w:r>
    </w:p>
    <w:p>
      <w:pPr>
        <w:spacing w:line="240" w:lineRule="auto" w:before="4"/>
        <w:rPr>
          <w:rFonts w:ascii="宋体" w:hAnsi="宋体" w:cs="宋体" w:eastAsia="宋体" w:hint="default"/>
          <w:b/>
          <w:bCs/>
          <w:sz w:val="26"/>
          <w:szCs w:val="26"/>
        </w:rPr>
      </w:pPr>
    </w:p>
    <w:p>
      <w:pPr>
        <w:pStyle w:val="BodyText"/>
        <w:spacing w:line="338" w:lineRule="auto"/>
        <w:ind w:right="647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公司报告期未发生与日常经营相关的关联交易。</w:t>
      </w:r>
    </w:p>
    <w:p>
      <w:pPr>
        <w:spacing w:line="240" w:lineRule="auto" w:before="7"/>
        <w:rPr>
          <w:rFonts w:ascii="宋体" w:hAnsi="宋体" w:cs="宋体" w:eastAsia="宋体" w:hint="default"/>
          <w:sz w:val="21"/>
          <w:szCs w:val="21"/>
        </w:rPr>
      </w:pPr>
    </w:p>
    <w:p>
      <w:pPr>
        <w:pStyle w:val="Heading4"/>
        <w:spacing w:line="240" w:lineRule="auto"/>
        <w:ind w:right="982"/>
        <w:jc w:val="left"/>
        <w:rPr>
          <w:b w:val="0"/>
          <w:bCs w:val="0"/>
        </w:rPr>
      </w:pPr>
      <w:r>
        <w:rPr>
          <w:rFonts w:ascii="Times New Roman" w:hAnsi="Times New Roman" w:cs="Times New Roman" w:eastAsia="Times New Roman" w:hint="default"/>
        </w:rPr>
        <w:t>2</w:t>
      </w:r>
      <w:r>
        <w:rPr/>
        <w:t>、资产或股权收购、出售发生的关联交易</w:t>
      </w:r>
      <w:r>
        <w:rPr>
          <w:b w:val="0"/>
          <w:bCs w:val="0"/>
        </w:rPr>
      </w:r>
    </w:p>
    <w:p>
      <w:pPr>
        <w:spacing w:line="240" w:lineRule="auto" w:before="4"/>
        <w:rPr>
          <w:rFonts w:ascii="宋体" w:hAnsi="宋体" w:cs="宋体" w:eastAsia="宋体" w:hint="default"/>
          <w:b/>
          <w:bCs/>
          <w:sz w:val="26"/>
          <w:szCs w:val="26"/>
        </w:rPr>
      </w:pPr>
    </w:p>
    <w:p>
      <w:pPr>
        <w:pStyle w:val="BodyText"/>
        <w:spacing w:line="340" w:lineRule="auto"/>
        <w:ind w:right="64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公司报告期未发生资产或股权收购、出售的关联交易。</w:t>
      </w:r>
    </w:p>
    <w:p>
      <w:pPr>
        <w:spacing w:line="240" w:lineRule="auto" w:before="3"/>
        <w:rPr>
          <w:rFonts w:ascii="宋体" w:hAnsi="宋体" w:cs="宋体" w:eastAsia="宋体" w:hint="default"/>
          <w:sz w:val="21"/>
          <w:szCs w:val="21"/>
        </w:rPr>
      </w:pPr>
    </w:p>
    <w:p>
      <w:pPr>
        <w:pStyle w:val="Heading4"/>
        <w:spacing w:line="240" w:lineRule="auto"/>
        <w:ind w:right="982"/>
        <w:jc w:val="left"/>
        <w:rPr>
          <w:b w:val="0"/>
          <w:bCs w:val="0"/>
        </w:rPr>
      </w:pPr>
      <w:r>
        <w:rPr>
          <w:rFonts w:ascii="Times New Roman" w:hAnsi="Times New Roman" w:cs="Times New Roman" w:eastAsia="Times New Roman" w:hint="default"/>
        </w:rPr>
        <w:t>3</w:t>
      </w:r>
      <w:r>
        <w:rPr/>
        <w:t>、共同对外投资的关联交易</w:t>
      </w:r>
      <w:r>
        <w:rPr>
          <w:b w:val="0"/>
          <w:bCs w:val="0"/>
        </w:rPr>
      </w:r>
    </w:p>
    <w:p>
      <w:pPr>
        <w:spacing w:line="240" w:lineRule="auto" w:before="4"/>
        <w:rPr>
          <w:rFonts w:ascii="宋体" w:hAnsi="宋体" w:cs="宋体" w:eastAsia="宋体" w:hint="default"/>
          <w:b/>
          <w:bCs/>
          <w:sz w:val="26"/>
          <w:szCs w:val="26"/>
        </w:rPr>
      </w:pPr>
    </w:p>
    <w:p>
      <w:pPr>
        <w:pStyle w:val="BodyText"/>
        <w:spacing w:line="340" w:lineRule="auto"/>
        <w:ind w:right="715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公司报告期未发生共同对外投资的关联交易。</w:t>
      </w:r>
    </w:p>
    <w:p>
      <w:pPr>
        <w:spacing w:line="240" w:lineRule="auto" w:before="3"/>
        <w:rPr>
          <w:rFonts w:ascii="宋体" w:hAnsi="宋体" w:cs="宋体" w:eastAsia="宋体" w:hint="default"/>
          <w:sz w:val="21"/>
          <w:szCs w:val="21"/>
        </w:rPr>
      </w:pPr>
    </w:p>
    <w:p>
      <w:pPr>
        <w:pStyle w:val="Heading4"/>
        <w:spacing w:line="240" w:lineRule="auto"/>
        <w:ind w:right="982"/>
        <w:jc w:val="left"/>
        <w:rPr>
          <w:b w:val="0"/>
          <w:bCs w:val="0"/>
        </w:rPr>
      </w:pPr>
      <w:r>
        <w:rPr>
          <w:rFonts w:ascii="Times New Roman" w:hAnsi="Times New Roman" w:cs="Times New Roman" w:eastAsia="Times New Roman" w:hint="default"/>
        </w:rPr>
        <w:t>4</w:t>
      </w:r>
      <w:r>
        <w:rPr/>
        <w:t>、关联债权债务往来</w:t>
      </w:r>
      <w:r>
        <w:rPr>
          <w:b w:val="0"/>
          <w:bCs w:val="0"/>
        </w:rPr>
      </w:r>
    </w:p>
    <w:p>
      <w:pPr>
        <w:spacing w:line="240" w:lineRule="auto" w:before="4"/>
        <w:rPr>
          <w:rFonts w:ascii="宋体" w:hAnsi="宋体" w:cs="宋体" w:eastAsia="宋体" w:hint="default"/>
          <w:b/>
          <w:bCs/>
          <w:sz w:val="26"/>
          <w:szCs w:val="26"/>
        </w:rPr>
      </w:pPr>
    </w:p>
    <w:p>
      <w:pPr>
        <w:pStyle w:val="BodyText"/>
        <w:spacing w:line="340" w:lineRule="auto"/>
        <w:ind w:right="769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公司报告期不存在关联债权债务往来。</w:t>
      </w:r>
    </w:p>
    <w:p>
      <w:pPr>
        <w:spacing w:line="240" w:lineRule="auto" w:before="6"/>
        <w:rPr>
          <w:rFonts w:ascii="宋体" w:hAnsi="宋体" w:cs="宋体" w:eastAsia="宋体" w:hint="default"/>
          <w:sz w:val="21"/>
          <w:szCs w:val="21"/>
        </w:rPr>
      </w:pPr>
    </w:p>
    <w:p>
      <w:pPr>
        <w:pStyle w:val="Heading4"/>
        <w:spacing w:line="240" w:lineRule="auto"/>
        <w:ind w:right="982"/>
        <w:jc w:val="left"/>
        <w:rPr>
          <w:b w:val="0"/>
          <w:bCs w:val="0"/>
        </w:rPr>
      </w:pPr>
      <w:r>
        <w:rPr>
          <w:rFonts w:ascii="Times New Roman" w:hAnsi="Times New Roman" w:cs="Times New Roman" w:eastAsia="Times New Roman" w:hint="default"/>
        </w:rPr>
        <w:t>5</w:t>
      </w:r>
      <w:r>
        <w:rPr/>
        <w:t>、其他重大关联交易</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300" w:lineRule="auto" w:before="101"/>
        <w:ind w:right="1128" w:firstLine="360"/>
        <w:jc w:val="both"/>
        <w:rPr>
          <w:rFonts w:ascii="宋体" w:hAnsi="宋体" w:cs="宋体" w:eastAsia="宋体" w:hint="default"/>
        </w:rPr>
      </w:pPr>
      <w:r>
        <w:rPr>
          <w:rFonts w:ascii="Times New Roman" w:hAnsi="Times New Roman" w:cs="Times New Roman" w:eastAsia="Times New Roman" w:hint="default"/>
        </w:rPr>
        <w:t>2018 </w:t>
      </w:r>
      <w:r>
        <w:rPr/>
        <w:t>年 </w:t>
      </w:r>
      <w:r>
        <w:rPr>
          <w:rFonts w:ascii="Times New Roman" w:hAnsi="Times New Roman" w:cs="Times New Roman" w:eastAsia="Times New Roman" w:hint="default"/>
        </w:rPr>
        <w:t>9 </w:t>
      </w:r>
      <w:r>
        <w:rPr/>
        <w:t>月 </w:t>
      </w:r>
      <w:r>
        <w:rPr>
          <w:rFonts w:ascii="Times New Roman" w:hAnsi="Times New Roman" w:cs="Times New Roman" w:eastAsia="Times New Roman" w:hint="default"/>
        </w:rPr>
        <w:t>7 </w:t>
      </w:r>
      <w:r>
        <w:rPr/>
        <w:t>日，公司召开第四届董事会第十一次会议，审议通过了《关于 </w:t>
      </w:r>
      <w:r>
        <w:rPr>
          <w:rFonts w:ascii="Times New Roman" w:hAnsi="Times New Roman" w:cs="Times New Roman" w:eastAsia="Times New Roman" w:hint="default"/>
        </w:rPr>
        <w:t>Mapbar Technology Limited</w:t>
      </w:r>
      <w:r>
        <w:rPr>
          <w:rFonts w:ascii="Times New Roman" w:hAnsi="Times New Roman" w:cs="Times New Roman" w:eastAsia="Times New Roman" w:hint="default"/>
          <w:spacing w:val="32"/>
        </w:rPr>
        <w:t> </w:t>
      </w:r>
      <w:r>
        <w:rPr/>
        <w:t>接受投资暨 </w:t>
      </w:r>
      <w:r>
        <w:rPr>
          <w:spacing w:val="-4"/>
        </w:rPr>
        <w:t>关联交易的议案》，公司控股子公司 </w:t>
      </w:r>
      <w:r>
        <w:rPr>
          <w:rFonts w:ascii="Times New Roman" w:hAnsi="Times New Roman" w:cs="Times New Roman" w:eastAsia="Times New Roman" w:hint="default"/>
        </w:rPr>
        <w:t>Mapbar Technology </w:t>
      </w:r>
      <w:r>
        <w:rPr>
          <w:rFonts w:ascii="Times New Roman" w:hAnsi="Times New Roman" w:cs="Times New Roman" w:eastAsia="Times New Roman" w:hint="default"/>
          <w:spacing w:val="-3"/>
        </w:rPr>
        <w:t>Limited</w:t>
      </w:r>
      <w:r>
        <w:rPr>
          <w:spacing w:val="-3"/>
        </w:rPr>
        <w:t>（以下简称</w:t>
      </w:r>
      <w:r>
        <w:rPr>
          <w:rFonts w:ascii="Times New Roman" w:hAnsi="Times New Roman" w:cs="Times New Roman" w:eastAsia="Times New Roman" w:hint="default"/>
          <w:spacing w:val="-3"/>
        </w:rPr>
        <w:t>“</w:t>
      </w:r>
      <w:r>
        <w:rPr>
          <w:spacing w:val="-3"/>
        </w:rPr>
        <w:t>图吧</w:t>
      </w:r>
      <w:r>
        <w:rPr>
          <w:rFonts w:ascii="Times New Roman" w:hAnsi="Times New Roman" w:cs="Times New Roman" w:eastAsia="Times New Roman" w:hint="default"/>
          <w:spacing w:val="-3"/>
        </w:rPr>
        <w:t>BVI”</w:t>
      </w:r>
      <w:r>
        <w:rPr>
          <w:spacing w:val="-3"/>
        </w:rPr>
        <w:t>）拟进行增资扩股，引进投资者</w:t>
      </w:r>
      <w:r>
        <w:rPr>
          <w:spacing w:val="-42"/>
        </w:rPr>
        <w:t> </w:t>
      </w:r>
      <w:r>
        <w:rPr>
          <w:rFonts w:ascii="Times New Roman" w:hAnsi="Times New Roman" w:cs="Times New Roman" w:eastAsia="Times New Roman" w:hint="default"/>
        </w:rPr>
        <w:t>Image </w:t>
      </w:r>
      <w:r>
        <w:rPr>
          <w:rFonts w:ascii="Times New Roman" w:hAnsi="Times New Roman" w:cs="Times New Roman" w:eastAsia="Times New Roman" w:hint="default"/>
          <w:spacing w:val="-5"/>
        </w:rPr>
        <w:t>Cyber</w:t>
      </w:r>
      <w:r>
        <w:rPr>
          <w:spacing w:val="-5"/>
        </w:rPr>
        <w:t>、</w:t>
      </w:r>
      <w:r>
        <w:rPr>
          <w:rFonts w:ascii="Times New Roman" w:hAnsi="Times New Roman" w:cs="Times New Roman" w:eastAsia="Times New Roman" w:hint="default"/>
          <w:spacing w:val="-5"/>
        </w:rPr>
        <w:t>Top</w:t>
      </w:r>
      <w:r>
        <w:rPr>
          <w:rFonts w:ascii="Times New Roman" w:hAnsi="Times New Roman" w:cs="Times New Roman" w:eastAsia="Times New Roman" w:hint="default"/>
          <w:spacing w:val="7"/>
        </w:rPr>
        <w:t> </w:t>
      </w:r>
      <w:r>
        <w:rPr>
          <w:rFonts w:ascii="Times New Roman" w:hAnsi="Times New Roman" w:cs="Times New Roman" w:eastAsia="Times New Roman" w:hint="default"/>
          <w:spacing w:val="-4"/>
        </w:rPr>
        <w:t>Grove</w:t>
      </w:r>
      <w:r>
        <w:rPr>
          <w:spacing w:val="-4"/>
        </w:rPr>
        <w:t>、蔚来资本和</w:t>
      </w:r>
      <w:r>
        <w:rPr>
          <w:spacing w:val="14"/>
        </w:rPr>
        <w:t> </w:t>
      </w:r>
      <w:r>
        <w:rPr>
          <w:rFonts w:ascii="Times New Roman" w:hAnsi="Times New Roman" w:cs="Times New Roman" w:eastAsia="Times New Roman" w:hint="default"/>
          <w:spacing w:val="-3"/>
        </w:rPr>
        <w:t>Advantech</w:t>
      </w:r>
      <w:r>
        <w:rPr>
          <w:spacing w:val="-3"/>
        </w:rPr>
        <w:t>。</w:t>
      </w:r>
      <w:r>
        <w:rPr>
          <w:rFonts w:ascii="Times New Roman" w:hAnsi="Times New Roman" w:cs="Times New Roman" w:eastAsia="Times New Roman" w:hint="default"/>
          <w:spacing w:val="-3"/>
        </w:rPr>
        <w:t>2018</w:t>
      </w:r>
      <w:r>
        <w:rPr>
          <w:spacing w:val="-3"/>
        </w:rPr>
        <w:t>年</w:t>
      </w:r>
      <w:r>
        <w:rPr>
          <w:rFonts w:ascii="Times New Roman" w:hAnsi="Times New Roman" w:cs="Times New Roman" w:eastAsia="Times New Roman" w:hint="default"/>
          <w:spacing w:val="-3"/>
        </w:rPr>
        <w:t>11</w:t>
      </w:r>
      <w:r>
        <w:rPr>
          <w:spacing w:val="-3"/>
        </w:rPr>
        <w:t>月</w:t>
      </w:r>
      <w:r>
        <w:rPr>
          <w:rFonts w:ascii="Times New Roman" w:hAnsi="Times New Roman" w:cs="Times New Roman" w:eastAsia="Times New Roman" w:hint="default"/>
          <w:spacing w:val="-3"/>
        </w:rPr>
        <w:t>23</w:t>
      </w:r>
      <w:r>
        <w:rPr>
          <w:spacing w:val="-3"/>
        </w:rPr>
        <w:t>日，本次协议各方增资款已全部到账，相关交割手续已办理完毕。</w:t>
      </w:r>
      <w:r>
        <w:rPr>
          <w:spacing w:val="-82"/>
        </w:rPr>
        <w:t> </w:t>
      </w:r>
      <w:r>
        <w:rPr>
          <w:spacing w:val="-82"/>
        </w:rPr>
      </w:r>
      <w:r>
        <w:rPr/>
        <w:t>至此，公司对图吧</w:t>
      </w:r>
      <w:r>
        <w:rPr>
          <w:rFonts w:ascii="Times New Roman" w:hAnsi="Times New Roman" w:cs="Times New Roman" w:eastAsia="Times New Roman" w:hint="default"/>
        </w:rPr>
        <w:t>BVI  </w:t>
      </w:r>
      <w:r>
        <w:rPr/>
        <w:t>的持股比例降至 </w:t>
      </w:r>
      <w:r>
        <w:rPr>
          <w:rFonts w:ascii="Times New Roman" w:hAnsi="Times New Roman" w:cs="Times New Roman" w:eastAsia="Times New Roman" w:hint="default"/>
        </w:rPr>
        <w:t>46.93%</w:t>
      </w:r>
      <w:r>
        <w:rPr/>
        <w:t>，图吧</w:t>
      </w:r>
      <w:r>
        <w:rPr>
          <w:rFonts w:ascii="Times New Roman" w:hAnsi="Times New Roman" w:cs="Times New Roman" w:eastAsia="Times New Roman" w:hint="default"/>
        </w:rPr>
        <w:t>BVI</w:t>
      </w:r>
      <w:r>
        <w:rPr>
          <w:rFonts w:ascii="Times New Roman" w:hAnsi="Times New Roman" w:cs="Times New Roman" w:eastAsia="Times New Roman" w:hint="default"/>
          <w:spacing w:val="-14"/>
        </w:rPr>
        <w:t> </w:t>
      </w:r>
      <w:r>
        <w:rPr/>
        <w:t>及其相关公司不再纳入公司合并范围。</w:t>
      </w:r>
      <w:r>
        <w:rPr>
          <w:rFonts w:ascii="宋体" w:hAnsi="宋体" w:cs="宋体" w:eastAsia="宋体" w:hint="default"/>
        </w:rPr>
        <w:t> </w:t>
      </w:r>
    </w:p>
    <w:p>
      <w:pPr>
        <w:pStyle w:val="BodyText"/>
        <w:spacing w:line="300" w:lineRule="auto" w:before="13"/>
        <w:ind w:right="1132" w:firstLine="360"/>
        <w:jc w:val="both"/>
      </w:pPr>
      <w:r>
        <w:rPr/>
        <w:t>本次交易的交易对方之一</w:t>
      </w:r>
      <w:r>
        <w:rPr>
          <w:spacing w:val="-47"/>
        </w:rPr>
        <w:t> </w:t>
      </w:r>
      <w:r>
        <w:rPr>
          <w:rFonts w:ascii="Times New Roman" w:hAnsi="Times New Roman" w:cs="Times New Roman" w:eastAsia="Times New Roman" w:hint="default"/>
        </w:rPr>
        <w:t>Image</w:t>
      </w:r>
      <w:r>
        <w:rPr>
          <w:rFonts w:ascii="Times New Roman" w:hAnsi="Times New Roman" w:cs="Times New Roman" w:eastAsia="Times New Roman" w:hint="default"/>
          <w:spacing w:val="-24"/>
        </w:rPr>
        <w:t> </w:t>
      </w:r>
      <w:r>
        <w:rPr>
          <w:rFonts w:ascii="Times New Roman" w:hAnsi="Times New Roman" w:cs="Times New Roman" w:eastAsia="Times New Roman" w:hint="default"/>
        </w:rPr>
        <w:t>Cyber</w:t>
      </w:r>
      <w:r>
        <w:rPr>
          <w:rFonts w:ascii="Times New Roman" w:hAnsi="Times New Roman" w:cs="Times New Roman" w:eastAsia="Times New Roman" w:hint="default"/>
          <w:spacing w:val="-1"/>
        </w:rPr>
        <w:t> </w:t>
      </w:r>
      <w:r>
        <w:rPr/>
        <w:t>为腾讯的附属公司，深圳市腾讯产业投资基金有限公司为公司第二大股东，本次 交易涉及腾讯的部分构成本公司的关联交易。</w:t>
      </w:r>
    </w:p>
    <w:p>
      <w:pPr>
        <w:spacing w:after="0" w:line="300" w:lineRule="auto"/>
        <w:jc w:val="both"/>
        <w:sectPr>
          <w:pgSz w:w="11910" w:h="16840"/>
          <w:pgMar w:header="745" w:footer="979" w:top="1060" w:bottom="116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982"/>
        <w:jc w:val="left"/>
        <w:rPr>
          <w:b w:val="0"/>
          <w:bCs w:val="0"/>
        </w:rPr>
      </w:pPr>
      <w:r>
        <w:rPr/>
        <w:t>十七、重大合同及其履行情况</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982"/>
        <w:jc w:val="left"/>
        <w:rPr>
          <w:b w:val="0"/>
          <w:bCs w:val="0"/>
        </w:rPr>
      </w:pPr>
      <w:r>
        <w:rPr>
          <w:rFonts w:ascii="Times New Roman" w:hAnsi="Times New Roman" w:cs="Times New Roman" w:eastAsia="Times New Roman" w:hint="default"/>
        </w:rPr>
        <w:t>1</w:t>
      </w:r>
      <w:r>
        <w:rPr/>
        <w:t>、托管、承包、租赁事项情况</w:t>
      </w:r>
      <w:r>
        <w:rPr>
          <w:b w:val="0"/>
          <w:bCs w:val="0"/>
        </w:rPr>
      </w:r>
    </w:p>
    <w:p>
      <w:pPr>
        <w:spacing w:line="240" w:lineRule="auto" w:before="7"/>
        <w:rPr>
          <w:rFonts w:ascii="宋体" w:hAnsi="宋体" w:cs="宋体" w:eastAsia="宋体" w:hint="default"/>
          <w:b/>
          <w:bCs/>
          <w:sz w:val="24"/>
          <w:szCs w:val="24"/>
        </w:rPr>
      </w:pPr>
    </w:p>
    <w:p>
      <w:pPr>
        <w:pStyle w:val="Heading4"/>
        <w:spacing w:line="240" w:lineRule="auto"/>
        <w:ind w:right="982"/>
        <w:jc w:val="left"/>
        <w:rPr>
          <w:b w:val="0"/>
          <w:bCs w:val="0"/>
        </w:rPr>
      </w:pPr>
      <w:r>
        <w:rPr/>
        <w:t>（</w:t>
      </w:r>
      <w:r>
        <w:rPr>
          <w:rFonts w:ascii="Times New Roman" w:hAnsi="Times New Roman" w:cs="Times New Roman" w:eastAsia="Times New Roman" w:hint="default"/>
        </w:rPr>
        <w:t>1</w:t>
      </w:r>
      <w:r>
        <w:rPr/>
        <w:t>）托管情况</w:t>
      </w:r>
      <w:r>
        <w:rPr>
          <w:b w:val="0"/>
          <w:bCs w:val="0"/>
        </w:rPr>
      </w:r>
    </w:p>
    <w:p>
      <w:pPr>
        <w:spacing w:line="240" w:lineRule="auto" w:before="4"/>
        <w:rPr>
          <w:rFonts w:ascii="宋体" w:hAnsi="宋体" w:cs="宋体" w:eastAsia="宋体" w:hint="default"/>
          <w:b/>
          <w:bCs/>
          <w:sz w:val="26"/>
          <w:szCs w:val="26"/>
        </w:rPr>
      </w:pPr>
    </w:p>
    <w:p>
      <w:pPr>
        <w:pStyle w:val="BodyText"/>
        <w:spacing w:line="338" w:lineRule="auto"/>
        <w:ind w:right="841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公司报告期不存在托管情况。</w:t>
      </w:r>
    </w:p>
    <w:p>
      <w:pPr>
        <w:spacing w:line="240" w:lineRule="auto" w:before="7"/>
        <w:rPr>
          <w:rFonts w:ascii="宋体" w:hAnsi="宋体" w:cs="宋体" w:eastAsia="宋体" w:hint="default"/>
          <w:sz w:val="21"/>
          <w:szCs w:val="21"/>
        </w:rPr>
      </w:pPr>
    </w:p>
    <w:p>
      <w:pPr>
        <w:pStyle w:val="Heading4"/>
        <w:spacing w:line="240" w:lineRule="auto"/>
        <w:ind w:right="982"/>
        <w:jc w:val="left"/>
        <w:rPr>
          <w:b w:val="0"/>
          <w:bCs w:val="0"/>
        </w:rPr>
      </w:pPr>
      <w:r>
        <w:rPr/>
        <w:t>（</w:t>
      </w:r>
      <w:r>
        <w:rPr>
          <w:rFonts w:ascii="Times New Roman" w:hAnsi="Times New Roman" w:cs="Times New Roman" w:eastAsia="Times New Roman" w:hint="default"/>
        </w:rPr>
        <w:t>2</w:t>
      </w:r>
      <w:r>
        <w:rPr/>
        <w:t>）承包情况</w:t>
      </w:r>
      <w:r>
        <w:rPr>
          <w:b w:val="0"/>
          <w:bCs w:val="0"/>
        </w:rPr>
      </w:r>
    </w:p>
    <w:p>
      <w:pPr>
        <w:spacing w:line="240" w:lineRule="auto" w:before="4"/>
        <w:rPr>
          <w:rFonts w:ascii="宋体" w:hAnsi="宋体" w:cs="宋体" w:eastAsia="宋体" w:hint="default"/>
          <w:b/>
          <w:bCs/>
          <w:sz w:val="26"/>
          <w:szCs w:val="26"/>
        </w:rPr>
      </w:pPr>
    </w:p>
    <w:p>
      <w:pPr>
        <w:pStyle w:val="BodyText"/>
        <w:spacing w:line="338" w:lineRule="auto"/>
        <w:ind w:right="841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公司报告期不存在承包情况。</w:t>
      </w:r>
    </w:p>
    <w:p>
      <w:pPr>
        <w:spacing w:line="240" w:lineRule="auto" w:before="7"/>
        <w:rPr>
          <w:rFonts w:ascii="宋体" w:hAnsi="宋体" w:cs="宋体" w:eastAsia="宋体" w:hint="default"/>
          <w:sz w:val="21"/>
          <w:szCs w:val="21"/>
        </w:rPr>
      </w:pPr>
    </w:p>
    <w:p>
      <w:pPr>
        <w:pStyle w:val="Heading4"/>
        <w:spacing w:line="240" w:lineRule="auto"/>
        <w:ind w:right="982"/>
        <w:jc w:val="left"/>
        <w:rPr>
          <w:b w:val="0"/>
          <w:bCs w:val="0"/>
        </w:rPr>
      </w:pPr>
      <w:r>
        <w:rPr/>
        <w:t>（</w:t>
      </w:r>
      <w:r>
        <w:rPr>
          <w:rFonts w:ascii="Times New Roman" w:hAnsi="Times New Roman" w:cs="Times New Roman" w:eastAsia="Times New Roman" w:hint="default"/>
        </w:rPr>
        <w:t>3</w:t>
      </w:r>
      <w:r>
        <w:rPr/>
        <w:t>）租赁情况</w:t>
      </w:r>
      <w:r>
        <w:rPr>
          <w:b w:val="0"/>
          <w:bCs w:val="0"/>
        </w:rPr>
      </w:r>
    </w:p>
    <w:p>
      <w:pPr>
        <w:spacing w:line="240" w:lineRule="auto" w:before="4"/>
        <w:rPr>
          <w:rFonts w:ascii="宋体" w:hAnsi="宋体" w:cs="宋体" w:eastAsia="宋体" w:hint="default"/>
          <w:b/>
          <w:bCs/>
          <w:sz w:val="26"/>
          <w:szCs w:val="26"/>
        </w:rPr>
      </w:pPr>
    </w:p>
    <w:p>
      <w:pPr>
        <w:pStyle w:val="BodyText"/>
        <w:spacing w:line="340" w:lineRule="auto"/>
        <w:ind w:right="841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公司报告期不存在租赁情况。</w:t>
      </w:r>
    </w:p>
    <w:p>
      <w:pPr>
        <w:spacing w:line="240" w:lineRule="auto" w:before="3"/>
        <w:rPr>
          <w:rFonts w:ascii="宋体" w:hAnsi="宋体" w:cs="宋体" w:eastAsia="宋体" w:hint="default"/>
          <w:sz w:val="21"/>
          <w:szCs w:val="21"/>
        </w:rPr>
      </w:pPr>
    </w:p>
    <w:p>
      <w:pPr>
        <w:pStyle w:val="Heading4"/>
        <w:spacing w:line="240" w:lineRule="auto"/>
        <w:ind w:right="982"/>
        <w:jc w:val="left"/>
        <w:rPr>
          <w:b w:val="0"/>
          <w:bCs w:val="0"/>
        </w:rPr>
      </w:pPr>
      <w:r>
        <w:rPr>
          <w:rFonts w:ascii="Times New Roman" w:hAnsi="Times New Roman" w:cs="Times New Roman" w:eastAsia="Times New Roman" w:hint="default"/>
        </w:rPr>
        <w:t>2</w:t>
      </w:r>
      <w:r>
        <w:rPr/>
        <w:t>、重大担保</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2"/>
        <w:rPr>
          <w:rFonts w:ascii="宋体" w:hAnsi="宋体" w:cs="宋体" w:eastAsia="宋体" w:hint="default"/>
          <w:sz w:val="26"/>
          <w:szCs w:val="26"/>
        </w:rPr>
      </w:pPr>
    </w:p>
    <w:p>
      <w:pPr>
        <w:pStyle w:val="Heading4"/>
        <w:spacing w:line="240" w:lineRule="auto"/>
        <w:ind w:right="982"/>
        <w:jc w:val="left"/>
        <w:rPr>
          <w:b w:val="0"/>
          <w:bCs w:val="0"/>
        </w:rPr>
      </w:pPr>
      <w:r>
        <w:rPr/>
        <w:t>（</w:t>
      </w:r>
      <w:r>
        <w:rPr>
          <w:rFonts w:ascii="Times New Roman" w:hAnsi="Times New Roman" w:cs="Times New Roman" w:eastAsia="Times New Roman" w:hint="default"/>
        </w:rPr>
        <w:t>1</w:t>
      </w:r>
      <w:r>
        <w:rPr/>
        <w:t>）担保情况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单位：万元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709"/>
        <w:gridCol w:w="932"/>
        <w:gridCol w:w="919"/>
        <w:gridCol w:w="1296"/>
        <w:gridCol w:w="1064"/>
        <w:gridCol w:w="1034"/>
        <w:gridCol w:w="1051"/>
        <w:gridCol w:w="790"/>
        <w:gridCol w:w="780"/>
      </w:tblGrid>
      <w:tr>
        <w:trPr>
          <w:trHeight w:val="402" w:hRule="exact"/>
        </w:trPr>
        <w:tc>
          <w:tcPr>
            <w:tcW w:w="9576"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532" w:right="0"/>
              <w:jc w:val="left"/>
              <w:rPr>
                <w:rFonts w:ascii="宋体" w:hAnsi="宋体" w:cs="宋体" w:eastAsia="宋体" w:hint="default"/>
                <w:sz w:val="18"/>
                <w:szCs w:val="18"/>
              </w:rPr>
            </w:pPr>
            <w:r>
              <w:rPr>
                <w:rFonts w:ascii="宋体" w:hAnsi="宋体" w:cs="宋体" w:eastAsia="宋体" w:hint="default"/>
                <w:sz w:val="18"/>
                <w:szCs w:val="18"/>
              </w:rPr>
              <w:t>公司及其子公司对外担保情况（不包括对子公司的担保）</w:t>
            </w:r>
          </w:p>
        </w:tc>
      </w:tr>
      <w:tr>
        <w:trPr>
          <w:trHeight w:val="1025" w:hRule="exact"/>
        </w:trPr>
        <w:tc>
          <w:tcPr>
            <w:tcW w:w="1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310" w:right="0"/>
              <w:jc w:val="left"/>
              <w:rPr>
                <w:rFonts w:ascii="宋体" w:hAnsi="宋体" w:cs="宋体" w:eastAsia="宋体" w:hint="default"/>
                <w:sz w:val="18"/>
                <w:szCs w:val="18"/>
              </w:rPr>
            </w:pPr>
            <w:r>
              <w:rPr>
                <w:rFonts w:ascii="宋体" w:hAnsi="宋体" w:cs="宋体" w:eastAsia="宋体" w:hint="default"/>
                <w:sz w:val="18"/>
                <w:szCs w:val="18"/>
              </w:rPr>
              <w:t>担保对象名称</w:t>
            </w:r>
          </w:p>
        </w:tc>
        <w:tc>
          <w:tcPr>
            <w:tcW w:w="932" w:type="dxa"/>
            <w:tcBorders>
              <w:top w:val="single" w:sz="4" w:space="0" w:color="000000"/>
              <w:left w:val="single" w:sz="4" w:space="0" w:color="000000"/>
              <w:bottom w:val="single" w:sz="4" w:space="0" w:color="000000"/>
              <w:right w:val="single" w:sz="5" w:space="0" w:color="000000"/>
            </w:tcBorders>
            <w:shd w:val="clear" w:color="auto" w:fill="D2D2D2"/>
          </w:tcPr>
          <w:p>
            <w:pPr>
              <w:pStyle w:val="TableParagraph"/>
              <w:spacing w:line="316" w:lineRule="auto" w:before="49"/>
              <w:ind w:left="100" w:right="98"/>
              <w:jc w:val="both"/>
              <w:rPr>
                <w:rFonts w:ascii="宋体" w:hAnsi="宋体" w:cs="宋体" w:eastAsia="宋体" w:hint="default"/>
                <w:sz w:val="18"/>
                <w:szCs w:val="18"/>
              </w:rPr>
            </w:pPr>
            <w:r>
              <w:rPr>
                <w:rFonts w:ascii="宋体" w:hAnsi="宋体" w:cs="宋体" w:eastAsia="宋体" w:hint="default"/>
                <w:sz w:val="18"/>
                <w:szCs w:val="18"/>
              </w:rPr>
              <w:t>担保额度 相关公告 披露日期</w:t>
            </w:r>
          </w:p>
        </w:tc>
        <w:tc>
          <w:tcPr>
            <w:tcW w:w="919" w:type="dxa"/>
            <w:tcBorders>
              <w:top w:val="single" w:sz="4" w:space="0" w:color="000000"/>
              <w:left w:val="single" w:sz="5"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93"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实际发生日期</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436" w:right="75" w:hanging="360"/>
              <w:jc w:val="left"/>
              <w:rPr>
                <w:rFonts w:ascii="宋体" w:hAnsi="宋体" w:cs="宋体" w:eastAsia="宋体" w:hint="default"/>
                <w:sz w:val="18"/>
                <w:szCs w:val="18"/>
              </w:rPr>
            </w:pPr>
            <w:r>
              <w:rPr>
                <w:rFonts w:ascii="宋体" w:hAnsi="宋体" w:cs="宋体" w:eastAsia="宋体" w:hint="default"/>
                <w:sz w:val="18"/>
                <w:szCs w:val="18"/>
              </w:rPr>
              <w:t>实际担保金 额</w:t>
            </w:r>
          </w:p>
        </w:tc>
        <w:tc>
          <w:tcPr>
            <w:tcW w:w="10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53" w:right="0"/>
              <w:jc w:val="left"/>
              <w:rPr>
                <w:rFonts w:ascii="宋体" w:hAnsi="宋体" w:cs="宋体" w:eastAsia="宋体" w:hint="default"/>
                <w:sz w:val="18"/>
                <w:szCs w:val="18"/>
              </w:rPr>
            </w:pPr>
            <w:r>
              <w:rPr>
                <w:rFonts w:ascii="宋体" w:hAnsi="宋体" w:cs="宋体" w:eastAsia="宋体" w:hint="default"/>
                <w:sz w:val="18"/>
                <w:szCs w:val="18"/>
              </w:rPr>
              <w:t>担保类型</w:t>
            </w:r>
          </w:p>
        </w:tc>
        <w:tc>
          <w:tcPr>
            <w:tcW w:w="10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51" w:right="0"/>
              <w:jc w:val="left"/>
              <w:rPr>
                <w:rFonts w:ascii="宋体" w:hAnsi="宋体" w:cs="宋体" w:eastAsia="宋体" w:hint="default"/>
                <w:sz w:val="18"/>
                <w:szCs w:val="18"/>
              </w:rPr>
            </w:pPr>
            <w:r>
              <w:rPr>
                <w:rFonts w:ascii="宋体" w:hAnsi="宋体" w:cs="宋体" w:eastAsia="宋体" w:hint="default"/>
                <w:sz w:val="18"/>
                <w:szCs w:val="18"/>
              </w:rPr>
              <w:t>担保期</w:t>
            </w:r>
          </w:p>
        </w:tc>
        <w:tc>
          <w:tcPr>
            <w:tcW w:w="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11" w:right="26" w:hanging="180"/>
              <w:jc w:val="left"/>
              <w:rPr>
                <w:rFonts w:ascii="宋体" w:hAnsi="宋体" w:cs="宋体" w:eastAsia="宋体" w:hint="default"/>
                <w:sz w:val="18"/>
                <w:szCs w:val="18"/>
              </w:rPr>
            </w:pPr>
            <w:r>
              <w:rPr>
                <w:rFonts w:ascii="宋体" w:hAnsi="宋体" w:cs="宋体" w:eastAsia="宋体" w:hint="default"/>
                <w:sz w:val="18"/>
                <w:szCs w:val="18"/>
              </w:rPr>
              <w:t>是否履行 完毕</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3" w:right="24"/>
              <w:jc w:val="left"/>
              <w:rPr>
                <w:rFonts w:ascii="宋体" w:hAnsi="宋体" w:cs="宋体" w:eastAsia="宋体" w:hint="default"/>
                <w:sz w:val="18"/>
                <w:szCs w:val="18"/>
              </w:rPr>
            </w:pPr>
            <w:r>
              <w:rPr>
                <w:rFonts w:ascii="宋体" w:hAnsi="宋体" w:cs="宋体" w:eastAsia="宋体" w:hint="default"/>
                <w:sz w:val="18"/>
                <w:szCs w:val="18"/>
              </w:rPr>
              <w:t>是否为关 联方担保</w:t>
            </w:r>
          </w:p>
        </w:tc>
      </w:tr>
      <w:tr>
        <w:trPr>
          <w:trHeight w:val="1027"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4" w:lineRule="auto"/>
              <w:ind w:left="24" w:right="53"/>
              <w:jc w:val="left"/>
              <w:rPr>
                <w:rFonts w:ascii="宋体" w:hAnsi="宋体" w:cs="宋体" w:eastAsia="宋体" w:hint="default"/>
                <w:sz w:val="18"/>
                <w:szCs w:val="18"/>
              </w:rPr>
            </w:pPr>
            <w:r>
              <w:rPr>
                <w:rFonts w:ascii="宋体" w:hAnsi="宋体" w:cs="宋体" w:eastAsia="宋体" w:hint="default"/>
                <w:sz w:val="18"/>
                <w:szCs w:val="18"/>
              </w:rPr>
              <w:t>深圳市红塔资产管理 有限公司</w:t>
            </w:r>
          </w:p>
        </w:tc>
        <w:tc>
          <w:tcPr>
            <w:tcW w:w="932"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04</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9" w:type="dxa"/>
            <w:tcBorders>
              <w:top w:val="single" w:sz="4" w:space="0" w:color="000000"/>
              <w:left w:val="single" w:sz="5"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90,000.00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25</w:t>
            </w:r>
          </w:p>
          <w:p>
            <w:pPr>
              <w:pStyle w:val="TableParagraph"/>
              <w:spacing w:line="240" w:lineRule="auto" w:before="60"/>
              <w:ind w:left="2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23,652.71</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一般保证</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年</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月</w:t>
            </w:r>
          </w:p>
          <w:p>
            <w:pPr>
              <w:pStyle w:val="TableParagraph"/>
              <w:spacing w:line="240" w:lineRule="auto" w:before="60"/>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25 </w:t>
            </w:r>
            <w:r>
              <w:rPr>
                <w:rFonts w:ascii="宋体" w:hAnsi="宋体" w:cs="宋体" w:eastAsia="宋体" w:hint="default"/>
                <w:sz w:val="18"/>
                <w:szCs w:val="18"/>
              </w:rPr>
              <w:t>日至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2022</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6"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025"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4" w:right="53"/>
              <w:jc w:val="left"/>
              <w:rPr>
                <w:rFonts w:ascii="宋体" w:hAnsi="宋体" w:cs="宋体" w:eastAsia="宋体" w:hint="default"/>
                <w:sz w:val="18"/>
                <w:szCs w:val="18"/>
              </w:rPr>
            </w:pPr>
            <w:r>
              <w:rPr>
                <w:rFonts w:ascii="宋体" w:hAnsi="宋体" w:cs="宋体" w:eastAsia="宋体" w:hint="default"/>
                <w:sz w:val="18"/>
                <w:szCs w:val="18"/>
              </w:rPr>
              <w:t>北京金盛博基资产管 理有限公司</w:t>
            </w:r>
          </w:p>
        </w:tc>
        <w:tc>
          <w:tcPr>
            <w:tcW w:w="932"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04</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9" w:type="dxa"/>
            <w:tcBorders>
              <w:top w:val="single" w:sz="4" w:space="0" w:color="000000"/>
              <w:left w:val="single" w:sz="5"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21</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2,175.67</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23" w:right="0"/>
              <w:jc w:val="left"/>
              <w:rPr>
                <w:rFonts w:ascii="宋体" w:hAnsi="宋体" w:cs="宋体" w:eastAsia="宋体" w:hint="default"/>
                <w:sz w:val="18"/>
                <w:szCs w:val="18"/>
              </w:rPr>
            </w:pPr>
            <w:r>
              <w:rPr>
                <w:rFonts w:ascii="宋体" w:hAnsi="宋体" w:cs="宋体" w:eastAsia="宋体" w:hint="default"/>
                <w:sz w:val="18"/>
                <w:szCs w:val="18"/>
              </w:rPr>
              <w:t>一般保证</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年</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月</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21 </w:t>
            </w:r>
            <w:r>
              <w:rPr>
                <w:rFonts w:ascii="宋体" w:hAnsi="宋体" w:cs="宋体" w:eastAsia="宋体" w:hint="default"/>
                <w:sz w:val="18"/>
                <w:szCs w:val="18"/>
              </w:rPr>
              <w:t>日至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2022</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26"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53"/>
              <w:jc w:val="left"/>
              <w:rPr>
                <w:rFonts w:ascii="宋体" w:hAnsi="宋体" w:cs="宋体" w:eastAsia="宋体" w:hint="default"/>
                <w:sz w:val="18"/>
                <w:szCs w:val="18"/>
              </w:rPr>
            </w:pPr>
            <w:r>
              <w:rPr>
                <w:rFonts w:ascii="宋体" w:hAnsi="宋体" w:cs="宋体" w:eastAsia="宋体" w:hint="default"/>
                <w:sz w:val="18"/>
                <w:szCs w:val="18"/>
              </w:rPr>
              <w:t>北京四维智联科技有 限公司</w:t>
            </w:r>
          </w:p>
        </w:tc>
        <w:tc>
          <w:tcPr>
            <w:tcW w:w="932"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9" w:type="dxa"/>
            <w:tcBorders>
              <w:top w:val="single" w:sz="4" w:space="0" w:color="000000"/>
              <w:left w:val="single" w:sz="5"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29</w:t>
            </w:r>
          </w:p>
          <w:p>
            <w:pPr>
              <w:pStyle w:val="TableParagraph"/>
              <w:spacing w:line="240" w:lineRule="auto" w:before="60"/>
              <w:ind w:left="2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10,000.00</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0"/>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日起</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50</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年</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264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87"/>
              <w:jc w:val="left"/>
              <w:rPr>
                <w:rFonts w:ascii="宋体" w:hAnsi="宋体" w:cs="宋体" w:eastAsia="宋体" w:hint="default"/>
                <w:sz w:val="18"/>
                <w:szCs w:val="18"/>
              </w:rPr>
            </w:pPr>
            <w:r>
              <w:rPr>
                <w:rFonts w:ascii="宋体" w:hAnsi="宋体" w:cs="宋体" w:eastAsia="宋体" w:hint="default"/>
                <w:sz w:val="18"/>
                <w:szCs w:val="18"/>
              </w:rPr>
              <w:t>报告期内审批的对外担保额度合 计（</w:t>
            </w:r>
            <w:r>
              <w:rPr>
                <w:rFonts w:ascii="Times New Roman" w:hAnsi="Times New Roman" w:cs="Times New Roman" w:eastAsia="Times New Roman" w:hint="default"/>
                <w:sz w:val="18"/>
                <w:szCs w:val="18"/>
              </w:rPr>
              <w:t>A1</w:t>
            </w:r>
            <w:r>
              <w:rPr>
                <w:rFonts w:ascii="宋体" w:hAnsi="宋体" w:cs="宋体" w:eastAsia="宋体" w:hint="default"/>
                <w:sz w:val="18"/>
                <w:szCs w:val="18"/>
              </w:rPr>
              <w:t>）</w:t>
            </w:r>
          </w:p>
        </w:tc>
        <w:tc>
          <w:tcPr>
            <w:tcW w:w="221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63" w:right="0"/>
              <w:jc w:val="left"/>
              <w:rPr>
                <w:rFonts w:ascii="Times New Roman" w:hAnsi="Times New Roman" w:cs="Times New Roman" w:eastAsia="Times New Roman" w:hint="default"/>
                <w:sz w:val="18"/>
                <w:szCs w:val="18"/>
              </w:rPr>
            </w:pPr>
            <w:r>
              <w:rPr>
                <w:rFonts w:ascii="Times New Roman"/>
                <w:sz w:val="18"/>
              </w:rPr>
              <w:t>10,000.00</w:t>
            </w:r>
          </w:p>
        </w:tc>
        <w:tc>
          <w:tcPr>
            <w:tcW w:w="209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82"/>
              <w:jc w:val="left"/>
              <w:rPr>
                <w:rFonts w:ascii="宋体" w:hAnsi="宋体" w:cs="宋体" w:eastAsia="宋体" w:hint="default"/>
                <w:sz w:val="18"/>
                <w:szCs w:val="18"/>
              </w:rPr>
            </w:pPr>
            <w:r>
              <w:rPr>
                <w:rFonts w:ascii="宋体" w:hAnsi="宋体" w:cs="宋体" w:eastAsia="宋体" w:hint="default"/>
                <w:sz w:val="18"/>
                <w:szCs w:val="18"/>
              </w:rPr>
              <w:t>报告期内对外担保实际发 生额合计（</w:t>
            </w:r>
            <w:r>
              <w:rPr>
                <w:rFonts w:ascii="Times New Roman" w:hAnsi="Times New Roman" w:cs="Times New Roman" w:eastAsia="Times New Roman" w:hint="default"/>
                <w:sz w:val="18"/>
                <w:szCs w:val="18"/>
              </w:rPr>
              <w:t>A2</w:t>
            </w:r>
            <w:r>
              <w:rPr>
                <w:rFonts w:ascii="宋体" w:hAnsi="宋体" w:cs="宋体" w:eastAsia="宋体" w:hint="default"/>
                <w:sz w:val="18"/>
                <w:szCs w:val="18"/>
              </w:rPr>
              <w:t>）</w:t>
            </w:r>
          </w:p>
        </w:tc>
        <w:tc>
          <w:tcPr>
            <w:tcW w:w="262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35,828.38</w:t>
            </w:r>
          </w:p>
        </w:tc>
      </w:tr>
      <w:tr>
        <w:trPr>
          <w:trHeight w:val="714" w:hRule="exact"/>
        </w:trPr>
        <w:tc>
          <w:tcPr>
            <w:tcW w:w="264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0"/>
              <w:ind w:left="24" w:right="87"/>
              <w:jc w:val="left"/>
              <w:rPr>
                <w:rFonts w:ascii="宋体" w:hAnsi="宋体" w:cs="宋体" w:eastAsia="宋体" w:hint="default"/>
                <w:sz w:val="18"/>
                <w:szCs w:val="18"/>
              </w:rPr>
            </w:pPr>
            <w:r>
              <w:rPr>
                <w:rFonts w:ascii="宋体" w:hAnsi="宋体" w:cs="宋体" w:eastAsia="宋体" w:hint="default"/>
                <w:sz w:val="18"/>
                <w:szCs w:val="18"/>
              </w:rPr>
              <w:t>报告期末已审批的对外担保额度 合计（</w:t>
            </w:r>
            <w:r>
              <w:rPr>
                <w:rFonts w:ascii="Times New Roman" w:hAnsi="Times New Roman" w:cs="Times New Roman" w:eastAsia="Times New Roman" w:hint="default"/>
                <w:sz w:val="18"/>
                <w:szCs w:val="18"/>
              </w:rPr>
              <w:t>A3</w:t>
            </w:r>
            <w:r>
              <w:rPr>
                <w:rFonts w:ascii="宋体" w:hAnsi="宋体" w:cs="宋体" w:eastAsia="宋体" w:hint="default"/>
                <w:sz w:val="18"/>
                <w:szCs w:val="18"/>
              </w:rPr>
              <w:t>）</w:t>
            </w:r>
          </w:p>
        </w:tc>
        <w:tc>
          <w:tcPr>
            <w:tcW w:w="221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379" w:right="0"/>
              <w:jc w:val="left"/>
              <w:rPr>
                <w:rFonts w:ascii="Times New Roman" w:hAnsi="Times New Roman" w:cs="Times New Roman" w:eastAsia="Times New Roman" w:hint="default"/>
                <w:sz w:val="18"/>
                <w:szCs w:val="18"/>
              </w:rPr>
            </w:pPr>
            <w:r>
              <w:rPr>
                <w:rFonts w:ascii="Times New Roman"/>
                <w:sz w:val="18"/>
              </w:rPr>
              <w:t>110,000.00</w:t>
            </w:r>
          </w:p>
        </w:tc>
        <w:tc>
          <w:tcPr>
            <w:tcW w:w="209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0"/>
              <w:ind w:left="24" w:right="82"/>
              <w:jc w:val="left"/>
              <w:rPr>
                <w:rFonts w:ascii="宋体" w:hAnsi="宋体" w:cs="宋体" w:eastAsia="宋体" w:hint="default"/>
                <w:sz w:val="18"/>
                <w:szCs w:val="18"/>
              </w:rPr>
            </w:pPr>
            <w:r>
              <w:rPr>
                <w:rFonts w:ascii="宋体" w:hAnsi="宋体" w:cs="宋体" w:eastAsia="宋体" w:hint="default"/>
                <w:sz w:val="18"/>
                <w:szCs w:val="18"/>
              </w:rPr>
              <w:t>报告期末实际对外担保余 额合计（</w:t>
            </w:r>
            <w:r>
              <w:rPr>
                <w:rFonts w:ascii="Times New Roman" w:hAnsi="Times New Roman" w:cs="Times New Roman" w:eastAsia="Times New Roman" w:hint="default"/>
                <w:sz w:val="18"/>
                <w:szCs w:val="18"/>
              </w:rPr>
              <w:t>A4</w:t>
            </w:r>
            <w:r>
              <w:rPr>
                <w:rFonts w:ascii="宋体" w:hAnsi="宋体" w:cs="宋体" w:eastAsia="宋体" w:hint="default"/>
                <w:sz w:val="18"/>
                <w:szCs w:val="18"/>
              </w:rPr>
              <w:t>）</w:t>
            </w:r>
          </w:p>
        </w:tc>
        <w:tc>
          <w:tcPr>
            <w:tcW w:w="262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35,828.38</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1697"/>
        <w:gridCol w:w="918"/>
        <w:gridCol w:w="933"/>
        <w:gridCol w:w="1296"/>
        <w:gridCol w:w="1063"/>
        <w:gridCol w:w="1029"/>
        <w:gridCol w:w="1052"/>
        <w:gridCol w:w="795"/>
        <w:gridCol w:w="780"/>
      </w:tblGrid>
      <w:tr>
        <w:trPr>
          <w:trHeight w:val="402" w:hRule="exact"/>
        </w:trPr>
        <w:tc>
          <w:tcPr>
            <w:tcW w:w="9564"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1"/>
              <w:jc w:val="center"/>
              <w:rPr>
                <w:rFonts w:ascii="宋体" w:hAnsi="宋体" w:cs="宋体" w:eastAsia="宋体" w:hint="default"/>
                <w:sz w:val="18"/>
                <w:szCs w:val="18"/>
              </w:rPr>
            </w:pPr>
            <w:r>
              <w:rPr>
                <w:rFonts w:ascii="宋体" w:hAnsi="宋体" w:cs="宋体" w:eastAsia="宋体" w:hint="default"/>
                <w:sz w:val="18"/>
                <w:szCs w:val="18"/>
              </w:rPr>
              <w:t>公司对子公司的担保情况</w:t>
            </w:r>
          </w:p>
        </w:tc>
      </w:tr>
      <w:tr>
        <w:trPr>
          <w:trHeight w:val="1026" w:hRule="exact"/>
        </w:trPr>
        <w:tc>
          <w:tcPr>
            <w:tcW w:w="16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298" w:right="0"/>
              <w:jc w:val="left"/>
              <w:rPr>
                <w:rFonts w:ascii="宋体" w:hAnsi="宋体" w:cs="宋体" w:eastAsia="宋体" w:hint="default"/>
                <w:sz w:val="18"/>
                <w:szCs w:val="18"/>
              </w:rPr>
            </w:pPr>
            <w:r>
              <w:rPr>
                <w:rFonts w:ascii="宋体" w:hAnsi="宋体" w:cs="宋体" w:eastAsia="宋体" w:hint="default"/>
                <w:sz w:val="18"/>
                <w:szCs w:val="18"/>
              </w:rPr>
              <w:t>担保对象名称</w:t>
            </w:r>
          </w:p>
        </w:tc>
        <w:tc>
          <w:tcPr>
            <w:tcW w:w="9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95" w:right="90"/>
              <w:jc w:val="both"/>
              <w:rPr>
                <w:rFonts w:ascii="宋体" w:hAnsi="宋体" w:cs="宋体" w:eastAsia="宋体" w:hint="default"/>
                <w:sz w:val="18"/>
                <w:szCs w:val="18"/>
              </w:rPr>
            </w:pPr>
            <w:r>
              <w:rPr>
                <w:rFonts w:ascii="宋体" w:hAnsi="宋体" w:cs="宋体" w:eastAsia="宋体" w:hint="default"/>
                <w:sz w:val="18"/>
                <w:szCs w:val="18"/>
              </w:rPr>
              <w:t>担保额度 相关公告 披露日期</w:t>
            </w:r>
          </w:p>
        </w:tc>
        <w:tc>
          <w:tcPr>
            <w:tcW w:w="9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104"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103" w:right="0"/>
              <w:jc w:val="left"/>
              <w:rPr>
                <w:rFonts w:ascii="宋体" w:hAnsi="宋体" w:cs="宋体" w:eastAsia="宋体" w:hint="default"/>
                <w:sz w:val="18"/>
                <w:szCs w:val="18"/>
              </w:rPr>
            </w:pPr>
            <w:r>
              <w:rPr>
                <w:rFonts w:ascii="宋体" w:hAnsi="宋体" w:cs="宋体" w:eastAsia="宋体" w:hint="default"/>
                <w:sz w:val="18"/>
                <w:szCs w:val="18"/>
              </w:rPr>
              <w:t>实际发生日期</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14" w:lineRule="auto"/>
              <w:ind w:left="436" w:right="75" w:hanging="360"/>
              <w:jc w:val="left"/>
              <w:rPr>
                <w:rFonts w:ascii="宋体" w:hAnsi="宋体" w:cs="宋体" w:eastAsia="宋体" w:hint="default"/>
                <w:sz w:val="18"/>
                <w:szCs w:val="18"/>
              </w:rPr>
            </w:pPr>
            <w:r>
              <w:rPr>
                <w:rFonts w:ascii="宋体" w:hAnsi="宋体" w:cs="宋体" w:eastAsia="宋体" w:hint="default"/>
                <w:sz w:val="18"/>
                <w:szCs w:val="18"/>
              </w:rPr>
              <w:t>实际担保金 额</w:t>
            </w:r>
          </w:p>
        </w:tc>
        <w:tc>
          <w:tcPr>
            <w:tcW w:w="10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153" w:right="0"/>
              <w:jc w:val="left"/>
              <w:rPr>
                <w:rFonts w:ascii="宋体" w:hAnsi="宋体" w:cs="宋体" w:eastAsia="宋体" w:hint="default"/>
                <w:sz w:val="18"/>
                <w:szCs w:val="18"/>
              </w:rPr>
            </w:pPr>
            <w:r>
              <w:rPr>
                <w:rFonts w:ascii="宋体" w:hAnsi="宋体" w:cs="宋体" w:eastAsia="宋体" w:hint="default"/>
                <w:sz w:val="18"/>
                <w:szCs w:val="18"/>
              </w:rPr>
              <w:t>担保类型</w:t>
            </w:r>
          </w:p>
        </w:tc>
        <w:tc>
          <w:tcPr>
            <w:tcW w:w="10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252" w:right="0"/>
              <w:jc w:val="left"/>
              <w:rPr>
                <w:rFonts w:ascii="宋体" w:hAnsi="宋体" w:cs="宋体" w:eastAsia="宋体" w:hint="default"/>
                <w:sz w:val="18"/>
                <w:szCs w:val="18"/>
              </w:rPr>
            </w:pPr>
            <w:r>
              <w:rPr>
                <w:rFonts w:ascii="宋体" w:hAnsi="宋体" w:cs="宋体" w:eastAsia="宋体" w:hint="default"/>
                <w:sz w:val="18"/>
                <w:szCs w:val="18"/>
              </w:rPr>
              <w:t>担保期</w:t>
            </w:r>
          </w:p>
        </w:tc>
        <w:tc>
          <w:tcPr>
            <w:tcW w:w="7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14" w:lineRule="auto"/>
              <w:ind w:left="214" w:right="29" w:hanging="181"/>
              <w:jc w:val="left"/>
              <w:rPr>
                <w:rFonts w:ascii="宋体" w:hAnsi="宋体" w:cs="宋体" w:eastAsia="宋体" w:hint="default"/>
                <w:sz w:val="18"/>
                <w:szCs w:val="18"/>
              </w:rPr>
            </w:pPr>
            <w:r>
              <w:rPr>
                <w:rFonts w:ascii="宋体" w:hAnsi="宋体" w:cs="宋体" w:eastAsia="宋体" w:hint="default"/>
                <w:sz w:val="18"/>
                <w:szCs w:val="18"/>
              </w:rPr>
              <w:t>是否履行 完毕</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14" w:lineRule="auto"/>
              <w:ind w:left="23" w:right="24"/>
              <w:jc w:val="left"/>
              <w:rPr>
                <w:rFonts w:ascii="宋体" w:hAnsi="宋体" w:cs="宋体" w:eastAsia="宋体" w:hint="default"/>
                <w:sz w:val="18"/>
                <w:szCs w:val="18"/>
              </w:rPr>
            </w:pPr>
            <w:r>
              <w:rPr>
                <w:rFonts w:ascii="宋体" w:hAnsi="宋体" w:cs="宋体" w:eastAsia="宋体" w:hint="default"/>
                <w:sz w:val="18"/>
                <w:szCs w:val="18"/>
              </w:rPr>
              <w:t>是否为关 联方担保</w:t>
            </w:r>
          </w:p>
        </w:tc>
      </w:tr>
      <w:tr>
        <w:trPr>
          <w:trHeight w:val="1025" w:hRule="exact"/>
        </w:trPr>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2" w:right="53"/>
              <w:jc w:val="left"/>
              <w:rPr>
                <w:rFonts w:ascii="宋体" w:hAnsi="宋体" w:cs="宋体" w:eastAsia="宋体" w:hint="default"/>
                <w:sz w:val="18"/>
                <w:szCs w:val="18"/>
              </w:rPr>
            </w:pPr>
            <w:r>
              <w:rPr>
                <w:rFonts w:ascii="宋体" w:hAnsi="宋体" w:cs="宋体" w:eastAsia="宋体" w:hint="default"/>
                <w:sz w:val="18"/>
                <w:szCs w:val="18"/>
              </w:rPr>
              <w:t>图新投资（香港）科 技有限公司</w:t>
            </w:r>
          </w:p>
        </w:tc>
        <w:tc>
          <w:tcPr>
            <w:tcW w:w="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04</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81" w:right="0"/>
              <w:jc w:val="left"/>
              <w:rPr>
                <w:rFonts w:ascii="Times New Roman" w:hAnsi="Times New Roman" w:cs="Times New Roman" w:eastAsia="Times New Roman" w:hint="default"/>
                <w:sz w:val="18"/>
                <w:szCs w:val="18"/>
              </w:rPr>
            </w:pPr>
            <w:r>
              <w:rPr>
                <w:rFonts w:ascii="Times New Roman"/>
                <w:sz w:val="18"/>
              </w:rPr>
              <w:t>86,320.30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26</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29"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26 </w:t>
            </w:r>
            <w:r>
              <w:rPr>
                <w:rFonts w:ascii="宋体" w:hAnsi="宋体" w:cs="宋体" w:eastAsia="宋体" w:hint="default"/>
                <w:sz w:val="18"/>
                <w:szCs w:val="18"/>
              </w:rPr>
              <w:t>号至</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2022</w:t>
            </w:r>
          </w:p>
          <w:p>
            <w:pPr>
              <w:pStyle w:val="TableParagraph"/>
              <w:spacing w:line="240" w:lineRule="auto" w:before="63"/>
              <w:ind w:left="29"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 </w:t>
            </w:r>
            <w:r>
              <w:rPr>
                <w:rFonts w:ascii="宋体" w:hAnsi="宋体" w:cs="宋体" w:eastAsia="宋体" w:hint="default"/>
                <w:sz w:val="18"/>
                <w:szCs w:val="18"/>
              </w:rPr>
              <w:t>号</w:t>
            </w:r>
          </w:p>
        </w:tc>
        <w:tc>
          <w:tcPr>
            <w:tcW w:w="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5" w:hRule="exact"/>
        </w:trPr>
        <w:tc>
          <w:tcPr>
            <w:tcW w:w="261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71"/>
              <w:jc w:val="left"/>
              <w:rPr>
                <w:rFonts w:ascii="宋体" w:hAnsi="宋体" w:cs="宋体" w:eastAsia="宋体" w:hint="default"/>
                <w:sz w:val="18"/>
                <w:szCs w:val="18"/>
              </w:rPr>
            </w:pPr>
            <w:r>
              <w:rPr>
                <w:rFonts w:ascii="宋体" w:hAnsi="宋体" w:cs="宋体" w:eastAsia="宋体" w:hint="default"/>
                <w:sz w:val="18"/>
                <w:szCs w:val="18"/>
              </w:rPr>
              <w:t>报告期内审批对子公司担保额度 合计（</w:t>
            </w:r>
            <w:r>
              <w:rPr>
                <w:rFonts w:ascii="Times New Roman" w:hAnsi="Times New Roman" w:cs="Times New Roman" w:eastAsia="Times New Roman" w:hint="default"/>
                <w:sz w:val="18"/>
                <w:szCs w:val="18"/>
              </w:rPr>
              <w:t>B1</w:t>
            </w:r>
            <w:r>
              <w:rPr>
                <w:rFonts w:ascii="宋体" w:hAnsi="宋体" w:cs="宋体" w:eastAsia="宋体" w:hint="default"/>
                <w:sz w:val="18"/>
                <w:szCs w:val="18"/>
              </w:rPr>
              <w:t>）</w:t>
            </w:r>
          </w:p>
        </w:tc>
        <w:tc>
          <w:tcPr>
            <w:tcW w:w="2229" w:type="dxa"/>
            <w:gridSpan w:val="2"/>
            <w:tcBorders>
              <w:top w:val="single" w:sz="4" w:space="0" w:color="000000"/>
              <w:left w:val="single" w:sz="13" w:space="0" w:color="D2D2D2"/>
              <w:bottom w:val="single" w:sz="4" w:space="0" w:color="000000"/>
              <w:right w:val="single" w:sz="13" w:space="0" w:color="D2D2D2"/>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7"/>
              <w:jc w:val="right"/>
              <w:rPr>
                <w:rFonts w:ascii="Times New Roman" w:hAnsi="Times New Roman" w:cs="Times New Roman" w:eastAsia="Times New Roman" w:hint="default"/>
                <w:sz w:val="18"/>
                <w:szCs w:val="18"/>
              </w:rPr>
            </w:pPr>
            <w:r>
              <w:rPr>
                <w:rFonts w:ascii="Times New Roman"/>
                <w:spacing w:val="-1"/>
                <w:sz w:val="18"/>
              </w:rPr>
              <w:t>0.00</w:t>
            </w:r>
          </w:p>
        </w:tc>
        <w:tc>
          <w:tcPr>
            <w:tcW w:w="209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3" w:right="78"/>
              <w:jc w:val="left"/>
              <w:rPr>
                <w:rFonts w:ascii="宋体" w:hAnsi="宋体" w:cs="宋体" w:eastAsia="宋体" w:hint="default"/>
                <w:sz w:val="18"/>
                <w:szCs w:val="18"/>
              </w:rPr>
            </w:pPr>
            <w:r>
              <w:rPr>
                <w:rFonts w:ascii="宋体" w:hAnsi="宋体" w:cs="宋体" w:eastAsia="宋体" w:hint="default"/>
                <w:sz w:val="18"/>
                <w:szCs w:val="18"/>
              </w:rPr>
              <w:t>报告期内对子公司担保实 际发生额合计（</w:t>
            </w:r>
            <w:r>
              <w:rPr>
                <w:rFonts w:ascii="Times New Roman" w:hAnsi="Times New Roman" w:cs="Times New Roman" w:eastAsia="Times New Roman" w:hint="default"/>
                <w:sz w:val="18"/>
                <w:szCs w:val="18"/>
              </w:rPr>
              <w:t>B2</w:t>
            </w:r>
            <w:r>
              <w:rPr>
                <w:rFonts w:ascii="宋体" w:hAnsi="宋体" w:cs="宋体" w:eastAsia="宋体" w:hint="default"/>
                <w:sz w:val="18"/>
                <w:szCs w:val="18"/>
              </w:rPr>
              <w:t>）</w:t>
            </w:r>
          </w:p>
        </w:tc>
        <w:tc>
          <w:tcPr>
            <w:tcW w:w="2627" w:type="dxa"/>
            <w:gridSpan w:val="3"/>
            <w:tcBorders>
              <w:top w:val="single" w:sz="4" w:space="0" w:color="000000"/>
              <w:left w:val="single" w:sz="12"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21" w:hRule="exact"/>
        </w:trPr>
        <w:tc>
          <w:tcPr>
            <w:tcW w:w="261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12" w:right="71"/>
              <w:jc w:val="left"/>
              <w:rPr>
                <w:rFonts w:ascii="宋体" w:hAnsi="宋体" w:cs="宋体" w:eastAsia="宋体" w:hint="default"/>
                <w:sz w:val="18"/>
                <w:szCs w:val="18"/>
              </w:rPr>
            </w:pPr>
            <w:r>
              <w:rPr>
                <w:rFonts w:ascii="宋体" w:hAnsi="宋体" w:cs="宋体" w:eastAsia="宋体" w:hint="default"/>
                <w:sz w:val="18"/>
                <w:szCs w:val="18"/>
              </w:rPr>
              <w:t>报告期末已审批的对子公司担保 额度合计（</w:t>
            </w:r>
            <w:r>
              <w:rPr>
                <w:rFonts w:ascii="Times New Roman" w:hAnsi="Times New Roman" w:cs="Times New Roman" w:eastAsia="Times New Roman" w:hint="default"/>
                <w:sz w:val="18"/>
                <w:szCs w:val="18"/>
              </w:rPr>
              <w:t>B3</w:t>
            </w:r>
            <w:r>
              <w:rPr>
                <w:rFonts w:ascii="宋体" w:hAnsi="宋体" w:cs="宋体" w:eastAsia="宋体" w:hint="default"/>
                <w:sz w:val="18"/>
                <w:szCs w:val="18"/>
              </w:rPr>
              <w:t>）</w:t>
            </w:r>
          </w:p>
        </w:tc>
        <w:tc>
          <w:tcPr>
            <w:tcW w:w="2229" w:type="dxa"/>
            <w:gridSpan w:val="2"/>
            <w:tcBorders>
              <w:top w:val="single" w:sz="4" w:space="0" w:color="000000"/>
              <w:left w:val="single" w:sz="13" w:space="0" w:color="D2D2D2"/>
              <w:bottom w:val="single" w:sz="4" w:space="0" w:color="000000"/>
              <w:right w:val="single" w:sz="13" w:space="0" w:color="D2D2D2"/>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7"/>
              <w:jc w:val="right"/>
              <w:rPr>
                <w:rFonts w:ascii="Times New Roman" w:hAnsi="Times New Roman" w:cs="Times New Roman" w:eastAsia="Times New Roman" w:hint="default"/>
                <w:sz w:val="18"/>
                <w:szCs w:val="18"/>
              </w:rPr>
            </w:pPr>
            <w:r>
              <w:rPr>
                <w:rFonts w:ascii="Times New Roman"/>
                <w:spacing w:val="-1"/>
                <w:sz w:val="18"/>
              </w:rPr>
              <w:t>86,320.30</w:t>
            </w:r>
          </w:p>
        </w:tc>
        <w:tc>
          <w:tcPr>
            <w:tcW w:w="209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3" w:right="78"/>
              <w:jc w:val="left"/>
              <w:rPr>
                <w:rFonts w:ascii="宋体" w:hAnsi="宋体" w:cs="宋体" w:eastAsia="宋体" w:hint="default"/>
                <w:sz w:val="18"/>
                <w:szCs w:val="18"/>
              </w:rPr>
            </w:pPr>
            <w:r>
              <w:rPr>
                <w:rFonts w:ascii="宋体" w:hAnsi="宋体" w:cs="宋体" w:eastAsia="宋体" w:hint="default"/>
                <w:sz w:val="18"/>
                <w:szCs w:val="18"/>
              </w:rPr>
              <w:t>报告期末对子公司实际担 保余额合计（</w:t>
            </w:r>
            <w:r>
              <w:rPr>
                <w:rFonts w:ascii="Times New Roman" w:hAnsi="Times New Roman" w:cs="Times New Roman" w:eastAsia="Times New Roman" w:hint="default"/>
                <w:sz w:val="18"/>
                <w:szCs w:val="18"/>
              </w:rPr>
              <w:t>B4</w:t>
            </w:r>
            <w:r>
              <w:rPr>
                <w:rFonts w:ascii="宋体" w:hAnsi="宋体" w:cs="宋体" w:eastAsia="宋体" w:hint="default"/>
                <w:sz w:val="18"/>
                <w:szCs w:val="18"/>
              </w:rPr>
              <w:t>）</w:t>
            </w:r>
          </w:p>
        </w:tc>
        <w:tc>
          <w:tcPr>
            <w:tcW w:w="2627" w:type="dxa"/>
            <w:gridSpan w:val="3"/>
            <w:tcBorders>
              <w:top w:val="single" w:sz="4" w:space="0" w:color="000000"/>
              <w:left w:val="single" w:sz="12"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391" w:hRule="exact"/>
        </w:trPr>
        <w:tc>
          <w:tcPr>
            <w:tcW w:w="9564"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12" w:right="0"/>
              <w:jc w:val="left"/>
              <w:rPr>
                <w:rFonts w:ascii="宋体" w:hAnsi="宋体" w:cs="宋体" w:eastAsia="宋体" w:hint="default"/>
                <w:sz w:val="18"/>
                <w:szCs w:val="18"/>
              </w:rPr>
            </w:pPr>
            <w:r>
              <w:rPr>
                <w:rFonts w:ascii="宋体" w:hAnsi="宋体" w:cs="宋体" w:eastAsia="宋体" w:hint="default"/>
                <w:sz w:val="18"/>
                <w:szCs w:val="18"/>
              </w:rPr>
              <w:t>公司担保总额（即前三大项的合计）</w:t>
            </w:r>
          </w:p>
        </w:tc>
      </w:tr>
      <w:tr>
        <w:trPr>
          <w:trHeight w:val="719" w:hRule="exact"/>
        </w:trPr>
        <w:tc>
          <w:tcPr>
            <w:tcW w:w="261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sz w:val="18"/>
                <w:szCs w:val="18"/>
              </w:rPr>
              <w:t>报告期内审批担保额度合计</w:t>
            </w:r>
          </w:p>
          <w:p>
            <w:pPr>
              <w:pStyle w:val="TableParagraph"/>
              <w:spacing w:line="240" w:lineRule="auto" w:before="76"/>
              <w:ind w:left="1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A1+B1+C1</w:t>
            </w:r>
            <w:r>
              <w:rPr>
                <w:rFonts w:ascii="宋体" w:hAnsi="宋体" w:cs="宋体" w:eastAsia="宋体" w:hint="default"/>
                <w:sz w:val="18"/>
                <w:szCs w:val="18"/>
              </w:rPr>
              <w:t>）</w:t>
            </w:r>
          </w:p>
        </w:tc>
        <w:tc>
          <w:tcPr>
            <w:tcW w:w="2229" w:type="dxa"/>
            <w:gridSpan w:val="2"/>
            <w:tcBorders>
              <w:top w:val="single" w:sz="4" w:space="0" w:color="000000"/>
              <w:left w:val="single" w:sz="13" w:space="0" w:color="D2D2D2"/>
              <w:bottom w:val="single" w:sz="4" w:space="0" w:color="000000"/>
              <w:right w:val="single" w:sz="13" w:space="0" w:color="D2D2D2"/>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7"/>
              <w:jc w:val="right"/>
              <w:rPr>
                <w:rFonts w:ascii="Times New Roman" w:hAnsi="Times New Roman" w:cs="Times New Roman" w:eastAsia="Times New Roman" w:hint="default"/>
                <w:sz w:val="18"/>
                <w:szCs w:val="18"/>
              </w:rPr>
            </w:pPr>
            <w:r>
              <w:rPr>
                <w:rFonts w:ascii="Times New Roman"/>
                <w:spacing w:val="-1"/>
                <w:sz w:val="18"/>
              </w:rPr>
              <w:t>10,000.00</w:t>
            </w:r>
          </w:p>
        </w:tc>
        <w:tc>
          <w:tcPr>
            <w:tcW w:w="209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23" w:right="78"/>
              <w:jc w:val="left"/>
              <w:rPr>
                <w:rFonts w:ascii="宋体" w:hAnsi="宋体" w:cs="宋体" w:eastAsia="宋体" w:hint="default"/>
                <w:sz w:val="18"/>
                <w:szCs w:val="18"/>
              </w:rPr>
            </w:pPr>
            <w:r>
              <w:rPr>
                <w:rFonts w:ascii="宋体" w:hAnsi="宋体" w:cs="宋体" w:eastAsia="宋体" w:hint="default"/>
                <w:sz w:val="18"/>
                <w:szCs w:val="18"/>
              </w:rPr>
              <w:t>报告期内担保实际发生额 合计（</w:t>
            </w:r>
            <w:r>
              <w:rPr>
                <w:rFonts w:ascii="Times New Roman" w:hAnsi="Times New Roman" w:cs="Times New Roman" w:eastAsia="Times New Roman" w:hint="default"/>
                <w:sz w:val="18"/>
                <w:szCs w:val="18"/>
              </w:rPr>
              <w:t>A2+B2+C2</w:t>
            </w:r>
            <w:r>
              <w:rPr>
                <w:rFonts w:ascii="宋体" w:hAnsi="宋体" w:cs="宋体" w:eastAsia="宋体" w:hint="default"/>
                <w:sz w:val="18"/>
                <w:szCs w:val="18"/>
              </w:rPr>
              <w:t>）</w:t>
            </w:r>
          </w:p>
        </w:tc>
        <w:tc>
          <w:tcPr>
            <w:tcW w:w="2627" w:type="dxa"/>
            <w:gridSpan w:val="3"/>
            <w:tcBorders>
              <w:top w:val="single" w:sz="4" w:space="0" w:color="000000"/>
              <w:left w:val="single" w:sz="12" w:space="0" w:color="D2D2D2"/>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35,828.38</w:t>
            </w:r>
          </w:p>
        </w:tc>
      </w:tr>
      <w:tr>
        <w:trPr>
          <w:trHeight w:val="714" w:hRule="exact"/>
        </w:trPr>
        <w:tc>
          <w:tcPr>
            <w:tcW w:w="261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报告期末已审批的担保额度合计</w:t>
            </w:r>
          </w:p>
          <w:p>
            <w:pPr>
              <w:pStyle w:val="TableParagraph"/>
              <w:spacing w:line="240" w:lineRule="auto" w:before="74"/>
              <w:ind w:left="1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A3+B3+C3</w:t>
            </w:r>
            <w:r>
              <w:rPr>
                <w:rFonts w:ascii="宋体" w:hAnsi="宋体" w:cs="宋体" w:eastAsia="宋体" w:hint="default"/>
                <w:sz w:val="18"/>
                <w:szCs w:val="18"/>
              </w:rPr>
              <w:t>）</w:t>
            </w:r>
          </w:p>
        </w:tc>
        <w:tc>
          <w:tcPr>
            <w:tcW w:w="2229" w:type="dxa"/>
            <w:gridSpan w:val="2"/>
            <w:tcBorders>
              <w:top w:val="single" w:sz="4" w:space="0" w:color="000000"/>
              <w:left w:val="single" w:sz="13" w:space="0" w:color="D2D2D2"/>
              <w:bottom w:val="single" w:sz="4" w:space="0" w:color="000000"/>
              <w:right w:val="single" w:sz="13" w:space="0" w:color="D2D2D2"/>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374" w:right="0"/>
              <w:jc w:val="left"/>
              <w:rPr>
                <w:rFonts w:ascii="Times New Roman" w:hAnsi="Times New Roman" w:cs="Times New Roman" w:eastAsia="Times New Roman" w:hint="default"/>
                <w:sz w:val="18"/>
                <w:szCs w:val="18"/>
              </w:rPr>
            </w:pPr>
            <w:r>
              <w:rPr>
                <w:rFonts w:ascii="Times New Roman"/>
                <w:sz w:val="18"/>
              </w:rPr>
              <w:t>196,320.30</w:t>
            </w:r>
          </w:p>
        </w:tc>
        <w:tc>
          <w:tcPr>
            <w:tcW w:w="209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0"/>
              <w:ind w:left="23" w:right="78"/>
              <w:jc w:val="left"/>
              <w:rPr>
                <w:rFonts w:ascii="宋体" w:hAnsi="宋体" w:cs="宋体" w:eastAsia="宋体" w:hint="default"/>
                <w:sz w:val="18"/>
                <w:szCs w:val="18"/>
              </w:rPr>
            </w:pPr>
            <w:r>
              <w:rPr>
                <w:rFonts w:ascii="宋体" w:hAnsi="宋体" w:cs="宋体" w:eastAsia="宋体" w:hint="default"/>
                <w:sz w:val="18"/>
                <w:szCs w:val="18"/>
              </w:rPr>
              <w:t>报告期末实际担保余额合 计（</w:t>
            </w:r>
            <w:r>
              <w:rPr>
                <w:rFonts w:ascii="Times New Roman" w:hAnsi="Times New Roman" w:cs="Times New Roman" w:eastAsia="Times New Roman" w:hint="default"/>
                <w:sz w:val="18"/>
                <w:szCs w:val="18"/>
              </w:rPr>
              <w:t>A4+B4+C4</w:t>
            </w:r>
            <w:r>
              <w:rPr>
                <w:rFonts w:ascii="宋体" w:hAnsi="宋体" w:cs="宋体" w:eastAsia="宋体" w:hint="default"/>
                <w:sz w:val="18"/>
                <w:szCs w:val="18"/>
              </w:rPr>
              <w:t>）</w:t>
            </w:r>
          </w:p>
        </w:tc>
        <w:tc>
          <w:tcPr>
            <w:tcW w:w="2627" w:type="dxa"/>
            <w:gridSpan w:val="3"/>
            <w:tcBorders>
              <w:top w:val="single" w:sz="4" w:space="0" w:color="000000"/>
              <w:left w:val="single" w:sz="12"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35,828.38</w:t>
            </w:r>
          </w:p>
        </w:tc>
      </w:tr>
      <w:tr>
        <w:trPr>
          <w:trHeight w:val="408" w:hRule="exact"/>
        </w:trPr>
        <w:tc>
          <w:tcPr>
            <w:tcW w:w="4845"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实际担保总额（即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A4+B4+C4</w:t>
            </w:r>
            <w:r>
              <w:rPr>
                <w:rFonts w:ascii="宋体" w:hAnsi="宋体" w:cs="宋体" w:eastAsia="宋体" w:hint="default"/>
                <w:sz w:val="18"/>
                <w:szCs w:val="18"/>
              </w:rPr>
              <w:t>）占公司净资产的比例</w:t>
            </w:r>
          </w:p>
        </w:tc>
        <w:tc>
          <w:tcPr>
            <w:tcW w:w="4719" w:type="dxa"/>
            <w:gridSpan w:val="5"/>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4.98%</w:t>
            </w:r>
          </w:p>
        </w:tc>
      </w:tr>
      <w:tr>
        <w:trPr>
          <w:trHeight w:val="391" w:hRule="exact"/>
        </w:trPr>
        <w:tc>
          <w:tcPr>
            <w:tcW w:w="9564"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12" w:right="0"/>
              <w:jc w:val="left"/>
              <w:rPr>
                <w:rFonts w:ascii="宋体" w:hAnsi="宋体" w:cs="宋体" w:eastAsia="宋体" w:hint="default"/>
                <w:sz w:val="18"/>
                <w:szCs w:val="18"/>
              </w:rPr>
            </w:pPr>
            <w:r>
              <w:rPr>
                <w:rFonts w:ascii="宋体" w:hAnsi="宋体" w:cs="宋体" w:eastAsia="宋体" w:hint="default"/>
                <w:sz w:val="18"/>
                <w:szCs w:val="18"/>
              </w:rPr>
              <w:t>其中：</w:t>
            </w:r>
          </w:p>
        </w:tc>
      </w:tr>
      <w:tr>
        <w:trPr>
          <w:trHeight w:val="407" w:hRule="exact"/>
        </w:trPr>
        <w:tc>
          <w:tcPr>
            <w:tcW w:w="4845"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sz w:val="18"/>
                <w:szCs w:val="18"/>
              </w:rPr>
              <w:t>为股东、实际控制人及其关联方提供担保的余额（</w:t>
            </w:r>
            <w:r>
              <w:rPr>
                <w:rFonts w:ascii="Times New Roman" w:hAnsi="Times New Roman" w:cs="Times New Roman" w:eastAsia="Times New Roman" w:hint="default"/>
                <w:sz w:val="18"/>
                <w:szCs w:val="18"/>
              </w:rPr>
              <w:t>D</w:t>
            </w:r>
            <w:r>
              <w:rPr>
                <w:rFonts w:ascii="宋体" w:hAnsi="宋体" w:cs="宋体" w:eastAsia="宋体" w:hint="default"/>
                <w:sz w:val="18"/>
                <w:szCs w:val="18"/>
              </w:rPr>
              <w:t>）</w:t>
            </w:r>
          </w:p>
        </w:tc>
        <w:tc>
          <w:tcPr>
            <w:tcW w:w="4719" w:type="dxa"/>
            <w:gridSpan w:val="5"/>
            <w:tcBorders>
              <w:top w:val="single" w:sz="4" w:space="0" w:color="000000"/>
              <w:left w:val="single" w:sz="12" w:space="0" w:color="D2D2D2"/>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4" w:hRule="exact"/>
        </w:trPr>
        <w:tc>
          <w:tcPr>
            <w:tcW w:w="4845"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0"/>
              <w:ind w:left="12" w:right="123"/>
              <w:jc w:val="left"/>
              <w:rPr>
                <w:rFonts w:ascii="宋体" w:hAnsi="宋体" w:cs="宋体" w:eastAsia="宋体" w:hint="default"/>
                <w:sz w:val="18"/>
                <w:szCs w:val="18"/>
              </w:rPr>
            </w:pPr>
            <w:r>
              <w:rPr>
                <w:rFonts w:ascii="宋体" w:hAnsi="宋体" w:cs="宋体" w:eastAsia="宋体" w:hint="default"/>
                <w:sz w:val="18"/>
                <w:szCs w:val="18"/>
              </w:rPr>
              <w:t>直接或间接为资产负债率超过</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70%</w:t>
            </w:r>
            <w:r>
              <w:rPr>
                <w:rFonts w:ascii="宋体" w:hAnsi="宋体" w:cs="宋体" w:eastAsia="宋体" w:hint="default"/>
                <w:sz w:val="18"/>
                <w:szCs w:val="18"/>
              </w:rPr>
              <w:t>的被担保对象提供的债务 担保余额（</w:t>
            </w:r>
            <w:r>
              <w:rPr>
                <w:rFonts w:ascii="Times New Roman" w:hAnsi="Times New Roman" w:cs="Times New Roman" w:eastAsia="Times New Roman" w:hint="default"/>
                <w:sz w:val="18"/>
                <w:szCs w:val="18"/>
              </w:rPr>
              <w:t>E</w:t>
            </w:r>
            <w:r>
              <w:rPr>
                <w:rFonts w:ascii="宋体" w:hAnsi="宋体" w:cs="宋体" w:eastAsia="宋体" w:hint="default"/>
                <w:sz w:val="18"/>
                <w:szCs w:val="18"/>
              </w:rPr>
              <w:t>）</w:t>
            </w:r>
          </w:p>
        </w:tc>
        <w:tc>
          <w:tcPr>
            <w:tcW w:w="4719" w:type="dxa"/>
            <w:gridSpan w:val="5"/>
            <w:tcBorders>
              <w:top w:val="single" w:sz="4" w:space="0" w:color="000000"/>
              <w:left w:val="single" w:sz="12" w:space="0" w:color="D2D2D2"/>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2" w:hRule="exact"/>
        </w:trPr>
        <w:tc>
          <w:tcPr>
            <w:tcW w:w="4845"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担保总额超过净资产</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50%</w:t>
            </w:r>
            <w:r>
              <w:rPr>
                <w:rFonts w:ascii="宋体" w:hAnsi="宋体" w:cs="宋体" w:eastAsia="宋体" w:hint="default"/>
                <w:sz w:val="18"/>
                <w:szCs w:val="18"/>
              </w:rPr>
              <w:t>部分的金额（</w:t>
            </w:r>
            <w:r>
              <w:rPr>
                <w:rFonts w:ascii="Times New Roman" w:hAnsi="Times New Roman" w:cs="Times New Roman" w:eastAsia="Times New Roman" w:hint="default"/>
                <w:sz w:val="18"/>
                <w:szCs w:val="18"/>
              </w:rPr>
              <w:t>F</w:t>
            </w:r>
            <w:r>
              <w:rPr>
                <w:rFonts w:ascii="宋体" w:hAnsi="宋体" w:cs="宋体" w:eastAsia="宋体" w:hint="default"/>
                <w:sz w:val="18"/>
                <w:szCs w:val="18"/>
              </w:rPr>
              <w:t>）</w:t>
            </w:r>
          </w:p>
        </w:tc>
        <w:tc>
          <w:tcPr>
            <w:tcW w:w="4719" w:type="dxa"/>
            <w:gridSpan w:val="5"/>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2" w:hRule="exact"/>
        </w:trPr>
        <w:tc>
          <w:tcPr>
            <w:tcW w:w="4845"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上述三项担保金额合计（</w:t>
            </w:r>
            <w:r>
              <w:rPr>
                <w:rFonts w:ascii="Times New Roman" w:hAnsi="Times New Roman" w:cs="Times New Roman" w:eastAsia="Times New Roman" w:hint="default"/>
                <w:sz w:val="18"/>
                <w:szCs w:val="18"/>
              </w:rPr>
              <w:t>D+E+F</w:t>
            </w:r>
            <w:r>
              <w:rPr>
                <w:rFonts w:ascii="宋体" w:hAnsi="宋体" w:cs="宋体" w:eastAsia="宋体" w:hint="default"/>
                <w:sz w:val="18"/>
                <w:szCs w:val="18"/>
              </w:rPr>
              <w:t>）</w:t>
            </w:r>
          </w:p>
        </w:tc>
        <w:tc>
          <w:tcPr>
            <w:tcW w:w="4719" w:type="dxa"/>
            <w:gridSpan w:val="5"/>
            <w:tcBorders>
              <w:top w:val="single" w:sz="4" w:space="0" w:color="000000"/>
              <w:left w:val="single" w:sz="12" w:space="0" w:color="D2D2D2"/>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4" w:hRule="exact"/>
        </w:trPr>
        <w:tc>
          <w:tcPr>
            <w:tcW w:w="4845"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20"/>
              <w:jc w:val="left"/>
              <w:rPr>
                <w:rFonts w:ascii="宋体" w:hAnsi="宋体" w:cs="宋体" w:eastAsia="宋体" w:hint="default"/>
                <w:sz w:val="18"/>
                <w:szCs w:val="18"/>
              </w:rPr>
            </w:pPr>
            <w:r>
              <w:rPr>
                <w:rFonts w:ascii="宋体" w:hAnsi="宋体" w:cs="宋体" w:eastAsia="宋体" w:hint="default"/>
                <w:spacing w:val="-3"/>
                <w:sz w:val="18"/>
                <w:szCs w:val="18"/>
              </w:rPr>
              <w:t>对未到期担保，报告期内已发生担保责任或可能承担连带清偿</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责任的情况说明（如有）</w:t>
            </w:r>
          </w:p>
        </w:tc>
        <w:tc>
          <w:tcPr>
            <w:tcW w:w="4719" w:type="dxa"/>
            <w:gridSpan w:val="5"/>
            <w:tcBorders>
              <w:top w:val="single" w:sz="4" w:space="0" w:color="000000"/>
              <w:left w:val="single" w:sz="12" w:space="0" w:color="D2D2D2"/>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2"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402" w:hRule="exact"/>
        </w:trPr>
        <w:tc>
          <w:tcPr>
            <w:tcW w:w="4845"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违反规定程序对外提供担保的说明（如有）</w:t>
            </w:r>
          </w:p>
        </w:tc>
        <w:tc>
          <w:tcPr>
            <w:tcW w:w="4719" w:type="dxa"/>
            <w:gridSpan w:val="5"/>
            <w:tcBorders>
              <w:top w:val="single" w:sz="4" w:space="0" w:color="000000"/>
              <w:left w:val="single" w:sz="12" w:space="0" w:color="D2D2D2"/>
              <w:bottom w:val="single" w:sz="4" w:space="0" w:color="000000"/>
              <w:right w:val="single" w:sz="4" w:space="0" w:color="000000"/>
            </w:tcBorders>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pStyle w:val="BodyText"/>
        <w:spacing w:line="357" w:lineRule="auto" w:before="49"/>
        <w:ind w:right="8054"/>
        <w:jc w:val="left"/>
      </w:pPr>
      <w:r>
        <w:rPr/>
        <w:t>采用复合方式担保的具体情况说明 无</w:t>
      </w:r>
    </w:p>
    <w:p>
      <w:pPr>
        <w:spacing w:line="240" w:lineRule="auto" w:before="6"/>
        <w:rPr>
          <w:rFonts w:ascii="宋体" w:hAnsi="宋体" w:cs="宋体" w:eastAsia="宋体" w:hint="default"/>
          <w:sz w:val="20"/>
          <w:szCs w:val="20"/>
        </w:rPr>
      </w:pPr>
    </w:p>
    <w:p>
      <w:pPr>
        <w:pStyle w:val="Heading4"/>
        <w:spacing w:line="240" w:lineRule="auto"/>
        <w:ind w:right="982"/>
        <w:jc w:val="left"/>
        <w:rPr>
          <w:b w:val="0"/>
          <w:bCs w:val="0"/>
        </w:rPr>
      </w:pPr>
      <w:r>
        <w:rPr/>
        <w:t>（</w:t>
      </w:r>
      <w:r>
        <w:rPr>
          <w:rFonts w:ascii="Times New Roman" w:hAnsi="Times New Roman" w:cs="Times New Roman" w:eastAsia="Times New Roman" w:hint="default"/>
        </w:rPr>
        <w:t>2</w:t>
      </w:r>
      <w:r>
        <w:rPr/>
        <w:t>）违规对外担保情况</w:t>
      </w:r>
      <w:r>
        <w:rPr>
          <w:b w:val="0"/>
          <w:bCs w:val="0"/>
        </w:rPr>
      </w:r>
    </w:p>
    <w:p>
      <w:pPr>
        <w:spacing w:line="240" w:lineRule="auto" w:before="4"/>
        <w:rPr>
          <w:rFonts w:ascii="宋体" w:hAnsi="宋体" w:cs="宋体" w:eastAsia="宋体" w:hint="default"/>
          <w:b/>
          <w:bCs/>
          <w:sz w:val="26"/>
          <w:szCs w:val="26"/>
        </w:rPr>
      </w:pPr>
    </w:p>
    <w:p>
      <w:pPr>
        <w:pStyle w:val="BodyText"/>
        <w:spacing w:line="340" w:lineRule="auto"/>
        <w:ind w:right="769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公司报告期无违规对外担保情况。</w:t>
      </w:r>
    </w:p>
    <w:p>
      <w:pPr>
        <w:spacing w:line="240" w:lineRule="auto" w:before="3"/>
        <w:rPr>
          <w:rFonts w:ascii="宋体" w:hAnsi="宋体" w:cs="宋体" w:eastAsia="宋体" w:hint="default"/>
          <w:sz w:val="21"/>
          <w:szCs w:val="21"/>
        </w:rPr>
      </w:pPr>
    </w:p>
    <w:p>
      <w:pPr>
        <w:pStyle w:val="Heading4"/>
        <w:spacing w:line="240" w:lineRule="auto"/>
        <w:ind w:right="982"/>
        <w:jc w:val="left"/>
        <w:rPr>
          <w:b w:val="0"/>
          <w:bCs w:val="0"/>
        </w:rPr>
      </w:pPr>
      <w:r>
        <w:rPr>
          <w:rFonts w:ascii="Times New Roman" w:hAnsi="Times New Roman" w:cs="Times New Roman" w:eastAsia="Times New Roman" w:hint="default"/>
        </w:rPr>
        <w:t>3</w:t>
      </w:r>
      <w:r>
        <w:rPr/>
        <w:t>、委托他人进行现金资产管理情况</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2"/>
        <w:jc w:val="left"/>
        <w:rPr>
          <w:b w:val="0"/>
          <w:bCs w:val="0"/>
        </w:rPr>
      </w:pPr>
      <w:r>
        <w:rPr/>
        <w:t>（</w:t>
      </w:r>
      <w:r>
        <w:rPr>
          <w:rFonts w:ascii="Times New Roman" w:hAnsi="Times New Roman" w:cs="Times New Roman" w:eastAsia="Times New Roman" w:hint="default"/>
        </w:rPr>
        <w:t>1</w:t>
      </w:r>
      <w:r>
        <w:rPr/>
        <w:t>）委托理财情况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after="0" w:line="240" w:lineRule="auto"/>
        <w:jc w:val="left"/>
        <w:sectPr>
          <w:pgSz w:w="11910" w:h="16840"/>
          <w:pgMar w:header="745" w:footer="979" w:top="1060" w:bottom="1160" w:left="980" w:right="0"/>
        </w:sectPr>
      </w:pPr>
    </w:p>
    <w:p>
      <w:pPr>
        <w:spacing w:line="240" w:lineRule="auto" w:before="9"/>
        <w:rPr>
          <w:rFonts w:ascii="宋体" w:hAnsi="宋体" w:cs="宋体" w:eastAsia="宋体" w:hint="default"/>
          <w:sz w:val="25"/>
          <w:szCs w:val="25"/>
        </w:rPr>
      </w:pPr>
    </w:p>
    <w:p>
      <w:pPr>
        <w:pStyle w:val="BodyText"/>
        <w:spacing w:line="240" w:lineRule="auto" w:before="44"/>
        <w:ind w:right="982"/>
        <w:jc w:val="left"/>
      </w:pPr>
      <w:r>
        <w:rPr/>
        <w:t>报告期内委托理财概况</w:t>
      </w:r>
    </w:p>
    <w:p>
      <w:pPr>
        <w:pStyle w:val="BodyText"/>
        <w:spacing w:line="240" w:lineRule="auto" w:before="117"/>
        <w:ind w:left="0" w:right="1131"/>
        <w:jc w:val="right"/>
      </w:pPr>
      <w:r>
        <w:rPr/>
        <w:t>单位：万元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868"/>
        <w:gridCol w:w="1964"/>
        <w:gridCol w:w="1980"/>
        <w:gridCol w:w="1910"/>
        <w:gridCol w:w="1846"/>
      </w:tblGrid>
      <w:tr>
        <w:trPr>
          <w:trHeight w:val="403" w:hRule="exact"/>
        </w:trPr>
        <w:tc>
          <w:tcPr>
            <w:tcW w:w="18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69" w:right="0"/>
              <w:jc w:val="left"/>
              <w:rPr>
                <w:rFonts w:ascii="宋体" w:hAnsi="宋体" w:cs="宋体" w:eastAsia="宋体" w:hint="default"/>
                <w:sz w:val="18"/>
                <w:szCs w:val="18"/>
              </w:rPr>
            </w:pPr>
            <w:r>
              <w:rPr>
                <w:rFonts w:ascii="宋体" w:hAnsi="宋体" w:cs="宋体" w:eastAsia="宋体" w:hint="default"/>
                <w:sz w:val="18"/>
                <w:szCs w:val="18"/>
              </w:rPr>
              <w:t>具体类型</w:t>
            </w:r>
          </w:p>
        </w:tc>
        <w:tc>
          <w:tcPr>
            <w:tcW w:w="19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65" w:right="0"/>
              <w:jc w:val="left"/>
              <w:rPr>
                <w:rFonts w:ascii="宋体" w:hAnsi="宋体" w:cs="宋体" w:eastAsia="宋体" w:hint="default"/>
                <w:sz w:val="18"/>
                <w:szCs w:val="18"/>
              </w:rPr>
            </w:pPr>
            <w:r>
              <w:rPr>
                <w:rFonts w:ascii="宋体" w:hAnsi="宋体" w:cs="宋体" w:eastAsia="宋体" w:hint="default"/>
                <w:sz w:val="18"/>
                <w:szCs w:val="18"/>
              </w:rPr>
              <w:t>委托理财的资金来源</w:t>
            </w:r>
          </w:p>
        </w:tc>
        <w:tc>
          <w:tcPr>
            <w:tcW w:w="19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55" w:right="0"/>
              <w:jc w:val="left"/>
              <w:rPr>
                <w:rFonts w:ascii="宋体" w:hAnsi="宋体" w:cs="宋体" w:eastAsia="宋体" w:hint="default"/>
                <w:sz w:val="18"/>
                <w:szCs w:val="18"/>
              </w:rPr>
            </w:pPr>
            <w:r>
              <w:rPr>
                <w:rFonts w:ascii="宋体" w:hAnsi="宋体" w:cs="宋体" w:eastAsia="宋体" w:hint="default"/>
                <w:sz w:val="18"/>
                <w:szCs w:val="18"/>
              </w:rPr>
              <w:t>委托理财发生额</w:t>
            </w:r>
          </w:p>
        </w:tc>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99" w:right="0"/>
              <w:jc w:val="left"/>
              <w:rPr>
                <w:rFonts w:ascii="宋体" w:hAnsi="宋体" w:cs="宋体" w:eastAsia="宋体" w:hint="default"/>
                <w:sz w:val="18"/>
                <w:szCs w:val="18"/>
              </w:rPr>
            </w:pPr>
            <w:r>
              <w:rPr>
                <w:rFonts w:ascii="宋体" w:hAnsi="宋体" w:cs="宋体" w:eastAsia="宋体" w:hint="default"/>
                <w:sz w:val="18"/>
                <w:szCs w:val="18"/>
              </w:rPr>
              <w:t>未到期余额</w:t>
            </w:r>
          </w:p>
        </w:tc>
        <w:tc>
          <w:tcPr>
            <w:tcW w:w="18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99" w:right="0"/>
              <w:jc w:val="left"/>
              <w:rPr>
                <w:rFonts w:ascii="宋体" w:hAnsi="宋体" w:cs="宋体" w:eastAsia="宋体" w:hint="default"/>
                <w:sz w:val="18"/>
                <w:szCs w:val="18"/>
              </w:rPr>
            </w:pPr>
            <w:r>
              <w:rPr>
                <w:rFonts w:ascii="宋体" w:hAnsi="宋体" w:cs="宋体" w:eastAsia="宋体" w:hint="default"/>
                <w:sz w:val="18"/>
                <w:szCs w:val="18"/>
              </w:rPr>
              <w:t>逾期未收回的金额</w:t>
            </w:r>
          </w:p>
        </w:tc>
      </w:tr>
      <w:tr>
        <w:trPr>
          <w:trHeight w:val="401" w:hRule="exact"/>
        </w:trPr>
        <w:tc>
          <w:tcPr>
            <w:tcW w:w="18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银行理财产品</w:t>
            </w:r>
          </w:p>
        </w:tc>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闲置募集资金</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40,000</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0.00</w:t>
            </w:r>
          </w:p>
        </w:tc>
      </w:tr>
      <w:tr>
        <w:trPr>
          <w:trHeight w:val="403" w:hRule="exact"/>
        </w:trPr>
        <w:tc>
          <w:tcPr>
            <w:tcW w:w="18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银行理财产品</w:t>
            </w:r>
          </w:p>
        </w:tc>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闲置自有资金</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40,000</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40,000</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0.00</w:t>
            </w:r>
          </w:p>
        </w:tc>
      </w:tr>
      <w:tr>
        <w:trPr>
          <w:trHeight w:val="401" w:hRule="exact"/>
        </w:trPr>
        <w:tc>
          <w:tcPr>
            <w:tcW w:w="383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80,000</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40,000</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0.00</w:t>
            </w:r>
          </w:p>
        </w:tc>
      </w:tr>
    </w:tbl>
    <w:p>
      <w:pPr>
        <w:pStyle w:val="BodyText"/>
        <w:spacing w:line="240" w:lineRule="auto" w:before="49"/>
        <w:ind w:right="982"/>
        <w:jc w:val="left"/>
      </w:pPr>
      <w:r>
        <w:rPr/>
        <w:t>单项金额重大或安全性较低、流动性较差、不保本的高风险委托理财具体情况</w:t>
      </w:r>
    </w:p>
    <w:p>
      <w:pPr>
        <w:pStyle w:val="BodyText"/>
        <w:spacing w:line="338" w:lineRule="auto" w:before="117"/>
        <w:ind w:right="571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委托理财出现预期无法收回本金或存在其他可能导致减值的情形</w:t>
      </w:r>
    </w:p>
    <w:p>
      <w:pPr>
        <w:pStyle w:val="BodyText"/>
        <w:spacing w:line="240" w:lineRule="auto" w:before="43"/>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3"/>
        <w:rPr>
          <w:rFonts w:ascii="宋体" w:hAnsi="宋体" w:cs="宋体" w:eastAsia="宋体" w:hint="default"/>
          <w:sz w:val="26"/>
          <w:szCs w:val="26"/>
        </w:rPr>
      </w:pPr>
    </w:p>
    <w:p>
      <w:pPr>
        <w:pStyle w:val="Heading4"/>
        <w:spacing w:line="240" w:lineRule="auto"/>
        <w:ind w:right="982"/>
        <w:jc w:val="left"/>
        <w:rPr>
          <w:b w:val="0"/>
          <w:bCs w:val="0"/>
        </w:rPr>
      </w:pPr>
      <w:r>
        <w:rPr/>
        <w:t>（</w:t>
      </w:r>
      <w:r>
        <w:rPr>
          <w:rFonts w:ascii="Times New Roman" w:hAnsi="Times New Roman" w:cs="Times New Roman" w:eastAsia="Times New Roman" w:hint="default"/>
        </w:rPr>
        <w:t>2</w:t>
      </w:r>
      <w:r>
        <w:rPr/>
        <w:t>）委托贷款情况</w:t>
      </w:r>
      <w:r>
        <w:rPr>
          <w:b w:val="0"/>
          <w:bCs w:val="0"/>
        </w:rPr>
      </w:r>
    </w:p>
    <w:p>
      <w:pPr>
        <w:spacing w:line="240" w:lineRule="auto" w:before="4"/>
        <w:rPr>
          <w:rFonts w:ascii="宋体" w:hAnsi="宋体" w:cs="宋体" w:eastAsia="宋体" w:hint="default"/>
          <w:b/>
          <w:bCs/>
          <w:sz w:val="26"/>
          <w:szCs w:val="26"/>
        </w:rPr>
      </w:pPr>
    </w:p>
    <w:p>
      <w:pPr>
        <w:pStyle w:val="BodyText"/>
        <w:spacing w:line="338" w:lineRule="auto"/>
        <w:ind w:right="841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公司报告期不存在委托贷款。</w:t>
      </w:r>
    </w:p>
    <w:p>
      <w:pPr>
        <w:spacing w:line="240" w:lineRule="auto" w:before="7"/>
        <w:rPr>
          <w:rFonts w:ascii="宋体" w:hAnsi="宋体" w:cs="宋体" w:eastAsia="宋体" w:hint="default"/>
          <w:sz w:val="21"/>
          <w:szCs w:val="21"/>
        </w:rPr>
      </w:pPr>
    </w:p>
    <w:p>
      <w:pPr>
        <w:pStyle w:val="Heading4"/>
        <w:spacing w:line="240" w:lineRule="auto"/>
        <w:ind w:right="982"/>
        <w:jc w:val="left"/>
        <w:rPr>
          <w:b w:val="0"/>
          <w:bCs w:val="0"/>
        </w:rPr>
      </w:pPr>
      <w:r>
        <w:rPr>
          <w:rFonts w:ascii="Times New Roman" w:hAnsi="Times New Roman" w:cs="Times New Roman" w:eastAsia="Times New Roman" w:hint="default"/>
        </w:rPr>
        <w:t>4</w:t>
      </w:r>
      <w:r>
        <w:rPr/>
        <w:t>、其他重大合同</w:t>
      </w:r>
      <w:r>
        <w:rPr>
          <w:b w:val="0"/>
          <w:bCs w:val="0"/>
        </w:rPr>
      </w:r>
    </w:p>
    <w:p>
      <w:pPr>
        <w:spacing w:line="240" w:lineRule="auto" w:before="4"/>
        <w:rPr>
          <w:rFonts w:ascii="宋体" w:hAnsi="宋体" w:cs="宋体" w:eastAsia="宋体" w:hint="default"/>
          <w:b/>
          <w:bCs/>
          <w:sz w:val="26"/>
          <w:szCs w:val="26"/>
        </w:rPr>
      </w:pPr>
    </w:p>
    <w:p>
      <w:pPr>
        <w:pStyle w:val="BodyText"/>
        <w:spacing w:line="340" w:lineRule="auto"/>
        <w:ind w:right="805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公司报告期不存在其他重大合同。</w:t>
      </w:r>
    </w:p>
    <w:p>
      <w:pPr>
        <w:spacing w:line="240" w:lineRule="auto" w:before="4"/>
        <w:rPr>
          <w:rFonts w:ascii="宋体" w:hAnsi="宋体" w:cs="宋体" w:eastAsia="宋体" w:hint="default"/>
          <w:sz w:val="19"/>
          <w:szCs w:val="19"/>
        </w:rPr>
      </w:pPr>
    </w:p>
    <w:p>
      <w:pPr>
        <w:pStyle w:val="Heading2"/>
        <w:spacing w:line="240" w:lineRule="auto"/>
        <w:ind w:right="982"/>
        <w:jc w:val="left"/>
        <w:rPr>
          <w:b w:val="0"/>
          <w:bCs w:val="0"/>
        </w:rPr>
      </w:pPr>
      <w:r>
        <w:rPr/>
        <w:t>十八、社会责任情况</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982"/>
        <w:jc w:val="left"/>
        <w:rPr>
          <w:b w:val="0"/>
          <w:bCs w:val="0"/>
        </w:rPr>
      </w:pPr>
      <w:r>
        <w:rPr>
          <w:rFonts w:ascii="Times New Roman" w:hAnsi="Times New Roman" w:cs="Times New Roman" w:eastAsia="Times New Roman" w:hint="default"/>
        </w:rPr>
        <w:t>1</w:t>
      </w:r>
      <w:r>
        <w:rPr/>
        <w:t>、履行社会责任情况</w:t>
      </w:r>
      <w:r>
        <w:rPr>
          <w:b w:val="0"/>
          <w:bCs w:val="0"/>
        </w:rPr>
      </w:r>
    </w:p>
    <w:p>
      <w:pPr>
        <w:spacing w:line="240" w:lineRule="auto" w:before="4"/>
        <w:rPr>
          <w:rFonts w:ascii="宋体" w:hAnsi="宋体" w:cs="宋体" w:eastAsia="宋体" w:hint="default"/>
          <w:b/>
          <w:bCs/>
          <w:sz w:val="26"/>
          <w:szCs w:val="26"/>
        </w:rPr>
      </w:pPr>
    </w:p>
    <w:p>
      <w:pPr>
        <w:pStyle w:val="BodyText"/>
        <w:spacing w:line="300" w:lineRule="auto"/>
        <w:ind w:right="1124" w:firstLine="360"/>
        <w:jc w:val="left"/>
      </w:pPr>
      <w:r>
        <w:rPr/>
        <w:t>具体内容详见</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16</w:t>
      </w:r>
      <w:r>
        <w:rPr/>
        <w:t>日发布在《中国证券报》、《证券时报》及巨潮资讯网上的《北京四维图新科技股份有限公 司</w:t>
      </w:r>
      <w:r>
        <w:rPr>
          <w:rFonts w:ascii="Times New Roman" w:hAnsi="Times New Roman" w:cs="Times New Roman" w:eastAsia="Times New Roman" w:hint="default"/>
        </w:rPr>
        <w:t>2018</w:t>
      </w:r>
      <w:r>
        <w:rPr/>
        <w:t>年度社会责任报告》。</w:t>
      </w:r>
    </w:p>
    <w:p>
      <w:pPr>
        <w:spacing w:line="240" w:lineRule="auto" w:before="4"/>
        <w:rPr>
          <w:rFonts w:ascii="宋体" w:hAnsi="宋体" w:cs="宋体" w:eastAsia="宋体" w:hint="default"/>
          <w:sz w:val="22"/>
          <w:szCs w:val="22"/>
        </w:rPr>
      </w:pPr>
    </w:p>
    <w:p>
      <w:pPr>
        <w:pStyle w:val="Heading4"/>
        <w:spacing w:line="240" w:lineRule="auto"/>
        <w:ind w:right="982"/>
        <w:jc w:val="left"/>
        <w:rPr>
          <w:b w:val="0"/>
          <w:bCs w:val="0"/>
        </w:rPr>
      </w:pPr>
      <w:r>
        <w:rPr>
          <w:rFonts w:ascii="Times New Roman" w:hAnsi="Times New Roman" w:cs="Times New Roman" w:eastAsia="Times New Roman" w:hint="default"/>
        </w:rPr>
        <w:t>2</w:t>
      </w:r>
      <w:r>
        <w:rPr/>
        <w:t>、履行精准扶贫社会责任情况</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left="513" w:right="982"/>
        <w:jc w:val="left"/>
      </w:pPr>
      <w:r>
        <w:rPr/>
        <w:t>公司报告年度暂未开展精准扶贫工作，也暂无后续精准扶贫计划。</w:t>
      </w:r>
    </w:p>
    <w:p>
      <w:pPr>
        <w:spacing w:line="240" w:lineRule="auto" w:before="0"/>
        <w:rPr>
          <w:rFonts w:ascii="宋体" w:hAnsi="宋体" w:cs="宋体" w:eastAsia="宋体" w:hint="default"/>
          <w:sz w:val="18"/>
          <w:szCs w:val="18"/>
        </w:rPr>
      </w:pPr>
    </w:p>
    <w:p>
      <w:pPr>
        <w:pStyle w:val="Heading4"/>
        <w:spacing w:line="240" w:lineRule="auto" w:before="121"/>
        <w:ind w:right="982"/>
        <w:jc w:val="left"/>
        <w:rPr>
          <w:b w:val="0"/>
          <w:bCs w:val="0"/>
        </w:rPr>
      </w:pPr>
      <w:r>
        <w:rPr>
          <w:rFonts w:ascii="Times New Roman" w:hAnsi="Times New Roman" w:cs="Times New Roman" w:eastAsia="Times New Roman" w:hint="default"/>
        </w:rPr>
        <w:t>3</w:t>
      </w:r>
      <w:r>
        <w:rPr/>
        <w:t>、环境保护相关的情况</w:t>
      </w:r>
      <w:r>
        <w:rPr>
          <w:b w:val="0"/>
          <w:bCs w:val="0"/>
        </w:rPr>
      </w:r>
    </w:p>
    <w:p>
      <w:pPr>
        <w:spacing w:line="240" w:lineRule="auto" w:before="4"/>
        <w:rPr>
          <w:rFonts w:ascii="宋体" w:hAnsi="宋体" w:cs="宋体" w:eastAsia="宋体" w:hint="default"/>
          <w:b/>
          <w:bCs/>
          <w:sz w:val="26"/>
          <w:szCs w:val="26"/>
        </w:rPr>
      </w:pPr>
    </w:p>
    <w:p>
      <w:pPr>
        <w:pStyle w:val="BodyText"/>
        <w:spacing w:line="357" w:lineRule="auto"/>
        <w:ind w:right="5714"/>
        <w:jc w:val="left"/>
      </w:pPr>
      <w:r>
        <w:rPr/>
        <w:t>上市公司及其子公司是否属于环境保护部门公布的重点排污单位 否</w:t>
      </w:r>
    </w:p>
    <w:p>
      <w:pPr>
        <w:pStyle w:val="BodyText"/>
        <w:spacing w:line="300" w:lineRule="auto" w:before="29"/>
        <w:ind w:right="1124" w:firstLine="360"/>
        <w:jc w:val="left"/>
      </w:pPr>
      <w:r>
        <w:rPr/>
        <w:t>具体内容详见</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16</w:t>
      </w:r>
      <w:r>
        <w:rPr/>
        <w:t>日发布在《中国证券报》、《证券时报》及巨潮资讯网上的《北京四维图新科技股份有限公 司</w:t>
      </w:r>
      <w:r>
        <w:rPr>
          <w:rFonts w:ascii="Times New Roman" w:hAnsi="Times New Roman" w:cs="Times New Roman" w:eastAsia="Times New Roman" w:hint="default"/>
        </w:rPr>
        <w:t>2018</w:t>
      </w:r>
      <w:r>
        <w:rPr/>
        <w:t>年度社会责任报告》。</w:t>
      </w:r>
    </w:p>
    <w:p>
      <w:pPr>
        <w:spacing w:line="240" w:lineRule="auto" w:before="5"/>
        <w:rPr>
          <w:rFonts w:ascii="宋体" w:hAnsi="宋体" w:cs="宋体" w:eastAsia="宋体" w:hint="default"/>
          <w:sz w:val="20"/>
          <w:szCs w:val="20"/>
        </w:rPr>
      </w:pPr>
    </w:p>
    <w:p>
      <w:pPr>
        <w:pStyle w:val="Heading2"/>
        <w:spacing w:line="240" w:lineRule="auto"/>
        <w:ind w:right="982"/>
        <w:jc w:val="left"/>
        <w:rPr>
          <w:b w:val="0"/>
          <w:bCs w:val="0"/>
        </w:rPr>
      </w:pPr>
      <w:r>
        <w:rPr/>
        <w:t>十九、其他重大事项的说明</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after="0" w:line="240" w:lineRule="auto"/>
        <w:jc w:val="left"/>
        <w:sectPr>
          <w:pgSz w:w="11910" w:h="16840"/>
          <w:pgMar w:header="745" w:footer="979" w:top="1060" w:bottom="1160" w:left="980" w:right="0"/>
        </w:sectPr>
      </w:pPr>
    </w:p>
    <w:p>
      <w:pPr>
        <w:spacing w:line="240" w:lineRule="auto" w:before="9"/>
        <w:rPr>
          <w:rFonts w:ascii="宋体" w:hAnsi="宋体" w:cs="宋体" w:eastAsia="宋体" w:hint="default"/>
          <w:sz w:val="25"/>
          <w:szCs w:val="25"/>
        </w:rPr>
      </w:pPr>
    </w:p>
    <w:p>
      <w:pPr>
        <w:pStyle w:val="BodyText"/>
        <w:spacing w:line="240" w:lineRule="auto" w:before="44"/>
        <w:ind w:right="982"/>
        <w:jc w:val="left"/>
      </w:pPr>
      <w:r>
        <w:rPr/>
        <w:t>公司报告期不存在需要说明的其他重大事项。</w:t>
      </w:r>
    </w:p>
    <w:p>
      <w:pPr>
        <w:spacing w:line="240" w:lineRule="auto" w:before="4"/>
        <w:rPr>
          <w:rFonts w:ascii="宋体" w:hAnsi="宋体" w:cs="宋体" w:eastAsia="宋体" w:hint="default"/>
          <w:sz w:val="25"/>
          <w:szCs w:val="25"/>
        </w:rPr>
      </w:pPr>
    </w:p>
    <w:p>
      <w:pPr>
        <w:pStyle w:val="Heading2"/>
        <w:spacing w:line="240" w:lineRule="auto"/>
        <w:ind w:right="982"/>
        <w:jc w:val="left"/>
        <w:rPr>
          <w:b w:val="0"/>
          <w:bCs w:val="0"/>
        </w:rPr>
      </w:pPr>
      <w:r>
        <w:rPr/>
        <w:t>二十、公司子公司重大事项</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300" w:lineRule="auto" w:before="101"/>
        <w:ind w:right="982" w:firstLine="360"/>
        <w:jc w:val="left"/>
      </w:pPr>
      <w:r>
        <w:rPr>
          <w:rFonts w:ascii="Times New Roman" w:hAnsi="Times New Roman" w:cs="Times New Roman" w:eastAsia="Times New Roman" w:hint="default"/>
        </w:rPr>
        <w:t>2018 </w:t>
      </w:r>
      <w:r>
        <w:rPr/>
        <w:t>年 </w:t>
      </w:r>
      <w:r>
        <w:rPr>
          <w:rFonts w:ascii="Times New Roman" w:hAnsi="Times New Roman" w:cs="Times New Roman" w:eastAsia="Times New Roman" w:hint="default"/>
        </w:rPr>
        <w:t>9 </w:t>
      </w:r>
      <w:r>
        <w:rPr/>
        <w:t>月 </w:t>
      </w:r>
      <w:r>
        <w:rPr>
          <w:rFonts w:ascii="Times New Roman" w:hAnsi="Times New Roman" w:cs="Times New Roman" w:eastAsia="Times New Roman" w:hint="default"/>
        </w:rPr>
        <w:t>7 </w:t>
      </w:r>
      <w:r>
        <w:rPr/>
        <w:t>日，公司召开第四届董事会第十一次会议，审议通过了《关于 </w:t>
      </w:r>
      <w:r>
        <w:rPr>
          <w:rFonts w:ascii="Times New Roman" w:hAnsi="Times New Roman" w:cs="Times New Roman" w:eastAsia="Times New Roman" w:hint="default"/>
        </w:rPr>
        <w:t>Mapbar Technology Limited</w:t>
      </w:r>
      <w:r>
        <w:rPr>
          <w:rFonts w:ascii="Times New Roman" w:hAnsi="Times New Roman" w:cs="Times New Roman" w:eastAsia="Times New Roman" w:hint="default"/>
          <w:spacing w:val="33"/>
        </w:rPr>
        <w:t> </w:t>
      </w:r>
      <w:r>
        <w:rPr/>
        <w:t>接受投资暨 </w:t>
      </w:r>
      <w:r>
        <w:rPr>
          <w:spacing w:val="-4"/>
        </w:rPr>
        <w:t>关联交易的议案》，公司控股子公司</w:t>
      </w:r>
      <w:r>
        <w:rPr>
          <w:spacing w:val="-16"/>
        </w:rPr>
        <w:t> </w:t>
      </w:r>
      <w:r>
        <w:rPr>
          <w:rFonts w:ascii="Times New Roman" w:hAnsi="Times New Roman" w:cs="Times New Roman" w:eastAsia="Times New Roman" w:hint="default"/>
        </w:rPr>
        <w:t>Mapbar</w:t>
      </w:r>
      <w:r>
        <w:rPr>
          <w:rFonts w:ascii="Times New Roman" w:hAnsi="Times New Roman" w:cs="Times New Roman" w:eastAsia="Times New Roman" w:hint="default"/>
          <w:spacing w:val="-8"/>
        </w:rPr>
        <w:t> </w:t>
      </w:r>
      <w:r>
        <w:rPr>
          <w:rFonts w:ascii="Times New Roman" w:hAnsi="Times New Roman" w:cs="Times New Roman" w:eastAsia="Times New Roman" w:hint="default"/>
        </w:rPr>
        <w:t>Technology</w:t>
      </w:r>
      <w:r>
        <w:rPr>
          <w:rFonts w:ascii="Times New Roman" w:hAnsi="Times New Roman" w:cs="Times New Roman" w:eastAsia="Times New Roman" w:hint="default"/>
          <w:spacing w:val="-12"/>
        </w:rPr>
        <w:t> </w:t>
      </w:r>
      <w:r>
        <w:rPr>
          <w:rFonts w:ascii="Times New Roman" w:hAnsi="Times New Roman" w:cs="Times New Roman" w:eastAsia="Times New Roman" w:hint="default"/>
          <w:spacing w:val="-3"/>
        </w:rPr>
        <w:t>Limited</w:t>
      </w:r>
      <w:r>
        <w:rPr>
          <w:spacing w:val="-3"/>
        </w:rPr>
        <w:t>（以下简称</w:t>
      </w:r>
      <w:r>
        <w:rPr>
          <w:rFonts w:ascii="Times New Roman" w:hAnsi="Times New Roman" w:cs="Times New Roman" w:eastAsia="Times New Roman" w:hint="default"/>
          <w:spacing w:val="-3"/>
        </w:rPr>
        <w:t>“</w:t>
      </w:r>
      <w:r>
        <w:rPr>
          <w:spacing w:val="-3"/>
        </w:rPr>
        <w:t>图吧</w:t>
      </w:r>
      <w:r>
        <w:rPr>
          <w:rFonts w:ascii="Times New Roman" w:hAnsi="Times New Roman" w:cs="Times New Roman" w:eastAsia="Times New Roman" w:hint="default"/>
          <w:spacing w:val="-3"/>
        </w:rPr>
        <w:t>BVI”</w:t>
      </w:r>
      <w:r>
        <w:rPr>
          <w:spacing w:val="-3"/>
        </w:rPr>
        <w:t>）拟进行增资扩股，引进投资者</w:t>
      </w:r>
      <w:r>
        <w:rPr>
          <w:spacing w:val="-16"/>
        </w:rPr>
        <w:t> </w:t>
      </w:r>
      <w:r>
        <w:rPr>
          <w:rFonts w:ascii="Times New Roman" w:hAnsi="Times New Roman" w:cs="Times New Roman" w:eastAsia="Times New Roman" w:hint="default"/>
        </w:rPr>
        <w:t>Image</w:t>
      </w:r>
      <w:r>
        <w:rPr>
          <w:rFonts w:ascii="Times New Roman" w:hAnsi="Times New Roman" w:cs="Times New Roman" w:eastAsia="Times New Roman" w:hint="default"/>
          <w:spacing w:val="-41"/>
        </w:rPr>
        <w:t> </w:t>
      </w:r>
      <w:r>
        <w:rPr>
          <w:rFonts w:ascii="Times New Roman" w:hAnsi="Times New Roman" w:cs="Times New Roman" w:eastAsia="Times New Roman" w:hint="default"/>
          <w:spacing w:val="-41"/>
        </w:rPr>
      </w:r>
      <w:r>
        <w:rPr>
          <w:rFonts w:ascii="Times New Roman" w:hAnsi="Times New Roman" w:cs="Times New Roman" w:eastAsia="Times New Roman" w:hint="default"/>
          <w:spacing w:val="-4"/>
        </w:rPr>
        <w:t>Cyber</w:t>
      </w:r>
      <w:r>
        <w:rPr>
          <w:spacing w:val="-4"/>
        </w:rPr>
        <w:t>、</w:t>
      </w:r>
      <w:r>
        <w:rPr>
          <w:rFonts w:ascii="Times New Roman" w:hAnsi="Times New Roman" w:cs="Times New Roman" w:eastAsia="Times New Roman" w:hint="default"/>
          <w:spacing w:val="-4"/>
        </w:rPr>
        <w:t>Top Grove</w:t>
      </w:r>
      <w:r>
        <w:rPr>
          <w:spacing w:val="-4"/>
        </w:rPr>
        <w:t>、蔚来资本和 </w:t>
      </w:r>
      <w:r>
        <w:rPr>
          <w:rFonts w:ascii="Times New Roman" w:hAnsi="Times New Roman" w:cs="Times New Roman" w:eastAsia="Times New Roman" w:hint="default"/>
          <w:spacing w:val="-3"/>
        </w:rPr>
        <w:t>Advantech</w:t>
      </w:r>
      <w:r>
        <w:rPr>
          <w:spacing w:val="-3"/>
        </w:rPr>
        <w:t>。</w:t>
      </w:r>
      <w:r>
        <w:rPr>
          <w:rFonts w:ascii="Times New Roman" w:hAnsi="Times New Roman" w:cs="Times New Roman" w:eastAsia="Times New Roman" w:hint="default"/>
          <w:spacing w:val="-3"/>
        </w:rPr>
        <w:t>2018</w:t>
      </w:r>
      <w:r>
        <w:rPr>
          <w:spacing w:val="-3"/>
        </w:rPr>
        <w:t>年</w:t>
      </w:r>
      <w:r>
        <w:rPr>
          <w:rFonts w:ascii="Times New Roman" w:hAnsi="Times New Roman" w:cs="Times New Roman" w:eastAsia="Times New Roman" w:hint="default"/>
          <w:spacing w:val="-3"/>
        </w:rPr>
        <w:t>11</w:t>
      </w:r>
      <w:r>
        <w:rPr>
          <w:spacing w:val="-3"/>
        </w:rPr>
        <w:t>月</w:t>
      </w:r>
      <w:r>
        <w:rPr>
          <w:rFonts w:ascii="Times New Roman" w:hAnsi="Times New Roman" w:cs="Times New Roman" w:eastAsia="Times New Roman" w:hint="default"/>
          <w:spacing w:val="-3"/>
        </w:rPr>
        <w:t>24</w:t>
      </w:r>
      <w:r>
        <w:rPr>
          <w:spacing w:val="-3"/>
        </w:rPr>
        <w:t>日，公司披露《关于控股子公司增资扩股事项交割完成的公告》，</w:t>
      </w:r>
      <w:r>
        <w:rPr>
          <w:spacing w:val="-64"/>
        </w:rPr>
        <w:t> </w:t>
      </w:r>
      <w:r>
        <w:rPr>
          <w:spacing w:val="-64"/>
        </w:rPr>
      </w:r>
      <w:r>
        <w:rPr/>
        <w:t>截至公告日，本次协议各方增资款已全部到账，相关交割手续已办理完毕。至此，公司对图吧</w:t>
      </w:r>
      <w:r>
        <w:rPr>
          <w:rFonts w:ascii="Times New Roman" w:hAnsi="Times New Roman" w:cs="Times New Roman" w:eastAsia="Times New Roman" w:hint="default"/>
        </w:rPr>
        <w:t>BVI</w:t>
      </w:r>
      <w:r>
        <w:rPr/>
        <w:t>的持股比例降至</w:t>
      </w:r>
      <w:r>
        <w:rPr>
          <w:rFonts w:ascii="Times New Roman" w:hAnsi="Times New Roman" w:cs="Times New Roman" w:eastAsia="Times New Roman" w:hint="default"/>
        </w:rPr>
        <w:t>46.93%</w:t>
      </w:r>
      <w:r>
        <w:rPr/>
        <w:t>，</w:t>
      </w:r>
      <w:r>
        <w:rPr>
          <w:spacing w:val="-50"/>
        </w:rPr>
        <w:t> </w:t>
      </w:r>
      <w:r>
        <w:rPr/>
        <w:t>图吧</w:t>
      </w:r>
      <w:r>
        <w:rPr>
          <w:rFonts w:ascii="Times New Roman" w:hAnsi="Times New Roman" w:cs="Times New Roman" w:eastAsia="Times New Roman" w:hint="default"/>
        </w:rPr>
        <w:t>BVI</w:t>
      </w:r>
      <w:r>
        <w:rPr/>
        <w:t>、图吧</w:t>
      </w:r>
      <w:r>
        <w:rPr>
          <w:rFonts w:ascii="Times New Roman" w:hAnsi="Times New Roman" w:cs="Times New Roman" w:eastAsia="Times New Roman" w:hint="default"/>
        </w:rPr>
        <w:t>BVI</w:t>
      </w:r>
      <w:r>
        <w:rPr/>
        <w:t>境内全资子公司北京图吧科技有限公司及其协议控制的境内公司北京四维智联科技有限公司不再纳入公</w:t>
      </w:r>
      <w:r>
        <w:rPr>
          <w:spacing w:val="-78"/>
        </w:rPr>
        <w:t> </w:t>
      </w:r>
      <w:r>
        <w:rPr>
          <w:spacing w:val="-78"/>
        </w:rPr>
      </w:r>
      <w:r>
        <w:rPr/>
        <w:t>司合并范围。</w:t>
      </w:r>
    </w:p>
    <w:p>
      <w:pPr>
        <w:spacing w:after="0" w:line="300" w:lineRule="auto"/>
        <w:jc w:val="left"/>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p>
      <w:pPr>
        <w:pStyle w:val="Heading1"/>
        <w:spacing w:line="240" w:lineRule="auto"/>
        <w:ind w:left="2964" w:right="982"/>
        <w:jc w:val="left"/>
        <w:rPr>
          <w:b w:val="0"/>
          <w:bCs w:val="0"/>
        </w:rPr>
      </w:pPr>
      <w:bookmarkStart w:name="_bookmark5" w:id="6"/>
      <w:bookmarkEnd w:id="6"/>
      <w:r>
        <w:rPr>
          <w:b w:val="0"/>
          <w:bCs w:val="0"/>
        </w:rPr>
      </w:r>
      <w:r>
        <w:rPr/>
        <w:t>第六节</w:t>
      </w:r>
      <w:r>
        <w:rPr>
          <w:spacing w:val="-6"/>
        </w:rPr>
        <w:t> </w:t>
      </w:r>
      <w:r>
        <w:rPr/>
        <w:t>股份变动及股东情况</w:t>
      </w:r>
      <w:r>
        <w:rPr>
          <w:b w:val="0"/>
          <w:bCs w:val="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6"/>
          <w:szCs w:val="16"/>
        </w:rPr>
      </w:pPr>
    </w:p>
    <w:p>
      <w:pPr>
        <w:pStyle w:val="Heading2"/>
        <w:spacing w:line="240" w:lineRule="auto" w:before="26"/>
        <w:ind w:right="982"/>
        <w:jc w:val="left"/>
        <w:rPr>
          <w:b w:val="0"/>
          <w:bCs w:val="0"/>
        </w:rPr>
      </w:pPr>
      <w:r>
        <w:rPr/>
        <w:t>一、股份变动情况</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982"/>
        <w:jc w:val="left"/>
        <w:rPr>
          <w:b w:val="0"/>
          <w:bCs w:val="0"/>
        </w:rPr>
      </w:pPr>
      <w:r>
        <w:rPr>
          <w:rFonts w:ascii="Times New Roman" w:hAnsi="Times New Roman" w:cs="Times New Roman" w:eastAsia="Times New Roman" w:hint="default"/>
        </w:rPr>
        <w:t>1</w:t>
      </w:r>
      <w:r>
        <w:rPr/>
        <w:t>、股份变动情况</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单位：股</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205"/>
        <w:gridCol w:w="1187"/>
        <w:gridCol w:w="708"/>
        <w:gridCol w:w="991"/>
        <w:gridCol w:w="416"/>
        <w:gridCol w:w="578"/>
        <w:gridCol w:w="1066"/>
        <w:gridCol w:w="823"/>
        <w:gridCol w:w="795"/>
        <w:gridCol w:w="792"/>
      </w:tblGrid>
      <w:tr>
        <w:trPr>
          <w:trHeight w:val="402" w:hRule="exact"/>
        </w:trPr>
        <w:tc>
          <w:tcPr>
            <w:tcW w:w="2205" w:type="dxa"/>
            <w:vMerge w:val="restart"/>
            <w:tcBorders>
              <w:top w:val="single" w:sz="4" w:space="0" w:color="000000"/>
              <w:left w:val="single" w:sz="4" w:space="0" w:color="000000"/>
              <w:right w:val="single" w:sz="4" w:space="0" w:color="000000"/>
            </w:tcBorders>
            <w:shd w:val="clear" w:color="auto" w:fill="D2D2D2"/>
          </w:tcPr>
          <w:p>
            <w:pPr/>
          </w:p>
        </w:tc>
        <w:tc>
          <w:tcPr>
            <w:tcW w:w="189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97"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3874"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40" w:right="0"/>
              <w:jc w:val="left"/>
              <w:rPr>
                <w:rFonts w:ascii="宋体" w:hAnsi="宋体" w:cs="宋体" w:eastAsia="宋体" w:hint="default"/>
                <w:sz w:val="18"/>
                <w:szCs w:val="18"/>
              </w:rPr>
            </w:pPr>
            <w:r>
              <w:rPr>
                <w:rFonts w:ascii="宋体" w:hAnsi="宋体" w:cs="宋体" w:eastAsia="宋体" w:hint="default"/>
                <w:sz w:val="18"/>
                <w:szCs w:val="18"/>
              </w:rPr>
              <w:t>本次变动增减（＋，－）</w:t>
            </w:r>
          </w:p>
        </w:tc>
        <w:tc>
          <w:tcPr>
            <w:tcW w:w="158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38"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139" w:hRule="exact"/>
        </w:trPr>
        <w:tc>
          <w:tcPr>
            <w:tcW w:w="2205" w:type="dxa"/>
            <w:vMerge/>
            <w:tcBorders>
              <w:left w:val="single" w:sz="4" w:space="0" w:color="000000"/>
              <w:bottom w:val="nil" w:sz="6" w:space="0" w:color="auto"/>
              <w:right w:val="single" w:sz="4" w:space="0" w:color="000000"/>
            </w:tcBorders>
            <w:shd w:val="clear" w:color="auto" w:fill="D2D2D2"/>
          </w:tcPr>
          <w:p>
            <w:pPr/>
          </w:p>
        </w:tc>
        <w:tc>
          <w:tcPr>
            <w:tcW w:w="1187" w:type="dxa"/>
            <w:vMerge w:val="restart"/>
            <w:tcBorders>
              <w:top w:val="single" w:sz="4" w:space="0" w:color="000000"/>
              <w:left w:val="single" w:sz="4" w:space="0" w:color="000000"/>
              <w:right w:val="single" w:sz="4" w:space="0" w:color="000000"/>
            </w:tcBorders>
            <w:shd w:val="clear" w:color="auto" w:fill="D2D2D2"/>
          </w:tcPr>
          <w:p>
            <w:pPr/>
          </w:p>
        </w:tc>
        <w:tc>
          <w:tcPr>
            <w:tcW w:w="708" w:type="dxa"/>
            <w:vMerge w:val="restart"/>
            <w:tcBorders>
              <w:top w:val="single" w:sz="4" w:space="0" w:color="000000"/>
              <w:left w:val="single" w:sz="4" w:space="0" w:color="000000"/>
              <w:right w:val="single" w:sz="4" w:space="0" w:color="000000"/>
            </w:tcBorders>
            <w:shd w:val="clear" w:color="auto" w:fill="D2D2D2"/>
          </w:tcPr>
          <w:p>
            <w:pPr/>
          </w:p>
        </w:tc>
        <w:tc>
          <w:tcPr>
            <w:tcW w:w="991" w:type="dxa"/>
            <w:vMerge w:val="restart"/>
            <w:tcBorders>
              <w:top w:val="single" w:sz="4" w:space="0" w:color="000000"/>
              <w:left w:val="single" w:sz="4" w:space="0" w:color="000000"/>
              <w:right w:val="single" w:sz="4" w:space="0" w:color="000000"/>
            </w:tcBorders>
            <w:shd w:val="clear" w:color="auto" w:fill="D2D2D2"/>
          </w:tcPr>
          <w:p>
            <w:pPr/>
          </w:p>
        </w:tc>
        <w:tc>
          <w:tcPr>
            <w:tcW w:w="416" w:type="dxa"/>
            <w:tcBorders>
              <w:top w:val="single" w:sz="4" w:space="0" w:color="000000"/>
              <w:left w:val="single" w:sz="4" w:space="0" w:color="000000"/>
              <w:bottom w:val="nil" w:sz="6" w:space="0" w:color="auto"/>
              <w:right w:val="single" w:sz="4" w:space="0" w:color="000000"/>
            </w:tcBorders>
            <w:shd w:val="clear" w:color="auto" w:fill="D2D2D2"/>
          </w:tcPr>
          <w:p>
            <w:pPr/>
          </w:p>
        </w:tc>
        <w:tc>
          <w:tcPr>
            <w:tcW w:w="578"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0"/>
              <w:ind w:left="105" w:right="101"/>
              <w:jc w:val="both"/>
              <w:rPr>
                <w:rFonts w:ascii="宋体" w:hAnsi="宋体" w:cs="宋体" w:eastAsia="宋体" w:hint="default"/>
                <w:sz w:val="18"/>
                <w:szCs w:val="18"/>
              </w:rPr>
            </w:pPr>
            <w:r>
              <w:rPr>
                <w:rFonts w:ascii="宋体" w:hAnsi="宋体" w:cs="宋体" w:eastAsia="宋体" w:hint="default"/>
                <w:sz w:val="18"/>
                <w:szCs w:val="18"/>
              </w:rPr>
              <w:t>公积 金转 股</w:t>
            </w:r>
          </w:p>
        </w:tc>
        <w:tc>
          <w:tcPr>
            <w:tcW w:w="1066" w:type="dxa"/>
            <w:vMerge w:val="restart"/>
            <w:tcBorders>
              <w:top w:val="single" w:sz="4" w:space="0" w:color="000000"/>
              <w:left w:val="single" w:sz="4" w:space="0" w:color="000000"/>
              <w:right w:val="single" w:sz="4" w:space="0" w:color="000000"/>
            </w:tcBorders>
            <w:shd w:val="clear" w:color="auto" w:fill="D2D2D2"/>
          </w:tcPr>
          <w:p>
            <w:pPr/>
          </w:p>
        </w:tc>
        <w:tc>
          <w:tcPr>
            <w:tcW w:w="823" w:type="dxa"/>
            <w:vMerge w:val="restart"/>
            <w:tcBorders>
              <w:top w:val="single" w:sz="4" w:space="0" w:color="000000"/>
              <w:left w:val="single" w:sz="4" w:space="0" w:color="000000"/>
              <w:right w:val="single" w:sz="4" w:space="0" w:color="000000"/>
            </w:tcBorders>
            <w:shd w:val="clear" w:color="auto" w:fill="D2D2D2"/>
          </w:tcPr>
          <w:p>
            <w:pPr/>
          </w:p>
        </w:tc>
        <w:tc>
          <w:tcPr>
            <w:tcW w:w="795" w:type="dxa"/>
            <w:vMerge w:val="restart"/>
            <w:tcBorders>
              <w:top w:val="single" w:sz="4" w:space="0" w:color="000000"/>
              <w:left w:val="single" w:sz="4" w:space="0" w:color="000000"/>
              <w:right w:val="single" w:sz="4" w:space="0" w:color="000000"/>
            </w:tcBorders>
            <w:shd w:val="clear" w:color="auto" w:fill="D2D2D2"/>
          </w:tcPr>
          <w:p>
            <w:pPr/>
          </w:p>
        </w:tc>
        <w:tc>
          <w:tcPr>
            <w:tcW w:w="792" w:type="dxa"/>
            <w:vMerge w:val="restart"/>
            <w:tcBorders>
              <w:top w:val="single" w:sz="4" w:space="0" w:color="000000"/>
              <w:left w:val="single" w:sz="4" w:space="0" w:color="000000"/>
              <w:right w:val="single" w:sz="4" w:space="0" w:color="000000"/>
            </w:tcBorders>
            <w:shd w:val="clear" w:color="auto" w:fill="D2D2D2"/>
          </w:tcPr>
          <w:p>
            <w:pPr/>
          </w:p>
        </w:tc>
      </w:tr>
      <w:tr>
        <w:trPr>
          <w:trHeight w:val="179" w:hRule="exact"/>
        </w:trPr>
        <w:tc>
          <w:tcPr>
            <w:tcW w:w="2205" w:type="dxa"/>
            <w:vMerge w:val="restart"/>
            <w:tcBorders>
              <w:top w:val="nil" w:sz="6" w:space="0" w:color="auto"/>
              <w:left w:val="single" w:sz="4" w:space="0" w:color="000000"/>
              <w:right w:val="single" w:sz="4" w:space="0" w:color="000000"/>
            </w:tcBorders>
            <w:shd w:val="clear" w:color="auto" w:fill="D2D2D2"/>
          </w:tcPr>
          <w:p>
            <w:pPr/>
          </w:p>
        </w:tc>
        <w:tc>
          <w:tcPr>
            <w:tcW w:w="1187" w:type="dxa"/>
            <w:vMerge/>
            <w:tcBorders>
              <w:left w:val="single" w:sz="4" w:space="0" w:color="000000"/>
              <w:bottom w:val="nil" w:sz="6" w:space="0" w:color="auto"/>
              <w:right w:val="single" w:sz="4" w:space="0" w:color="000000"/>
            </w:tcBorders>
            <w:shd w:val="clear" w:color="auto" w:fill="D2D2D2"/>
          </w:tcPr>
          <w:p>
            <w:pPr/>
          </w:p>
        </w:tc>
        <w:tc>
          <w:tcPr>
            <w:tcW w:w="708" w:type="dxa"/>
            <w:vMerge/>
            <w:tcBorders>
              <w:left w:val="single" w:sz="4" w:space="0" w:color="000000"/>
              <w:bottom w:val="nil" w:sz="6" w:space="0" w:color="auto"/>
              <w:right w:val="single" w:sz="4" w:space="0" w:color="000000"/>
            </w:tcBorders>
            <w:shd w:val="clear" w:color="auto" w:fill="D2D2D2"/>
          </w:tcPr>
          <w:p>
            <w:pPr/>
          </w:p>
        </w:tc>
        <w:tc>
          <w:tcPr>
            <w:tcW w:w="991" w:type="dxa"/>
            <w:vMerge/>
            <w:tcBorders>
              <w:left w:val="single" w:sz="4" w:space="0" w:color="000000"/>
              <w:bottom w:val="nil" w:sz="6" w:space="0" w:color="auto"/>
              <w:right w:val="single" w:sz="4" w:space="0" w:color="000000"/>
            </w:tcBorders>
            <w:shd w:val="clear" w:color="auto" w:fill="D2D2D2"/>
          </w:tcPr>
          <w:p>
            <w:pPr/>
          </w:p>
        </w:tc>
        <w:tc>
          <w:tcPr>
            <w:tcW w:w="416" w:type="dxa"/>
            <w:vMerge w:val="restart"/>
            <w:tcBorders>
              <w:top w:val="nil" w:sz="6" w:space="0" w:color="auto"/>
              <w:left w:val="single" w:sz="4" w:space="0" w:color="000000"/>
              <w:right w:val="single" w:sz="4" w:space="0" w:color="000000"/>
            </w:tcBorders>
            <w:shd w:val="clear" w:color="auto" w:fill="D2D2D2"/>
          </w:tcPr>
          <w:p>
            <w:pPr>
              <w:pStyle w:val="TableParagraph"/>
              <w:spacing w:line="314" w:lineRule="auto" w:before="72"/>
              <w:ind w:left="112" w:right="111"/>
              <w:jc w:val="left"/>
              <w:rPr>
                <w:rFonts w:ascii="宋体" w:hAnsi="宋体" w:cs="宋体" w:eastAsia="宋体" w:hint="default"/>
                <w:sz w:val="18"/>
                <w:szCs w:val="18"/>
              </w:rPr>
            </w:pPr>
            <w:r>
              <w:rPr>
                <w:rFonts w:ascii="宋体" w:hAnsi="宋体" w:cs="宋体" w:eastAsia="宋体" w:hint="default"/>
                <w:sz w:val="18"/>
                <w:szCs w:val="18"/>
              </w:rPr>
              <w:t>送 股</w:t>
            </w:r>
          </w:p>
        </w:tc>
        <w:tc>
          <w:tcPr>
            <w:tcW w:w="578" w:type="dxa"/>
            <w:vMerge/>
            <w:tcBorders>
              <w:left w:val="single" w:sz="4" w:space="0" w:color="000000"/>
              <w:right w:val="single" w:sz="4" w:space="0" w:color="000000"/>
            </w:tcBorders>
            <w:shd w:val="clear" w:color="auto" w:fill="D2D2D2"/>
          </w:tcPr>
          <w:p>
            <w:pPr/>
          </w:p>
        </w:tc>
        <w:tc>
          <w:tcPr>
            <w:tcW w:w="1066" w:type="dxa"/>
            <w:vMerge/>
            <w:tcBorders>
              <w:left w:val="single" w:sz="4" w:space="0" w:color="000000"/>
              <w:bottom w:val="nil" w:sz="6" w:space="0" w:color="auto"/>
              <w:right w:val="single" w:sz="4" w:space="0" w:color="000000"/>
            </w:tcBorders>
            <w:shd w:val="clear" w:color="auto" w:fill="D2D2D2"/>
          </w:tcPr>
          <w:p>
            <w:pPr/>
          </w:p>
        </w:tc>
        <w:tc>
          <w:tcPr>
            <w:tcW w:w="823" w:type="dxa"/>
            <w:vMerge/>
            <w:tcBorders>
              <w:left w:val="single" w:sz="4" w:space="0" w:color="000000"/>
              <w:bottom w:val="nil" w:sz="6" w:space="0" w:color="auto"/>
              <w:right w:val="single" w:sz="4" w:space="0" w:color="000000"/>
            </w:tcBorders>
            <w:shd w:val="clear" w:color="auto" w:fill="D2D2D2"/>
          </w:tcPr>
          <w:p>
            <w:pPr/>
          </w:p>
        </w:tc>
        <w:tc>
          <w:tcPr>
            <w:tcW w:w="795" w:type="dxa"/>
            <w:vMerge/>
            <w:tcBorders>
              <w:left w:val="single" w:sz="4" w:space="0" w:color="000000"/>
              <w:bottom w:val="nil" w:sz="6" w:space="0" w:color="auto"/>
              <w:right w:val="single" w:sz="4" w:space="0" w:color="000000"/>
            </w:tcBorders>
            <w:shd w:val="clear" w:color="auto" w:fill="D2D2D2"/>
          </w:tcPr>
          <w:p>
            <w:pPr/>
          </w:p>
        </w:tc>
        <w:tc>
          <w:tcPr>
            <w:tcW w:w="792" w:type="dxa"/>
            <w:vMerge/>
            <w:tcBorders>
              <w:left w:val="single" w:sz="4" w:space="0" w:color="000000"/>
              <w:bottom w:val="nil" w:sz="6" w:space="0" w:color="auto"/>
              <w:right w:val="single" w:sz="4" w:space="0" w:color="000000"/>
            </w:tcBorders>
            <w:shd w:val="clear" w:color="auto" w:fill="D2D2D2"/>
          </w:tcPr>
          <w:p>
            <w:pPr/>
          </w:p>
        </w:tc>
      </w:tr>
      <w:tr>
        <w:trPr>
          <w:trHeight w:val="190" w:hRule="exact"/>
        </w:trPr>
        <w:tc>
          <w:tcPr>
            <w:tcW w:w="2205" w:type="dxa"/>
            <w:vMerge/>
            <w:tcBorders>
              <w:left w:val="single" w:sz="4" w:space="0" w:color="000000"/>
              <w:bottom w:val="nil" w:sz="6" w:space="0" w:color="auto"/>
              <w:right w:val="single" w:sz="4" w:space="0" w:color="000000"/>
            </w:tcBorders>
            <w:shd w:val="clear" w:color="auto" w:fill="D2D2D2"/>
          </w:tcPr>
          <w:p>
            <w:pPr/>
          </w:p>
        </w:tc>
        <w:tc>
          <w:tcPr>
            <w:tcW w:w="118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数量</w:t>
            </w:r>
          </w:p>
        </w:tc>
        <w:tc>
          <w:tcPr>
            <w:tcW w:w="70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170"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99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131"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416" w:type="dxa"/>
            <w:vMerge/>
            <w:tcBorders>
              <w:left w:val="single" w:sz="4" w:space="0" w:color="000000"/>
              <w:right w:val="single" w:sz="4" w:space="0" w:color="000000"/>
            </w:tcBorders>
            <w:shd w:val="clear" w:color="auto" w:fill="D2D2D2"/>
          </w:tcPr>
          <w:p>
            <w:pPr/>
          </w:p>
        </w:tc>
        <w:tc>
          <w:tcPr>
            <w:tcW w:w="578" w:type="dxa"/>
            <w:vMerge/>
            <w:tcBorders>
              <w:left w:val="single" w:sz="4" w:space="0" w:color="000000"/>
              <w:right w:val="single" w:sz="4" w:space="0" w:color="000000"/>
            </w:tcBorders>
            <w:shd w:val="clear" w:color="auto" w:fill="D2D2D2"/>
          </w:tcPr>
          <w:p>
            <w:pPr/>
          </w:p>
        </w:tc>
        <w:tc>
          <w:tcPr>
            <w:tcW w:w="106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347"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2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225"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211"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79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211" w:right="0"/>
              <w:jc w:val="left"/>
              <w:rPr>
                <w:rFonts w:ascii="宋体" w:hAnsi="宋体" w:cs="宋体" w:eastAsia="宋体" w:hint="default"/>
                <w:sz w:val="18"/>
                <w:szCs w:val="18"/>
              </w:rPr>
            </w:pPr>
            <w:r>
              <w:rPr>
                <w:rFonts w:ascii="宋体" w:hAnsi="宋体" w:cs="宋体" w:eastAsia="宋体" w:hint="default"/>
                <w:sz w:val="18"/>
                <w:szCs w:val="18"/>
              </w:rPr>
              <w:t>比例</w:t>
            </w:r>
          </w:p>
        </w:tc>
      </w:tr>
      <w:tr>
        <w:trPr>
          <w:trHeight w:val="202" w:hRule="exact"/>
        </w:trPr>
        <w:tc>
          <w:tcPr>
            <w:tcW w:w="2205" w:type="dxa"/>
            <w:vMerge w:val="restart"/>
            <w:tcBorders>
              <w:top w:val="nil" w:sz="6" w:space="0" w:color="auto"/>
              <w:left w:val="single" w:sz="4" w:space="0" w:color="000000"/>
              <w:right w:val="single" w:sz="4" w:space="0" w:color="000000"/>
            </w:tcBorders>
            <w:shd w:val="clear" w:color="auto" w:fill="D2D2D2"/>
          </w:tcPr>
          <w:p>
            <w:pPr/>
          </w:p>
        </w:tc>
        <w:tc>
          <w:tcPr>
            <w:tcW w:w="1187" w:type="dxa"/>
            <w:vMerge/>
            <w:tcBorders>
              <w:left w:val="single" w:sz="4" w:space="0" w:color="000000"/>
              <w:bottom w:val="nil" w:sz="6" w:space="0" w:color="auto"/>
              <w:right w:val="single" w:sz="4" w:space="0" w:color="000000"/>
            </w:tcBorders>
            <w:shd w:val="clear" w:color="auto" w:fill="D2D2D2"/>
          </w:tcPr>
          <w:p>
            <w:pPr/>
          </w:p>
        </w:tc>
        <w:tc>
          <w:tcPr>
            <w:tcW w:w="708" w:type="dxa"/>
            <w:vMerge/>
            <w:tcBorders>
              <w:left w:val="single" w:sz="4" w:space="0" w:color="000000"/>
              <w:bottom w:val="nil" w:sz="6" w:space="0" w:color="auto"/>
              <w:right w:val="single" w:sz="4" w:space="0" w:color="000000"/>
            </w:tcBorders>
            <w:shd w:val="clear" w:color="auto" w:fill="D2D2D2"/>
          </w:tcPr>
          <w:p>
            <w:pPr/>
          </w:p>
        </w:tc>
        <w:tc>
          <w:tcPr>
            <w:tcW w:w="991" w:type="dxa"/>
            <w:vMerge/>
            <w:tcBorders>
              <w:left w:val="single" w:sz="4" w:space="0" w:color="000000"/>
              <w:bottom w:val="nil" w:sz="6" w:space="0" w:color="auto"/>
              <w:right w:val="single" w:sz="4" w:space="0" w:color="000000"/>
            </w:tcBorders>
            <w:shd w:val="clear" w:color="auto" w:fill="D2D2D2"/>
          </w:tcPr>
          <w:p>
            <w:pPr/>
          </w:p>
        </w:tc>
        <w:tc>
          <w:tcPr>
            <w:tcW w:w="416" w:type="dxa"/>
            <w:vMerge/>
            <w:tcBorders>
              <w:left w:val="single" w:sz="4" w:space="0" w:color="000000"/>
              <w:right w:val="single" w:sz="4" w:space="0" w:color="000000"/>
            </w:tcBorders>
            <w:shd w:val="clear" w:color="auto" w:fill="D2D2D2"/>
          </w:tcPr>
          <w:p>
            <w:pPr/>
          </w:p>
        </w:tc>
        <w:tc>
          <w:tcPr>
            <w:tcW w:w="578" w:type="dxa"/>
            <w:vMerge/>
            <w:tcBorders>
              <w:left w:val="single" w:sz="4" w:space="0" w:color="000000"/>
              <w:right w:val="single" w:sz="4" w:space="0" w:color="000000"/>
            </w:tcBorders>
            <w:shd w:val="clear" w:color="auto" w:fill="D2D2D2"/>
          </w:tcPr>
          <w:p>
            <w:pPr/>
          </w:p>
        </w:tc>
        <w:tc>
          <w:tcPr>
            <w:tcW w:w="1066" w:type="dxa"/>
            <w:vMerge/>
            <w:tcBorders>
              <w:left w:val="single" w:sz="4" w:space="0" w:color="000000"/>
              <w:bottom w:val="nil" w:sz="6" w:space="0" w:color="auto"/>
              <w:right w:val="single" w:sz="4" w:space="0" w:color="000000"/>
            </w:tcBorders>
            <w:shd w:val="clear" w:color="auto" w:fill="D2D2D2"/>
          </w:tcPr>
          <w:p>
            <w:pPr/>
          </w:p>
        </w:tc>
        <w:tc>
          <w:tcPr>
            <w:tcW w:w="823" w:type="dxa"/>
            <w:vMerge/>
            <w:tcBorders>
              <w:left w:val="single" w:sz="4" w:space="0" w:color="000000"/>
              <w:bottom w:val="nil" w:sz="6" w:space="0" w:color="auto"/>
              <w:right w:val="single" w:sz="4" w:space="0" w:color="000000"/>
            </w:tcBorders>
            <w:shd w:val="clear" w:color="auto" w:fill="D2D2D2"/>
          </w:tcPr>
          <w:p>
            <w:pPr/>
          </w:p>
        </w:tc>
        <w:tc>
          <w:tcPr>
            <w:tcW w:w="795" w:type="dxa"/>
            <w:vMerge/>
            <w:tcBorders>
              <w:left w:val="single" w:sz="4" w:space="0" w:color="000000"/>
              <w:bottom w:val="nil" w:sz="6" w:space="0" w:color="auto"/>
              <w:right w:val="single" w:sz="4" w:space="0" w:color="000000"/>
            </w:tcBorders>
            <w:shd w:val="clear" w:color="auto" w:fill="D2D2D2"/>
          </w:tcPr>
          <w:p>
            <w:pPr/>
          </w:p>
        </w:tc>
        <w:tc>
          <w:tcPr>
            <w:tcW w:w="792" w:type="dxa"/>
            <w:vMerge/>
            <w:tcBorders>
              <w:left w:val="single" w:sz="4" w:space="0" w:color="000000"/>
              <w:bottom w:val="nil" w:sz="6" w:space="0" w:color="auto"/>
              <w:right w:val="single" w:sz="4" w:space="0" w:color="000000"/>
            </w:tcBorders>
            <w:shd w:val="clear" w:color="auto" w:fill="D2D2D2"/>
          </w:tcPr>
          <w:p>
            <w:pPr/>
          </w:p>
        </w:tc>
      </w:tr>
      <w:tr>
        <w:trPr>
          <w:trHeight w:val="156" w:hRule="exact"/>
        </w:trPr>
        <w:tc>
          <w:tcPr>
            <w:tcW w:w="2205" w:type="dxa"/>
            <w:vMerge/>
            <w:tcBorders>
              <w:left w:val="single" w:sz="4" w:space="0" w:color="000000"/>
              <w:right w:val="single" w:sz="4" w:space="0" w:color="000000"/>
            </w:tcBorders>
            <w:shd w:val="clear" w:color="auto" w:fill="D2D2D2"/>
          </w:tcPr>
          <w:p>
            <w:pPr/>
          </w:p>
        </w:tc>
        <w:tc>
          <w:tcPr>
            <w:tcW w:w="1187" w:type="dxa"/>
            <w:vMerge w:val="restart"/>
            <w:tcBorders>
              <w:top w:val="nil" w:sz="6" w:space="0" w:color="auto"/>
              <w:left w:val="single" w:sz="4" w:space="0" w:color="000000"/>
              <w:right w:val="single" w:sz="4" w:space="0" w:color="000000"/>
            </w:tcBorders>
            <w:shd w:val="clear" w:color="auto" w:fill="D2D2D2"/>
          </w:tcPr>
          <w:p>
            <w:pPr/>
          </w:p>
        </w:tc>
        <w:tc>
          <w:tcPr>
            <w:tcW w:w="708" w:type="dxa"/>
            <w:vMerge w:val="restart"/>
            <w:tcBorders>
              <w:top w:val="nil" w:sz="6" w:space="0" w:color="auto"/>
              <w:left w:val="single" w:sz="4" w:space="0" w:color="000000"/>
              <w:right w:val="single" w:sz="4" w:space="0" w:color="000000"/>
            </w:tcBorders>
            <w:shd w:val="clear" w:color="auto" w:fill="D2D2D2"/>
          </w:tcPr>
          <w:p>
            <w:pPr/>
          </w:p>
        </w:tc>
        <w:tc>
          <w:tcPr>
            <w:tcW w:w="991" w:type="dxa"/>
            <w:vMerge w:val="restart"/>
            <w:tcBorders>
              <w:top w:val="nil" w:sz="6" w:space="0" w:color="auto"/>
              <w:left w:val="single" w:sz="4" w:space="0" w:color="000000"/>
              <w:right w:val="single" w:sz="4" w:space="0" w:color="000000"/>
            </w:tcBorders>
            <w:shd w:val="clear" w:color="auto" w:fill="D2D2D2"/>
          </w:tcPr>
          <w:p>
            <w:pPr/>
          </w:p>
        </w:tc>
        <w:tc>
          <w:tcPr>
            <w:tcW w:w="416" w:type="dxa"/>
            <w:vMerge/>
            <w:tcBorders>
              <w:left w:val="single" w:sz="4" w:space="0" w:color="000000"/>
              <w:bottom w:val="nil" w:sz="6" w:space="0" w:color="auto"/>
              <w:right w:val="single" w:sz="4" w:space="0" w:color="000000"/>
            </w:tcBorders>
            <w:shd w:val="clear" w:color="auto" w:fill="D2D2D2"/>
          </w:tcPr>
          <w:p>
            <w:pPr/>
          </w:p>
        </w:tc>
        <w:tc>
          <w:tcPr>
            <w:tcW w:w="578" w:type="dxa"/>
            <w:vMerge/>
            <w:tcBorders>
              <w:left w:val="single" w:sz="4" w:space="0" w:color="000000"/>
              <w:right w:val="single" w:sz="4" w:space="0" w:color="000000"/>
            </w:tcBorders>
            <w:shd w:val="clear" w:color="auto" w:fill="D2D2D2"/>
          </w:tcPr>
          <w:p>
            <w:pPr/>
          </w:p>
        </w:tc>
        <w:tc>
          <w:tcPr>
            <w:tcW w:w="1066" w:type="dxa"/>
            <w:vMerge w:val="restart"/>
            <w:tcBorders>
              <w:top w:val="nil" w:sz="6" w:space="0" w:color="auto"/>
              <w:left w:val="single" w:sz="4" w:space="0" w:color="000000"/>
              <w:right w:val="single" w:sz="4" w:space="0" w:color="000000"/>
            </w:tcBorders>
            <w:shd w:val="clear" w:color="auto" w:fill="D2D2D2"/>
          </w:tcPr>
          <w:p>
            <w:pPr/>
          </w:p>
        </w:tc>
        <w:tc>
          <w:tcPr>
            <w:tcW w:w="823" w:type="dxa"/>
            <w:vMerge w:val="restart"/>
            <w:tcBorders>
              <w:top w:val="nil" w:sz="6" w:space="0" w:color="auto"/>
              <w:left w:val="single" w:sz="4" w:space="0" w:color="000000"/>
              <w:right w:val="single" w:sz="4" w:space="0" w:color="000000"/>
            </w:tcBorders>
            <w:shd w:val="clear" w:color="auto" w:fill="D2D2D2"/>
          </w:tcPr>
          <w:p>
            <w:pPr/>
          </w:p>
        </w:tc>
        <w:tc>
          <w:tcPr>
            <w:tcW w:w="795" w:type="dxa"/>
            <w:vMerge w:val="restart"/>
            <w:tcBorders>
              <w:top w:val="nil" w:sz="6" w:space="0" w:color="auto"/>
              <w:left w:val="single" w:sz="4" w:space="0" w:color="000000"/>
              <w:right w:val="single" w:sz="4" w:space="0" w:color="000000"/>
            </w:tcBorders>
            <w:shd w:val="clear" w:color="auto" w:fill="D2D2D2"/>
          </w:tcPr>
          <w:p>
            <w:pPr/>
          </w:p>
        </w:tc>
        <w:tc>
          <w:tcPr>
            <w:tcW w:w="792"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2205" w:type="dxa"/>
            <w:vMerge/>
            <w:tcBorders>
              <w:left w:val="single" w:sz="4" w:space="0" w:color="000000"/>
              <w:bottom w:val="single" w:sz="4" w:space="0" w:color="000000"/>
              <w:right w:val="single" w:sz="4" w:space="0" w:color="000000"/>
            </w:tcBorders>
            <w:shd w:val="clear" w:color="auto" w:fill="D2D2D2"/>
          </w:tcPr>
          <w:p>
            <w:pPr/>
          </w:p>
        </w:tc>
        <w:tc>
          <w:tcPr>
            <w:tcW w:w="1187" w:type="dxa"/>
            <w:vMerge/>
            <w:tcBorders>
              <w:left w:val="single" w:sz="4" w:space="0" w:color="000000"/>
              <w:bottom w:val="single" w:sz="4" w:space="0" w:color="000000"/>
              <w:right w:val="single" w:sz="4" w:space="0" w:color="000000"/>
            </w:tcBorders>
            <w:shd w:val="clear" w:color="auto" w:fill="D2D2D2"/>
          </w:tcPr>
          <w:p>
            <w:pPr/>
          </w:p>
        </w:tc>
        <w:tc>
          <w:tcPr>
            <w:tcW w:w="708" w:type="dxa"/>
            <w:vMerge/>
            <w:tcBorders>
              <w:left w:val="single" w:sz="4" w:space="0" w:color="000000"/>
              <w:bottom w:val="single" w:sz="4" w:space="0" w:color="000000"/>
              <w:right w:val="single" w:sz="4" w:space="0" w:color="000000"/>
            </w:tcBorders>
            <w:shd w:val="clear" w:color="auto" w:fill="D2D2D2"/>
          </w:tcPr>
          <w:p>
            <w:pPr/>
          </w:p>
        </w:tc>
        <w:tc>
          <w:tcPr>
            <w:tcW w:w="991" w:type="dxa"/>
            <w:vMerge/>
            <w:tcBorders>
              <w:left w:val="single" w:sz="4" w:space="0" w:color="000000"/>
              <w:bottom w:val="single" w:sz="4" w:space="0" w:color="000000"/>
              <w:right w:val="single" w:sz="4" w:space="0" w:color="000000"/>
            </w:tcBorders>
            <w:shd w:val="clear" w:color="auto" w:fill="D2D2D2"/>
          </w:tcPr>
          <w:p>
            <w:pPr/>
          </w:p>
        </w:tc>
        <w:tc>
          <w:tcPr>
            <w:tcW w:w="416" w:type="dxa"/>
            <w:tcBorders>
              <w:top w:val="nil" w:sz="6" w:space="0" w:color="auto"/>
              <w:left w:val="single" w:sz="4" w:space="0" w:color="000000"/>
              <w:bottom w:val="single" w:sz="4" w:space="0" w:color="000000"/>
              <w:right w:val="single" w:sz="4" w:space="0" w:color="000000"/>
            </w:tcBorders>
            <w:shd w:val="clear" w:color="auto" w:fill="D2D2D2"/>
          </w:tcPr>
          <w:p>
            <w:pPr/>
          </w:p>
        </w:tc>
        <w:tc>
          <w:tcPr>
            <w:tcW w:w="578" w:type="dxa"/>
            <w:vMerge/>
            <w:tcBorders>
              <w:left w:val="single" w:sz="4" w:space="0" w:color="000000"/>
              <w:bottom w:val="single" w:sz="4" w:space="0" w:color="000000"/>
              <w:right w:val="single" w:sz="4" w:space="0" w:color="000000"/>
            </w:tcBorders>
            <w:shd w:val="clear" w:color="auto" w:fill="D2D2D2"/>
          </w:tcPr>
          <w:p>
            <w:pPr/>
          </w:p>
        </w:tc>
        <w:tc>
          <w:tcPr>
            <w:tcW w:w="1066" w:type="dxa"/>
            <w:vMerge/>
            <w:tcBorders>
              <w:left w:val="single" w:sz="4" w:space="0" w:color="000000"/>
              <w:bottom w:val="single" w:sz="4" w:space="0" w:color="000000"/>
              <w:right w:val="single" w:sz="4" w:space="0" w:color="000000"/>
            </w:tcBorders>
            <w:shd w:val="clear" w:color="auto" w:fill="D2D2D2"/>
          </w:tcPr>
          <w:p>
            <w:pPr/>
          </w:p>
        </w:tc>
        <w:tc>
          <w:tcPr>
            <w:tcW w:w="823" w:type="dxa"/>
            <w:vMerge/>
            <w:tcBorders>
              <w:left w:val="single" w:sz="4" w:space="0" w:color="000000"/>
              <w:bottom w:val="single" w:sz="4" w:space="0" w:color="000000"/>
              <w:right w:val="single" w:sz="4" w:space="0" w:color="000000"/>
            </w:tcBorders>
            <w:shd w:val="clear" w:color="auto" w:fill="D2D2D2"/>
          </w:tcPr>
          <w:p>
            <w:pPr/>
          </w:p>
        </w:tc>
        <w:tc>
          <w:tcPr>
            <w:tcW w:w="795" w:type="dxa"/>
            <w:vMerge/>
            <w:tcBorders>
              <w:left w:val="single" w:sz="4" w:space="0" w:color="000000"/>
              <w:bottom w:val="single" w:sz="4" w:space="0" w:color="000000"/>
              <w:right w:val="single" w:sz="4" w:space="0" w:color="000000"/>
            </w:tcBorders>
            <w:shd w:val="clear" w:color="auto" w:fill="D2D2D2"/>
          </w:tcPr>
          <w:p>
            <w:pPr/>
          </w:p>
        </w:tc>
        <w:tc>
          <w:tcPr>
            <w:tcW w:w="792" w:type="dxa"/>
            <w:vMerge/>
            <w:tcBorders>
              <w:left w:val="single" w:sz="4" w:space="0" w:color="000000"/>
              <w:bottom w:val="single" w:sz="4" w:space="0" w:color="000000"/>
              <w:right w:val="single" w:sz="4" w:space="0" w:color="000000"/>
            </w:tcBorders>
            <w:shd w:val="clear" w:color="auto" w:fill="D2D2D2"/>
          </w:tcPr>
          <w:p>
            <w:pPr/>
          </w:p>
        </w:tc>
      </w:tr>
      <w:tr>
        <w:trPr>
          <w:trHeight w:val="161" w:hRule="exact"/>
        </w:trPr>
        <w:tc>
          <w:tcPr>
            <w:tcW w:w="2205" w:type="dxa"/>
            <w:tcBorders>
              <w:top w:val="single" w:sz="4" w:space="0" w:color="000000"/>
              <w:left w:val="single" w:sz="4" w:space="0" w:color="000000"/>
              <w:bottom w:val="nil" w:sz="6" w:space="0" w:color="auto"/>
              <w:right w:val="single" w:sz="4" w:space="0" w:color="000000"/>
            </w:tcBorders>
            <w:shd w:val="clear" w:color="auto" w:fill="D2D2D2"/>
          </w:tcPr>
          <w:p>
            <w:pPr/>
          </w:p>
        </w:tc>
        <w:tc>
          <w:tcPr>
            <w:tcW w:w="1187" w:type="dxa"/>
            <w:vMerge w:val="restart"/>
            <w:tcBorders>
              <w:top w:val="single" w:sz="4" w:space="0" w:color="000000"/>
              <w:left w:val="single" w:sz="9" w:space="0" w:color="D2D2D2"/>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7" w:right="0"/>
              <w:jc w:val="left"/>
              <w:rPr>
                <w:rFonts w:ascii="Times New Roman" w:hAnsi="Times New Roman" w:cs="Times New Roman" w:eastAsia="Times New Roman" w:hint="default"/>
                <w:sz w:val="18"/>
                <w:szCs w:val="18"/>
              </w:rPr>
            </w:pPr>
            <w:r>
              <w:rPr>
                <w:rFonts w:ascii="Times New Roman"/>
                <w:sz w:val="18"/>
              </w:rPr>
              <w:t>249,244,225</w:t>
            </w:r>
          </w:p>
        </w:tc>
        <w:tc>
          <w:tcPr>
            <w:tcW w:w="708"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22" w:right="0"/>
              <w:jc w:val="left"/>
              <w:rPr>
                <w:rFonts w:ascii="Times New Roman" w:hAnsi="Times New Roman" w:cs="Times New Roman" w:eastAsia="Times New Roman" w:hint="default"/>
                <w:sz w:val="18"/>
                <w:szCs w:val="18"/>
              </w:rPr>
            </w:pPr>
            <w:r>
              <w:rPr>
                <w:rFonts w:ascii="Times New Roman"/>
                <w:sz w:val="18"/>
              </w:rPr>
              <w:t>19.43%</w:t>
            </w:r>
          </w:p>
        </w:tc>
        <w:tc>
          <w:tcPr>
            <w:tcW w:w="991"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27,046,469</w:t>
            </w:r>
          </w:p>
        </w:tc>
        <w:tc>
          <w:tcPr>
            <w:tcW w:w="416" w:type="dxa"/>
            <w:vMerge w:val="restart"/>
            <w:tcBorders>
              <w:top w:val="single" w:sz="4" w:space="0" w:color="000000"/>
              <w:left w:val="single" w:sz="4" w:space="0" w:color="000000"/>
              <w:right w:val="single" w:sz="4" w:space="0" w:color="000000"/>
            </w:tcBorders>
          </w:tcPr>
          <w:p>
            <w:pPr/>
          </w:p>
        </w:tc>
        <w:tc>
          <w:tcPr>
            <w:tcW w:w="578" w:type="dxa"/>
            <w:vMerge w:val="restart"/>
            <w:tcBorders>
              <w:top w:val="single" w:sz="4" w:space="0" w:color="000000"/>
              <w:left w:val="single" w:sz="4" w:space="0" w:color="000000"/>
              <w:right w:val="single" w:sz="4" w:space="0" w:color="000000"/>
            </w:tcBorders>
          </w:tcPr>
          <w:p>
            <w:pPr/>
          </w:p>
        </w:tc>
        <w:tc>
          <w:tcPr>
            <w:tcW w:w="106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54" w:right="0"/>
              <w:jc w:val="left"/>
              <w:rPr>
                <w:rFonts w:ascii="Times New Roman" w:hAnsi="Times New Roman" w:cs="Times New Roman" w:eastAsia="Times New Roman" w:hint="default"/>
                <w:sz w:val="18"/>
                <w:szCs w:val="18"/>
              </w:rPr>
            </w:pPr>
            <w:r>
              <w:rPr>
                <w:rFonts w:ascii="Times New Roman"/>
                <w:sz w:val="18"/>
              </w:rPr>
              <w:t>-9,274,200</w:t>
            </w:r>
          </w:p>
        </w:tc>
        <w:tc>
          <w:tcPr>
            <w:tcW w:w="823"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17,772,26</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9</w:t>
            </w:r>
          </w:p>
        </w:tc>
        <w:tc>
          <w:tcPr>
            <w:tcW w:w="795" w:type="dxa"/>
            <w:vMerge w:val="restart"/>
            <w:tcBorders>
              <w:top w:val="single" w:sz="4" w:space="0" w:color="000000"/>
              <w:left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267,016,4</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94</w:t>
            </w:r>
          </w:p>
        </w:tc>
        <w:tc>
          <w:tcPr>
            <w:tcW w:w="79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06" w:right="0"/>
              <w:jc w:val="left"/>
              <w:rPr>
                <w:rFonts w:ascii="Times New Roman" w:hAnsi="Times New Roman" w:cs="Times New Roman" w:eastAsia="Times New Roman" w:hint="default"/>
                <w:sz w:val="18"/>
                <w:szCs w:val="18"/>
              </w:rPr>
            </w:pPr>
            <w:r>
              <w:rPr>
                <w:rFonts w:ascii="Times New Roman"/>
                <w:sz w:val="18"/>
              </w:rPr>
              <w:t>20.39%</w:t>
            </w:r>
          </w:p>
        </w:tc>
      </w:tr>
      <w:tr>
        <w:trPr>
          <w:trHeight w:val="391" w:hRule="exact"/>
        </w:trPr>
        <w:tc>
          <w:tcPr>
            <w:tcW w:w="220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1187" w:type="dxa"/>
            <w:vMerge/>
            <w:tcBorders>
              <w:left w:val="single" w:sz="9" w:space="0" w:color="D2D2D2"/>
              <w:right w:val="single" w:sz="4" w:space="0" w:color="000000"/>
            </w:tcBorders>
          </w:tcPr>
          <w:p>
            <w:pPr/>
          </w:p>
        </w:tc>
        <w:tc>
          <w:tcPr>
            <w:tcW w:w="708"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c>
          <w:tcPr>
            <w:tcW w:w="416"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c>
          <w:tcPr>
            <w:tcW w:w="1066" w:type="dxa"/>
            <w:vMerge/>
            <w:tcBorders>
              <w:left w:val="single" w:sz="4" w:space="0" w:color="000000"/>
              <w:right w:val="single" w:sz="4" w:space="0" w:color="000000"/>
            </w:tcBorders>
          </w:tcPr>
          <w:p>
            <w:pPr/>
          </w:p>
        </w:tc>
        <w:tc>
          <w:tcPr>
            <w:tcW w:w="823" w:type="dxa"/>
            <w:vMerge/>
            <w:tcBorders>
              <w:left w:val="single" w:sz="4" w:space="0" w:color="000000"/>
              <w:right w:val="single" w:sz="4" w:space="0" w:color="000000"/>
            </w:tcBorders>
          </w:tcPr>
          <w:p>
            <w:pPr/>
          </w:p>
        </w:tc>
        <w:tc>
          <w:tcPr>
            <w:tcW w:w="795" w:type="dxa"/>
            <w:vMerge/>
            <w:tcBorders>
              <w:left w:val="single" w:sz="4" w:space="0" w:color="000000"/>
              <w:right w:val="single" w:sz="4" w:space="0" w:color="000000"/>
            </w:tcBorders>
          </w:tcPr>
          <w:p>
            <w:pPr/>
          </w:p>
        </w:tc>
        <w:tc>
          <w:tcPr>
            <w:tcW w:w="792" w:type="dxa"/>
            <w:vMerge/>
            <w:tcBorders>
              <w:left w:val="single" w:sz="4" w:space="0" w:color="000000"/>
              <w:right w:val="single" w:sz="4" w:space="0" w:color="000000"/>
            </w:tcBorders>
          </w:tcPr>
          <w:p>
            <w:pPr/>
          </w:p>
        </w:tc>
      </w:tr>
      <w:tr>
        <w:trPr>
          <w:trHeight w:val="161" w:hRule="exact"/>
        </w:trPr>
        <w:tc>
          <w:tcPr>
            <w:tcW w:w="2205" w:type="dxa"/>
            <w:tcBorders>
              <w:top w:val="nil" w:sz="6" w:space="0" w:color="auto"/>
              <w:left w:val="single" w:sz="4" w:space="0" w:color="000000"/>
              <w:bottom w:val="single" w:sz="4" w:space="0" w:color="000000"/>
              <w:right w:val="single" w:sz="4" w:space="0" w:color="000000"/>
            </w:tcBorders>
            <w:shd w:val="clear" w:color="auto" w:fill="D2D2D2"/>
          </w:tcPr>
          <w:p>
            <w:pPr/>
          </w:p>
        </w:tc>
        <w:tc>
          <w:tcPr>
            <w:tcW w:w="1187" w:type="dxa"/>
            <w:vMerge/>
            <w:tcBorders>
              <w:left w:val="single" w:sz="9" w:space="0" w:color="D2D2D2"/>
              <w:bottom w:val="single" w:sz="4" w:space="0" w:color="000000"/>
              <w:right w:val="single" w:sz="4" w:space="0" w:color="000000"/>
            </w:tcBorders>
          </w:tcPr>
          <w:p>
            <w:pPr/>
          </w:p>
        </w:tc>
        <w:tc>
          <w:tcPr>
            <w:tcW w:w="708" w:type="dxa"/>
            <w:vMerge/>
            <w:tcBorders>
              <w:left w:val="single" w:sz="4" w:space="0" w:color="000000"/>
              <w:bottom w:val="single" w:sz="4" w:space="0" w:color="000000"/>
              <w:right w:val="single" w:sz="4" w:space="0" w:color="000000"/>
            </w:tcBorders>
          </w:tcPr>
          <w:p>
            <w:pPr/>
          </w:p>
        </w:tc>
        <w:tc>
          <w:tcPr>
            <w:tcW w:w="991" w:type="dxa"/>
            <w:vMerge/>
            <w:tcBorders>
              <w:left w:val="single" w:sz="4" w:space="0" w:color="000000"/>
              <w:bottom w:val="single" w:sz="4" w:space="0" w:color="000000"/>
              <w:right w:val="single" w:sz="4" w:space="0" w:color="000000"/>
            </w:tcBorders>
          </w:tcPr>
          <w:p>
            <w:pPr/>
          </w:p>
        </w:tc>
        <w:tc>
          <w:tcPr>
            <w:tcW w:w="416"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c>
          <w:tcPr>
            <w:tcW w:w="1066" w:type="dxa"/>
            <w:vMerge/>
            <w:tcBorders>
              <w:left w:val="single" w:sz="4" w:space="0" w:color="000000"/>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795" w:type="dxa"/>
            <w:vMerge/>
            <w:tcBorders>
              <w:left w:val="single" w:sz="4" w:space="0" w:color="000000"/>
              <w:bottom w:val="single" w:sz="4" w:space="0" w:color="000000"/>
              <w:right w:val="single" w:sz="4" w:space="0" w:color="000000"/>
            </w:tcBorders>
          </w:tcPr>
          <w:p>
            <w:pPr/>
          </w:p>
        </w:tc>
        <w:tc>
          <w:tcPr>
            <w:tcW w:w="792" w:type="dxa"/>
            <w:vMerge/>
            <w:tcBorders>
              <w:left w:val="single" w:sz="4" w:space="0" w:color="000000"/>
              <w:bottom w:val="single" w:sz="4" w:space="0" w:color="000000"/>
              <w:right w:val="single" w:sz="4" w:space="0" w:color="000000"/>
            </w:tcBorders>
          </w:tcPr>
          <w:p>
            <w:pPr/>
          </w:p>
        </w:tc>
      </w:tr>
      <w:tr>
        <w:trPr>
          <w:trHeight w:val="163" w:hRule="exact"/>
        </w:trPr>
        <w:tc>
          <w:tcPr>
            <w:tcW w:w="2205" w:type="dxa"/>
            <w:tcBorders>
              <w:top w:val="single" w:sz="4" w:space="0" w:color="000000"/>
              <w:left w:val="single" w:sz="4" w:space="0" w:color="000000"/>
              <w:bottom w:val="nil" w:sz="6" w:space="0" w:color="auto"/>
              <w:right w:val="single" w:sz="4" w:space="0" w:color="000000"/>
            </w:tcBorders>
            <w:shd w:val="clear" w:color="auto" w:fill="D2D2D2"/>
          </w:tcPr>
          <w:p>
            <w:pPr/>
          </w:p>
        </w:tc>
        <w:tc>
          <w:tcPr>
            <w:tcW w:w="1187" w:type="dxa"/>
            <w:vMerge w:val="restart"/>
            <w:tcBorders>
              <w:top w:val="single" w:sz="4" w:space="0" w:color="000000"/>
              <w:left w:val="single" w:sz="9" w:space="0" w:color="D2D2D2"/>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335" w:right="0"/>
              <w:jc w:val="left"/>
              <w:rPr>
                <w:rFonts w:ascii="Times New Roman" w:hAnsi="Times New Roman" w:cs="Times New Roman" w:eastAsia="Times New Roman" w:hint="default"/>
                <w:sz w:val="18"/>
                <w:szCs w:val="18"/>
              </w:rPr>
            </w:pPr>
            <w:r>
              <w:rPr>
                <w:rFonts w:ascii="Times New Roman"/>
                <w:sz w:val="18"/>
              </w:rPr>
              <w:t>25,012,069</w:t>
            </w:r>
          </w:p>
        </w:tc>
        <w:tc>
          <w:tcPr>
            <w:tcW w:w="708"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11" w:right="0"/>
              <w:jc w:val="left"/>
              <w:rPr>
                <w:rFonts w:ascii="Times New Roman" w:hAnsi="Times New Roman" w:cs="Times New Roman" w:eastAsia="Times New Roman" w:hint="default"/>
                <w:sz w:val="18"/>
                <w:szCs w:val="18"/>
              </w:rPr>
            </w:pPr>
            <w:r>
              <w:rPr>
                <w:rFonts w:ascii="Times New Roman"/>
                <w:sz w:val="18"/>
              </w:rPr>
              <w:t>1.95%</w:t>
            </w:r>
          </w:p>
        </w:tc>
        <w:tc>
          <w:tcPr>
            <w:tcW w:w="991" w:type="dxa"/>
            <w:vMerge w:val="restart"/>
            <w:tcBorders>
              <w:top w:val="single" w:sz="4" w:space="0" w:color="000000"/>
              <w:left w:val="single" w:sz="4" w:space="0" w:color="000000"/>
              <w:right w:val="single" w:sz="4" w:space="0" w:color="000000"/>
            </w:tcBorders>
          </w:tcPr>
          <w:p>
            <w:pPr/>
          </w:p>
        </w:tc>
        <w:tc>
          <w:tcPr>
            <w:tcW w:w="416" w:type="dxa"/>
            <w:vMerge w:val="restart"/>
            <w:tcBorders>
              <w:top w:val="single" w:sz="4" w:space="0" w:color="000000"/>
              <w:left w:val="single" w:sz="4" w:space="0" w:color="000000"/>
              <w:right w:val="single" w:sz="4" w:space="0" w:color="000000"/>
            </w:tcBorders>
          </w:tcPr>
          <w:p>
            <w:pPr/>
          </w:p>
        </w:tc>
        <w:tc>
          <w:tcPr>
            <w:tcW w:w="578" w:type="dxa"/>
            <w:vMerge w:val="restart"/>
            <w:tcBorders>
              <w:top w:val="single" w:sz="4" w:space="0" w:color="000000"/>
              <w:left w:val="single" w:sz="4" w:space="0" w:color="000000"/>
              <w:right w:val="single" w:sz="4" w:space="0" w:color="000000"/>
            </w:tcBorders>
          </w:tcPr>
          <w:p>
            <w:pPr/>
          </w:p>
        </w:tc>
        <w:tc>
          <w:tcPr>
            <w:tcW w:w="1066" w:type="dxa"/>
            <w:vMerge w:val="restart"/>
            <w:tcBorders>
              <w:top w:val="single" w:sz="4" w:space="0" w:color="000000"/>
              <w:left w:val="single" w:sz="4" w:space="0" w:color="000000"/>
              <w:right w:val="single" w:sz="4" w:space="0" w:color="000000"/>
            </w:tcBorders>
          </w:tcPr>
          <w:p>
            <w:pPr/>
          </w:p>
        </w:tc>
        <w:tc>
          <w:tcPr>
            <w:tcW w:w="823" w:type="dxa"/>
            <w:vMerge w:val="restart"/>
            <w:tcBorders>
              <w:top w:val="single" w:sz="4" w:space="0" w:color="000000"/>
              <w:left w:val="single" w:sz="4" w:space="0" w:color="000000"/>
              <w:right w:val="single" w:sz="4" w:space="0" w:color="000000"/>
            </w:tcBorders>
          </w:tcPr>
          <w:p>
            <w:pPr/>
          </w:p>
        </w:tc>
        <w:tc>
          <w:tcPr>
            <w:tcW w:w="795" w:type="dxa"/>
            <w:vMerge w:val="restart"/>
            <w:tcBorders>
              <w:top w:val="single" w:sz="4" w:space="0" w:color="000000"/>
              <w:left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25,012,06</w:t>
            </w:r>
          </w:p>
          <w:p>
            <w:pPr>
              <w:pStyle w:val="TableParagraph"/>
              <w:spacing w:line="240" w:lineRule="auto" w:before="102"/>
              <w:ind w:right="23"/>
              <w:jc w:val="right"/>
              <w:rPr>
                <w:rFonts w:ascii="Times New Roman" w:hAnsi="Times New Roman" w:cs="Times New Roman" w:eastAsia="Times New Roman" w:hint="default"/>
                <w:sz w:val="18"/>
                <w:szCs w:val="18"/>
              </w:rPr>
            </w:pPr>
            <w:r>
              <w:rPr>
                <w:rFonts w:ascii="Times New Roman"/>
                <w:sz w:val="18"/>
              </w:rPr>
              <w:t>9</w:t>
            </w:r>
          </w:p>
        </w:tc>
        <w:tc>
          <w:tcPr>
            <w:tcW w:w="792"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95" w:right="0"/>
              <w:jc w:val="left"/>
              <w:rPr>
                <w:rFonts w:ascii="Times New Roman" w:hAnsi="Times New Roman" w:cs="Times New Roman" w:eastAsia="Times New Roman" w:hint="default"/>
                <w:sz w:val="18"/>
                <w:szCs w:val="18"/>
              </w:rPr>
            </w:pPr>
            <w:r>
              <w:rPr>
                <w:rFonts w:ascii="Times New Roman"/>
                <w:sz w:val="18"/>
              </w:rPr>
              <w:t>1.91%</w:t>
            </w:r>
          </w:p>
        </w:tc>
      </w:tr>
      <w:tr>
        <w:trPr>
          <w:trHeight w:val="391" w:hRule="exact"/>
        </w:trPr>
        <w:tc>
          <w:tcPr>
            <w:tcW w:w="220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、国有法人持股</w:t>
            </w:r>
          </w:p>
        </w:tc>
        <w:tc>
          <w:tcPr>
            <w:tcW w:w="1187" w:type="dxa"/>
            <w:vMerge/>
            <w:tcBorders>
              <w:left w:val="single" w:sz="9" w:space="0" w:color="D2D2D2"/>
              <w:right w:val="single" w:sz="4" w:space="0" w:color="000000"/>
            </w:tcBorders>
          </w:tcPr>
          <w:p>
            <w:pPr/>
          </w:p>
        </w:tc>
        <w:tc>
          <w:tcPr>
            <w:tcW w:w="708"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c>
          <w:tcPr>
            <w:tcW w:w="416"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c>
          <w:tcPr>
            <w:tcW w:w="1066" w:type="dxa"/>
            <w:vMerge/>
            <w:tcBorders>
              <w:left w:val="single" w:sz="4" w:space="0" w:color="000000"/>
              <w:right w:val="single" w:sz="4" w:space="0" w:color="000000"/>
            </w:tcBorders>
          </w:tcPr>
          <w:p>
            <w:pPr/>
          </w:p>
        </w:tc>
        <w:tc>
          <w:tcPr>
            <w:tcW w:w="823" w:type="dxa"/>
            <w:vMerge/>
            <w:tcBorders>
              <w:left w:val="single" w:sz="4" w:space="0" w:color="000000"/>
              <w:right w:val="single" w:sz="4" w:space="0" w:color="000000"/>
            </w:tcBorders>
          </w:tcPr>
          <w:p>
            <w:pPr/>
          </w:p>
        </w:tc>
        <w:tc>
          <w:tcPr>
            <w:tcW w:w="795" w:type="dxa"/>
            <w:vMerge/>
            <w:tcBorders>
              <w:left w:val="single" w:sz="4" w:space="0" w:color="000000"/>
              <w:right w:val="single" w:sz="4" w:space="0" w:color="000000"/>
            </w:tcBorders>
          </w:tcPr>
          <w:p>
            <w:pPr/>
          </w:p>
        </w:tc>
        <w:tc>
          <w:tcPr>
            <w:tcW w:w="792" w:type="dxa"/>
            <w:vMerge/>
            <w:tcBorders>
              <w:left w:val="single" w:sz="4" w:space="0" w:color="000000"/>
              <w:right w:val="single" w:sz="4" w:space="0" w:color="000000"/>
            </w:tcBorders>
          </w:tcPr>
          <w:p>
            <w:pPr/>
          </w:p>
        </w:tc>
      </w:tr>
      <w:tr>
        <w:trPr>
          <w:trHeight w:val="161" w:hRule="exact"/>
        </w:trPr>
        <w:tc>
          <w:tcPr>
            <w:tcW w:w="2205" w:type="dxa"/>
            <w:tcBorders>
              <w:top w:val="nil" w:sz="6" w:space="0" w:color="auto"/>
              <w:left w:val="single" w:sz="4" w:space="0" w:color="000000"/>
              <w:bottom w:val="single" w:sz="4" w:space="0" w:color="000000"/>
              <w:right w:val="single" w:sz="4" w:space="0" w:color="000000"/>
            </w:tcBorders>
            <w:shd w:val="clear" w:color="auto" w:fill="D2D2D2"/>
          </w:tcPr>
          <w:p>
            <w:pPr/>
          </w:p>
        </w:tc>
        <w:tc>
          <w:tcPr>
            <w:tcW w:w="1187" w:type="dxa"/>
            <w:vMerge/>
            <w:tcBorders>
              <w:left w:val="single" w:sz="9" w:space="0" w:color="D2D2D2"/>
              <w:bottom w:val="single" w:sz="4" w:space="0" w:color="000000"/>
              <w:right w:val="single" w:sz="4" w:space="0" w:color="000000"/>
            </w:tcBorders>
          </w:tcPr>
          <w:p>
            <w:pPr/>
          </w:p>
        </w:tc>
        <w:tc>
          <w:tcPr>
            <w:tcW w:w="708" w:type="dxa"/>
            <w:vMerge/>
            <w:tcBorders>
              <w:left w:val="single" w:sz="4" w:space="0" w:color="000000"/>
              <w:bottom w:val="single" w:sz="4" w:space="0" w:color="000000"/>
              <w:right w:val="single" w:sz="4" w:space="0" w:color="000000"/>
            </w:tcBorders>
          </w:tcPr>
          <w:p>
            <w:pPr/>
          </w:p>
        </w:tc>
        <w:tc>
          <w:tcPr>
            <w:tcW w:w="991" w:type="dxa"/>
            <w:vMerge/>
            <w:tcBorders>
              <w:left w:val="single" w:sz="4" w:space="0" w:color="000000"/>
              <w:bottom w:val="single" w:sz="4" w:space="0" w:color="000000"/>
              <w:right w:val="single" w:sz="4" w:space="0" w:color="000000"/>
            </w:tcBorders>
          </w:tcPr>
          <w:p>
            <w:pPr/>
          </w:p>
        </w:tc>
        <w:tc>
          <w:tcPr>
            <w:tcW w:w="416"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c>
          <w:tcPr>
            <w:tcW w:w="1066" w:type="dxa"/>
            <w:vMerge/>
            <w:tcBorders>
              <w:left w:val="single" w:sz="4" w:space="0" w:color="000000"/>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795" w:type="dxa"/>
            <w:vMerge/>
            <w:tcBorders>
              <w:left w:val="single" w:sz="4" w:space="0" w:color="000000"/>
              <w:bottom w:val="single" w:sz="4" w:space="0" w:color="000000"/>
              <w:right w:val="single" w:sz="4" w:space="0" w:color="000000"/>
            </w:tcBorders>
          </w:tcPr>
          <w:p>
            <w:pPr/>
          </w:p>
        </w:tc>
        <w:tc>
          <w:tcPr>
            <w:tcW w:w="792" w:type="dxa"/>
            <w:vMerge/>
            <w:tcBorders>
              <w:left w:val="single" w:sz="4" w:space="0" w:color="000000"/>
              <w:bottom w:val="single" w:sz="4" w:space="0" w:color="000000"/>
              <w:right w:val="single" w:sz="4" w:space="0" w:color="000000"/>
            </w:tcBorders>
          </w:tcPr>
          <w:p>
            <w:pPr/>
          </w:p>
        </w:tc>
      </w:tr>
      <w:tr>
        <w:trPr>
          <w:trHeight w:val="161" w:hRule="exact"/>
        </w:trPr>
        <w:tc>
          <w:tcPr>
            <w:tcW w:w="2205" w:type="dxa"/>
            <w:tcBorders>
              <w:top w:val="single" w:sz="4" w:space="0" w:color="000000"/>
              <w:left w:val="single" w:sz="4" w:space="0" w:color="000000"/>
              <w:bottom w:val="nil" w:sz="6" w:space="0" w:color="auto"/>
              <w:right w:val="single" w:sz="4" w:space="0" w:color="000000"/>
            </w:tcBorders>
            <w:shd w:val="clear" w:color="auto" w:fill="D2D2D2"/>
          </w:tcPr>
          <w:p>
            <w:pPr/>
          </w:p>
        </w:tc>
        <w:tc>
          <w:tcPr>
            <w:tcW w:w="1187" w:type="dxa"/>
            <w:vMerge w:val="restart"/>
            <w:tcBorders>
              <w:top w:val="single" w:sz="4" w:space="0" w:color="000000"/>
              <w:left w:val="single" w:sz="9" w:space="0" w:color="D2D2D2"/>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7" w:right="0"/>
              <w:jc w:val="left"/>
              <w:rPr>
                <w:rFonts w:ascii="Times New Roman" w:hAnsi="Times New Roman" w:cs="Times New Roman" w:eastAsia="Times New Roman" w:hint="default"/>
                <w:sz w:val="18"/>
                <w:szCs w:val="18"/>
              </w:rPr>
            </w:pPr>
            <w:r>
              <w:rPr>
                <w:rFonts w:ascii="Times New Roman"/>
                <w:sz w:val="18"/>
              </w:rPr>
              <w:t>224,232,156</w:t>
            </w:r>
          </w:p>
        </w:tc>
        <w:tc>
          <w:tcPr>
            <w:tcW w:w="708"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22" w:right="0"/>
              <w:jc w:val="left"/>
              <w:rPr>
                <w:rFonts w:ascii="Times New Roman" w:hAnsi="Times New Roman" w:cs="Times New Roman" w:eastAsia="Times New Roman" w:hint="default"/>
                <w:sz w:val="18"/>
                <w:szCs w:val="18"/>
              </w:rPr>
            </w:pPr>
            <w:r>
              <w:rPr>
                <w:rFonts w:ascii="Times New Roman"/>
                <w:sz w:val="18"/>
              </w:rPr>
              <w:t>17.48%</w:t>
            </w:r>
          </w:p>
        </w:tc>
        <w:tc>
          <w:tcPr>
            <w:tcW w:w="991"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26,256,213</w:t>
            </w:r>
          </w:p>
        </w:tc>
        <w:tc>
          <w:tcPr>
            <w:tcW w:w="416" w:type="dxa"/>
            <w:vMerge w:val="restart"/>
            <w:tcBorders>
              <w:top w:val="single" w:sz="4" w:space="0" w:color="000000"/>
              <w:left w:val="single" w:sz="4" w:space="0" w:color="000000"/>
              <w:right w:val="single" w:sz="4" w:space="0" w:color="000000"/>
            </w:tcBorders>
          </w:tcPr>
          <w:p>
            <w:pPr/>
          </w:p>
        </w:tc>
        <w:tc>
          <w:tcPr>
            <w:tcW w:w="578" w:type="dxa"/>
            <w:vMerge w:val="restart"/>
            <w:tcBorders>
              <w:top w:val="single" w:sz="4" w:space="0" w:color="000000"/>
              <w:left w:val="single" w:sz="4" w:space="0" w:color="000000"/>
              <w:right w:val="single" w:sz="4" w:space="0" w:color="000000"/>
            </w:tcBorders>
          </w:tcPr>
          <w:p>
            <w:pPr/>
          </w:p>
        </w:tc>
        <w:tc>
          <w:tcPr>
            <w:tcW w:w="106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54" w:right="0"/>
              <w:jc w:val="left"/>
              <w:rPr>
                <w:rFonts w:ascii="Times New Roman" w:hAnsi="Times New Roman" w:cs="Times New Roman" w:eastAsia="Times New Roman" w:hint="default"/>
                <w:sz w:val="18"/>
                <w:szCs w:val="18"/>
              </w:rPr>
            </w:pPr>
            <w:r>
              <w:rPr>
                <w:rFonts w:ascii="Times New Roman"/>
                <w:sz w:val="18"/>
              </w:rPr>
              <w:t>-9,274,200</w:t>
            </w:r>
          </w:p>
        </w:tc>
        <w:tc>
          <w:tcPr>
            <w:tcW w:w="823"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16,982,01</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3</w:t>
            </w:r>
          </w:p>
        </w:tc>
        <w:tc>
          <w:tcPr>
            <w:tcW w:w="795" w:type="dxa"/>
            <w:vMerge w:val="restart"/>
            <w:tcBorders>
              <w:top w:val="single" w:sz="4" w:space="0" w:color="000000"/>
              <w:left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241,214,1</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69</w:t>
            </w:r>
          </w:p>
        </w:tc>
        <w:tc>
          <w:tcPr>
            <w:tcW w:w="79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06" w:right="0"/>
              <w:jc w:val="left"/>
              <w:rPr>
                <w:rFonts w:ascii="Times New Roman" w:hAnsi="Times New Roman" w:cs="Times New Roman" w:eastAsia="Times New Roman" w:hint="default"/>
                <w:sz w:val="18"/>
                <w:szCs w:val="18"/>
              </w:rPr>
            </w:pPr>
            <w:r>
              <w:rPr>
                <w:rFonts w:ascii="Times New Roman"/>
                <w:sz w:val="18"/>
              </w:rPr>
              <w:t>18.42%</w:t>
            </w:r>
          </w:p>
        </w:tc>
      </w:tr>
      <w:tr>
        <w:trPr>
          <w:trHeight w:val="391" w:hRule="exact"/>
        </w:trPr>
        <w:tc>
          <w:tcPr>
            <w:tcW w:w="220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w:t>
            </w:r>
          </w:p>
        </w:tc>
        <w:tc>
          <w:tcPr>
            <w:tcW w:w="1187" w:type="dxa"/>
            <w:vMerge/>
            <w:tcBorders>
              <w:left w:val="single" w:sz="9" w:space="0" w:color="D2D2D2"/>
              <w:right w:val="single" w:sz="4" w:space="0" w:color="000000"/>
            </w:tcBorders>
          </w:tcPr>
          <w:p>
            <w:pPr/>
          </w:p>
        </w:tc>
        <w:tc>
          <w:tcPr>
            <w:tcW w:w="708"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c>
          <w:tcPr>
            <w:tcW w:w="416"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c>
          <w:tcPr>
            <w:tcW w:w="1066" w:type="dxa"/>
            <w:vMerge/>
            <w:tcBorders>
              <w:left w:val="single" w:sz="4" w:space="0" w:color="000000"/>
              <w:right w:val="single" w:sz="4" w:space="0" w:color="000000"/>
            </w:tcBorders>
          </w:tcPr>
          <w:p>
            <w:pPr/>
          </w:p>
        </w:tc>
        <w:tc>
          <w:tcPr>
            <w:tcW w:w="823" w:type="dxa"/>
            <w:vMerge/>
            <w:tcBorders>
              <w:left w:val="single" w:sz="4" w:space="0" w:color="000000"/>
              <w:right w:val="single" w:sz="4" w:space="0" w:color="000000"/>
            </w:tcBorders>
          </w:tcPr>
          <w:p>
            <w:pPr/>
          </w:p>
        </w:tc>
        <w:tc>
          <w:tcPr>
            <w:tcW w:w="795" w:type="dxa"/>
            <w:vMerge/>
            <w:tcBorders>
              <w:left w:val="single" w:sz="4" w:space="0" w:color="000000"/>
              <w:right w:val="single" w:sz="4" w:space="0" w:color="000000"/>
            </w:tcBorders>
          </w:tcPr>
          <w:p>
            <w:pPr/>
          </w:p>
        </w:tc>
        <w:tc>
          <w:tcPr>
            <w:tcW w:w="792" w:type="dxa"/>
            <w:vMerge/>
            <w:tcBorders>
              <w:left w:val="single" w:sz="4" w:space="0" w:color="000000"/>
              <w:right w:val="single" w:sz="4" w:space="0" w:color="000000"/>
            </w:tcBorders>
          </w:tcPr>
          <w:p>
            <w:pPr/>
          </w:p>
        </w:tc>
      </w:tr>
      <w:tr>
        <w:trPr>
          <w:trHeight w:val="161" w:hRule="exact"/>
        </w:trPr>
        <w:tc>
          <w:tcPr>
            <w:tcW w:w="2205" w:type="dxa"/>
            <w:tcBorders>
              <w:top w:val="nil" w:sz="6" w:space="0" w:color="auto"/>
              <w:left w:val="single" w:sz="4" w:space="0" w:color="000000"/>
              <w:bottom w:val="single" w:sz="4" w:space="0" w:color="000000"/>
              <w:right w:val="single" w:sz="4" w:space="0" w:color="000000"/>
            </w:tcBorders>
            <w:shd w:val="clear" w:color="auto" w:fill="D2D2D2"/>
          </w:tcPr>
          <w:p>
            <w:pPr/>
          </w:p>
        </w:tc>
        <w:tc>
          <w:tcPr>
            <w:tcW w:w="1187" w:type="dxa"/>
            <w:vMerge/>
            <w:tcBorders>
              <w:left w:val="single" w:sz="9" w:space="0" w:color="D2D2D2"/>
              <w:bottom w:val="single" w:sz="4" w:space="0" w:color="000000"/>
              <w:right w:val="single" w:sz="4" w:space="0" w:color="000000"/>
            </w:tcBorders>
          </w:tcPr>
          <w:p>
            <w:pPr/>
          </w:p>
        </w:tc>
        <w:tc>
          <w:tcPr>
            <w:tcW w:w="708" w:type="dxa"/>
            <w:vMerge/>
            <w:tcBorders>
              <w:left w:val="single" w:sz="4" w:space="0" w:color="000000"/>
              <w:bottom w:val="single" w:sz="4" w:space="0" w:color="000000"/>
              <w:right w:val="single" w:sz="4" w:space="0" w:color="000000"/>
            </w:tcBorders>
          </w:tcPr>
          <w:p>
            <w:pPr/>
          </w:p>
        </w:tc>
        <w:tc>
          <w:tcPr>
            <w:tcW w:w="991" w:type="dxa"/>
            <w:vMerge/>
            <w:tcBorders>
              <w:left w:val="single" w:sz="4" w:space="0" w:color="000000"/>
              <w:bottom w:val="single" w:sz="4" w:space="0" w:color="000000"/>
              <w:right w:val="single" w:sz="4" w:space="0" w:color="000000"/>
            </w:tcBorders>
          </w:tcPr>
          <w:p>
            <w:pPr/>
          </w:p>
        </w:tc>
        <w:tc>
          <w:tcPr>
            <w:tcW w:w="416"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c>
          <w:tcPr>
            <w:tcW w:w="1066" w:type="dxa"/>
            <w:vMerge/>
            <w:tcBorders>
              <w:left w:val="single" w:sz="4" w:space="0" w:color="000000"/>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795" w:type="dxa"/>
            <w:vMerge/>
            <w:tcBorders>
              <w:left w:val="single" w:sz="4" w:space="0" w:color="000000"/>
              <w:bottom w:val="single" w:sz="4" w:space="0" w:color="000000"/>
              <w:right w:val="single" w:sz="4" w:space="0" w:color="000000"/>
            </w:tcBorders>
          </w:tcPr>
          <w:p>
            <w:pPr/>
          </w:p>
        </w:tc>
        <w:tc>
          <w:tcPr>
            <w:tcW w:w="792" w:type="dxa"/>
            <w:vMerge/>
            <w:tcBorders>
              <w:left w:val="single" w:sz="4" w:space="0" w:color="000000"/>
              <w:bottom w:val="single" w:sz="4" w:space="0" w:color="000000"/>
              <w:right w:val="single" w:sz="4" w:space="0" w:color="000000"/>
            </w:tcBorders>
          </w:tcPr>
          <w:p>
            <w:pPr/>
          </w:p>
        </w:tc>
      </w:tr>
      <w:tr>
        <w:trPr>
          <w:trHeight w:val="163" w:hRule="exact"/>
        </w:trPr>
        <w:tc>
          <w:tcPr>
            <w:tcW w:w="2205" w:type="dxa"/>
            <w:tcBorders>
              <w:top w:val="single" w:sz="4" w:space="0" w:color="000000"/>
              <w:left w:val="single" w:sz="4" w:space="0" w:color="000000"/>
              <w:bottom w:val="nil" w:sz="6" w:space="0" w:color="auto"/>
              <w:right w:val="single" w:sz="4" w:space="0" w:color="000000"/>
            </w:tcBorders>
            <w:shd w:val="clear" w:color="auto" w:fill="D2D2D2"/>
          </w:tcPr>
          <w:p>
            <w:pPr/>
          </w:p>
        </w:tc>
        <w:tc>
          <w:tcPr>
            <w:tcW w:w="1187" w:type="dxa"/>
            <w:vMerge w:val="restart"/>
            <w:tcBorders>
              <w:top w:val="single" w:sz="4" w:space="0" w:color="000000"/>
              <w:left w:val="single" w:sz="9" w:space="0" w:color="D2D2D2"/>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47" w:right="0"/>
              <w:jc w:val="left"/>
              <w:rPr>
                <w:rFonts w:ascii="Times New Roman" w:hAnsi="Times New Roman" w:cs="Times New Roman" w:eastAsia="Times New Roman" w:hint="default"/>
                <w:sz w:val="18"/>
                <w:szCs w:val="18"/>
              </w:rPr>
            </w:pPr>
            <w:r>
              <w:rPr>
                <w:rFonts w:ascii="Times New Roman"/>
                <w:sz w:val="18"/>
              </w:rPr>
              <w:t>171,176,919</w:t>
            </w:r>
          </w:p>
        </w:tc>
        <w:tc>
          <w:tcPr>
            <w:tcW w:w="708"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22" w:right="0"/>
              <w:jc w:val="left"/>
              <w:rPr>
                <w:rFonts w:ascii="Times New Roman" w:hAnsi="Times New Roman" w:cs="Times New Roman" w:eastAsia="Times New Roman" w:hint="default"/>
                <w:sz w:val="18"/>
                <w:szCs w:val="18"/>
              </w:rPr>
            </w:pPr>
            <w:r>
              <w:rPr>
                <w:rFonts w:ascii="Times New Roman"/>
                <w:sz w:val="18"/>
              </w:rPr>
              <w:t>13.34%</w:t>
            </w:r>
          </w:p>
        </w:tc>
        <w:tc>
          <w:tcPr>
            <w:tcW w:w="991" w:type="dxa"/>
            <w:vMerge w:val="restart"/>
            <w:tcBorders>
              <w:top w:val="single" w:sz="4" w:space="0" w:color="000000"/>
              <w:left w:val="single" w:sz="4" w:space="0" w:color="000000"/>
              <w:right w:val="single" w:sz="4" w:space="0" w:color="000000"/>
            </w:tcBorders>
          </w:tcPr>
          <w:p>
            <w:pPr/>
          </w:p>
        </w:tc>
        <w:tc>
          <w:tcPr>
            <w:tcW w:w="416" w:type="dxa"/>
            <w:vMerge w:val="restart"/>
            <w:tcBorders>
              <w:top w:val="single" w:sz="4" w:space="0" w:color="000000"/>
              <w:left w:val="single" w:sz="4" w:space="0" w:color="000000"/>
              <w:right w:val="single" w:sz="4" w:space="0" w:color="000000"/>
            </w:tcBorders>
          </w:tcPr>
          <w:p>
            <w:pPr/>
          </w:p>
        </w:tc>
        <w:tc>
          <w:tcPr>
            <w:tcW w:w="578" w:type="dxa"/>
            <w:vMerge w:val="restart"/>
            <w:tcBorders>
              <w:top w:val="single" w:sz="4" w:space="0" w:color="000000"/>
              <w:left w:val="single" w:sz="4" w:space="0" w:color="000000"/>
              <w:right w:val="single" w:sz="4" w:space="0" w:color="000000"/>
            </w:tcBorders>
          </w:tcPr>
          <w:p>
            <w:pPr/>
          </w:p>
        </w:tc>
        <w:tc>
          <w:tcPr>
            <w:tcW w:w="1066" w:type="dxa"/>
            <w:vMerge w:val="restart"/>
            <w:tcBorders>
              <w:top w:val="single" w:sz="4" w:space="0" w:color="000000"/>
              <w:left w:val="single" w:sz="4" w:space="0" w:color="000000"/>
              <w:right w:val="single" w:sz="4" w:space="0" w:color="000000"/>
            </w:tcBorders>
          </w:tcPr>
          <w:p>
            <w:pPr/>
          </w:p>
        </w:tc>
        <w:tc>
          <w:tcPr>
            <w:tcW w:w="823" w:type="dxa"/>
            <w:vMerge w:val="restart"/>
            <w:tcBorders>
              <w:top w:val="single" w:sz="4" w:space="0" w:color="000000"/>
              <w:left w:val="single" w:sz="4" w:space="0" w:color="000000"/>
              <w:right w:val="single" w:sz="4" w:space="0" w:color="000000"/>
            </w:tcBorders>
          </w:tcPr>
          <w:p>
            <w:pPr/>
          </w:p>
        </w:tc>
        <w:tc>
          <w:tcPr>
            <w:tcW w:w="795" w:type="dxa"/>
            <w:vMerge w:val="restart"/>
            <w:tcBorders>
              <w:top w:val="single" w:sz="4" w:space="0" w:color="000000"/>
              <w:left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171,176,9</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19</w:t>
            </w:r>
          </w:p>
        </w:tc>
        <w:tc>
          <w:tcPr>
            <w:tcW w:w="792"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06" w:right="0"/>
              <w:jc w:val="left"/>
              <w:rPr>
                <w:rFonts w:ascii="Times New Roman" w:hAnsi="Times New Roman" w:cs="Times New Roman" w:eastAsia="Times New Roman" w:hint="default"/>
                <w:sz w:val="18"/>
                <w:szCs w:val="18"/>
              </w:rPr>
            </w:pPr>
            <w:r>
              <w:rPr>
                <w:rFonts w:ascii="Times New Roman"/>
                <w:sz w:val="18"/>
              </w:rPr>
              <w:t>13.07%</w:t>
            </w:r>
          </w:p>
        </w:tc>
      </w:tr>
      <w:tr>
        <w:trPr>
          <w:trHeight w:val="391" w:hRule="exact"/>
        </w:trPr>
        <w:tc>
          <w:tcPr>
            <w:tcW w:w="220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其中：境内法人持股</w:t>
            </w:r>
          </w:p>
        </w:tc>
        <w:tc>
          <w:tcPr>
            <w:tcW w:w="1187" w:type="dxa"/>
            <w:vMerge/>
            <w:tcBorders>
              <w:left w:val="single" w:sz="9" w:space="0" w:color="D2D2D2"/>
              <w:right w:val="single" w:sz="4" w:space="0" w:color="000000"/>
            </w:tcBorders>
          </w:tcPr>
          <w:p>
            <w:pPr/>
          </w:p>
        </w:tc>
        <w:tc>
          <w:tcPr>
            <w:tcW w:w="708"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c>
          <w:tcPr>
            <w:tcW w:w="416"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c>
          <w:tcPr>
            <w:tcW w:w="1066" w:type="dxa"/>
            <w:vMerge/>
            <w:tcBorders>
              <w:left w:val="single" w:sz="4" w:space="0" w:color="000000"/>
              <w:right w:val="single" w:sz="4" w:space="0" w:color="000000"/>
            </w:tcBorders>
          </w:tcPr>
          <w:p>
            <w:pPr/>
          </w:p>
        </w:tc>
        <w:tc>
          <w:tcPr>
            <w:tcW w:w="823" w:type="dxa"/>
            <w:vMerge/>
            <w:tcBorders>
              <w:left w:val="single" w:sz="4" w:space="0" w:color="000000"/>
              <w:right w:val="single" w:sz="4" w:space="0" w:color="000000"/>
            </w:tcBorders>
          </w:tcPr>
          <w:p>
            <w:pPr/>
          </w:p>
        </w:tc>
        <w:tc>
          <w:tcPr>
            <w:tcW w:w="795" w:type="dxa"/>
            <w:vMerge/>
            <w:tcBorders>
              <w:left w:val="single" w:sz="4" w:space="0" w:color="000000"/>
              <w:right w:val="single" w:sz="4" w:space="0" w:color="000000"/>
            </w:tcBorders>
          </w:tcPr>
          <w:p>
            <w:pPr/>
          </w:p>
        </w:tc>
        <w:tc>
          <w:tcPr>
            <w:tcW w:w="792" w:type="dxa"/>
            <w:vMerge/>
            <w:tcBorders>
              <w:left w:val="single" w:sz="4" w:space="0" w:color="000000"/>
              <w:right w:val="single" w:sz="4" w:space="0" w:color="000000"/>
            </w:tcBorders>
          </w:tcPr>
          <w:p>
            <w:pPr/>
          </w:p>
        </w:tc>
      </w:tr>
      <w:tr>
        <w:trPr>
          <w:trHeight w:val="161" w:hRule="exact"/>
        </w:trPr>
        <w:tc>
          <w:tcPr>
            <w:tcW w:w="2205" w:type="dxa"/>
            <w:tcBorders>
              <w:top w:val="nil" w:sz="6" w:space="0" w:color="auto"/>
              <w:left w:val="single" w:sz="4" w:space="0" w:color="000000"/>
              <w:bottom w:val="single" w:sz="4" w:space="0" w:color="000000"/>
              <w:right w:val="single" w:sz="4" w:space="0" w:color="000000"/>
            </w:tcBorders>
            <w:shd w:val="clear" w:color="auto" w:fill="D2D2D2"/>
          </w:tcPr>
          <w:p>
            <w:pPr/>
          </w:p>
        </w:tc>
        <w:tc>
          <w:tcPr>
            <w:tcW w:w="1187" w:type="dxa"/>
            <w:vMerge/>
            <w:tcBorders>
              <w:left w:val="single" w:sz="9" w:space="0" w:color="D2D2D2"/>
              <w:bottom w:val="single" w:sz="4" w:space="0" w:color="000000"/>
              <w:right w:val="single" w:sz="4" w:space="0" w:color="000000"/>
            </w:tcBorders>
          </w:tcPr>
          <w:p>
            <w:pPr/>
          </w:p>
        </w:tc>
        <w:tc>
          <w:tcPr>
            <w:tcW w:w="708" w:type="dxa"/>
            <w:vMerge/>
            <w:tcBorders>
              <w:left w:val="single" w:sz="4" w:space="0" w:color="000000"/>
              <w:bottom w:val="single" w:sz="4" w:space="0" w:color="000000"/>
              <w:right w:val="single" w:sz="4" w:space="0" w:color="000000"/>
            </w:tcBorders>
          </w:tcPr>
          <w:p>
            <w:pPr/>
          </w:p>
        </w:tc>
        <w:tc>
          <w:tcPr>
            <w:tcW w:w="991" w:type="dxa"/>
            <w:vMerge/>
            <w:tcBorders>
              <w:left w:val="single" w:sz="4" w:space="0" w:color="000000"/>
              <w:bottom w:val="single" w:sz="4" w:space="0" w:color="000000"/>
              <w:right w:val="single" w:sz="4" w:space="0" w:color="000000"/>
            </w:tcBorders>
          </w:tcPr>
          <w:p>
            <w:pPr/>
          </w:p>
        </w:tc>
        <w:tc>
          <w:tcPr>
            <w:tcW w:w="416"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c>
          <w:tcPr>
            <w:tcW w:w="1066" w:type="dxa"/>
            <w:vMerge/>
            <w:tcBorders>
              <w:left w:val="single" w:sz="4" w:space="0" w:color="000000"/>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795" w:type="dxa"/>
            <w:vMerge/>
            <w:tcBorders>
              <w:left w:val="single" w:sz="4" w:space="0" w:color="000000"/>
              <w:bottom w:val="single" w:sz="4" w:space="0" w:color="000000"/>
              <w:right w:val="single" w:sz="4" w:space="0" w:color="000000"/>
            </w:tcBorders>
          </w:tcPr>
          <w:p>
            <w:pPr/>
          </w:p>
        </w:tc>
        <w:tc>
          <w:tcPr>
            <w:tcW w:w="792" w:type="dxa"/>
            <w:vMerge/>
            <w:tcBorders>
              <w:left w:val="single" w:sz="4" w:space="0" w:color="000000"/>
              <w:bottom w:val="single" w:sz="4" w:space="0" w:color="000000"/>
              <w:right w:val="single" w:sz="4" w:space="0" w:color="000000"/>
            </w:tcBorders>
          </w:tcPr>
          <w:p>
            <w:pPr/>
          </w:p>
        </w:tc>
      </w:tr>
      <w:tr>
        <w:trPr>
          <w:trHeight w:val="161" w:hRule="exact"/>
        </w:trPr>
        <w:tc>
          <w:tcPr>
            <w:tcW w:w="2205" w:type="dxa"/>
            <w:tcBorders>
              <w:top w:val="single" w:sz="4" w:space="0" w:color="000000"/>
              <w:left w:val="single" w:sz="4" w:space="0" w:color="000000"/>
              <w:bottom w:val="nil" w:sz="6" w:space="0" w:color="auto"/>
              <w:right w:val="single" w:sz="4" w:space="0" w:color="000000"/>
            </w:tcBorders>
            <w:shd w:val="clear" w:color="auto" w:fill="D2D2D2"/>
          </w:tcPr>
          <w:p>
            <w:pPr/>
          </w:p>
        </w:tc>
        <w:tc>
          <w:tcPr>
            <w:tcW w:w="1187" w:type="dxa"/>
            <w:vMerge w:val="restart"/>
            <w:tcBorders>
              <w:top w:val="single" w:sz="4" w:space="0" w:color="000000"/>
              <w:left w:val="single" w:sz="9" w:space="0" w:color="D2D2D2"/>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35" w:right="0"/>
              <w:jc w:val="left"/>
              <w:rPr>
                <w:rFonts w:ascii="Times New Roman" w:hAnsi="Times New Roman" w:cs="Times New Roman" w:eastAsia="Times New Roman" w:hint="default"/>
                <w:sz w:val="18"/>
                <w:szCs w:val="18"/>
              </w:rPr>
            </w:pPr>
            <w:r>
              <w:rPr>
                <w:rFonts w:ascii="Times New Roman"/>
                <w:sz w:val="18"/>
              </w:rPr>
              <w:t>53,055,237</w:t>
            </w:r>
          </w:p>
        </w:tc>
        <w:tc>
          <w:tcPr>
            <w:tcW w:w="708"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11" w:right="0"/>
              <w:jc w:val="left"/>
              <w:rPr>
                <w:rFonts w:ascii="Times New Roman" w:hAnsi="Times New Roman" w:cs="Times New Roman" w:eastAsia="Times New Roman" w:hint="default"/>
                <w:sz w:val="18"/>
                <w:szCs w:val="18"/>
              </w:rPr>
            </w:pPr>
            <w:r>
              <w:rPr>
                <w:rFonts w:ascii="Times New Roman"/>
                <w:sz w:val="18"/>
              </w:rPr>
              <w:t>4.14%</w:t>
            </w:r>
          </w:p>
        </w:tc>
        <w:tc>
          <w:tcPr>
            <w:tcW w:w="991"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26,256,213</w:t>
            </w:r>
          </w:p>
        </w:tc>
        <w:tc>
          <w:tcPr>
            <w:tcW w:w="416" w:type="dxa"/>
            <w:vMerge w:val="restart"/>
            <w:tcBorders>
              <w:top w:val="single" w:sz="4" w:space="0" w:color="000000"/>
              <w:left w:val="single" w:sz="4" w:space="0" w:color="000000"/>
              <w:right w:val="single" w:sz="4" w:space="0" w:color="000000"/>
            </w:tcBorders>
          </w:tcPr>
          <w:p>
            <w:pPr/>
          </w:p>
        </w:tc>
        <w:tc>
          <w:tcPr>
            <w:tcW w:w="578" w:type="dxa"/>
            <w:vMerge w:val="restart"/>
            <w:tcBorders>
              <w:top w:val="single" w:sz="4" w:space="0" w:color="000000"/>
              <w:left w:val="single" w:sz="4" w:space="0" w:color="000000"/>
              <w:right w:val="single" w:sz="4" w:space="0" w:color="000000"/>
            </w:tcBorders>
          </w:tcPr>
          <w:p>
            <w:pPr/>
          </w:p>
        </w:tc>
        <w:tc>
          <w:tcPr>
            <w:tcW w:w="106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54" w:right="0"/>
              <w:jc w:val="left"/>
              <w:rPr>
                <w:rFonts w:ascii="Times New Roman" w:hAnsi="Times New Roman" w:cs="Times New Roman" w:eastAsia="Times New Roman" w:hint="default"/>
                <w:sz w:val="18"/>
                <w:szCs w:val="18"/>
              </w:rPr>
            </w:pPr>
            <w:r>
              <w:rPr>
                <w:rFonts w:ascii="Times New Roman"/>
                <w:sz w:val="18"/>
              </w:rPr>
              <w:t>-9,274,200</w:t>
            </w:r>
          </w:p>
        </w:tc>
        <w:tc>
          <w:tcPr>
            <w:tcW w:w="823"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16,982,01</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3</w:t>
            </w:r>
          </w:p>
        </w:tc>
        <w:tc>
          <w:tcPr>
            <w:tcW w:w="795" w:type="dxa"/>
            <w:vMerge w:val="restart"/>
            <w:tcBorders>
              <w:top w:val="single" w:sz="4" w:space="0" w:color="000000"/>
              <w:left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70,037,25</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79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95" w:right="0"/>
              <w:jc w:val="left"/>
              <w:rPr>
                <w:rFonts w:ascii="Times New Roman" w:hAnsi="Times New Roman" w:cs="Times New Roman" w:eastAsia="Times New Roman" w:hint="default"/>
                <w:sz w:val="18"/>
                <w:szCs w:val="18"/>
              </w:rPr>
            </w:pPr>
            <w:r>
              <w:rPr>
                <w:rFonts w:ascii="Times New Roman"/>
                <w:sz w:val="18"/>
              </w:rPr>
              <w:t>5.35%</w:t>
            </w:r>
          </w:p>
        </w:tc>
      </w:tr>
      <w:tr>
        <w:trPr>
          <w:trHeight w:val="391" w:hRule="exact"/>
        </w:trPr>
        <w:tc>
          <w:tcPr>
            <w:tcW w:w="220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境内自然人持股</w:t>
            </w:r>
          </w:p>
        </w:tc>
        <w:tc>
          <w:tcPr>
            <w:tcW w:w="1187" w:type="dxa"/>
            <w:vMerge/>
            <w:tcBorders>
              <w:left w:val="single" w:sz="9" w:space="0" w:color="D2D2D2"/>
              <w:right w:val="single" w:sz="4" w:space="0" w:color="000000"/>
            </w:tcBorders>
          </w:tcPr>
          <w:p>
            <w:pPr/>
          </w:p>
        </w:tc>
        <w:tc>
          <w:tcPr>
            <w:tcW w:w="708"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c>
          <w:tcPr>
            <w:tcW w:w="416"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c>
          <w:tcPr>
            <w:tcW w:w="1066" w:type="dxa"/>
            <w:vMerge/>
            <w:tcBorders>
              <w:left w:val="single" w:sz="4" w:space="0" w:color="000000"/>
              <w:right w:val="single" w:sz="4" w:space="0" w:color="000000"/>
            </w:tcBorders>
          </w:tcPr>
          <w:p>
            <w:pPr/>
          </w:p>
        </w:tc>
        <w:tc>
          <w:tcPr>
            <w:tcW w:w="823" w:type="dxa"/>
            <w:vMerge/>
            <w:tcBorders>
              <w:left w:val="single" w:sz="4" w:space="0" w:color="000000"/>
              <w:right w:val="single" w:sz="4" w:space="0" w:color="000000"/>
            </w:tcBorders>
          </w:tcPr>
          <w:p>
            <w:pPr/>
          </w:p>
        </w:tc>
        <w:tc>
          <w:tcPr>
            <w:tcW w:w="795" w:type="dxa"/>
            <w:vMerge/>
            <w:tcBorders>
              <w:left w:val="single" w:sz="4" w:space="0" w:color="000000"/>
              <w:right w:val="single" w:sz="4" w:space="0" w:color="000000"/>
            </w:tcBorders>
          </w:tcPr>
          <w:p>
            <w:pPr/>
          </w:p>
        </w:tc>
        <w:tc>
          <w:tcPr>
            <w:tcW w:w="792" w:type="dxa"/>
            <w:vMerge/>
            <w:tcBorders>
              <w:left w:val="single" w:sz="4" w:space="0" w:color="000000"/>
              <w:right w:val="single" w:sz="4" w:space="0" w:color="000000"/>
            </w:tcBorders>
          </w:tcPr>
          <w:p>
            <w:pPr/>
          </w:p>
        </w:tc>
      </w:tr>
      <w:tr>
        <w:trPr>
          <w:trHeight w:val="161" w:hRule="exact"/>
        </w:trPr>
        <w:tc>
          <w:tcPr>
            <w:tcW w:w="2205" w:type="dxa"/>
            <w:tcBorders>
              <w:top w:val="nil" w:sz="6" w:space="0" w:color="auto"/>
              <w:left w:val="single" w:sz="4" w:space="0" w:color="000000"/>
              <w:bottom w:val="single" w:sz="4" w:space="0" w:color="000000"/>
              <w:right w:val="single" w:sz="4" w:space="0" w:color="000000"/>
            </w:tcBorders>
            <w:shd w:val="clear" w:color="auto" w:fill="D2D2D2"/>
          </w:tcPr>
          <w:p>
            <w:pPr/>
          </w:p>
        </w:tc>
        <w:tc>
          <w:tcPr>
            <w:tcW w:w="1187" w:type="dxa"/>
            <w:vMerge/>
            <w:tcBorders>
              <w:left w:val="single" w:sz="9" w:space="0" w:color="D2D2D2"/>
              <w:bottom w:val="single" w:sz="4" w:space="0" w:color="000000"/>
              <w:right w:val="single" w:sz="4" w:space="0" w:color="000000"/>
            </w:tcBorders>
          </w:tcPr>
          <w:p>
            <w:pPr/>
          </w:p>
        </w:tc>
        <w:tc>
          <w:tcPr>
            <w:tcW w:w="708" w:type="dxa"/>
            <w:vMerge/>
            <w:tcBorders>
              <w:left w:val="single" w:sz="4" w:space="0" w:color="000000"/>
              <w:bottom w:val="single" w:sz="4" w:space="0" w:color="000000"/>
              <w:right w:val="single" w:sz="4" w:space="0" w:color="000000"/>
            </w:tcBorders>
          </w:tcPr>
          <w:p>
            <w:pPr/>
          </w:p>
        </w:tc>
        <w:tc>
          <w:tcPr>
            <w:tcW w:w="991" w:type="dxa"/>
            <w:vMerge/>
            <w:tcBorders>
              <w:left w:val="single" w:sz="4" w:space="0" w:color="000000"/>
              <w:bottom w:val="single" w:sz="4" w:space="0" w:color="000000"/>
              <w:right w:val="single" w:sz="4" w:space="0" w:color="000000"/>
            </w:tcBorders>
          </w:tcPr>
          <w:p>
            <w:pPr/>
          </w:p>
        </w:tc>
        <w:tc>
          <w:tcPr>
            <w:tcW w:w="416"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c>
          <w:tcPr>
            <w:tcW w:w="1066" w:type="dxa"/>
            <w:vMerge/>
            <w:tcBorders>
              <w:left w:val="single" w:sz="4" w:space="0" w:color="000000"/>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795" w:type="dxa"/>
            <w:vMerge/>
            <w:tcBorders>
              <w:left w:val="single" w:sz="4" w:space="0" w:color="000000"/>
              <w:bottom w:val="single" w:sz="4" w:space="0" w:color="000000"/>
              <w:right w:val="single" w:sz="4" w:space="0" w:color="000000"/>
            </w:tcBorders>
          </w:tcPr>
          <w:p>
            <w:pPr/>
          </w:p>
        </w:tc>
        <w:tc>
          <w:tcPr>
            <w:tcW w:w="792" w:type="dxa"/>
            <w:vMerge/>
            <w:tcBorders>
              <w:left w:val="single" w:sz="4" w:space="0" w:color="000000"/>
              <w:bottom w:val="single" w:sz="4" w:space="0" w:color="000000"/>
              <w:right w:val="single" w:sz="4" w:space="0" w:color="000000"/>
            </w:tcBorders>
          </w:tcPr>
          <w:p>
            <w:pPr/>
          </w:p>
        </w:tc>
      </w:tr>
      <w:tr>
        <w:trPr>
          <w:trHeight w:val="403" w:hRule="exact"/>
        </w:trPr>
        <w:tc>
          <w:tcPr>
            <w:tcW w:w="22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、外资持股</w:t>
            </w:r>
          </w:p>
        </w:tc>
        <w:tc>
          <w:tcPr>
            <w:tcW w:w="1187" w:type="dxa"/>
            <w:tcBorders>
              <w:top w:val="single" w:sz="4" w:space="0" w:color="000000"/>
              <w:left w:val="single" w:sz="9" w:space="0" w:color="D2D2D2"/>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790,256</w:t>
            </w:r>
          </w:p>
        </w:tc>
        <w:tc>
          <w:tcPr>
            <w:tcW w:w="41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790,256</w:t>
            </w:r>
          </w:p>
        </w:tc>
        <w:tc>
          <w:tcPr>
            <w:tcW w:w="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790,256</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0.06%</w:t>
            </w:r>
          </w:p>
        </w:tc>
      </w:tr>
      <w:tr>
        <w:trPr>
          <w:trHeight w:val="401" w:hRule="exact"/>
        </w:trPr>
        <w:tc>
          <w:tcPr>
            <w:tcW w:w="22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境外自然人持股</w:t>
            </w:r>
          </w:p>
        </w:tc>
        <w:tc>
          <w:tcPr>
            <w:tcW w:w="1187" w:type="dxa"/>
            <w:tcBorders>
              <w:top w:val="single" w:sz="4" w:space="0" w:color="000000"/>
              <w:left w:val="single" w:sz="9" w:space="0" w:color="D2D2D2"/>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790,256</w:t>
            </w:r>
          </w:p>
        </w:tc>
        <w:tc>
          <w:tcPr>
            <w:tcW w:w="416"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790,256</w:t>
            </w:r>
          </w:p>
        </w:tc>
        <w:tc>
          <w:tcPr>
            <w:tcW w:w="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790,256</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0.06%</w:t>
            </w:r>
          </w:p>
        </w:tc>
      </w:tr>
      <w:tr>
        <w:trPr>
          <w:trHeight w:val="163" w:hRule="exact"/>
        </w:trPr>
        <w:tc>
          <w:tcPr>
            <w:tcW w:w="2205" w:type="dxa"/>
            <w:tcBorders>
              <w:top w:val="single" w:sz="4" w:space="0" w:color="000000"/>
              <w:left w:val="single" w:sz="4" w:space="0" w:color="000000"/>
              <w:bottom w:val="nil" w:sz="6" w:space="0" w:color="auto"/>
              <w:right w:val="single" w:sz="4" w:space="0" w:color="000000"/>
            </w:tcBorders>
            <w:shd w:val="clear" w:color="auto" w:fill="D2D2D2"/>
          </w:tcPr>
          <w:p>
            <w:pPr/>
          </w:p>
        </w:tc>
        <w:tc>
          <w:tcPr>
            <w:tcW w:w="1187" w:type="dxa"/>
            <w:vMerge w:val="restart"/>
            <w:tcBorders>
              <w:top w:val="single" w:sz="4" w:space="0" w:color="000000"/>
              <w:left w:val="single" w:sz="9" w:space="0" w:color="D2D2D2"/>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12" w:right="0"/>
              <w:jc w:val="left"/>
              <w:rPr>
                <w:rFonts w:ascii="Times New Roman" w:hAnsi="Times New Roman" w:cs="Times New Roman" w:eastAsia="Times New Roman" w:hint="default"/>
                <w:sz w:val="18"/>
                <w:szCs w:val="18"/>
              </w:rPr>
            </w:pPr>
            <w:r>
              <w:rPr>
                <w:rFonts w:ascii="Times New Roman"/>
                <w:sz w:val="18"/>
              </w:rPr>
              <w:t>1,033,370,788</w:t>
            </w:r>
          </w:p>
        </w:tc>
        <w:tc>
          <w:tcPr>
            <w:tcW w:w="708"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22" w:right="0"/>
              <w:jc w:val="left"/>
              <w:rPr>
                <w:rFonts w:ascii="Times New Roman" w:hAnsi="Times New Roman" w:cs="Times New Roman" w:eastAsia="Times New Roman" w:hint="default"/>
                <w:sz w:val="18"/>
                <w:szCs w:val="18"/>
              </w:rPr>
            </w:pPr>
            <w:r>
              <w:rPr>
                <w:rFonts w:ascii="Times New Roman"/>
                <w:sz w:val="18"/>
              </w:rPr>
              <w:t>80.57%</w:t>
            </w:r>
          </w:p>
        </w:tc>
        <w:tc>
          <w:tcPr>
            <w:tcW w:w="991" w:type="dxa"/>
            <w:vMerge w:val="restart"/>
            <w:tcBorders>
              <w:top w:val="single" w:sz="4" w:space="0" w:color="000000"/>
              <w:left w:val="single" w:sz="4" w:space="0" w:color="000000"/>
              <w:right w:val="single" w:sz="4" w:space="0" w:color="000000"/>
            </w:tcBorders>
          </w:tcPr>
          <w:p>
            <w:pPr/>
          </w:p>
        </w:tc>
        <w:tc>
          <w:tcPr>
            <w:tcW w:w="416" w:type="dxa"/>
            <w:vMerge w:val="restart"/>
            <w:tcBorders>
              <w:top w:val="single" w:sz="4" w:space="0" w:color="000000"/>
              <w:left w:val="single" w:sz="4" w:space="0" w:color="000000"/>
              <w:right w:val="single" w:sz="4" w:space="0" w:color="000000"/>
            </w:tcBorders>
          </w:tcPr>
          <w:p>
            <w:pPr/>
          </w:p>
        </w:tc>
        <w:tc>
          <w:tcPr>
            <w:tcW w:w="578" w:type="dxa"/>
            <w:vMerge w:val="restart"/>
            <w:tcBorders>
              <w:top w:val="single" w:sz="4" w:space="0" w:color="000000"/>
              <w:left w:val="single" w:sz="4" w:space="0" w:color="000000"/>
              <w:right w:val="single" w:sz="4" w:space="0" w:color="000000"/>
            </w:tcBorders>
          </w:tcPr>
          <w:p>
            <w:pPr/>
          </w:p>
        </w:tc>
        <w:tc>
          <w:tcPr>
            <w:tcW w:w="1066"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314" w:right="0"/>
              <w:jc w:val="left"/>
              <w:rPr>
                <w:rFonts w:ascii="Times New Roman" w:hAnsi="Times New Roman" w:cs="Times New Roman" w:eastAsia="Times New Roman" w:hint="default"/>
                <w:sz w:val="18"/>
                <w:szCs w:val="18"/>
              </w:rPr>
            </w:pPr>
            <w:r>
              <w:rPr>
                <w:rFonts w:ascii="Times New Roman"/>
                <w:sz w:val="18"/>
              </w:rPr>
              <w:t>9,083,700</w:t>
            </w:r>
          </w:p>
        </w:tc>
        <w:tc>
          <w:tcPr>
            <w:tcW w:w="823"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69" w:right="0"/>
              <w:jc w:val="left"/>
              <w:rPr>
                <w:rFonts w:ascii="Times New Roman" w:hAnsi="Times New Roman" w:cs="Times New Roman" w:eastAsia="Times New Roman" w:hint="default"/>
                <w:sz w:val="18"/>
                <w:szCs w:val="18"/>
              </w:rPr>
            </w:pPr>
            <w:r>
              <w:rPr>
                <w:rFonts w:ascii="Times New Roman"/>
                <w:sz w:val="18"/>
              </w:rPr>
              <w:t>9,083,700</w:t>
            </w:r>
          </w:p>
        </w:tc>
        <w:tc>
          <w:tcPr>
            <w:tcW w:w="795" w:type="dxa"/>
            <w:vMerge w:val="restart"/>
            <w:tcBorders>
              <w:top w:val="single" w:sz="4" w:space="0" w:color="000000"/>
              <w:left w:val="single" w:sz="4" w:space="0" w:color="000000"/>
              <w:right w:val="single" w:sz="4" w:space="0" w:color="000000"/>
            </w:tcBorders>
          </w:tcPr>
          <w:p>
            <w:pPr>
              <w:pStyle w:val="TableParagraph"/>
              <w:spacing w:line="240" w:lineRule="auto" w:before="93"/>
              <w:ind w:left="40" w:right="0"/>
              <w:jc w:val="left"/>
              <w:rPr>
                <w:rFonts w:ascii="Times New Roman" w:hAnsi="Times New Roman" w:cs="Times New Roman" w:eastAsia="Times New Roman" w:hint="default"/>
                <w:sz w:val="18"/>
                <w:szCs w:val="18"/>
              </w:rPr>
            </w:pPr>
            <w:r>
              <w:rPr>
                <w:rFonts w:ascii="Times New Roman"/>
                <w:sz w:val="18"/>
              </w:rPr>
              <w:t>1,042,454</w:t>
            </w:r>
          </w:p>
          <w:p>
            <w:pPr>
              <w:pStyle w:val="TableParagraph"/>
              <w:spacing w:line="240" w:lineRule="auto" w:before="102"/>
              <w:ind w:left="446" w:right="0"/>
              <w:jc w:val="left"/>
              <w:rPr>
                <w:rFonts w:ascii="Times New Roman" w:hAnsi="Times New Roman" w:cs="Times New Roman" w:eastAsia="Times New Roman" w:hint="default"/>
                <w:sz w:val="18"/>
                <w:szCs w:val="18"/>
              </w:rPr>
            </w:pPr>
            <w:r>
              <w:rPr>
                <w:rFonts w:ascii="Times New Roman"/>
                <w:sz w:val="18"/>
              </w:rPr>
              <w:t>,488</w:t>
            </w:r>
          </w:p>
        </w:tc>
        <w:tc>
          <w:tcPr>
            <w:tcW w:w="792"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06" w:right="0"/>
              <w:jc w:val="left"/>
              <w:rPr>
                <w:rFonts w:ascii="Times New Roman" w:hAnsi="Times New Roman" w:cs="Times New Roman" w:eastAsia="Times New Roman" w:hint="default"/>
                <w:sz w:val="18"/>
                <w:szCs w:val="18"/>
              </w:rPr>
            </w:pPr>
            <w:r>
              <w:rPr>
                <w:rFonts w:ascii="Times New Roman"/>
                <w:sz w:val="18"/>
              </w:rPr>
              <w:t>79.61%</w:t>
            </w:r>
          </w:p>
        </w:tc>
      </w:tr>
      <w:tr>
        <w:trPr>
          <w:trHeight w:val="391" w:hRule="exact"/>
        </w:trPr>
        <w:tc>
          <w:tcPr>
            <w:tcW w:w="220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二、无限售条件股份</w:t>
            </w:r>
          </w:p>
        </w:tc>
        <w:tc>
          <w:tcPr>
            <w:tcW w:w="1187" w:type="dxa"/>
            <w:vMerge/>
            <w:tcBorders>
              <w:left w:val="single" w:sz="9" w:space="0" w:color="D2D2D2"/>
              <w:right w:val="single" w:sz="4" w:space="0" w:color="000000"/>
            </w:tcBorders>
          </w:tcPr>
          <w:p>
            <w:pPr/>
          </w:p>
        </w:tc>
        <w:tc>
          <w:tcPr>
            <w:tcW w:w="708"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c>
          <w:tcPr>
            <w:tcW w:w="416"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c>
          <w:tcPr>
            <w:tcW w:w="1066" w:type="dxa"/>
            <w:vMerge/>
            <w:tcBorders>
              <w:left w:val="single" w:sz="4" w:space="0" w:color="000000"/>
              <w:right w:val="single" w:sz="4" w:space="0" w:color="000000"/>
            </w:tcBorders>
          </w:tcPr>
          <w:p>
            <w:pPr/>
          </w:p>
        </w:tc>
        <w:tc>
          <w:tcPr>
            <w:tcW w:w="823" w:type="dxa"/>
            <w:vMerge/>
            <w:tcBorders>
              <w:left w:val="single" w:sz="4" w:space="0" w:color="000000"/>
              <w:right w:val="single" w:sz="4" w:space="0" w:color="000000"/>
            </w:tcBorders>
          </w:tcPr>
          <w:p>
            <w:pPr/>
          </w:p>
        </w:tc>
        <w:tc>
          <w:tcPr>
            <w:tcW w:w="795" w:type="dxa"/>
            <w:vMerge/>
            <w:tcBorders>
              <w:left w:val="single" w:sz="4" w:space="0" w:color="000000"/>
              <w:right w:val="single" w:sz="4" w:space="0" w:color="000000"/>
            </w:tcBorders>
          </w:tcPr>
          <w:p>
            <w:pPr/>
          </w:p>
        </w:tc>
        <w:tc>
          <w:tcPr>
            <w:tcW w:w="792" w:type="dxa"/>
            <w:vMerge/>
            <w:tcBorders>
              <w:left w:val="single" w:sz="4" w:space="0" w:color="000000"/>
              <w:right w:val="single" w:sz="4" w:space="0" w:color="000000"/>
            </w:tcBorders>
          </w:tcPr>
          <w:p>
            <w:pPr/>
          </w:p>
        </w:tc>
      </w:tr>
      <w:tr>
        <w:trPr>
          <w:trHeight w:val="161" w:hRule="exact"/>
        </w:trPr>
        <w:tc>
          <w:tcPr>
            <w:tcW w:w="2205" w:type="dxa"/>
            <w:tcBorders>
              <w:top w:val="nil" w:sz="6" w:space="0" w:color="auto"/>
              <w:left w:val="single" w:sz="4" w:space="0" w:color="000000"/>
              <w:bottom w:val="single" w:sz="4" w:space="0" w:color="000000"/>
              <w:right w:val="single" w:sz="4" w:space="0" w:color="000000"/>
            </w:tcBorders>
            <w:shd w:val="clear" w:color="auto" w:fill="D2D2D2"/>
          </w:tcPr>
          <w:p>
            <w:pPr/>
          </w:p>
        </w:tc>
        <w:tc>
          <w:tcPr>
            <w:tcW w:w="1187" w:type="dxa"/>
            <w:vMerge/>
            <w:tcBorders>
              <w:left w:val="single" w:sz="9" w:space="0" w:color="D2D2D2"/>
              <w:bottom w:val="single" w:sz="4" w:space="0" w:color="000000"/>
              <w:right w:val="single" w:sz="4" w:space="0" w:color="000000"/>
            </w:tcBorders>
          </w:tcPr>
          <w:p>
            <w:pPr/>
          </w:p>
        </w:tc>
        <w:tc>
          <w:tcPr>
            <w:tcW w:w="708" w:type="dxa"/>
            <w:vMerge/>
            <w:tcBorders>
              <w:left w:val="single" w:sz="4" w:space="0" w:color="000000"/>
              <w:bottom w:val="single" w:sz="4" w:space="0" w:color="000000"/>
              <w:right w:val="single" w:sz="4" w:space="0" w:color="000000"/>
            </w:tcBorders>
          </w:tcPr>
          <w:p>
            <w:pPr/>
          </w:p>
        </w:tc>
        <w:tc>
          <w:tcPr>
            <w:tcW w:w="991" w:type="dxa"/>
            <w:vMerge/>
            <w:tcBorders>
              <w:left w:val="single" w:sz="4" w:space="0" w:color="000000"/>
              <w:bottom w:val="single" w:sz="4" w:space="0" w:color="000000"/>
              <w:right w:val="single" w:sz="4" w:space="0" w:color="000000"/>
            </w:tcBorders>
          </w:tcPr>
          <w:p>
            <w:pPr/>
          </w:p>
        </w:tc>
        <w:tc>
          <w:tcPr>
            <w:tcW w:w="416"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c>
          <w:tcPr>
            <w:tcW w:w="1066" w:type="dxa"/>
            <w:vMerge/>
            <w:tcBorders>
              <w:left w:val="single" w:sz="4" w:space="0" w:color="000000"/>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795" w:type="dxa"/>
            <w:vMerge/>
            <w:tcBorders>
              <w:left w:val="single" w:sz="4" w:space="0" w:color="000000"/>
              <w:bottom w:val="single" w:sz="4" w:space="0" w:color="000000"/>
              <w:right w:val="single" w:sz="4" w:space="0" w:color="000000"/>
            </w:tcBorders>
          </w:tcPr>
          <w:p>
            <w:pPr/>
          </w:p>
        </w:tc>
        <w:tc>
          <w:tcPr>
            <w:tcW w:w="792" w:type="dxa"/>
            <w:vMerge/>
            <w:tcBorders>
              <w:left w:val="single" w:sz="4" w:space="0" w:color="000000"/>
              <w:bottom w:val="single" w:sz="4" w:space="0" w:color="000000"/>
              <w:right w:val="single" w:sz="4" w:space="0" w:color="000000"/>
            </w:tcBorders>
          </w:tcPr>
          <w:p>
            <w:pPr/>
          </w:p>
        </w:tc>
      </w:tr>
      <w:tr>
        <w:trPr>
          <w:trHeight w:val="161" w:hRule="exact"/>
        </w:trPr>
        <w:tc>
          <w:tcPr>
            <w:tcW w:w="2205" w:type="dxa"/>
            <w:tcBorders>
              <w:top w:val="single" w:sz="4" w:space="0" w:color="000000"/>
              <w:left w:val="single" w:sz="4" w:space="0" w:color="000000"/>
              <w:bottom w:val="nil" w:sz="6" w:space="0" w:color="auto"/>
              <w:right w:val="single" w:sz="4" w:space="0" w:color="000000"/>
            </w:tcBorders>
            <w:shd w:val="clear" w:color="auto" w:fill="D2D2D2"/>
          </w:tcPr>
          <w:p>
            <w:pPr/>
          </w:p>
        </w:tc>
        <w:tc>
          <w:tcPr>
            <w:tcW w:w="1187" w:type="dxa"/>
            <w:vMerge w:val="restart"/>
            <w:tcBorders>
              <w:top w:val="single" w:sz="4" w:space="0" w:color="000000"/>
              <w:left w:val="single" w:sz="9" w:space="0" w:color="D2D2D2"/>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12" w:right="0"/>
              <w:jc w:val="left"/>
              <w:rPr>
                <w:rFonts w:ascii="Times New Roman" w:hAnsi="Times New Roman" w:cs="Times New Roman" w:eastAsia="Times New Roman" w:hint="default"/>
                <w:sz w:val="18"/>
                <w:szCs w:val="18"/>
              </w:rPr>
            </w:pPr>
            <w:r>
              <w:rPr>
                <w:rFonts w:ascii="Times New Roman"/>
                <w:sz w:val="18"/>
              </w:rPr>
              <w:t>1,033,370,788</w:t>
            </w:r>
          </w:p>
        </w:tc>
        <w:tc>
          <w:tcPr>
            <w:tcW w:w="708"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22" w:right="0"/>
              <w:jc w:val="left"/>
              <w:rPr>
                <w:rFonts w:ascii="Times New Roman" w:hAnsi="Times New Roman" w:cs="Times New Roman" w:eastAsia="Times New Roman" w:hint="default"/>
                <w:sz w:val="18"/>
                <w:szCs w:val="18"/>
              </w:rPr>
            </w:pPr>
            <w:r>
              <w:rPr>
                <w:rFonts w:ascii="Times New Roman"/>
                <w:sz w:val="18"/>
              </w:rPr>
              <w:t>80.57%</w:t>
            </w:r>
          </w:p>
        </w:tc>
        <w:tc>
          <w:tcPr>
            <w:tcW w:w="991" w:type="dxa"/>
            <w:vMerge w:val="restart"/>
            <w:tcBorders>
              <w:top w:val="single" w:sz="4" w:space="0" w:color="000000"/>
              <w:left w:val="single" w:sz="4" w:space="0" w:color="000000"/>
              <w:right w:val="single" w:sz="4" w:space="0" w:color="000000"/>
            </w:tcBorders>
          </w:tcPr>
          <w:p>
            <w:pPr/>
          </w:p>
        </w:tc>
        <w:tc>
          <w:tcPr>
            <w:tcW w:w="416" w:type="dxa"/>
            <w:vMerge w:val="restart"/>
            <w:tcBorders>
              <w:top w:val="single" w:sz="4" w:space="0" w:color="000000"/>
              <w:left w:val="single" w:sz="4" w:space="0" w:color="000000"/>
              <w:right w:val="single" w:sz="4" w:space="0" w:color="000000"/>
            </w:tcBorders>
          </w:tcPr>
          <w:p>
            <w:pPr/>
          </w:p>
        </w:tc>
        <w:tc>
          <w:tcPr>
            <w:tcW w:w="578" w:type="dxa"/>
            <w:vMerge w:val="restart"/>
            <w:tcBorders>
              <w:top w:val="single" w:sz="4" w:space="0" w:color="000000"/>
              <w:left w:val="single" w:sz="4" w:space="0" w:color="000000"/>
              <w:right w:val="single" w:sz="4" w:space="0" w:color="000000"/>
            </w:tcBorders>
          </w:tcPr>
          <w:p>
            <w:pPr/>
          </w:p>
        </w:tc>
        <w:tc>
          <w:tcPr>
            <w:tcW w:w="106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14" w:right="0"/>
              <w:jc w:val="left"/>
              <w:rPr>
                <w:rFonts w:ascii="Times New Roman" w:hAnsi="Times New Roman" w:cs="Times New Roman" w:eastAsia="Times New Roman" w:hint="default"/>
                <w:sz w:val="18"/>
                <w:szCs w:val="18"/>
              </w:rPr>
            </w:pPr>
            <w:r>
              <w:rPr>
                <w:rFonts w:ascii="Times New Roman"/>
                <w:sz w:val="18"/>
              </w:rPr>
              <w:t>9,083,700</w:t>
            </w:r>
          </w:p>
        </w:tc>
        <w:tc>
          <w:tcPr>
            <w:tcW w:w="82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9" w:right="0"/>
              <w:jc w:val="left"/>
              <w:rPr>
                <w:rFonts w:ascii="Times New Roman" w:hAnsi="Times New Roman" w:cs="Times New Roman" w:eastAsia="Times New Roman" w:hint="default"/>
                <w:sz w:val="18"/>
                <w:szCs w:val="18"/>
              </w:rPr>
            </w:pPr>
            <w:r>
              <w:rPr>
                <w:rFonts w:ascii="Times New Roman"/>
                <w:sz w:val="18"/>
              </w:rPr>
              <w:t>9,083,700</w:t>
            </w:r>
          </w:p>
        </w:tc>
        <w:tc>
          <w:tcPr>
            <w:tcW w:w="795" w:type="dxa"/>
            <w:vMerge w:val="restart"/>
            <w:tcBorders>
              <w:top w:val="single" w:sz="4" w:space="0" w:color="000000"/>
              <w:left w:val="single" w:sz="4" w:space="0" w:color="000000"/>
              <w:right w:val="single" w:sz="4" w:space="0" w:color="000000"/>
            </w:tcBorders>
          </w:tcPr>
          <w:p>
            <w:pPr>
              <w:pStyle w:val="TableParagraph"/>
              <w:spacing w:line="240" w:lineRule="auto" w:before="91"/>
              <w:ind w:left="40" w:right="0"/>
              <w:jc w:val="left"/>
              <w:rPr>
                <w:rFonts w:ascii="Times New Roman" w:hAnsi="Times New Roman" w:cs="Times New Roman" w:eastAsia="Times New Roman" w:hint="default"/>
                <w:sz w:val="18"/>
                <w:szCs w:val="18"/>
              </w:rPr>
            </w:pPr>
            <w:r>
              <w:rPr>
                <w:rFonts w:ascii="Times New Roman"/>
                <w:sz w:val="18"/>
              </w:rPr>
              <w:t>1,042,454</w:t>
            </w:r>
          </w:p>
          <w:p>
            <w:pPr>
              <w:pStyle w:val="TableParagraph"/>
              <w:spacing w:line="240" w:lineRule="auto" w:before="105"/>
              <w:ind w:left="446" w:right="0"/>
              <w:jc w:val="left"/>
              <w:rPr>
                <w:rFonts w:ascii="Times New Roman" w:hAnsi="Times New Roman" w:cs="Times New Roman" w:eastAsia="Times New Roman" w:hint="default"/>
                <w:sz w:val="18"/>
                <w:szCs w:val="18"/>
              </w:rPr>
            </w:pPr>
            <w:r>
              <w:rPr>
                <w:rFonts w:ascii="Times New Roman"/>
                <w:sz w:val="18"/>
              </w:rPr>
              <w:t>,488</w:t>
            </w:r>
          </w:p>
        </w:tc>
        <w:tc>
          <w:tcPr>
            <w:tcW w:w="79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06" w:right="0"/>
              <w:jc w:val="left"/>
              <w:rPr>
                <w:rFonts w:ascii="Times New Roman" w:hAnsi="Times New Roman" w:cs="Times New Roman" w:eastAsia="Times New Roman" w:hint="default"/>
                <w:sz w:val="18"/>
                <w:szCs w:val="18"/>
              </w:rPr>
            </w:pPr>
            <w:r>
              <w:rPr>
                <w:rFonts w:ascii="Times New Roman"/>
                <w:sz w:val="18"/>
              </w:rPr>
              <w:t>79.61%</w:t>
            </w:r>
          </w:p>
        </w:tc>
      </w:tr>
      <w:tr>
        <w:trPr>
          <w:trHeight w:val="391" w:hRule="exact"/>
        </w:trPr>
        <w:tc>
          <w:tcPr>
            <w:tcW w:w="220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1187" w:type="dxa"/>
            <w:vMerge/>
            <w:tcBorders>
              <w:left w:val="single" w:sz="9" w:space="0" w:color="D2D2D2"/>
              <w:right w:val="single" w:sz="4" w:space="0" w:color="000000"/>
            </w:tcBorders>
          </w:tcPr>
          <w:p>
            <w:pPr/>
          </w:p>
        </w:tc>
        <w:tc>
          <w:tcPr>
            <w:tcW w:w="708"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c>
          <w:tcPr>
            <w:tcW w:w="416"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c>
          <w:tcPr>
            <w:tcW w:w="1066" w:type="dxa"/>
            <w:vMerge/>
            <w:tcBorders>
              <w:left w:val="single" w:sz="4" w:space="0" w:color="000000"/>
              <w:right w:val="single" w:sz="4" w:space="0" w:color="000000"/>
            </w:tcBorders>
          </w:tcPr>
          <w:p>
            <w:pPr/>
          </w:p>
        </w:tc>
        <w:tc>
          <w:tcPr>
            <w:tcW w:w="823" w:type="dxa"/>
            <w:vMerge/>
            <w:tcBorders>
              <w:left w:val="single" w:sz="4" w:space="0" w:color="000000"/>
              <w:right w:val="single" w:sz="4" w:space="0" w:color="000000"/>
            </w:tcBorders>
          </w:tcPr>
          <w:p>
            <w:pPr/>
          </w:p>
        </w:tc>
        <w:tc>
          <w:tcPr>
            <w:tcW w:w="795" w:type="dxa"/>
            <w:vMerge/>
            <w:tcBorders>
              <w:left w:val="single" w:sz="4" w:space="0" w:color="000000"/>
              <w:right w:val="single" w:sz="4" w:space="0" w:color="000000"/>
            </w:tcBorders>
          </w:tcPr>
          <w:p>
            <w:pPr/>
          </w:p>
        </w:tc>
        <w:tc>
          <w:tcPr>
            <w:tcW w:w="792" w:type="dxa"/>
            <w:vMerge/>
            <w:tcBorders>
              <w:left w:val="single" w:sz="4" w:space="0" w:color="000000"/>
              <w:right w:val="single" w:sz="4" w:space="0" w:color="000000"/>
            </w:tcBorders>
          </w:tcPr>
          <w:p>
            <w:pPr/>
          </w:p>
        </w:tc>
      </w:tr>
      <w:tr>
        <w:trPr>
          <w:trHeight w:val="161" w:hRule="exact"/>
        </w:trPr>
        <w:tc>
          <w:tcPr>
            <w:tcW w:w="2205" w:type="dxa"/>
            <w:tcBorders>
              <w:top w:val="nil" w:sz="6" w:space="0" w:color="auto"/>
              <w:left w:val="single" w:sz="4" w:space="0" w:color="000000"/>
              <w:bottom w:val="single" w:sz="4" w:space="0" w:color="000000"/>
              <w:right w:val="single" w:sz="4" w:space="0" w:color="000000"/>
            </w:tcBorders>
            <w:shd w:val="clear" w:color="auto" w:fill="D2D2D2"/>
          </w:tcPr>
          <w:p>
            <w:pPr/>
          </w:p>
        </w:tc>
        <w:tc>
          <w:tcPr>
            <w:tcW w:w="1187" w:type="dxa"/>
            <w:vMerge/>
            <w:tcBorders>
              <w:left w:val="single" w:sz="9" w:space="0" w:color="D2D2D2"/>
              <w:bottom w:val="single" w:sz="4" w:space="0" w:color="000000"/>
              <w:right w:val="single" w:sz="4" w:space="0" w:color="000000"/>
            </w:tcBorders>
          </w:tcPr>
          <w:p>
            <w:pPr/>
          </w:p>
        </w:tc>
        <w:tc>
          <w:tcPr>
            <w:tcW w:w="708" w:type="dxa"/>
            <w:vMerge/>
            <w:tcBorders>
              <w:left w:val="single" w:sz="4" w:space="0" w:color="000000"/>
              <w:bottom w:val="single" w:sz="4" w:space="0" w:color="000000"/>
              <w:right w:val="single" w:sz="4" w:space="0" w:color="000000"/>
            </w:tcBorders>
          </w:tcPr>
          <w:p>
            <w:pPr/>
          </w:p>
        </w:tc>
        <w:tc>
          <w:tcPr>
            <w:tcW w:w="991" w:type="dxa"/>
            <w:vMerge/>
            <w:tcBorders>
              <w:left w:val="single" w:sz="4" w:space="0" w:color="000000"/>
              <w:bottom w:val="single" w:sz="4" w:space="0" w:color="000000"/>
              <w:right w:val="single" w:sz="4" w:space="0" w:color="000000"/>
            </w:tcBorders>
          </w:tcPr>
          <w:p>
            <w:pPr/>
          </w:p>
        </w:tc>
        <w:tc>
          <w:tcPr>
            <w:tcW w:w="416"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c>
          <w:tcPr>
            <w:tcW w:w="1066" w:type="dxa"/>
            <w:vMerge/>
            <w:tcBorders>
              <w:left w:val="single" w:sz="4" w:space="0" w:color="000000"/>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795" w:type="dxa"/>
            <w:vMerge/>
            <w:tcBorders>
              <w:left w:val="single" w:sz="4" w:space="0" w:color="000000"/>
              <w:bottom w:val="single" w:sz="4" w:space="0" w:color="000000"/>
              <w:right w:val="single" w:sz="4" w:space="0" w:color="000000"/>
            </w:tcBorders>
          </w:tcPr>
          <w:p>
            <w:pPr/>
          </w:p>
        </w:tc>
        <w:tc>
          <w:tcPr>
            <w:tcW w:w="792" w:type="dxa"/>
            <w:vMerge/>
            <w:tcBorders>
              <w:left w:val="single" w:sz="4" w:space="0" w:color="000000"/>
              <w:bottom w:val="single" w:sz="4" w:space="0" w:color="000000"/>
              <w:right w:val="single" w:sz="4" w:space="0" w:color="000000"/>
            </w:tcBorders>
          </w:tcPr>
          <w:p>
            <w:pPr/>
          </w:p>
        </w:tc>
      </w:tr>
      <w:tr>
        <w:trPr>
          <w:trHeight w:val="163" w:hRule="exact"/>
        </w:trPr>
        <w:tc>
          <w:tcPr>
            <w:tcW w:w="2205" w:type="dxa"/>
            <w:tcBorders>
              <w:top w:val="single" w:sz="4" w:space="0" w:color="000000"/>
              <w:left w:val="single" w:sz="4" w:space="0" w:color="000000"/>
              <w:bottom w:val="nil" w:sz="6" w:space="0" w:color="auto"/>
              <w:right w:val="single" w:sz="4" w:space="0" w:color="000000"/>
            </w:tcBorders>
            <w:shd w:val="clear" w:color="auto" w:fill="D2D2D2"/>
          </w:tcPr>
          <w:p>
            <w:pPr/>
          </w:p>
        </w:tc>
        <w:tc>
          <w:tcPr>
            <w:tcW w:w="1187" w:type="dxa"/>
            <w:vMerge w:val="restart"/>
            <w:tcBorders>
              <w:top w:val="single" w:sz="4" w:space="0" w:color="000000"/>
              <w:left w:val="single" w:sz="9" w:space="0" w:color="D2D2D2"/>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112" w:right="0"/>
              <w:jc w:val="left"/>
              <w:rPr>
                <w:rFonts w:ascii="Times New Roman" w:hAnsi="Times New Roman" w:cs="Times New Roman" w:eastAsia="Times New Roman" w:hint="default"/>
                <w:sz w:val="18"/>
                <w:szCs w:val="18"/>
              </w:rPr>
            </w:pPr>
            <w:r>
              <w:rPr>
                <w:rFonts w:ascii="Times New Roman"/>
                <w:sz w:val="18"/>
              </w:rPr>
              <w:t>1,282,615,013</w:t>
            </w:r>
          </w:p>
        </w:tc>
        <w:tc>
          <w:tcPr>
            <w:tcW w:w="708" w:type="dxa"/>
            <w:vMerge w:val="restart"/>
            <w:tcBorders>
              <w:top w:val="single" w:sz="4" w:space="0" w:color="000000"/>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1" w:right="0"/>
              <w:jc w:val="left"/>
              <w:rPr>
                <w:rFonts w:ascii="Times New Roman" w:hAnsi="Times New Roman" w:cs="Times New Roman" w:eastAsia="Times New Roman" w:hint="default"/>
                <w:sz w:val="18"/>
                <w:szCs w:val="18"/>
              </w:rPr>
            </w:pPr>
            <w:r>
              <w:rPr>
                <w:rFonts w:ascii="Times New Roman"/>
                <w:sz w:val="18"/>
              </w:rPr>
              <w:t>100.00%</w:t>
            </w:r>
          </w:p>
        </w:tc>
        <w:tc>
          <w:tcPr>
            <w:tcW w:w="991" w:type="dxa"/>
            <w:vMerge w:val="restart"/>
            <w:tcBorders>
              <w:top w:val="single" w:sz="4" w:space="0" w:color="000000"/>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27,046,469</w:t>
            </w:r>
          </w:p>
        </w:tc>
        <w:tc>
          <w:tcPr>
            <w:tcW w:w="416" w:type="dxa"/>
            <w:vMerge w:val="restart"/>
            <w:tcBorders>
              <w:top w:val="single" w:sz="4" w:space="0" w:color="000000"/>
              <w:left w:val="single" w:sz="4" w:space="0" w:color="000000"/>
              <w:right w:val="single" w:sz="4" w:space="0" w:color="000000"/>
            </w:tcBorders>
          </w:tcPr>
          <w:p>
            <w:pPr/>
          </w:p>
        </w:tc>
        <w:tc>
          <w:tcPr>
            <w:tcW w:w="578" w:type="dxa"/>
            <w:vMerge w:val="restart"/>
            <w:tcBorders>
              <w:top w:val="single" w:sz="4" w:space="0" w:color="000000"/>
              <w:left w:val="single" w:sz="4" w:space="0" w:color="000000"/>
              <w:right w:val="single" w:sz="4" w:space="0" w:color="000000"/>
            </w:tcBorders>
          </w:tcPr>
          <w:p>
            <w:pPr/>
          </w:p>
        </w:tc>
        <w:tc>
          <w:tcPr>
            <w:tcW w:w="1066" w:type="dxa"/>
            <w:vMerge w:val="restart"/>
            <w:tcBorders>
              <w:top w:val="single" w:sz="4" w:space="0" w:color="000000"/>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88" w:right="0"/>
              <w:jc w:val="left"/>
              <w:rPr>
                <w:rFonts w:ascii="Times New Roman" w:hAnsi="Times New Roman" w:cs="Times New Roman" w:eastAsia="Times New Roman" w:hint="default"/>
                <w:sz w:val="18"/>
                <w:szCs w:val="18"/>
              </w:rPr>
            </w:pPr>
            <w:r>
              <w:rPr>
                <w:rFonts w:ascii="Times New Roman"/>
                <w:sz w:val="18"/>
              </w:rPr>
              <w:t>-190,500</w:t>
            </w:r>
          </w:p>
        </w:tc>
        <w:tc>
          <w:tcPr>
            <w:tcW w:w="823" w:type="dxa"/>
            <w:vMerge w:val="restart"/>
            <w:tcBorders>
              <w:top w:val="single" w:sz="4" w:space="0" w:color="000000"/>
              <w:left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26,855,96</w:t>
            </w:r>
          </w:p>
          <w:p>
            <w:pPr>
              <w:pStyle w:val="TableParagraph"/>
              <w:spacing w:line="240" w:lineRule="auto" w:before="103"/>
              <w:ind w:right="23"/>
              <w:jc w:val="right"/>
              <w:rPr>
                <w:rFonts w:ascii="Times New Roman" w:hAnsi="Times New Roman" w:cs="Times New Roman" w:eastAsia="Times New Roman" w:hint="default"/>
                <w:sz w:val="18"/>
                <w:szCs w:val="18"/>
              </w:rPr>
            </w:pPr>
            <w:r>
              <w:rPr>
                <w:rFonts w:ascii="Times New Roman"/>
                <w:sz w:val="18"/>
              </w:rPr>
              <w:t>9</w:t>
            </w:r>
          </w:p>
        </w:tc>
        <w:tc>
          <w:tcPr>
            <w:tcW w:w="795" w:type="dxa"/>
            <w:vMerge w:val="restart"/>
            <w:tcBorders>
              <w:top w:val="single" w:sz="4" w:space="0" w:color="000000"/>
              <w:left w:val="single" w:sz="4" w:space="0" w:color="000000"/>
              <w:right w:val="single" w:sz="4" w:space="0" w:color="000000"/>
            </w:tcBorders>
          </w:tcPr>
          <w:p>
            <w:pPr>
              <w:pStyle w:val="TableParagraph"/>
              <w:spacing w:line="240" w:lineRule="auto" w:before="93"/>
              <w:ind w:left="40" w:right="0"/>
              <w:jc w:val="left"/>
              <w:rPr>
                <w:rFonts w:ascii="Times New Roman" w:hAnsi="Times New Roman" w:cs="Times New Roman" w:eastAsia="Times New Roman" w:hint="default"/>
                <w:sz w:val="18"/>
                <w:szCs w:val="18"/>
              </w:rPr>
            </w:pPr>
            <w:r>
              <w:rPr>
                <w:rFonts w:ascii="Times New Roman"/>
                <w:sz w:val="18"/>
              </w:rPr>
              <w:t>1,309,470</w:t>
            </w:r>
          </w:p>
          <w:p>
            <w:pPr>
              <w:pStyle w:val="TableParagraph"/>
              <w:spacing w:line="240" w:lineRule="auto" w:before="103"/>
              <w:ind w:left="446" w:right="0"/>
              <w:jc w:val="left"/>
              <w:rPr>
                <w:rFonts w:ascii="Times New Roman" w:hAnsi="Times New Roman" w:cs="Times New Roman" w:eastAsia="Times New Roman" w:hint="default"/>
                <w:sz w:val="18"/>
                <w:szCs w:val="18"/>
              </w:rPr>
            </w:pPr>
            <w:r>
              <w:rPr>
                <w:rFonts w:ascii="Times New Roman"/>
                <w:sz w:val="18"/>
              </w:rPr>
              <w:t>,982</w:t>
            </w:r>
          </w:p>
        </w:tc>
        <w:tc>
          <w:tcPr>
            <w:tcW w:w="792" w:type="dxa"/>
            <w:vMerge w:val="restart"/>
            <w:tcBorders>
              <w:top w:val="single" w:sz="4" w:space="0" w:color="000000"/>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115" w:right="0"/>
              <w:jc w:val="left"/>
              <w:rPr>
                <w:rFonts w:ascii="Times New Roman" w:hAnsi="Times New Roman" w:cs="Times New Roman" w:eastAsia="Times New Roman" w:hint="default"/>
                <w:sz w:val="18"/>
                <w:szCs w:val="18"/>
              </w:rPr>
            </w:pPr>
            <w:r>
              <w:rPr>
                <w:rFonts w:ascii="Times New Roman"/>
                <w:sz w:val="18"/>
              </w:rPr>
              <w:t>100.00%</w:t>
            </w:r>
          </w:p>
        </w:tc>
      </w:tr>
      <w:tr>
        <w:trPr>
          <w:trHeight w:val="392" w:hRule="exact"/>
        </w:trPr>
        <w:tc>
          <w:tcPr>
            <w:tcW w:w="220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1187" w:type="dxa"/>
            <w:vMerge/>
            <w:tcBorders>
              <w:left w:val="single" w:sz="9" w:space="0" w:color="D2D2D2"/>
              <w:right w:val="single" w:sz="4" w:space="0" w:color="000000"/>
            </w:tcBorders>
          </w:tcPr>
          <w:p>
            <w:pPr/>
          </w:p>
        </w:tc>
        <w:tc>
          <w:tcPr>
            <w:tcW w:w="708"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c>
          <w:tcPr>
            <w:tcW w:w="416" w:type="dxa"/>
            <w:vMerge/>
            <w:tcBorders>
              <w:left w:val="single" w:sz="4" w:space="0" w:color="000000"/>
              <w:right w:val="single" w:sz="4" w:space="0" w:color="000000"/>
            </w:tcBorders>
          </w:tcPr>
          <w:p>
            <w:pPr/>
          </w:p>
        </w:tc>
        <w:tc>
          <w:tcPr>
            <w:tcW w:w="578" w:type="dxa"/>
            <w:vMerge/>
            <w:tcBorders>
              <w:left w:val="single" w:sz="4" w:space="0" w:color="000000"/>
              <w:right w:val="single" w:sz="4" w:space="0" w:color="000000"/>
            </w:tcBorders>
          </w:tcPr>
          <w:p>
            <w:pPr/>
          </w:p>
        </w:tc>
        <w:tc>
          <w:tcPr>
            <w:tcW w:w="1066" w:type="dxa"/>
            <w:vMerge/>
            <w:tcBorders>
              <w:left w:val="single" w:sz="4" w:space="0" w:color="000000"/>
              <w:right w:val="single" w:sz="4" w:space="0" w:color="000000"/>
            </w:tcBorders>
          </w:tcPr>
          <w:p>
            <w:pPr/>
          </w:p>
        </w:tc>
        <w:tc>
          <w:tcPr>
            <w:tcW w:w="823" w:type="dxa"/>
            <w:vMerge/>
            <w:tcBorders>
              <w:left w:val="single" w:sz="4" w:space="0" w:color="000000"/>
              <w:right w:val="single" w:sz="4" w:space="0" w:color="000000"/>
            </w:tcBorders>
          </w:tcPr>
          <w:p>
            <w:pPr/>
          </w:p>
        </w:tc>
        <w:tc>
          <w:tcPr>
            <w:tcW w:w="795" w:type="dxa"/>
            <w:vMerge/>
            <w:tcBorders>
              <w:left w:val="single" w:sz="4" w:space="0" w:color="000000"/>
              <w:right w:val="single" w:sz="4" w:space="0" w:color="000000"/>
            </w:tcBorders>
          </w:tcPr>
          <w:p>
            <w:pPr/>
          </w:p>
        </w:tc>
        <w:tc>
          <w:tcPr>
            <w:tcW w:w="792" w:type="dxa"/>
            <w:vMerge/>
            <w:tcBorders>
              <w:left w:val="single" w:sz="4" w:space="0" w:color="000000"/>
              <w:right w:val="single" w:sz="4" w:space="0" w:color="000000"/>
            </w:tcBorders>
          </w:tcPr>
          <w:p>
            <w:pPr/>
          </w:p>
        </w:tc>
      </w:tr>
      <w:tr>
        <w:trPr>
          <w:trHeight w:val="161" w:hRule="exact"/>
        </w:trPr>
        <w:tc>
          <w:tcPr>
            <w:tcW w:w="2205" w:type="dxa"/>
            <w:tcBorders>
              <w:top w:val="nil" w:sz="6" w:space="0" w:color="auto"/>
              <w:left w:val="single" w:sz="4" w:space="0" w:color="000000"/>
              <w:bottom w:val="single" w:sz="4" w:space="0" w:color="000000"/>
              <w:right w:val="single" w:sz="4" w:space="0" w:color="000000"/>
            </w:tcBorders>
            <w:shd w:val="clear" w:color="auto" w:fill="D2D2D2"/>
          </w:tcPr>
          <w:p>
            <w:pPr/>
          </w:p>
        </w:tc>
        <w:tc>
          <w:tcPr>
            <w:tcW w:w="1187" w:type="dxa"/>
            <w:vMerge/>
            <w:tcBorders>
              <w:left w:val="single" w:sz="9" w:space="0" w:color="D2D2D2"/>
              <w:bottom w:val="single" w:sz="4" w:space="0" w:color="000000"/>
              <w:right w:val="single" w:sz="4" w:space="0" w:color="000000"/>
            </w:tcBorders>
          </w:tcPr>
          <w:p>
            <w:pPr/>
          </w:p>
        </w:tc>
        <w:tc>
          <w:tcPr>
            <w:tcW w:w="708" w:type="dxa"/>
            <w:vMerge/>
            <w:tcBorders>
              <w:left w:val="single" w:sz="4" w:space="0" w:color="000000"/>
              <w:bottom w:val="single" w:sz="4" w:space="0" w:color="000000"/>
              <w:right w:val="single" w:sz="4" w:space="0" w:color="000000"/>
            </w:tcBorders>
          </w:tcPr>
          <w:p>
            <w:pPr/>
          </w:p>
        </w:tc>
        <w:tc>
          <w:tcPr>
            <w:tcW w:w="991" w:type="dxa"/>
            <w:vMerge/>
            <w:tcBorders>
              <w:left w:val="single" w:sz="4" w:space="0" w:color="000000"/>
              <w:bottom w:val="single" w:sz="4" w:space="0" w:color="000000"/>
              <w:right w:val="single" w:sz="4" w:space="0" w:color="000000"/>
            </w:tcBorders>
          </w:tcPr>
          <w:p>
            <w:pPr/>
          </w:p>
        </w:tc>
        <w:tc>
          <w:tcPr>
            <w:tcW w:w="416" w:type="dxa"/>
            <w:vMerge/>
            <w:tcBorders>
              <w:left w:val="single" w:sz="4" w:space="0" w:color="000000"/>
              <w:bottom w:val="single" w:sz="4" w:space="0" w:color="000000"/>
              <w:right w:val="single" w:sz="4" w:space="0" w:color="000000"/>
            </w:tcBorders>
          </w:tcPr>
          <w:p>
            <w:pPr/>
          </w:p>
        </w:tc>
        <w:tc>
          <w:tcPr>
            <w:tcW w:w="578" w:type="dxa"/>
            <w:vMerge/>
            <w:tcBorders>
              <w:left w:val="single" w:sz="4" w:space="0" w:color="000000"/>
              <w:bottom w:val="single" w:sz="4" w:space="0" w:color="000000"/>
              <w:right w:val="single" w:sz="4" w:space="0" w:color="000000"/>
            </w:tcBorders>
          </w:tcPr>
          <w:p>
            <w:pPr/>
          </w:p>
        </w:tc>
        <w:tc>
          <w:tcPr>
            <w:tcW w:w="1066" w:type="dxa"/>
            <w:vMerge/>
            <w:tcBorders>
              <w:left w:val="single" w:sz="4" w:space="0" w:color="000000"/>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795" w:type="dxa"/>
            <w:vMerge/>
            <w:tcBorders>
              <w:left w:val="single" w:sz="4" w:space="0" w:color="000000"/>
              <w:bottom w:val="single" w:sz="4" w:space="0" w:color="000000"/>
              <w:right w:val="single" w:sz="4" w:space="0" w:color="000000"/>
            </w:tcBorders>
          </w:tcPr>
          <w:p>
            <w:pPr/>
          </w:p>
        </w:tc>
        <w:tc>
          <w:tcPr>
            <w:tcW w:w="792" w:type="dxa"/>
            <w:vMerge/>
            <w:tcBorders>
              <w:left w:val="single" w:sz="4" w:space="0" w:color="000000"/>
              <w:bottom w:val="single" w:sz="4" w:space="0" w:color="000000"/>
              <w:right w:val="single" w:sz="4" w:space="0" w:color="000000"/>
            </w:tcBorders>
          </w:tcPr>
          <w:p>
            <w:pPr/>
          </w:p>
        </w:tc>
      </w:tr>
    </w:tbl>
    <w:p>
      <w:pPr>
        <w:pStyle w:val="BodyText"/>
        <w:spacing w:line="240" w:lineRule="auto" w:before="49"/>
        <w:ind w:right="982"/>
        <w:jc w:val="left"/>
      </w:pPr>
      <w:r>
        <w:rPr/>
        <w:t>股份变动的原因</w:t>
      </w:r>
    </w:p>
    <w:p>
      <w:pPr>
        <w:pStyle w:val="BodyText"/>
        <w:spacing w:line="240" w:lineRule="auto" w:before="115"/>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240" w:lineRule="auto" w:before="103"/>
        <w:ind w:right="982"/>
        <w:jc w:val="left"/>
      </w:pPr>
      <w:r>
        <w:rPr>
          <w:rFonts w:ascii="Times New Roman" w:hAnsi="Times New Roman" w:cs="Times New Roman" w:eastAsia="Times New Roman" w:hint="default"/>
        </w:rPr>
        <w:t>1</w:t>
      </w:r>
      <w:r>
        <w:rPr/>
        <w:t>、公司完成</w:t>
      </w:r>
      <w:r>
        <w:rPr>
          <w:rFonts w:ascii="Times New Roman" w:hAnsi="Times New Roman" w:cs="Times New Roman" w:eastAsia="Times New Roman" w:hint="default"/>
        </w:rPr>
        <w:t>2015</w:t>
      </w:r>
      <w:r>
        <w:rPr/>
        <w:t>年限制性股票激励计划预留授予限制性股票第二期解锁并于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25</w:t>
      </w:r>
      <w:r>
        <w:rPr/>
        <w:t>日上市。</w:t>
      </w:r>
    </w:p>
    <w:p>
      <w:pPr>
        <w:pStyle w:val="BodyText"/>
        <w:spacing w:line="240" w:lineRule="auto" w:before="63"/>
        <w:ind w:right="982"/>
        <w:jc w:val="left"/>
      </w:pPr>
      <w:r>
        <w:rPr>
          <w:rFonts w:ascii="Times New Roman" w:hAnsi="Times New Roman" w:cs="Times New Roman" w:eastAsia="Times New Roman" w:hint="default"/>
        </w:rPr>
        <w:t>2</w:t>
      </w:r>
      <w:r>
        <w:rPr/>
        <w:t>、公司完成</w:t>
      </w:r>
      <w:r>
        <w:rPr>
          <w:rFonts w:ascii="Times New Roman" w:hAnsi="Times New Roman" w:cs="Times New Roman" w:eastAsia="Times New Roman" w:hint="default"/>
        </w:rPr>
        <w:t>2018</w:t>
      </w:r>
      <w:r>
        <w:rPr/>
        <w:t>年股权激励计划首次授予限制性股票 </w:t>
      </w:r>
      <w:r>
        <w:rPr>
          <w:rFonts w:ascii="Times New Roman" w:hAnsi="Times New Roman" w:cs="Times New Roman" w:eastAsia="Times New Roman" w:hint="default"/>
        </w:rPr>
        <w:t>2704.6469 </w:t>
      </w:r>
      <w:r>
        <w:rPr/>
        <w:t>万股的登记，授予限制性股票的上市日期为 </w:t>
      </w:r>
      <w:r>
        <w:rPr>
          <w:rFonts w:ascii="Times New Roman" w:hAnsi="Times New Roman" w:cs="Times New Roman" w:eastAsia="Times New Roman" w:hint="default"/>
        </w:rPr>
        <w:t>2018 </w:t>
      </w:r>
      <w:r>
        <w:rPr/>
        <w:t>年 </w:t>
      </w:r>
      <w:r>
        <w:rPr>
          <w:rFonts w:ascii="Times New Roman" w:hAnsi="Times New Roman" w:cs="Times New Roman" w:eastAsia="Times New Roman" w:hint="default"/>
        </w:rPr>
        <w:t>7</w:t>
      </w:r>
      <w:r>
        <w:rPr>
          <w:rFonts w:ascii="Times New Roman" w:hAnsi="Times New Roman" w:cs="Times New Roman" w:eastAsia="Times New Roman" w:hint="default"/>
          <w:spacing w:val="-4"/>
        </w:rPr>
        <w:t> </w:t>
      </w:r>
      <w:r>
        <w:rPr/>
        <w:t>月</w:t>
      </w:r>
    </w:p>
    <w:p>
      <w:pPr>
        <w:pStyle w:val="BodyText"/>
        <w:spacing w:line="240" w:lineRule="auto" w:before="63"/>
        <w:ind w:right="982"/>
        <w:jc w:val="left"/>
      </w:pPr>
      <w:r>
        <w:rPr>
          <w:rFonts w:ascii="Times New Roman" w:hAnsi="Times New Roman" w:cs="Times New Roman" w:eastAsia="Times New Roman" w:hint="default"/>
        </w:rPr>
        <w:t>12</w:t>
      </w:r>
      <w:r>
        <w:rPr>
          <w:rFonts w:ascii="Times New Roman" w:hAnsi="Times New Roman" w:cs="Times New Roman" w:eastAsia="Times New Roman" w:hint="default"/>
          <w:spacing w:val="29"/>
        </w:rPr>
        <w:t> </w:t>
      </w:r>
      <w:r>
        <w:rPr/>
        <w:t>日。</w:t>
      </w:r>
    </w:p>
    <w:p>
      <w:pPr>
        <w:pStyle w:val="BodyText"/>
        <w:spacing w:line="240" w:lineRule="auto" w:before="63"/>
        <w:ind w:right="982"/>
        <w:jc w:val="left"/>
      </w:pPr>
      <w:r>
        <w:rPr>
          <w:rFonts w:ascii="Times New Roman" w:hAnsi="Times New Roman" w:cs="Times New Roman" w:eastAsia="Times New Roman" w:hint="default"/>
        </w:rPr>
        <w:t>3</w:t>
      </w:r>
      <w:r>
        <w:rPr/>
        <w:t>、公司完成</w:t>
      </w:r>
      <w:r>
        <w:rPr>
          <w:rFonts w:ascii="Times New Roman" w:hAnsi="Times New Roman" w:cs="Times New Roman" w:eastAsia="Times New Roman" w:hint="default"/>
        </w:rPr>
        <w:t>2015</w:t>
      </w:r>
      <w:r>
        <w:rPr/>
        <w:t>年限制性股票激励计划首次授予限制性股票第三期解锁并于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10</w:t>
      </w:r>
      <w:r>
        <w:rPr/>
        <w:t>日上市。</w:t>
      </w:r>
    </w:p>
    <w:p>
      <w:pPr>
        <w:pStyle w:val="BodyText"/>
        <w:spacing w:line="240" w:lineRule="auto" w:before="63"/>
        <w:ind w:right="982"/>
        <w:jc w:val="left"/>
      </w:pPr>
      <w:r>
        <w:rPr>
          <w:rFonts w:ascii="Times New Roman" w:hAnsi="Times New Roman" w:cs="Times New Roman" w:eastAsia="Times New Roman" w:hint="default"/>
        </w:rPr>
        <w:t>4</w:t>
      </w:r>
      <w:r>
        <w:rPr/>
        <w:t>、截至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日，公司通过回购专用证券账户以集中竞价交易方式累计回购股份数量 </w:t>
      </w:r>
      <w:r>
        <w:rPr>
          <w:rFonts w:ascii="Times New Roman" w:hAnsi="Times New Roman" w:cs="Times New Roman" w:eastAsia="Times New Roman" w:hint="default"/>
        </w:rPr>
        <w:t>1,962,700</w:t>
      </w:r>
      <w:r>
        <w:rPr>
          <w:rFonts w:ascii="Times New Roman" w:hAnsi="Times New Roman" w:cs="Times New Roman" w:eastAsia="Times New Roman" w:hint="default"/>
          <w:spacing w:val="6"/>
        </w:rPr>
        <w:t> </w:t>
      </w:r>
      <w:r>
        <w:rPr/>
        <w:t>股。</w:t>
      </w:r>
    </w:p>
    <w:p>
      <w:pPr>
        <w:pStyle w:val="BodyText"/>
        <w:spacing w:line="240" w:lineRule="auto" w:before="62"/>
        <w:ind w:right="982"/>
        <w:jc w:val="left"/>
      </w:pPr>
      <w:r>
        <w:rPr>
          <w:rFonts w:ascii="Times New Roman" w:hAnsi="Times New Roman" w:cs="Times New Roman" w:eastAsia="Times New Roman" w:hint="default"/>
        </w:rPr>
        <w:t>5</w:t>
      </w:r>
      <w:r>
        <w:rPr/>
        <w:t>、公司回购了已离职激励对象所持有的未解锁限制性股票。</w:t>
      </w:r>
    </w:p>
    <w:p>
      <w:pPr>
        <w:pStyle w:val="BodyText"/>
        <w:spacing w:line="240" w:lineRule="auto" w:before="63"/>
        <w:ind w:right="982"/>
        <w:jc w:val="left"/>
      </w:pPr>
      <w:r>
        <w:rPr>
          <w:rFonts w:ascii="Times New Roman" w:hAnsi="Times New Roman" w:cs="Times New Roman" w:eastAsia="Times New Roman" w:hint="default"/>
        </w:rPr>
        <w:t>6</w:t>
      </w:r>
      <w:r>
        <w:rPr/>
        <w:t>、公司新任高管股份</w:t>
      </w:r>
      <w:r>
        <w:rPr>
          <w:rFonts w:ascii="Times New Roman" w:hAnsi="Times New Roman" w:cs="Times New Roman" w:eastAsia="Times New Roman" w:hint="default"/>
        </w:rPr>
        <w:t>75%</w:t>
      </w:r>
      <w:r>
        <w:rPr/>
        <w:t>被锁定。</w:t>
      </w:r>
    </w:p>
    <w:p>
      <w:pPr>
        <w:spacing w:after="0" w:line="240" w:lineRule="auto"/>
        <w:jc w:val="left"/>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p>
      <w:pPr>
        <w:pStyle w:val="BodyText"/>
        <w:spacing w:line="240" w:lineRule="auto"/>
        <w:ind w:right="982"/>
        <w:jc w:val="left"/>
      </w:pPr>
      <w:r>
        <w:rPr/>
        <w:t>股份变动的批准情况</w:t>
      </w:r>
    </w:p>
    <w:p>
      <w:pPr>
        <w:pStyle w:val="BodyText"/>
        <w:spacing w:line="319" w:lineRule="auto" w:before="115"/>
        <w:ind w:right="112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2"/>
        </w:rPr>
        <w:t> </w:t>
      </w:r>
      <w:r>
        <w:rPr/>
        <w:t>不适用 </w:t>
      </w:r>
      <w:r>
        <w:rPr>
          <w:rFonts w:ascii="Times New Roman" w:hAnsi="Times New Roman" w:cs="Times New Roman" w:eastAsia="Times New Roman" w:hint="default"/>
          <w:spacing w:val="-2"/>
        </w:rPr>
        <w:t>1</w:t>
      </w:r>
      <w:r>
        <w:rPr>
          <w:spacing w:val="-2"/>
        </w:rPr>
        <w:t>、公司于</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3</w:t>
      </w:r>
      <w:r>
        <w:rPr>
          <w:spacing w:val="-2"/>
        </w:rPr>
        <w:t>月</w:t>
      </w:r>
      <w:r>
        <w:rPr>
          <w:rFonts w:ascii="Times New Roman" w:hAnsi="Times New Roman" w:cs="Times New Roman" w:eastAsia="Times New Roman" w:hint="default"/>
          <w:spacing w:val="-2"/>
        </w:rPr>
        <w:t>16</w:t>
      </w:r>
      <w:r>
        <w:rPr>
          <w:spacing w:val="-2"/>
        </w:rPr>
        <w:t>日召开第四届董事会第六次会议，审议通过《关于聘任梁永杰先生为公司副总经理的议案》，梁永杰</w:t>
      </w:r>
      <w:r>
        <w:rPr>
          <w:spacing w:val="-63"/>
        </w:rPr>
        <w:t> </w:t>
      </w:r>
      <w:r>
        <w:rPr>
          <w:spacing w:val="-63"/>
        </w:rPr>
      </w:r>
      <w:r>
        <w:rPr>
          <w:spacing w:val="-1"/>
        </w:rPr>
        <w:t>先生所持公司股份总数的</w:t>
      </w:r>
      <w:r>
        <w:rPr>
          <w:rFonts w:ascii="Times New Roman" w:hAnsi="Times New Roman" w:cs="Times New Roman" w:eastAsia="Times New Roman" w:hint="default"/>
          <w:spacing w:val="-1"/>
        </w:rPr>
        <w:t>75%</w:t>
      </w:r>
      <w:r>
        <w:rPr>
          <w:spacing w:val="-1"/>
        </w:rPr>
        <w:t>被锁定；公司于</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10</w:t>
      </w:r>
      <w:r>
        <w:rPr>
          <w:spacing w:val="-1"/>
        </w:rPr>
        <w:t>月</w:t>
      </w:r>
      <w:r>
        <w:rPr>
          <w:rFonts w:ascii="Times New Roman" w:hAnsi="Times New Roman" w:cs="Times New Roman" w:eastAsia="Times New Roman" w:hint="default"/>
          <w:spacing w:val="-1"/>
        </w:rPr>
        <w:t>22</w:t>
      </w:r>
      <w:r>
        <w:rPr>
          <w:spacing w:val="-1"/>
        </w:rPr>
        <w:t>日召开第四届董事会第十三次会议，审议通过《关于聘任姜晓明</w:t>
      </w:r>
    </w:p>
    <w:p>
      <w:pPr>
        <w:pStyle w:val="BodyText"/>
        <w:spacing w:line="302" w:lineRule="auto"/>
        <w:ind w:right="1124"/>
        <w:jc w:val="left"/>
      </w:pPr>
      <w:r>
        <w:rPr/>
        <w:t>先生为公司财务总监的议案》，姜晓明先生所持公司股份总数的</w:t>
      </w:r>
      <w:r>
        <w:rPr>
          <w:rFonts w:ascii="Times New Roman" w:hAnsi="Times New Roman" w:cs="Times New Roman" w:eastAsia="Times New Roman" w:hint="default"/>
        </w:rPr>
        <w:t>75%</w:t>
      </w:r>
      <w:r>
        <w:rPr/>
        <w:t>被锁定。 </w:t>
      </w:r>
      <w:r>
        <w:rPr>
          <w:rFonts w:ascii="Times New Roman" w:hAnsi="Times New Roman" w:cs="Times New Roman" w:eastAsia="Times New Roman" w:hint="default"/>
          <w:spacing w:val="-2"/>
        </w:rPr>
        <w:t>2</w:t>
      </w:r>
      <w:r>
        <w:rPr>
          <w:spacing w:val="-2"/>
        </w:rPr>
        <w:t>、公司于</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4</w:t>
      </w:r>
      <w:r>
        <w:rPr>
          <w:spacing w:val="-2"/>
        </w:rPr>
        <w:t>月</w:t>
      </w:r>
      <w:r>
        <w:rPr>
          <w:rFonts w:ascii="Times New Roman" w:hAnsi="Times New Roman" w:cs="Times New Roman" w:eastAsia="Times New Roman" w:hint="default"/>
          <w:spacing w:val="-2"/>
        </w:rPr>
        <w:t>24</w:t>
      </w:r>
      <w:r>
        <w:rPr>
          <w:spacing w:val="-2"/>
        </w:rPr>
        <w:t>日召开第四届董事会第七次会议，审议通过《关于预留限制性股票第二期解锁的议案》、《关于回购</w:t>
      </w:r>
      <w:r>
        <w:rPr>
          <w:spacing w:val="-65"/>
        </w:rPr>
        <w:t> </w:t>
      </w:r>
      <w:r>
        <w:rPr>
          <w:spacing w:val="-65"/>
        </w:rPr>
      </w:r>
      <w:r>
        <w:rPr/>
        <w:t>注销部分限制性股票的议案》；公司于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14</w:t>
      </w:r>
      <w:r>
        <w:rPr/>
        <w:t>日召开</w:t>
      </w:r>
      <w:r>
        <w:rPr>
          <w:rFonts w:ascii="Times New Roman" w:hAnsi="Times New Roman" w:cs="Times New Roman" w:eastAsia="Times New Roman" w:hint="default"/>
        </w:rPr>
        <w:t>2018</w:t>
      </w:r>
      <w:r>
        <w:rPr/>
        <w:t>年第一次临时股东大会，审议通过《关于回购注销部分限制 性股票的议案》，对 </w:t>
      </w:r>
      <w:r>
        <w:rPr>
          <w:rFonts w:ascii="Times New Roman" w:hAnsi="Times New Roman" w:cs="Times New Roman" w:eastAsia="Times New Roman" w:hint="default"/>
        </w:rPr>
        <w:t>190,500</w:t>
      </w:r>
      <w:r>
        <w:rPr>
          <w:rFonts w:ascii="Times New Roman" w:hAnsi="Times New Roman" w:cs="Times New Roman" w:eastAsia="Times New Roman" w:hint="default"/>
          <w:spacing w:val="8"/>
        </w:rPr>
        <w:t> </w:t>
      </w:r>
      <w:r>
        <w:rPr/>
        <w:t>股进行了回购注销。 </w:t>
      </w:r>
      <w:r>
        <w:rPr>
          <w:rFonts w:ascii="Times New Roman" w:hAnsi="Times New Roman" w:cs="Times New Roman" w:eastAsia="Times New Roman" w:hint="default"/>
          <w:spacing w:val="-2"/>
        </w:rPr>
        <w:t>3</w:t>
      </w:r>
      <w:r>
        <w:rPr>
          <w:spacing w:val="-2"/>
        </w:rPr>
        <w:t>、公司于</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8</w:t>
      </w:r>
      <w:r>
        <w:rPr>
          <w:spacing w:val="-2"/>
        </w:rPr>
        <w:t>月</w:t>
      </w:r>
      <w:r>
        <w:rPr>
          <w:rFonts w:ascii="Times New Roman" w:hAnsi="Times New Roman" w:cs="Times New Roman" w:eastAsia="Times New Roman" w:hint="default"/>
          <w:spacing w:val="-2"/>
        </w:rPr>
        <w:t>20</w:t>
      </w:r>
      <w:r>
        <w:rPr>
          <w:spacing w:val="-2"/>
        </w:rPr>
        <w:t>日召开第四届董事会第十次会议，审议通过《关于</w:t>
      </w:r>
      <w:r>
        <w:rPr>
          <w:rFonts w:ascii="Times New Roman" w:hAnsi="Times New Roman" w:cs="Times New Roman" w:eastAsia="Times New Roman" w:hint="default"/>
          <w:spacing w:val="-2"/>
        </w:rPr>
        <w:t>2015</w:t>
      </w:r>
      <w:r>
        <w:rPr>
          <w:spacing w:val="-2"/>
        </w:rPr>
        <w:t>年限制性股票激励计划首次授予第三期解锁的</w:t>
      </w:r>
      <w:r>
        <w:rPr>
          <w:spacing w:val="-56"/>
        </w:rPr>
        <w:t> </w:t>
      </w:r>
      <w:r>
        <w:rPr>
          <w:spacing w:val="-56"/>
        </w:rPr>
      </w:r>
      <w:r>
        <w:rPr/>
        <w:t>议案》。 </w:t>
      </w:r>
      <w:r>
        <w:rPr>
          <w:rFonts w:ascii="Times New Roman" w:hAnsi="Times New Roman" w:cs="Times New Roman" w:eastAsia="Times New Roman" w:hint="default"/>
        </w:rPr>
        <w:t>4</w:t>
      </w:r>
      <w:r>
        <w:rPr/>
        <w:t>、公司分别于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10</w:t>
      </w:r>
      <w:r>
        <w:rPr/>
        <w:t>月</w:t>
      </w:r>
      <w:r>
        <w:rPr>
          <w:rFonts w:ascii="Times New Roman" w:hAnsi="Times New Roman" w:cs="Times New Roman" w:eastAsia="Times New Roman" w:hint="default"/>
        </w:rPr>
        <w:t>17</w:t>
      </w:r>
      <w:r>
        <w:rPr/>
        <w:t>日和</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5</w:t>
      </w:r>
      <w:r>
        <w:rPr/>
        <w:t>日召开第四届董事会第十二次会议和</w:t>
      </w:r>
      <w:r>
        <w:rPr>
          <w:rFonts w:ascii="Times New Roman" w:hAnsi="Times New Roman" w:cs="Times New Roman" w:eastAsia="Times New Roman" w:hint="default"/>
        </w:rPr>
        <w:t>2018</w:t>
      </w:r>
      <w:r>
        <w:rPr/>
        <w:t>年第三次临时股东大会审议通过了</w:t>
      </w:r>
    </w:p>
    <w:p>
      <w:pPr>
        <w:pStyle w:val="BodyText"/>
        <w:spacing w:line="307" w:lineRule="auto" w:before="11"/>
        <w:ind w:right="1124"/>
        <w:jc w:val="left"/>
      </w:pPr>
      <w:r>
        <w:rPr/>
        <w:t>《关于公司回购股份的预案》。 </w:t>
      </w:r>
      <w:r>
        <w:rPr>
          <w:rFonts w:ascii="Times New Roman" w:hAnsi="Times New Roman" w:cs="Times New Roman" w:eastAsia="Times New Roman" w:hint="default"/>
        </w:rPr>
        <w:t>5</w:t>
      </w:r>
      <w:r>
        <w:rPr/>
        <w:t>、公司分别于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24</w:t>
      </w:r>
      <w:r>
        <w:rPr/>
        <w:t>日和</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14</w:t>
      </w:r>
      <w:r>
        <w:rPr/>
        <w:t>日召开第四届董事会第七次会议和</w:t>
      </w:r>
      <w:r>
        <w:rPr>
          <w:rFonts w:ascii="Times New Roman" w:hAnsi="Times New Roman" w:cs="Times New Roman" w:eastAsia="Times New Roman" w:hint="default"/>
        </w:rPr>
        <w:t>2018</w:t>
      </w:r>
      <w:r>
        <w:rPr/>
        <w:t>年第一次临时股东大会，审议通过《关 </w:t>
      </w:r>
      <w:r>
        <w:rPr>
          <w:spacing w:val="-1"/>
        </w:rPr>
        <w:t>于</w:t>
      </w:r>
      <w:r>
        <w:rPr>
          <w:rFonts w:ascii="Times New Roman" w:hAnsi="Times New Roman" w:cs="Times New Roman" w:eastAsia="Times New Roman" w:hint="default"/>
          <w:spacing w:val="-1"/>
        </w:rPr>
        <w:t>&lt;</w:t>
      </w:r>
      <w:r>
        <w:rPr>
          <w:spacing w:val="-1"/>
        </w:rPr>
        <w:t>北京四维图新科技股份有限公司</w:t>
      </w:r>
      <w:r>
        <w:rPr>
          <w:rFonts w:ascii="Times New Roman" w:hAnsi="Times New Roman" w:cs="Times New Roman" w:eastAsia="Times New Roman" w:hint="default"/>
          <w:spacing w:val="-1"/>
        </w:rPr>
        <w:t>2018</w:t>
      </w:r>
      <w:r>
        <w:rPr>
          <w:spacing w:val="-1"/>
        </w:rPr>
        <w:t>年度限制性股票激励计划（草案修订稿）</w:t>
      </w:r>
      <w:r>
        <w:rPr>
          <w:rFonts w:ascii="Times New Roman" w:hAnsi="Times New Roman" w:cs="Times New Roman" w:eastAsia="Times New Roman" w:hint="default"/>
          <w:spacing w:val="-1"/>
        </w:rPr>
        <w:t>&gt;</w:t>
      </w:r>
      <w:r>
        <w:rPr>
          <w:spacing w:val="-1"/>
        </w:rPr>
        <w:t>及其摘要的议案》，公司于</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6</w:t>
      </w:r>
      <w:r>
        <w:rPr>
          <w:spacing w:val="-1"/>
        </w:rPr>
        <w:t>月</w:t>
      </w:r>
      <w:r>
        <w:rPr>
          <w:rFonts w:ascii="Times New Roman" w:hAnsi="Times New Roman" w:cs="Times New Roman" w:eastAsia="Times New Roman" w:hint="default"/>
          <w:spacing w:val="-1"/>
        </w:rPr>
        <w:t>11</w:t>
      </w:r>
      <w:r>
        <w:rPr>
          <w:rFonts w:ascii="Times New Roman" w:hAnsi="Times New Roman" w:cs="Times New Roman" w:eastAsia="Times New Roman" w:hint="default"/>
          <w:spacing w:val="-9"/>
        </w:rPr>
        <w:t> </w:t>
      </w:r>
      <w:r>
        <w:rPr/>
        <w:t>日召开第四届董事会第九次会议，审议通过《关于向</w:t>
      </w:r>
      <w:r>
        <w:rPr>
          <w:rFonts w:ascii="Times New Roman" w:hAnsi="Times New Roman" w:cs="Times New Roman" w:eastAsia="Times New Roman" w:hint="default"/>
        </w:rPr>
        <w:t>2018</w:t>
      </w:r>
      <w:r>
        <w:rPr/>
        <w:t>年限制性股票激励计划激励对象首次授予限制性股票的议案》。</w:t>
      </w:r>
    </w:p>
    <w:p>
      <w:pPr>
        <w:spacing w:line="240" w:lineRule="auto" w:before="0"/>
        <w:rPr>
          <w:rFonts w:ascii="宋体" w:hAnsi="宋体" w:cs="宋体" w:eastAsia="宋体" w:hint="default"/>
          <w:sz w:val="18"/>
          <w:szCs w:val="18"/>
        </w:rPr>
      </w:pPr>
    </w:p>
    <w:p>
      <w:pPr>
        <w:pStyle w:val="BodyText"/>
        <w:spacing w:line="240" w:lineRule="auto" w:before="124"/>
        <w:ind w:right="982"/>
        <w:jc w:val="left"/>
      </w:pPr>
      <w:r>
        <w:rPr/>
        <w:t>股份变动的过户情况</w:t>
      </w:r>
    </w:p>
    <w:p>
      <w:pPr>
        <w:pStyle w:val="BodyText"/>
        <w:spacing w:line="240" w:lineRule="auto" w:before="115"/>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240" w:lineRule="auto" w:before="103"/>
        <w:ind w:right="982"/>
        <w:jc w:val="left"/>
      </w:pPr>
      <w:r>
        <w:rPr>
          <w:rFonts w:ascii="Times New Roman" w:hAnsi="Times New Roman" w:cs="Times New Roman" w:eastAsia="Times New Roman" w:hint="default"/>
        </w:rPr>
        <w:t>1</w:t>
      </w:r>
      <w:r>
        <w:rPr/>
        <w:t>、公司完成</w:t>
      </w:r>
      <w:r>
        <w:rPr>
          <w:rFonts w:ascii="Times New Roman" w:hAnsi="Times New Roman" w:cs="Times New Roman" w:eastAsia="Times New Roman" w:hint="default"/>
        </w:rPr>
        <w:t>2018</w:t>
      </w:r>
      <w:r>
        <w:rPr/>
        <w:t>年股权激励计划首次授予限制性股票的授予登记，授予限制性股票的上市日期为 </w:t>
      </w:r>
      <w:r>
        <w:rPr>
          <w:rFonts w:ascii="Times New Roman" w:hAnsi="Times New Roman" w:cs="Times New Roman" w:eastAsia="Times New Roman" w:hint="default"/>
        </w:rPr>
        <w:t>2018 </w:t>
      </w:r>
      <w:r>
        <w:rPr/>
        <w:t>年 </w:t>
      </w:r>
      <w:r>
        <w:rPr>
          <w:rFonts w:ascii="Times New Roman" w:hAnsi="Times New Roman" w:cs="Times New Roman" w:eastAsia="Times New Roman" w:hint="default"/>
        </w:rPr>
        <w:t>7 </w:t>
      </w:r>
      <w:r>
        <w:rPr/>
        <w:t>月 </w:t>
      </w:r>
      <w:r>
        <w:rPr>
          <w:rFonts w:ascii="Times New Roman" w:hAnsi="Times New Roman" w:cs="Times New Roman" w:eastAsia="Times New Roman" w:hint="default"/>
        </w:rPr>
        <w:t>12</w:t>
      </w:r>
      <w:r>
        <w:rPr>
          <w:rFonts w:ascii="Times New Roman" w:hAnsi="Times New Roman" w:cs="Times New Roman" w:eastAsia="Times New Roman" w:hint="default"/>
          <w:spacing w:val="28"/>
        </w:rPr>
        <w:t> </w:t>
      </w:r>
      <w:r>
        <w:rPr/>
        <w:t>日。</w:t>
      </w:r>
    </w:p>
    <w:p>
      <w:pPr>
        <w:pStyle w:val="BodyText"/>
        <w:spacing w:line="240" w:lineRule="auto" w:before="63"/>
        <w:ind w:right="982"/>
        <w:jc w:val="left"/>
      </w:pPr>
      <w:r>
        <w:rPr>
          <w:rFonts w:ascii="Times New Roman" w:hAnsi="Times New Roman" w:cs="Times New Roman" w:eastAsia="Times New Roman" w:hint="default"/>
        </w:rPr>
        <w:t>2</w:t>
      </w:r>
      <w:r>
        <w:rPr/>
        <w:t>、公司于 </w:t>
      </w:r>
      <w:r>
        <w:rPr>
          <w:rFonts w:ascii="Times New Roman" w:hAnsi="Times New Roman" w:cs="Times New Roman" w:eastAsia="Times New Roman" w:hint="default"/>
        </w:rPr>
        <w:t>2018 </w:t>
      </w:r>
      <w:r>
        <w:rPr/>
        <w:t>年 </w:t>
      </w:r>
      <w:r>
        <w:rPr>
          <w:rFonts w:ascii="Times New Roman" w:hAnsi="Times New Roman" w:cs="Times New Roman" w:eastAsia="Times New Roman" w:hint="default"/>
        </w:rPr>
        <w:t>6 </w:t>
      </w:r>
      <w:r>
        <w:rPr/>
        <w:t>月 </w:t>
      </w:r>
      <w:r>
        <w:rPr>
          <w:rFonts w:ascii="Times New Roman" w:hAnsi="Times New Roman" w:cs="Times New Roman" w:eastAsia="Times New Roman" w:hint="default"/>
        </w:rPr>
        <w:t>25</w:t>
      </w:r>
      <w:r>
        <w:rPr>
          <w:rFonts w:ascii="Times New Roman" w:hAnsi="Times New Roman" w:cs="Times New Roman" w:eastAsia="Times New Roman" w:hint="default"/>
          <w:spacing w:val="23"/>
        </w:rPr>
        <w:t> </w:t>
      </w:r>
      <w:r>
        <w:rPr/>
        <w:t>日在中国证券登记结算有限责任公司深圳分公司完成限制性股票的回购注销手续。</w:t>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3"/>
          <w:szCs w:val="13"/>
        </w:rPr>
      </w:pPr>
    </w:p>
    <w:p>
      <w:pPr>
        <w:pStyle w:val="BodyText"/>
        <w:spacing w:line="240" w:lineRule="auto"/>
        <w:ind w:right="982"/>
        <w:jc w:val="left"/>
      </w:pPr>
      <w:r>
        <w:rPr/>
        <w:t>股份回购的实施进展情况</w:t>
      </w:r>
    </w:p>
    <w:p>
      <w:pPr>
        <w:pStyle w:val="BodyText"/>
        <w:spacing w:line="240" w:lineRule="auto" w:before="115"/>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240" w:lineRule="auto" w:before="103"/>
        <w:ind w:right="982"/>
        <w:jc w:val="left"/>
      </w:pPr>
      <w:r>
        <w:rPr/>
        <w:t>公司于 </w:t>
      </w:r>
      <w:r>
        <w:rPr>
          <w:rFonts w:ascii="Times New Roman" w:hAnsi="Times New Roman" w:cs="Times New Roman" w:eastAsia="Times New Roman" w:hint="default"/>
        </w:rPr>
        <w:t>2018 </w:t>
      </w:r>
      <w:r>
        <w:rPr/>
        <w:t>年 </w:t>
      </w:r>
      <w:r>
        <w:rPr>
          <w:rFonts w:ascii="Times New Roman" w:hAnsi="Times New Roman" w:cs="Times New Roman" w:eastAsia="Times New Roman" w:hint="default"/>
        </w:rPr>
        <w:t>10 </w:t>
      </w:r>
      <w:r>
        <w:rPr/>
        <w:t>月</w:t>
      </w:r>
      <w:r>
        <w:rPr>
          <w:rFonts w:ascii="Times New Roman" w:hAnsi="Times New Roman" w:cs="Times New Roman" w:eastAsia="Times New Roman" w:hint="default"/>
        </w:rPr>
        <w:t>17 </w:t>
      </w:r>
      <w:r>
        <w:rPr/>
        <w:t>日及 </w:t>
      </w:r>
      <w:r>
        <w:rPr>
          <w:rFonts w:ascii="Times New Roman" w:hAnsi="Times New Roman" w:cs="Times New Roman" w:eastAsia="Times New Roman" w:hint="default"/>
        </w:rPr>
        <w:t>2018  </w:t>
      </w:r>
      <w:r>
        <w:rPr/>
        <w:t>年 </w:t>
      </w:r>
      <w:r>
        <w:rPr>
          <w:rFonts w:ascii="Times New Roman" w:hAnsi="Times New Roman" w:cs="Times New Roman" w:eastAsia="Times New Roman" w:hint="default"/>
        </w:rPr>
        <w:t>11 </w:t>
      </w:r>
      <w:r>
        <w:rPr/>
        <w:t>月 </w:t>
      </w:r>
      <w:r>
        <w:rPr>
          <w:rFonts w:ascii="Times New Roman" w:hAnsi="Times New Roman" w:cs="Times New Roman" w:eastAsia="Times New Roman" w:hint="default"/>
        </w:rPr>
        <w:t>5  </w:t>
      </w:r>
      <w:r>
        <w:rPr>
          <w:spacing w:val="2"/>
        </w:rPr>
        <w:t>日分别召开第四届董事会第十二次会议和 </w:t>
      </w:r>
      <w:r>
        <w:rPr>
          <w:rFonts w:ascii="Times New Roman" w:hAnsi="Times New Roman" w:cs="Times New Roman" w:eastAsia="Times New Roman" w:hint="default"/>
        </w:rPr>
        <w:t>2018 </w:t>
      </w:r>
      <w:r>
        <w:rPr>
          <w:rFonts w:ascii="Times New Roman" w:hAnsi="Times New Roman" w:cs="Times New Roman" w:eastAsia="Times New Roman" w:hint="default"/>
          <w:spacing w:val="16"/>
        </w:rPr>
        <w:t> </w:t>
      </w:r>
      <w:r>
        <w:rPr>
          <w:spacing w:val="2"/>
        </w:rPr>
        <w:t>年第三次临时股东大会审</w:t>
      </w:r>
      <w:r>
        <w:rPr/>
      </w:r>
    </w:p>
    <w:p>
      <w:pPr>
        <w:pStyle w:val="BodyText"/>
        <w:spacing w:line="240" w:lineRule="auto" w:before="63"/>
        <w:ind w:right="982"/>
        <w:jc w:val="left"/>
      </w:pPr>
      <w:r>
        <w:rPr>
          <w:spacing w:val="-4"/>
        </w:rPr>
        <w:t>议通过了《关于公司回购股份的预案》，公司于</w:t>
      </w:r>
      <w:r>
        <w:rPr>
          <w:rFonts w:ascii="Times New Roman" w:hAnsi="Times New Roman" w:cs="Times New Roman" w:eastAsia="Times New Roman" w:hint="default"/>
          <w:spacing w:val="-4"/>
        </w:rPr>
        <w:t>2018 </w:t>
      </w:r>
      <w:r>
        <w:rPr/>
        <w:t>年 </w:t>
      </w:r>
      <w:r>
        <w:rPr>
          <w:rFonts w:ascii="Times New Roman" w:hAnsi="Times New Roman" w:cs="Times New Roman" w:eastAsia="Times New Roman" w:hint="default"/>
        </w:rPr>
        <w:t>12 </w:t>
      </w:r>
      <w:r>
        <w:rPr/>
        <w:t>月 </w:t>
      </w:r>
      <w:r>
        <w:rPr>
          <w:rFonts w:ascii="Times New Roman" w:hAnsi="Times New Roman" w:cs="Times New Roman" w:eastAsia="Times New Roman" w:hint="default"/>
        </w:rPr>
        <w:t>13 </w:t>
      </w:r>
      <w:r>
        <w:rPr/>
        <w:t>日首次以集中竞价方式实施股份回购，截至 </w:t>
      </w:r>
      <w:r>
        <w:rPr>
          <w:rFonts w:ascii="Times New Roman" w:hAnsi="Times New Roman" w:cs="Times New Roman" w:eastAsia="Times New Roman" w:hint="default"/>
        </w:rPr>
        <w:t>2018</w:t>
      </w:r>
      <w:r>
        <w:rPr/>
        <w:t>年 </w:t>
      </w:r>
      <w:r>
        <w:rPr>
          <w:rFonts w:ascii="Times New Roman" w:hAnsi="Times New Roman" w:cs="Times New Roman" w:eastAsia="Times New Roman" w:hint="default"/>
        </w:rPr>
        <w:t>12</w:t>
      </w:r>
      <w:r>
        <w:rPr>
          <w:rFonts w:ascii="Times New Roman" w:hAnsi="Times New Roman" w:cs="Times New Roman" w:eastAsia="Times New Roman" w:hint="default"/>
          <w:spacing w:val="15"/>
        </w:rPr>
        <w:t> </w:t>
      </w:r>
      <w:r>
        <w:rPr/>
        <w:t>月</w:t>
      </w:r>
    </w:p>
    <w:p>
      <w:pPr>
        <w:pStyle w:val="BodyText"/>
        <w:spacing w:line="240" w:lineRule="auto" w:before="63"/>
        <w:ind w:right="982"/>
        <w:jc w:val="left"/>
      </w:pPr>
      <w:r>
        <w:rPr>
          <w:rFonts w:ascii="Times New Roman" w:hAnsi="Times New Roman" w:cs="Times New Roman" w:eastAsia="Times New Roman" w:hint="default"/>
        </w:rPr>
        <w:t>31  </w:t>
      </w:r>
      <w:r>
        <w:rPr/>
        <w:t>日，公司通过回购专用证券账户以集中竞价交易方式累计回购股份数量 </w:t>
      </w:r>
      <w:r>
        <w:rPr>
          <w:rFonts w:ascii="Times New Roman" w:hAnsi="Times New Roman" w:cs="Times New Roman" w:eastAsia="Times New Roman" w:hint="default"/>
        </w:rPr>
        <w:t>1,962,700  </w:t>
      </w:r>
      <w:r>
        <w:rPr/>
        <w:t>股，占公司总股本的</w:t>
      </w:r>
      <w:r>
        <w:rPr>
          <w:spacing w:val="-16"/>
        </w:rPr>
        <w:t> </w:t>
      </w:r>
      <w:r>
        <w:rPr>
          <w:rFonts w:ascii="Times New Roman" w:hAnsi="Times New Roman" w:cs="Times New Roman" w:eastAsia="Times New Roman" w:hint="default"/>
        </w:rPr>
        <w:t>0.15%</w:t>
      </w:r>
      <w:r>
        <w:rPr/>
        <w:t>，最高成</w:t>
      </w:r>
    </w:p>
    <w:p>
      <w:pPr>
        <w:pStyle w:val="BodyText"/>
        <w:spacing w:line="240" w:lineRule="auto" w:before="63"/>
        <w:ind w:right="982"/>
        <w:jc w:val="left"/>
        <w:rPr>
          <w:rFonts w:ascii="宋体" w:hAnsi="宋体" w:cs="宋体" w:eastAsia="宋体" w:hint="default"/>
        </w:rPr>
      </w:pPr>
      <w:r>
        <w:rPr/>
        <w:t>交价为 </w:t>
      </w:r>
      <w:r>
        <w:rPr>
          <w:rFonts w:ascii="Times New Roman" w:hAnsi="Times New Roman" w:cs="Times New Roman" w:eastAsia="Times New Roman" w:hint="default"/>
        </w:rPr>
        <w:t>15.62 </w:t>
      </w:r>
      <w:r>
        <w:rPr/>
        <w:t>元</w:t>
      </w:r>
      <w:r>
        <w:rPr>
          <w:rFonts w:ascii="Times New Roman" w:hAnsi="Times New Roman" w:cs="Times New Roman" w:eastAsia="Times New Roman" w:hint="default"/>
        </w:rPr>
        <w:t>/</w:t>
      </w:r>
      <w:r>
        <w:rPr/>
        <w:t>股，最低成交价为 </w:t>
      </w:r>
      <w:r>
        <w:rPr>
          <w:rFonts w:ascii="Times New Roman" w:hAnsi="Times New Roman" w:cs="Times New Roman" w:eastAsia="Times New Roman" w:hint="default"/>
        </w:rPr>
        <w:t>14.30 </w:t>
      </w:r>
      <w:r>
        <w:rPr/>
        <w:t>元</w:t>
      </w:r>
      <w:r>
        <w:rPr>
          <w:rFonts w:ascii="Times New Roman" w:hAnsi="Times New Roman" w:cs="Times New Roman" w:eastAsia="Times New Roman" w:hint="default"/>
        </w:rPr>
        <w:t>/</w:t>
      </w:r>
      <w:r>
        <w:rPr/>
        <w:t>股，合计支付的总金额为</w:t>
      </w:r>
      <w:r>
        <w:rPr>
          <w:rFonts w:ascii="Times New Roman" w:hAnsi="Times New Roman" w:cs="Times New Roman" w:eastAsia="Times New Roman" w:hint="default"/>
        </w:rPr>
        <w:t>30,001,482.59</w:t>
      </w:r>
      <w:r>
        <w:rPr>
          <w:rFonts w:ascii="Times New Roman" w:hAnsi="Times New Roman" w:cs="Times New Roman" w:eastAsia="Times New Roman" w:hint="default"/>
          <w:spacing w:val="37"/>
        </w:rPr>
        <w:t> </w:t>
      </w:r>
      <w:r>
        <w:rPr/>
        <w:t>元（含交易费用）。</w:t>
      </w:r>
      <w:r>
        <w:rPr>
          <w:rFonts w:ascii="宋体" w:hAnsi="宋体" w:cs="宋体" w:eastAsia="宋体" w:hint="default"/>
        </w:rPr>
        <w:t> </w:t>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3"/>
          <w:szCs w:val="13"/>
        </w:rPr>
      </w:pPr>
    </w:p>
    <w:p>
      <w:pPr>
        <w:pStyle w:val="BodyText"/>
        <w:spacing w:line="240" w:lineRule="auto"/>
        <w:ind w:right="982"/>
        <w:jc w:val="left"/>
      </w:pPr>
      <w:r>
        <w:rPr/>
        <w:t>采用集中竞价方式减持回购股份的实施进展情况</w:t>
      </w:r>
    </w:p>
    <w:p>
      <w:pPr>
        <w:pStyle w:val="BodyText"/>
        <w:spacing w:line="240" w:lineRule="auto" w:before="115"/>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6"/>
          <w:szCs w:val="16"/>
        </w:rPr>
      </w:pPr>
    </w:p>
    <w:p>
      <w:pPr>
        <w:pStyle w:val="BodyText"/>
        <w:spacing w:line="240" w:lineRule="auto"/>
        <w:ind w:right="982"/>
        <w:jc w:val="left"/>
      </w:pPr>
      <w:r>
        <w:rPr/>
        <w:t>股份变动对最近一年和最近一期基本每股收益和稀释每股收益、归属于公司普通股股东的每股净资产等财务指标的影响</w:t>
      </w:r>
    </w:p>
    <w:p>
      <w:pPr>
        <w:pStyle w:val="BodyText"/>
        <w:spacing w:line="319" w:lineRule="auto" w:before="115"/>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2"/>
        </w:rPr>
        <w:t> </w:t>
      </w:r>
      <w:r>
        <w:rPr/>
        <w:t>不适用 </w:t>
      </w:r>
      <w:r>
        <w:rPr>
          <w:spacing w:val="-1"/>
        </w:rPr>
        <w:t>按新股本</w:t>
      </w:r>
      <w:r>
        <w:rPr>
          <w:rFonts w:ascii="Times New Roman" w:hAnsi="Times New Roman" w:cs="Times New Roman" w:eastAsia="Times New Roman" w:hint="default"/>
          <w:spacing w:val="-1"/>
        </w:rPr>
        <w:t>1,309,470,982</w:t>
      </w:r>
      <w:r>
        <w:rPr>
          <w:spacing w:val="-1"/>
        </w:rPr>
        <w:t>股摊薄计算，公司</w:t>
      </w:r>
      <w:r>
        <w:rPr>
          <w:rFonts w:ascii="Times New Roman" w:hAnsi="Times New Roman" w:cs="Times New Roman" w:eastAsia="Times New Roman" w:hint="default"/>
          <w:spacing w:val="-1"/>
        </w:rPr>
        <w:t>2017</w:t>
      </w:r>
      <w:r>
        <w:rPr>
          <w:spacing w:val="-1"/>
        </w:rPr>
        <w:t>年度全面摊薄每股收益为</w:t>
      </w:r>
      <w:r>
        <w:rPr>
          <w:rFonts w:ascii="Times New Roman" w:hAnsi="Times New Roman" w:cs="Times New Roman" w:eastAsia="Times New Roman" w:hint="default"/>
          <w:spacing w:val="-1"/>
        </w:rPr>
        <w:t>0.2025</w:t>
      </w:r>
      <w:r>
        <w:rPr>
          <w:spacing w:val="-1"/>
        </w:rPr>
        <w:t>元</w:t>
      </w:r>
      <w:r>
        <w:rPr>
          <w:rFonts w:ascii="Times New Roman" w:hAnsi="Times New Roman" w:cs="Times New Roman" w:eastAsia="Times New Roman" w:hint="default"/>
          <w:spacing w:val="-1"/>
        </w:rPr>
        <w:t>/</w:t>
      </w:r>
      <w:r>
        <w:rPr>
          <w:spacing w:val="-1"/>
        </w:rPr>
        <w:t>股，归属于公司普通股股东的每股净资产为</w:t>
      </w:r>
      <w:r>
        <w:rPr>
          <w:spacing w:val="-78"/>
        </w:rPr>
        <w:t> </w:t>
      </w:r>
      <w:r>
        <w:rPr>
          <w:spacing w:val="-78"/>
        </w:rPr>
      </w:r>
      <w:r>
        <w:rPr>
          <w:rFonts w:ascii="Times New Roman" w:hAnsi="Times New Roman" w:cs="Times New Roman" w:eastAsia="Times New Roman" w:hint="default"/>
        </w:rPr>
        <w:t>5.07</w:t>
      </w:r>
      <w:r>
        <w:rPr/>
        <w:t>元。</w:t>
      </w:r>
    </w:p>
    <w:p>
      <w:pPr>
        <w:spacing w:line="240" w:lineRule="auto" w:before="10"/>
        <w:rPr>
          <w:rFonts w:ascii="宋体" w:hAnsi="宋体" w:cs="宋体" w:eastAsia="宋体" w:hint="default"/>
          <w:sz w:val="26"/>
          <w:szCs w:val="26"/>
        </w:rPr>
      </w:pPr>
    </w:p>
    <w:p>
      <w:pPr>
        <w:pStyle w:val="BodyText"/>
        <w:spacing w:line="240" w:lineRule="auto"/>
        <w:ind w:right="982"/>
        <w:jc w:val="left"/>
      </w:pPr>
      <w:r>
        <w:rPr/>
        <w:t>公司认为必要或证券监管机构要求披露的其他内容</w:t>
      </w:r>
    </w:p>
    <w:p>
      <w:pPr>
        <w:pStyle w:val="BodyText"/>
        <w:spacing w:line="240" w:lineRule="auto" w:before="115"/>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after="0" w:line="240" w:lineRule="auto"/>
        <w:jc w:val="left"/>
        <w:sectPr>
          <w:pgSz w:w="11910" w:h="16840"/>
          <w:pgMar w:header="745" w:footer="979"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2"/>
        <w:jc w:val="left"/>
        <w:rPr>
          <w:b w:val="0"/>
          <w:bCs w:val="0"/>
        </w:rPr>
      </w:pPr>
      <w:r>
        <w:rPr>
          <w:rFonts w:ascii="Times New Roman" w:hAnsi="Times New Roman" w:cs="Times New Roman" w:eastAsia="Times New Roman" w:hint="default"/>
        </w:rPr>
        <w:t>2</w:t>
      </w:r>
      <w:r>
        <w:rPr/>
        <w:t>、限售股份变动情况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240" w:lineRule="auto" w:before="101"/>
        <w:ind w:left="0" w:right="1131"/>
        <w:jc w:val="right"/>
      </w:pPr>
      <w:r>
        <w:rPr/>
        <w:t>单位：股</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560"/>
        <w:gridCol w:w="1135"/>
        <w:gridCol w:w="1133"/>
        <w:gridCol w:w="1135"/>
        <w:gridCol w:w="1275"/>
        <w:gridCol w:w="1560"/>
        <w:gridCol w:w="1774"/>
      </w:tblGrid>
      <w:tr>
        <w:trPr>
          <w:trHeight w:val="713" w:hRule="exact"/>
        </w:trPr>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15"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1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472" w:right="110" w:hanging="360"/>
              <w:jc w:val="left"/>
              <w:rPr>
                <w:rFonts w:ascii="宋体" w:hAnsi="宋体" w:cs="宋体" w:eastAsia="宋体" w:hint="default"/>
                <w:sz w:val="18"/>
                <w:szCs w:val="18"/>
              </w:rPr>
            </w:pPr>
            <w:r>
              <w:rPr>
                <w:rFonts w:ascii="宋体" w:hAnsi="宋体" w:cs="宋体" w:eastAsia="宋体" w:hint="default"/>
                <w:sz w:val="18"/>
                <w:szCs w:val="18"/>
              </w:rPr>
              <w:t>期初限售股 数</w:t>
            </w:r>
          </w:p>
        </w:tc>
        <w:tc>
          <w:tcPr>
            <w:tcW w:w="11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93" w:right="108" w:hanging="180"/>
              <w:jc w:val="left"/>
              <w:rPr>
                <w:rFonts w:ascii="宋体" w:hAnsi="宋体" w:cs="宋体" w:eastAsia="宋体" w:hint="default"/>
                <w:sz w:val="18"/>
                <w:szCs w:val="18"/>
              </w:rPr>
            </w:pPr>
            <w:r>
              <w:rPr>
                <w:rFonts w:ascii="宋体" w:hAnsi="宋体" w:cs="宋体" w:eastAsia="宋体" w:hint="default"/>
                <w:sz w:val="18"/>
                <w:szCs w:val="18"/>
              </w:rPr>
              <w:t>本期解除限 售股数</w:t>
            </w:r>
          </w:p>
        </w:tc>
        <w:tc>
          <w:tcPr>
            <w:tcW w:w="11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92" w:right="110" w:hanging="180"/>
              <w:jc w:val="left"/>
              <w:rPr>
                <w:rFonts w:ascii="宋体" w:hAnsi="宋体" w:cs="宋体" w:eastAsia="宋体" w:hint="default"/>
                <w:sz w:val="18"/>
                <w:szCs w:val="18"/>
              </w:rPr>
            </w:pPr>
            <w:r>
              <w:rPr>
                <w:rFonts w:ascii="宋体" w:hAnsi="宋体" w:cs="宋体" w:eastAsia="宋体" w:hint="default"/>
                <w:sz w:val="18"/>
                <w:szCs w:val="18"/>
              </w:rPr>
              <w:t>本期增加限 售股数</w:t>
            </w:r>
          </w:p>
        </w:tc>
        <w:tc>
          <w:tcPr>
            <w:tcW w:w="12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期末限售股数</w:t>
            </w:r>
          </w:p>
        </w:tc>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限售原因</w:t>
            </w:r>
          </w:p>
        </w:tc>
        <w:tc>
          <w:tcPr>
            <w:tcW w:w="17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338"/>
              <w:jc w:val="right"/>
              <w:rPr>
                <w:rFonts w:ascii="宋体" w:hAnsi="宋体" w:cs="宋体" w:eastAsia="宋体" w:hint="default"/>
                <w:sz w:val="18"/>
                <w:szCs w:val="18"/>
              </w:rPr>
            </w:pPr>
            <w:r>
              <w:rPr>
                <w:rFonts w:ascii="宋体" w:hAnsi="宋体" w:cs="宋体" w:eastAsia="宋体" w:hint="default"/>
                <w:sz w:val="18"/>
                <w:szCs w:val="18"/>
              </w:rPr>
              <w:t>解除限售日期</w:t>
            </w:r>
          </w:p>
        </w:tc>
      </w:tr>
      <w:tr>
        <w:trPr>
          <w:trHeight w:val="1027"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51"/>
              <w:ind w:left="24" w:right="84"/>
              <w:jc w:val="both"/>
              <w:rPr>
                <w:rFonts w:ascii="宋体" w:hAnsi="宋体" w:cs="宋体" w:eastAsia="宋体" w:hint="default"/>
                <w:sz w:val="18"/>
                <w:szCs w:val="18"/>
              </w:rPr>
            </w:pPr>
            <w:r>
              <w:rPr>
                <w:rFonts w:ascii="宋体" w:hAnsi="宋体" w:cs="宋体" w:eastAsia="宋体" w:hint="default"/>
                <w:sz w:val="18"/>
                <w:szCs w:val="18"/>
              </w:rPr>
              <w:t>天安财产保险股份 有限公司－保赢</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号</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45,828,437</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45,828,437</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60"/>
              <w:jc w:val="center"/>
              <w:rPr>
                <w:rFonts w:ascii="宋体" w:hAnsi="宋体" w:cs="宋体" w:eastAsia="宋体" w:hint="default"/>
                <w:sz w:val="18"/>
                <w:szCs w:val="18"/>
              </w:rPr>
            </w:pPr>
            <w:r>
              <w:rPr>
                <w:rFonts w:ascii="宋体" w:hAnsi="宋体" w:cs="宋体" w:eastAsia="宋体" w:hint="default"/>
                <w:sz w:val="18"/>
                <w:szCs w:val="18"/>
              </w:rPr>
              <w:t>非公开发行限售股</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341"/>
              <w:jc w:val="righ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r>
      <w:tr>
        <w:trPr>
          <w:trHeight w:val="713"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84"/>
              <w:jc w:val="left"/>
              <w:rPr>
                <w:rFonts w:ascii="宋体" w:hAnsi="宋体" w:cs="宋体" w:eastAsia="宋体" w:hint="default"/>
                <w:sz w:val="18"/>
                <w:szCs w:val="18"/>
              </w:rPr>
            </w:pPr>
            <w:r>
              <w:rPr>
                <w:rFonts w:ascii="宋体" w:hAnsi="宋体" w:cs="宋体" w:eastAsia="宋体" w:hint="default"/>
                <w:sz w:val="18"/>
                <w:szCs w:val="18"/>
              </w:rPr>
              <w:t>北京芯动能投资基 金（有限合伙）</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23,501,762</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23,501,762</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60"/>
              <w:jc w:val="center"/>
              <w:rPr>
                <w:rFonts w:ascii="宋体" w:hAnsi="宋体" w:cs="宋体" w:eastAsia="宋体" w:hint="default"/>
                <w:sz w:val="18"/>
                <w:szCs w:val="18"/>
              </w:rPr>
            </w:pPr>
            <w:r>
              <w:rPr>
                <w:rFonts w:ascii="宋体" w:hAnsi="宋体" w:cs="宋体" w:eastAsia="宋体" w:hint="default"/>
                <w:sz w:val="18"/>
                <w:szCs w:val="18"/>
              </w:rPr>
              <w:t>非公开发行限售股</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341"/>
              <w:jc w:val="righ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r>
      <w:tr>
        <w:trPr>
          <w:trHeight w:val="1027"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84"/>
              <w:jc w:val="both"/>
              <w:rPr>
                <w:rFonts w:ascii="宋体" w:hAnsi="宋体" w:cs="宋体" w:eastAsia="宋体" w:hint="default"/>
                <w:sz w:val="18"/>
                <w:szCs w:val="18"/>
              </w:rPr>
            </w:pPr>
            <w:r>
              <w:rPr>
                <w:rFonts w:ascii="宋体" w:hAnsi="宋体" w:cs="宋体" w:eastAsia="宋体" w:hint="default"/>
                <w:sz w:val="18"/>
                <w:szCs w:val="18"/>
              </w:rPr>
              <w:t>北京四维图新科技 股份有限公司－第 一期员工持股计划</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21,071,092</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21,071,092</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60"/>
              <w:jc w:val="center"/>
              <w:rPr>
                <w:rFonts w:ascii="宋体" w:hAnsi="宋体" w:cs="宋体" w:eastAsia="宋体" w:hint="default"/>
                <w:sz w:val="18"/>
                <w:szCs w:val="18"/>
              </w:rPr>
            </w:pPr>
            <w:r>
              <w:rPr>
                <w:rFonts w:ascii="宋体" w:hAnsi="宋体" w:cs="宋体" w:eastAsia="宋体" w:hint="default"/>
                <w:sz w:val="18"/>
                <w:szCs w:val="18"/>
              </w:rPr>
              <w:t>非公开发行限售股</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341"/>
              <w:jc w:val="righ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r>
      <w:tr>
        <w:trPr>
          <w:trHeight w:val="713"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84"/>
              <w:jc w:val="left"/>
              <w:rPr>
                <w:rFonts w:ascii="宋体" w:hAnsi="宋体" w:cs="宋体" w:eastAsia="宋体" w:hint="default"/>
                <w:sz w:val="18"/>
                <w:szCs w:val="18"/>
              </w:rPr>
            </w:pPr>
            <w:r>
              <w:rPr>
                <w:rFonts w:ascii="宋体" w:hAnsi="宋体" w:cs="宋体" w:eastAsia="宋体" w:hint="default"/>
                <w:sz w:val="18"/>
                <w:szCs w:val="18"/>
              </w:rPr>
              <w:t>林芝锦华投资管理 有限公司</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20,564,042</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20,564,042</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60"/>
              <w:jc w:val="center"/>
              <w:rPr>
                <w:rFonts w:ascii="宋体" w:hAnsi="宋体" w:cs="宋体" w:eastAsia="宋体" w:hint="default"/>
                <w:sz w:val="18"/>
                <w:szCs w:val="18"/>
              </w:rPr>
            </w:pPr>
            <w:r>
              <w:rPr>
                <w:rFonts w:ascii="宋体" w:hAnsi="宋体" w:cs="宋体" w:eastAsia="宋体" w:hint="default"/>
                <w:sz w:val="18"/>
                <w:szCs w:val="18"/>
              </w:rPr>
              <w:t>非公开发行限售股</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341"/>
              <w:jc w:val="righ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r>
      <w:tr>
        <w:trPr>
          <w:trHeight w:val="403"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李龙萍</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18,213,866</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z w:val="18"/>
              </w:rPr>
              <w:t>0</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18,213,866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60"/>
              <w:jc w:val="center"/>
              <w:rPr>
                <w:rFonts w:ascii="宋体" w:hAnsi="宋体" w:cs="宋体" w:eastAsia="宋体" w:hint="default"/>
                <w:sz w:val="18"/>
                <w:szCs w:val="18"/>
              </w:rPr>
            </w:pPr>
            <w:r>
              <w:rPr>
                <w:rFonts w:ascii="宋体" w:hAnsi="宋体" w:cs="宋体" w:eastAsia="宋体" w:hint="default"/>
                <w:sz w:val="18"/>
                <w:szCs w:val="18"/>
              </w:rPr>
              <w:t>非公开发行限售股</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341"/>
              <w:jc w:val="righ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r>
      <w:tr>
        <w:trPr>
          <w:trHeight w:val="1337"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84"/>
              <w:jc w:val="both"/>
              <w:rPr>
                <w:rFonts w:ascii="宋体" w:hAnsi="宋体" w:cs="宋体" w:eastAsia="宋体" w:hint="default"/>
                <w:sz w:val="18"/>
                <w:szCs w:val="18"/>
              </w:rPr>
            </w:pPr>
            <w:r>
              <w:rPr>
                <w:rFonts w:ascii="宋体" w:hAnsi="宋体" w:cs="宋体" w:eastAsia="宋体" w:hint="default"/>
                <w:sz w:val="18"/>
                <w:szCs w:val="18"/>
              </w:rPr>
              <w:t>华泰瑞联基金管理 有限公司－南京华 泰瑞联并购基金一 号（有限合伙）</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17,626,321</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17,626,321</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60"/>
              <w:jc w:val="center"/>
              <w:rPr>
                <w:rFonts w:ascii="宋体" w:hAnsi="宋体" w:cs="宋体" w:eastAsia="宋体" w:hint="default"/>
                <w:sz w:val="18"/>
                <w:szCs w:val="18"/>
              </w:rPr>
            </w:pPr>
            <w:r>
              <w:rPr>
                <w:rFonts w:ascii="宋体" w:hAnsi="宋体" w:cs="宋体" w:eastAsia="宋体" w:hint="default"/>
                <w:sz w:val="18"/>
                <w:szCs w:val="18"/>
              </w:rPr>
              <w:t>非公开发行限售股</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341"/>
              <w:jc w:val="righ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r>
      <w:tr>
        <w:trPr>
          <w:trHeight w:val="1027"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84"/>
              <w:jc w:val="both"/>
              <w:rPr>
                <w:rFonts w:ascii="宋体" w:hAnsi="宋体" w:cs="宋体" w:eastAsia="宋体" w:hint="default"/>
                <w:sz w:val="18"/>
                <w:szCs w:val="18"/>
              </w:rPr>
            </w:pPr>
            <w:r>
              <w:rPr>
                <w:rFonts w:ascii="宋体" w:hAnsi="宋体" w:cs="宋体" w:eastAsia="宋体" w:hint="default"/>
                <w:sz w:val="18"/>
                <w:szCs w:val="18"/>
              </w:rPr>
              <w:t>华泰资产管理有限 公司－策略投资产 品</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17,038,777</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17,038,777</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60"/>
              <w:jc w:val="center"/>
              <w:rPr>
                <w:rFonts w:ascii="宋体" w:hAnsi="宋体" w:cs="宋体" w:eastAsia="宋体" w:hint="default"/>
                <w:sz w:val="18"/>
                <w:szCs w:val="18"/>
              </w:rPr>
            </w:pPr>
            <w:r>
              <w:rPr>
                <w:rFonts w:ascii="宋体" w:hAnsi="宋体" w:cs="宋体" w:eastAsia="宋体" w:hint="default"/>
                <w:sz w:val="18"/>
                <w:szCs w:val="18"/>
              </w:rPr>
              <w:t>非公开发行限售股</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341"/>
              <w:jc w:val="righ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r>
      <w:tr>
        <w:trPr>
          <w:trHeight w:val="713"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84"/>
              <w:jc w:val="left"/>
              <w:rPr>
                <w:rFonts w:ascii="宋体" w:hAnsi="宋体" w:cs="宋体" w:eastAsia="宋体" w:hint="default"/>
                <w:sz w:val="18"/>
                <w:szCs w:val="18"/>
              </w:rPr>
            </w:pPr>
            <w:r>
              <w:rPr>
                <w:rFonts w:ascii="宋体" w:hAnsi="宋体" w:cs="宋体" w:eastAsia="宋体" w:hint="default"/>
                <w:sz w:val="18"/>
                <w:szCs w:val="18"/>
              </w:rPr>
              <w:t>合肥高新科技创业 投资有限公司</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13,261,188</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13,261,188</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60"/>
              <w:jc w:val="center"/>
              <w:rPr>
                <w:rFonts w:ascii="宋体" w:hAnsi="宋体" w:cs="宋体" w:eastAsia="宋体" w:hint="default"/>
                <w:sz w:val="18"/>
                <w:szCs w:val="18"/>
              </w:rPr>
            </w:pPr>
            <w:r>
              <w:rPr>
                <w:rFonts w:ascii="宋体" w:hAnsi="宋体" w:cs="宋体" w:eastAsia="宋体" w:hint="default"/>
                <w:sz w:val="18"/>
                <w:szCs w:val="18"/>
              </w:rPr>
              <w:t>非公开发行限售股</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341"/>
              <w:jc w:val="righ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r>
      <w:tr>
        <w:trPr>
          <w:trHeight w:val="715"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84"/>
              <w:jc w:val="left"/>
              <w:rPr>
                <w:rFonts w:ascii="宋体" w:hAnsi="宋体" w:cs="宋体" w:eastAsia="宋体" w:hint="default"/>
                <w:sz w:val="18"/>
                <w:szCs w:val="18"/>
              </w:rPr>
            </w:pPr>
            <w:r>
              <w:rPr>
                <w:rFonts w:ascii="宋体" w:hAnsi="宋体" w:cs="宋体" w:eastAsia="宋体" w:hint="default"/>
                <w:sz w:val="18"/>
                <w:szCs w:val="18"/>
              </w:rPr>
              <w:t>深圳安鹏资本创新 有限公司</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11,750,881</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11,750,881</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60"/>
              <w:jc w:val="center"/>
              <w:rPr>
                <w:rFonts w:ascii="宋体" w:hAnsi="宋体" w:cs="宋体" w:eastAsia="宋体" w:hint="default"/>
                <w:sz w:val="18"/>
                <w:szCs w:val="18"/>
              </w:rPr>
            </w:pPr>
            <w:r>
              <w:rPr>
                <w:rFonts w:ascii="宋体" w:hAnsi="宋体" w:cs="宋体" w:eastAsia="宋体" w:hint="default"/>
                <w:sz w:val="18"/>
                <w:szCs w:val="18"/>
              </w:rPr>
              <w:t>非公开发行限售股</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341"/>
              <w:jc w:val="righ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r>
      <w:tr>
        <w:trPr>
          <w:trHeight w:val="713"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84"/>
              <w:jc w:val="left"/>
              <w:rPr>
                <w:rFonts w:ascii="宋体" w:hAnsi="宋体" w:cs="宋体" w:eastAsia="宋体" w:hint="default"/>
                <w:sz w:val="18"/>
                <w:szCs w:val="18"/>
              </w:rPr>
            </w:pPr>
            <w:r>
              <w:rPr>
                <w:rFonts w:ascii="宋体" w:hAnsi="宋体" w:cs="宋体" w:eastAsia="宋体" w:hint="default"/>
                <w:sz w:val="18"/>
                <w:szCs w:val="18"/>
              </w:rPr>
              <w:t>深圳市腾讯产业投 资基金有限公司</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10,575,793</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10,575,793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60"/>
              <w:jc w:val="center"/>
              <w:rPr>
                <w:rFonts w:ascii="宋体" w:hAnsi="宋体" w:cs="宋体" w:eastAsia="宋体" w:hint="default"/>
                <w:sz w:val="18"/>
                <w:szCs w:val="18"/>
              </w:rPr>
            </w:pPr>
            <w:r>
              <w:rPr>
                <w:rFonts w:ascii="宋体" w:hAnsi="宋体" w:cs="宋体" w:eastAsia="宋体" w:hint="default"/>
                <w:sz w:val="18"/>
                <w:szCs w:val="18"/>
              </w:rPr>
              <w:t>非公开发行限售股</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341"/>
              <w:jc w:val="righ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r>
      <w:tr>
        <w:trPr>
          <w:trHeight w:val="2900"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2"/>
              <w:ind w:left="24" w:right="0"/>
              <w:jc w:val="left"/>
              <w:rPr>
                <w:rFonts w:ascii="宋体" w:hAnsi="宋体" w:cs="宋体" w:eastAsia="宋体" w:hint="default"/>
                <w:sz w:val="18"/>
                <w:szCs w:val="18"/>
              </w:rPr>
            </w:pPr>
            <w:r>
              <w:rPr>
                <w:rFonts w:ascii="宋体" w:hAnsi="宋体" w:cs="宋体" w:eastAsia="宋体" w:hint="default"/>
                <w:sz w:val="18"/>
                <w:szCs w:val="18"/>
              </w:rPr>
              <w:t>其他限售股</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49,812,066</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9,274,200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27,046,469</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67,584,335</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23" w:right="84"/>
              <w:jc w:val="both"/>
              <w:rPr>
                <w:rFonts w:ascii="宋体" w:hAnsi="宋体" w:cs="宋体" w:eastAsia="宋体" w:hint="default"/>
                <w:sz w:val="18"/>
                <w:szCs w:val="18"/>
              </w:rPr>
            </w:pPr>
            <w:r>
              <w:rPr>
                <w:rFonts w:ascii="宋体" w:hAnsi="宋体" w:cs="宋体" w:eastAsia="宋体" w:hint="default"/>
                <w:sz w:val="18"/>
                <w:szCs w:val="18"/>
              </w:rPr>
              <w:t>高管锁定股、股权 激励限售股、非公 开发行限售股</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2"/>
              <w:ind w:left="23" w:right="24"/>
              <w:jc w:val="left"/>
              <w:rPr>
                <w:rFonts w:ascii="宋体" w:hAnsi="宋体" w:cs="宋体" w:eastAsia="宋体" w:hint="default"/>
                <w:sz w:val="18"/>
                <w:szCs w:val="18"/>
              </w:rPr>
            </w:pPr>
            <w:r>
              <w:rPr>
                <w:rFonts w:ascii="宋体" w:hAnsi="宋体" w:cs="宋体" w:eastAsia="宋体" w:hint="default"/>
                <w:sz w:val="18"/>
                <w:szCs w:val="18"/>
              </w:rPr>
              <w:t>高管锁定股每年年初 按高管持股总数的 </w:t>
            </w:r>
            <w:r>
              <w:rPr>
                <w:rFonts w:ascii="Times New Roman" w:hAnsi="Times New Roman" w:cs="Times New Roman" w:eastAsia="Times New Roman" w:hint="default"/>
                <w:sz w:val="18"/>
                <w:szCs w:val="18"/>
              </w:rPr>
              <w:t>75%</w:t>
            </w:r>
            <w:r>
              <w:rPr>
                <w:rFonts w:ascii="宋体" w:hAnsi="宋体" w:cs="宋体" w:eastAsia="宋体" w:hint="default"/>
                <w:sz w:val="18"/>
                <w:szCs w:val="18"/>
              </w:rPr>
              <w:t>重新核定； 股权激励限售股按照 公司限制性股票激励 计划管理； 非公开发行限售股解 除限售日期为</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r>
      <w:tr>
        <w:trPr>
          <w:trHeight w:val="401" w:hRule="exact"/>
        </w:trPr>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249,244,225</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9,274,200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27,046,469</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267,016,494</w:t>
            </w:r>
          </w:p>
        </w:tc>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7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982"/>
        <w:jc w:val="left"/>
        <w:rPr>
          <w:b w:val="0"/>
          <w:bCs w:val="0"/>
        </w:rPr>
      </w:pPr>
      <w:r>
        <w:rPr/>
        <w:t>二、证券发行与上市情况</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982"/>
        <w:jc w:val="left"/>
        <w:rPr>
          <w:b w:val="0"/>
          <w:bCs w:val="0"/>
        </w:rPr>
      </w:pPr>
      <w:r>
        <w:rPr>
          <w:rFonts w:ascii="Times New Roman" w:hAnsi="Times New Roman" w:cs="Times New Roman" w:eastAsia="Times New Roman" w:hint="default"/>
        </w:rPr>
        <w:t>1</w:t>
      </w:r>
      <w:r>
        <w:rPr/>
        <w:t>、报告期内证券发行（不含优先股）情况</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4"/>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412"/>
        <w:gridCol w:w="1294"/>
        <w:gridCol w:w="1297"/>
        <w:gridCol w:w="1294"/>
        <w:gridCol w:w="1296"/>
        <w:gridCol w:w="1296"/>
        <w:gridCol w:w="1683"/>
      </w:tblGrid>
      <w:tr>
        <w:trPr>
          <w:trHeight w:val="713" w:hRule="exact"/>
        </w:trPr>
        <w:tc>
          <w:tcPr>
            <w:tcW w:w="14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432" w:right="69" w:hanging="361"/>
              <w:jc w:val="left"/>
              <w:rPr>
                <w:rFonts w:ascii="宋体" w:hAnsi="宋体" w:cs="宋体" w:eastAsia="宋体" w:hint="default"/>
                <w:sz w:val="18"/>
                <w:szCs w:val="18"/>
              </w:rPr>
            </w:pPr>
            <w:r>
              <w:rPr>
                <w:rFonts w:ascii="宋体" w:hAnsi="宋体" w:cs="宋体" w:eastAsia="宋体" w:hint="default"/>
                <w:sz w:val="18"/>
                <w:szCs w:val="18"/>
              </w:rPr>
              <w:t>股票及其衍生证 券名称</w:t>
            </w:r>
          </w:p>
        </w:tc>
        <w:tc>
          <w:tcPr>
            <w:tcW w:w="12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80" w:right="0"/>
              <w:jc w:val="left"/>
              <w:rPr>
                <w:rFonts w:ascii="宋体" w:hAnsi="宋体" w:cs="宋体" w:eastAsia="宋体" w:hint="default"/>
                <w:sz w:val="18"/>
                <w:szCs w:val="18"/>
              </w:rPr>
            </w:pPr>
            <w:r>
              <w:rPr>
                <w:rFonts w:ascii="宋体" w:hAnsi="宋体" w:cs="宋体" w:eastAsia="宋体" w:hint="default"/>
                <w:sz w:val="18"/>
                <w:szCs w:val="18"/>
              </w:rPr>
              <w:t>发行日期</w:t>
            </w:r>
          </w:p>
        </w:tc>
        <w:tc>
          <w:tcPr>
            <w:tcW w:w="1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463" w:right="22" w:hanging="440"/>
              <w:jc w:val="left"/>
              <w:rPr>
                <w:rFonts w:ascii="宋体" w:hAnsi="宋体" w:cs="宋体" w:eastAsia="宋体" w:hint="default"/>
                <w:sz w:val="18"/>
                <w:szCs w:val="18"/>
              </w:rPr>
            </w:pPr>
            <w:r>
              <w:rPr>
                <w:rFonts w:ascii="宋体" w:hAnsi="宋体" w:cs="宋体" w:eastAsia="宋体" w:hint="default"/>
                <w:spacing w:val="-4"/>
                <w:sz w:val="18"/>
                <w:szCs w:val="18"/>
              </w:rPr>
              <w:t>发行价格（或利</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率）</w:t>
            </w:r>
          </w:p>
        </w:tc>
        <w:tc>
          <w:tcPr>
            <w:tcW w:w="12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83" w:right="0"/>
              <w:jc w:val="left"/>
              <w:rPr>
                <w:rFonts w:ascii="宋体" w:hAnsi="宋体" w:cs="宋体" w:eastAsia="宋体" w:hint="default"/>
                <w:sz w:val="18"/>
                <w:szCs w:val="18"/>
              </w:rPr>
            </w:pPr>
            <w:r>
              <w:rPr>
                <w:rFonts w:ascii="宋体" w:hAnsi="宋体" w:cs="宋体" w:eastAsia="宋体" w:hint="default"/>
                <w:sz w:val="18"/>
                <w:szCs w:val="18"/>
              </w:rPr>
              <w:t>发行数量</w:t>
            </w:r>
          </w:p>
        </w:tc>
        <w:tc>
          <w:tcPr>
            <w:tcW w:w="1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83" w:right="0"/>
              <w:jc w:val="left"/>
              <w:rPr>
                <w:rFonts w:ascii="宋体" w:hAnsi="宋体" w:cs="宋体" w:eastAsia="宋体" w:hint="default"/>
                <w:sz w:val="18"/>
                <w:szCs w:val="18"/>
              </w:rPr>
            </w:pPr>
            <w:r>
              <w:rPr>
                <w:rFonts w:ascii="宋体" w:hAnsi="宋体" w:cs="宋体" w:eastAsia="宋体" w:hint="default"/>
                <w:sz w:val="18"/>
                <w:szCs w:val="18"/>
              </w:rPr>
              <w:t>上市日期</w:t>
            </w:r>
          </w:p>
        </w:tc>
        <w:tc>
          <w:tcPr>
            <w:tcW w:w="1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463" w:right="101" w:hanging="360"/>
              <w:jc w:val="left"/>
              <w:rPr>
                <w:rFonts w:ascii="宋体" w:hAnsi="宋体" w:cs="宋体" w:eastAsia="宋体" w:hint="default"/>
                <w:sz w:val="18"/>
                <w:szCs w:val="18"/>
              </w:rPr>
            </w:pPr>
            <w:r>
              <w:rPr>
                <w:rFonts w:ascii="宋体" w:hAnsi="宋体" w:cs="宋体" w:eastAsia="宋体" w:hint="default"/>
                <w:sz w:val="18"/>
                <w:szCs w:val="18"/>
              </w:rPr>
              <w:t>获准上市交易 数量</w:t>
            </w:r>
          </w:p>
        </w:tc>
        <w:tc>
          <w:tcPr>
            <w:tcW w:w="16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98" w:right="0"/>
              <w:jc w:val="left"/>
              <w:rPr>
                <w:rFonts w:ascii="宋体" w:hAnsi="宋体" w:cs="宋体" w:eastAsia="宋体" w:hint="default"/>
                <w:sz w:val="18"/>
                <w:szCs w:val="18"/>
              </w:rPr>
            </w:pPr>
            <w:r>
              <w:rPr>
                <w:rFonts w:ascii="宋体" w:hAnsi="宋体" w:cs="宋体" w:eastAsia="宋体" w:hint="default"/>
                <w:sz w:val="18"/>
                <w:szCs w:val="18"/>
              </w:rPr>
              <w:t>交易终止日期</w:t>
            </w:r>
          </w:p>
        </w:tc>
      </w:tr>
      <w:tr>
        <w:trPr>
          <w:trHeight w:val="403" w:hRule="exact"/>
        </w:trPr>
        <w:tc>
          <w:tcPr>
            <w:tcW w:w="9571"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股票类</w:t>
            </w:r>
          </w:p>
        </w:tc>
      </w:tr>
      <w:tr>
        <w:trPr>
          <w:trHeight w:val="713" w:hRule="exact"/>
        </w:trPr>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限制性股票</w:t>
            </w:r>
          </w:p>
        </w:tc>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pacing w:val="-9"/>
                <w:sz w:val="18"/>
                <w:szCs w:val="18"/>
              </w:rPr>
              <w:t>11</w:t>
            </w:r>
            <w:r>
              <w:rPr>
                <w:rFonts w:ascii="Times New Roman" w:hAnsi="Times New Roman" w:cs="Times New Roman" w:eastAsia="Times New Roman" w:hint="default"/>
                <w:sz w:val="18"/>
                <w:szCs w:val="18"/>
              </w:rPr>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12.15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元</w:t>
            </w:r>
          </w:p>
        </w:tc>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1" w:right="0"/>
              <w:jc w:val="left"/>
              <w:rPr>
                <w:rFonts w:ascii="Times New Roman" w:hAnsi="Times New Roman" w:cs="Times New Roman" w:eastAsia="Times New Roman" w:hint="default"/>
                <w:sz w:val="18"/>
                <w:szCs w:val="18"/>
              </w:rPr>
            </w:pPr>
            <w:r>
              <w:rPr>
                <w:rFonts w:ascii="Times New Roman"/>
                <w:sz w:val="18"/>
              </w:rPr>
              <w:t>27,046,469</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96" w:type="dxa"/>
            <w:tcBorders>
              <w:top w:val="single" w:sz="4" w:space="0" w:color="000000"/>
              <w:left w:val="single" w:sz="4" w:space="0" w:color="000000"/>
              <w:bottom w:val="single" w:sz="4" w:space="0" w:color="000000"/>
              <w:right w:val="single" w:sz="4" w:space="0" w:color="000000"/>
            </w:tcBorders>
          </w:tcPr>
          <w:p>
            <w:pPr/>
          </w:p>
        </w:tc>
        <w:tc>
          <w:tcPr>
            <w:tcW w:w="1683"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9571"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可转换公司债券、分离交易的可转换公司债券、公司债类</w:t>
            </w:r>
          </w:p>
        </w:tc>
      </w:tr>
      <w:tr>
        <w:trPr>
          <w:trHeight w:val="401" w:hRule="exact"/>
        </w:trPr>
        <w:tc>
          <w:tcPr>
            <w:tcW w:w="9571"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其他衍生证券类</w:t>
            </w:r>
          </w:p>
        </w:tc>
      </w:tr>
    </w:tbl>
    <w:p>
      <w:pPr>
        <w:pStyle w:val="BodyText"/>
        <w:spacing w:line="240" w:lineRule="auto" w:before="49"/>
        <w:ind w:right="982"/>
        <w:jc w:val="left"/>
      </w:pPr>
      <w:r>
        <w:rPr/>
        <w:t>报告期内证券发行（不含优先股）情况的说明</w:t>
      </w:r>
    </w:p>
    <w:p>
      <w:pPr>
        <w:pStyle w:val="BodyText"/>
        <w:spacing w:line="240" w:lineRule="auto" w:before="117"/>
        <w:ind w:right="982"/>
        <w:jc w:val="left"/>
      </w:pPr>
      <w:r>
        <w:rPr>
          <w:rFonts w:ascii="Times New Roman" w:hAnsi="Times New Roman" w:cs="Times New Roman" w:eastAsia="Times New Roman" w:hint="default"/>
        </w:rPr>
        <w:t>2018 </w:t>
      </w:r>
      <w:r>
        <w:rPr/>
        <w:t>年 </w:t>
      </w:r>
      <w:r>
        <w:rPr>
          <w:rFonts w:ascii="Times New Roman" w:hAnsi="Times New Roman" w:cs="Times New Roman" w:eastAsia="Times New Roman" w:hint="default"/>
        </w:rPr>
        <w:t>6 </w:t>
      </w:r>
      <w:r>
        <w:rPr/>
        <w:t>月 </w:t>
      </w:r>
      <w:r>
        <w:rPr>
          <w:rFonts w:ascii="Times New Roman" w:hAnsi="Times New Roman" w:cs="Times New Roman" w:eastAsia="Times New Roman" w:hint="default"/>
        </w:rPr>
        <w:t>11 </w:t>
      </w:r>
      <w:r>
        <w:rPr/>
        <w:t>日，公司召开第四届董事会第九次会议，审议通过了《关于向 </w:t>
      </w:r>
      <w:r>
        <w:rPr>
          <w:rFonts w:ascii="Times New Roman" w:hAnsi="Times New Roman" w:cs="Times New Roman" w:eastAsia="Times New Roman" w:hint="default"/>
        </w:rPr>
        <w:t>2018 </w:t>
      </w:r>
      <w:r>
        <w:rPr>
          <w:rFonts w:ascii="Times New Roman" w:hAnsi="Times New Roman" w:cs="Times New Roman" w:eastAsia="Times New Roman" w:hint="default"/>
          <w:spacing w:val="5"/>
        </w:rPr>
        <w:t> </w:t>
      </w:r>
      <w:r>
        <w:rPr/>
        <w:t>年限制性股票激励计划激励对象首次</w:t>
      </w:r>
    </w:p>
    <w:p>
      <w:pPr>
        <w:pStyle w:val="BodyText"/>
        <w:spacing w:line="240" w:lineRule="auto" w:before="63"/>
        <w:ind w:right="982"/>
        <w:jc w:val="left"/>
        <w:rPr>
          <w:rFonts w:ascii="Times New Roman" w:hAnsi="Times New Roman" w:cs="Times New Roman" w:eastAsia="Times New Roman" w:hint="default"/>
        </w:rPr>
      </w:pPr>
      <w:r>
        <w:rPr/>
        <w:t>授予限制性股票的议案》，</w:t>
      </w:r>
      <w:r>
        <w:rPr>
          <w:rFonts w:ascii="Times New Roman" w:hAnsi="Times New Roman" w:cs="Times New Roman" w:eastAsia="Times New Roman" w:hint="default"/>
        </w:rPr>
        <w:t>2018</w:t>
      </w:r>
      <w:r>
        <w:rPr/>
        <w:t>年股权激励计划首次授予限制性股票的授予日为</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11</w:t>
      </w:r>
      <w:r>
        <w:rPr/>
        <w:t>日，上市日期为</w:t>
      </w:r>
      <w:r>
        <w:rPr>
          <w:spacing w:val="-45"/>
        </w:rPr>
        <w:t> </w:t>
      </w:r>
      <w:r>
        <w:rPr>
          <w:rFonts w:ascii="Times New Roman" w:hAnsi="Times New Roman" w:cs="Times New Roman" w:eastAsia="Times New Roman" w:hint="default"/>
        </w:rPr>
        <w:t>2018 </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12</w:t>
      </w:r>
    </w:p>
    <w:p>
      <w:pPr>
        <w:pStyle w:val="BodyText"/>
        <w:spacing w:line="240" w:lineRule="auto" w:before="63"/>
        <w:ind w:right="982"/>
        <w:jc w:val="left"/>
      </w:pPr>
      <w:r>
        <w:rPr/>
        <w:t>日，实际授予对象为 </w:t>
      </w:r>
      <w:r>
        <w:rPr>
          <w:rFonts w:ascii="Times New Roman" w:hAnsi="Times New Roman" w:cs="Times New Roman" w:eastAsia="Times New Roman" w:hint="default"/>
        </w:rPr>
        <w:t>360 </w:t>
      </w:r>
      <w:r>
        <w:rPr/>
        <w:t>人，实际授予限制性股票数量为 </w:t>
      </w:r>
      <w:r>
        <w:rPr>
          <w:rFonts w:ascii="Times New Roman" w:hAnsi="Times New Roman" w:cs="Times New Roman" w:eastAsia="Times New Roman" w:hint="default"/>
        </w:rPr>
        <w:t>2704.6469</w:t>
      </w:r>
      <w:r>
        <w:rPr>
          <w:rFonts w:ascii="Times New Roman" w:hAnsi="Times New Roman" w:cs="Times New Roman" w:eastAsia="Times New Roman" w:hint="default"/>
          <w:spacing w:val="19"/>
        </w:rPr>
        <w:t> </w:t>
      </w:r>
      <w:r>
        <w:rPr/>
        <w:t>万股。</w:t>
      </w:r>
    </w:p>
    <w:p>
      <w:pPr>
        <w:spacing w:line="240" w:lineRule="auto" w:before="2"/>
        <w:rPr>
          <w:rFonts w:ascii="宋体" w:hAnsi="宋体" w:cs="宋体" w:eastAsia="宋体" w:hint="default"/>
          <w:sz w:val="26"/>
          <w:szCs w:val="26"/>
        </w:rPr>
      </w:pPr>
    </w:p>
    <w:p>
      <w:pPr>
        <w:pStyle w:val="Heading4"/>
        <w:spacing w:line="240" w:lineRule="auto"/>
        <w:ind w:right="982"/>
        <w:jc w:val="left"/>
        <w:rPr>
          <w:b w:val="0"/>
          <w:bCs w:val="0"/>
        </w:rPr>
      </w:pPr>
      <w:r>
        <w:rPr>
          <w:rFonts w:ascii="Times New Roman" w:hAnsi="Times New Roman" w:cs="Times New Roman" w:eastAsia="Times New Roman" w:hint="default"/>
        </w:rPr>
        <w:t>2</w:t>
      </w:r>
      <w:r>
        <w:rPr/>
        <w:t>、公司股份总数及股东结构的变动、公司资产和负债结构的变动情况说明</w:t>
      </w:r>
      <w:r>
        <w:rPr>
          <w:b w:val="0"/>
          <w:bCs w:val="0"/>
        </w:rPr>
      </w:r>
    </w:p>
    <w:p>
      <w:pPr>
        <w:spacing w:line="240" w:lineRule="auto" w:before="2"/>
        <w:rPr>
          <w:rFonts w:ascii="宋体" w:hAnsi="宋体" w:cs="宋体" w:eastAsia="宋体" w:hint="default"/>
          <w:b/>
          <w:bCs/>
          <w:sz w:val="26"/>
          <w:szCs w:val="26"/>
        </w:rPr>
      </w:pPr>
    </w:p>
    <w:p>
      <w:pPr>
        <w:pStyle w:val="BodyText"/>
        <w:spacing w:line="319" w:lineRule="auto"/>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2"/>
        </w:rPr>
        <w:t> </w:t>
      </w:r>
      <w:r>
        <w:rPr/>
        <w:t>不适用 </w:t>
      </w:r>
      <w:r>
        <w:rPr>
          <w:rFonts w:ascii="Times New Roman" w:hAnsi="Times New Roman" w:cs="Times New Roman" w:eastAsia="Times New Roman" w:hint="default"/>
          <w:spacing w:val="-2"/>
        </w:rPr>
        <w:t>1</w:t>
      </w:r>
      <w:r>
        <w:rPr>
          <w:spacing w:val="-2"/>
        </w:rPr>
        <w:t>、</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6</w:t>
      </w:r>
      <w:r>
        <w:rPr>
          <w:spacing w:val="-2"/>
        </w:rPr>
        <w:t>月</w:t>
      </w:r>
      <w:r>
        <w:rPr>
          <w:rFonts w:ascii="Times New Roman" w:hAnsi="Times New Roman" w:cs="Times New Roman" w:eastAsia="Times New Roman" w:hint="default"/>
          <w:spacing w:val="-2"/>
        </w:rPr>
        <w:t>25</w:t>
      </w:r>
      <w:r>
        <w:rPr>
          <w:spacing w:val="-2"/>
        </w:rPr>
        <w:t>日，公司完成对</w:t>
      </w:r>
      <w:r>
        <w:rPr>
          <w:rFonts w:ascii="Times New Roman" w:hAnsi="Times New Roman" w:cs="Times New Roman" w:eastAsia="Times New Roman" w:hint="default"/>
          <w:spacing w:val="-2"/>
        </w:rPr>
        <w:t>2015</w:t>
      </w:r>
      <w:r>
        <w:rPr>
          <w:spacing w:val="-2"/>
        </w:rPr>
        <w:t>年限制性股票激励计划的</w:t>
      </w:r>
      <w:r>
        <w:rPr>
          <w:rFonts w:ascii="Times New Roman" w:hAnsi="Times New Roman" w:cs="Times New Roman" w:eastAsia="Times New Roman" w:hint="default"/>
          <w:spacing w:val="-2"/>
        </w:rPr>
        <w:t>13</w:t>
      </w:r>
      <w:r>
        <w:rPr>
          <w:spacing w:val="-2"/>
        </w:rPr>
        <w:t>名已离职激励对象已获授但尚未解锁的限制性股票回购注销</w:t>
      </w:r>
      <w:r>
        <w:rPr>
          <w:spacing w:val="-53"/>
        </w:rPr>
        <w:t> </w:t>
      </w:r>
      <w:r>
        <w:rPr/>
        <w:t>工作，回购数量为</w:t>
      </w:r>
      <w:r>
        <w:rPr>
          <w:rFonts w:ascii="Times New Roman" w:hAnsi="Times New Roman" w:cs="Times New Roman" w:eastAsia="Times New Roman" w:hint="default"/>
        </w:rPr>
        <w:t>190,500</w:t>
      </w:r>
      <w:r>
        <w:rPr/>
        <w:t>股，公司股份总数相应减少</w:t>
      </w:r>
      <w:r>
        <w:rPr>
          <w:rFonts w:ascii="Times New Roman" w:hAnsi="Times New Roman" w:cs="Times New Roman" w:eastAsia="Times New Roman" w:hint="default"/>
        </w:rPr>
        <w:t>190,500</w:t>
      </w:r>
      <w:r>
        <w:rPr/>
        <w:t>股，总股本由 </w:t>
      </w:r>
      <w:r>
        <w:rPr>
          <w:rFonts w:ascii="Times New Roman" w:hAnsi="Times New Roman" w:cs="Times New Roman" w:eastAsia="Times New Roman" w:hint="default"/>
        </w:rPr>
        <w:t>1,282,615,013 </w:t>
      </w:r>
      <w:r>
        <w:rPr/>
        <w:t>股变更为 </w:t>
      </w:r>
      <w:r>
        <w:rPr>
          <w:rFonts w:ascii="Times New Roman" w:hAnsi="Times New Roman" w:cs="Times New Roman" w:eastAsia="Times New Roman" w:hint="default"/>
        </w:rPr>
        <w:t>1,282,424,513</w:t>
      </w:r>
      <w:r>
        <w:rPr>
          <w:rFonts w:ascii="Times New Roman" w:hAnsi="Times New Roman" w:cs="Times New Roman" w:eastAsia="Times New Roman" w:hint="default"/>
          <w:spacing w:val="-6"/>
        </w:rPr>
        <w:t> </w:t>
      </w:r>
      <w:r>
        <w:rPr/>
        <w:t>股；公司</w:t>
      </w:r>
    </w:p>
    <w:p>
      <w:pPr>
        <w:pStyle w:val="BodyText"/>
        <w:spacing w:line="319" w:lineRule="auto"/>
        <w:ind w:right="1124"/>
        <w:jc w:val="left"/>
      </w:pPr>
      <w:r>
        <w:rPr/>
        <w:t>资产和负债相应减少了</w:t>
      </w:r>
      <w:r>
        <w:rPr>
          <w:rFonts w:ascii="Times New Roman" w:hAnsi="Times New Roman" w:cs="Times New Roman" w:eastAsia="Times New Roman" w:hint="default"/>
        </w:rPr>
        <w:t>1,418,405.85</w:t>
      </w:r>
      <w:r>
        <w:rPr>
          <w:rFonts w:ascii="Times New Roman" w:hAnsi="Times New Roman" w:cs="Times New Roman" w:eastAsia="Times New Roman" w:hint="default"/>
          <w:spacing w:val="29"/>
        </w:rPr>
        <w:t> </w:t>
      </w:r>
      <w:r>
        <w:rPr/>
        <w:t>元；公司净资产未发生变化。 </w:t>
      </w:r>
      <w:r>
        <w:rPr>
          <w:rFonts w:ascii="Times New Roman" w:hAnsi="Times New Roman" w:cs="Times New Roman" w:eastAsia="Times New Roman" w:hint="default"/>
        </w:rPr>
        <w:t>2</w:t>
      </w:r>
      <w:r>
        <w:rPr/>
        <w:t>、</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11</w:t>
      </w:r>
      <w:r>
        <w:rPr/>
        <w:t>日，公司完成</w:t>
      </w:r>
      <w:r>
        <w:rPr>
          <w:rFonts w:ascii="Times New Roman" w:hAnsi="Times New Roman" w:cs="Times New Roman" w:eastAsia="Times New Roman" w:hint="default"/>
        </w:rPr>
        <w:t>2018</w:t>
      </w:r>
      <w:r>
        <w:rPr/>
        <w:t>年股权激励计划限制性股票首次授予登记工作，公司股份总数增加</w:t>
      </w:r>
      <w:r>
        <w:rPr>
          <w:rFonts w:ascii="Times New Roman" w:hAnsi="Times New Roman" w:cs="Times New Roman" w:eastAsia="Times New Roman" w:hint="default"/>
        </w:rPr>
        <w:t>27,046,469</w:t>
      </w:r>
      <w:r>
        <w:rPr/>
        <w:t>股，总股本 由</w:t>
      </w:r>
      <w:r>
        <w:rPr>
          <w:rFonts w:ascii="Times New Roman" w:hAnsi="Times New Roman" w:cs="Times New Roman" w:eastAsia="Times New Roman" w:hint="default"/>
        </w:rPr>
        <w:t>1,282,424,513</w:t>
      </w:r>
      <w:r>
        <w:rPr/>
        <w:t>股变更为</w:t>
      </w:r>
      <w:r>
        <w:rPr>
          <w:rFonts w:ascii="Times New Roman" w:hAnsi="Times New Roman" w:cs="Times New Roman" w:eastAsia="Times New Roman" w:hint="default"/>
        </w:rPr>
        <w:t>1,309,470,982</w:t>
      </w:r>
      <w:r>
        <w:rPr/>
        <w:t>股；公司净资产相应增加了</w:t>
      </w:r>
      <w:r>
        <w:rPr>
          <w:rFonts w:ascii="Times New Roman" w:hAnsi="Times New Roman" w:cs="Times New Roman" w:eastAsia="Times New Roman" w:hint="default"/>
        </w:rPr>
        <w:t>328,614,598.35</w:t>
      </w:r>
      <w:r>
        <w:rPr/>
        <w:t>元；公司负债结构未发生变化。</w:t>
      </w:r>
    </w:p>
    <w:p>
      <w:pPr>
        <w:spacing w:line="240" w:lineRule="auto" w:before="12"/>
        <w:rPr>
          <w:rFonts w:ascii="宋体" w:hAnsi="宋体" w:cs="宋体" w:eastAsia="宋体" w:hint="default"/>
          <w:sz w:val="20"/>
          <w:szCs w:val="20"/>
        </w:rPr>
      </w:pPr>
    </w:p>
    <w:p>
      <w:pPr>
        <w:pStyle w:val="Heading4"/>
        <w:spacing w:line="240" w:lineRule="auto"/>
        <w:ind w:right="982"/>
        <w:jc w:val="left"/>
        <w:rPr>
          <w:b w:val="0"/>
          <w:bCs w:val="0"/>
        </w:rPr>
      </w:pPr>
      <w:r>
        <w:rPr>
          <w:rFonts w:ascii="Times New Roman" w:hAnsi="Times New Roman" w:cs="Times New Roman" w:eastAsia="Times New Roman" w:hint="default"/>
        </w:rPr>
        <w:t>3</w:t>
      </w:r>
      <w:r>
        <w:rPr/>
        <w:t>、现存的内部职工股情况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3"/>
        <w:rPr>
          <w:rFonts w:ascii="宋体" w:hAnsi="宋体" w:cs="宋体" w:eastAsia="宋体" w:hint="default"/>
          <w:sz w:val="24"/>
          <w:szCs w:val="24"/>
        </w:rPr>
      </w:pPr>
    </w:p>
    <w:p>
      <w:pPr>
        <w:pStyle w:val="Heading2"/>
        <w:spacing w:line="240" w:lineRule="auto"/>
        <w:ind w:right="982"/>
        <w:jc w:val="left"/>
        <w:rPr>
          <w:b w:val="0"/>
          <w:bCs w:val="0"/>
        </w:rPr>
      </w:pPr>
      <w:r>
        <w:rPr/>
        <w:t>三、股东和实际控制人情况</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982"/>
        <w:jc w:val="left"/>
        <w:rPr>
          <w:b w:val="0"/>
          <w:bCs w:val="0"/>
        </w:rPr>
      </w:pPr>
      <w:r>
        <w:rPr>
          <w:rFonts w:ascii="Times New Roman" w:hAnsi="Times New Roman" w:cs="Times New Roman" w:eastAsia="Times New Roman" w:hint="default"/>
        </w:rPr>
        <w:t>1</w:t>
      </w:r>
      <w:r>
        <w:rPr/>
        <w:t>、公司股东数量及持股情况</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left="0" w:right="1131"/>
        <w:jc w:val="right"/>
      </w:pPr>
      <w:r>
        <w:rPr/>
        <w:t>单位：股</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184"/>
        <w:gridCol w:w="1207"/>
        <w:gridCol w:w="1175"/>
        <w:gridCol w:w="1218"/>
        <w:gridCol w:w="1173"/>
        <w:gridCol w:w="1220"/>
        <w:gridCol w:w="1173"/>
        <w:gridCol w:w="1208"/>
      </w:tblGrid>
      <w:tr>
        <w:trPr>
          <w:trHeight w:val="161" w:hRule="exact"/>
        </w:trPr>
        <w:tc>
          <w:tcPr>
            <w:tcW w:w="1184" w:type="dxa"/>
            <w:vMerge w:val="restart"/>
            <w:tcBorders>
              <w:top w:val="single" w:sz="4" w:space="0" w:color="000000"/>
              <w:left w:val="single" w:sz="4" w:space="0" w:color="000000"/>
              <w:right w:val="single" w:sz="4" w:space="0" w:color="000000"/>
            </w:tcBorders>
            <w:shd w:val="clear" w:color="auto" w:fill="D2D2D2"/>
          </w:tcPr>
          <w:p>
            <w:pPr/>
          </w:p>
        </w:tc>
        <w:tc>
          <w:tcPr>
            <w:tcW w:w="1207" w:type="dxa"/>
            <w:vMerge w:val="restart"/>
            <w:tcBorders>
              <w:top w:val="single" w:sz="4" w:space="0" w:color="000000"/>
              <w:left w:val="single" w:sz="9" w:space="0" w:color="D2D2D2"/>
              <w:right w:val="single" w:sz="9"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572" w:right="0"/>
              <w:jc w:val="left"/>
              <w:rPr>
                <w:rFonts w:ascii="Times New Roman" w:hAnsi="Times New Roman" w:cs="Times New Roman" w:eastAsia="Times New Roman" w:hint="default"/>
                <w:sz w:val="18"/>
                <w:szCs w:val="18"/>
              </w:rPr>
            </w:pPr>
            <w:r>
              <w:rPr>
                <w:rFonts w:ascii="Times New Roman"/>
                <w:sz w:val="18"/>
              </w:rPr>
              <w:t>140,253</w:t>
            </w:r>
          </w:p>
        </w:tc>
        <w:tc>
          <w:tcPr>
            <w:tcW w:w="1175" w:type="dxa"/>
            <w:vMerge w:val="restart"/>
            <w:tcBorders>
              <w:top w:val="single" w:sz="4" w:space="0" w:color="000000"/>
              <w:left w:val="single" w:sz="4" w:space="0" w:color="000000"/>
              <w:right w:val="single" w:sz="4" w:space="0" w:color="000000"/>
            </w:tcBorders>
            <w:shd w:val="clear" w:color="auto" w:fill="D2D2D2"/>
          </w:tcPr>
          <w:p>
            <w:pPr/>
          </w:p>
        </w:tc>
        <w:tc>
          <w:tcPr>
            <w:tcW w:w="1218" w:type="dxa"/>
            <w:vMerge w:val="restart"/>
            <w:tcBorders>
              <w:top w:val="single" w:sz="4" w:space="0" w:color="000000"/>
              <w:left w:val="single" w:sz="9" w:space="0" w:color="D2D2D2"/>
              <w:right w:val="single" w:sz="10"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583" w:right="0"/>
              <w:jc w:val="left"/>
              <w:rPr>
                <w:rFonts w:ascii="Times New Roman" w:hAnsi="Times New Roman" w:cs="Times New Roman" w:eastAsia="Times New Roman" w:hint="default"/>
                <w:sz w:val="18"/>
                <w:szCs w:val="18"/>
              </w:rPr>
            </w:pPr>
            <w:r>
              <w:rPr>
                <w:rFonts w:ascii="Times New Roman"/>
                <w:sz w:val="18"/>
              </w:rPr>
              <w:t>124,214</w:t>
            </w:r>
          </w:p>
        </w:tc>
        <w:tc>
          <w:tcPr>
            <w:tcW w:w="1173" w:type="dxa"/>
            <w:tcBorders>
              <w:top w:val="single" w:sz="4" w:space="0" w:color="000000"/>
              <w:left w:val="single" w:sz="4" w:space="0" w:color="000000"/>
              <w:bottom w:val="nil" w:sz="6" w:space="0" w:color="auto"/>
              <w:right w:val="single" w:sz="4" w:space="0" w:color="000000"/>
            </w:tcBorders>
            <w:shd w:val="clear" w:color="auto" w:fill="D2D2D2"/>
          </w:tcPr>
          <w:p>
            <w:pPr/>
          </w:p>
        </w:tc>
        <w:tc>
          <w:tcPr>
            <w:tcW w:w="1220" w:type="dxa"/>
            <w:vMerge w:val="restart"/>
            <w:tcBorders>
              <w:top w:val="single" w:sz="4" w:space="0" w:color="000000"/>
              <w:left w:val="single" w:sz="10" w:space="0" w:color="D2D2D2"/>
              <w:right w:val="single" w:sz="13"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173"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11" w:right="9"/>
              <w:jc w:val="left"/>
              <w:rPr>
                <w:rFonts w:ascii="宋体" w:hAnsi="宋体" w:cs="宋体" w:eastAsia="宋体" w:hint="default"/>
                <w:sz w:val="18"/>
                <w:szCs w:val="18"/>
              </w:rPr>
            </w:pPr>
            <w:r>
              <w:rPr>
                <w:rFonts w:ascii="宋体" w:hAnsi="宋体" w:cs="宋体" w:eastAsia="宋体" w:hint="default"/>
                <w:sz w:val="18"/>
                <w:szCs w:val="18"/>
              </w:rPr>
              <w:t>年度报告披露 日前上一月末 表决权恢复的 优先股股东总 </w:t>
            </w:r>
            <w:r>
              <w:rPr>
                <w:rFonts w:ascii="宋体" w:hAnsi="宋体" w:cs="宋体" w:eastAsia="宋体" w:hint="default"/>
                <w:spacing w:val="-18"/>
                <w:sz w:val="18"/>
                <w:szCs w:val="18"/>
              </w:rPr>
              <w:t>数（如有）（参</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见注</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8</w:t>
            </w:r>
            <w:r>
              <w:rPr>
                <w:rFonts w:ascii="宋体" w:hAnsi="宋体" w:cs="宋体" w:eastAsia="宋体" w:hint="default"/>
                <w:sz w:val="18"/>
                <w:szCs w:val="18"/>
              </w:rPr>
              <w:t>）</w:t>
            </w:r>
          </w:p>
        </w:tc>
        <w:tc>
          <w:tcPr>
            <w:tcW w:w="1208" w:type="dxa"/>
            <w:vMerge w:val="restart"/>
            <w:tcBorders>
              <w:top w:val="single" w:sz="4" w:space="0" w:color="000000"/>
              <w:left w:val="single" w:sz="10"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156" w:hRule="exact"/>
        </w:trPr>
        <w:tc>
          <w:tcPr>
            <w:tcW w:w="1184" w:type="dxa"/>
            <w:vMerge/>
            <w:tcBorders>
              <w:left w:val="single" w:sz="4" w:space="0" w:color="000000"/>
              <w:right w:val="single" w:sz="4" w:space="0" w:color="000000"/>
            </w:tcBorders>
            <w:shd w:val="clear" w:color="auto" w:fill="D2D2D2"/>
          </w:tcPr>
          <w:p>
            <w:pPr/>
          </w:p>
        </w:tc>
        <w:tc>
          <w:tcPr>
            <w:tcW w:w="1207" w:type="dxa"/>
            <w:vMerge/>
            <w:tcBorders>
              <w:left w:val="single" w:sz="9" w:space="0" w:color="D2D2D2"/>
              <w:right w:val="single" w:sz="9" w:space="0" w:color="D2D2D2"/>
            </w:tcBorders>
          </w:tcPr>
          <w:p>
            <w:pPr/>
          </w:p>
        </w:tc>
        <w:tc>
          <w:tcPr>
            <w:tcW w:w="1175" w:type="dxa"/>
            <w:vMerge/>
            <w:tcBorders>
              <w:left w:val="single" w:sz="4" w:space="0" w:color="000000"/>
              <w:bottom w:val="nil" w:sz="6" w:space="0" w:color="auto"/>
              <w:right w:val="single" w:sz="4" w:space="0" w:color="000000"/>
            </w:tcBorders>
            <w:shd w:val="clear" w:color="auto" w:fill="D2D2D2"/>
          </w:tcPr>
          <w:p>
            <w:pPr/>
          </w:p>
        </w:tc>
        <w:tc>
          <w:tcPr>
            <w:tcW w:w="1218" w:type="dxa"/>
            <w:vMerge/>
            <w:tcBorders>
              <w:left w:val="single" w:sz="9" w:space="0" w:color="D2D2D2"/>
              <w:right w:val="single" w:sz="10" w:space="0" w:color="D2D2D2"/>
            </w:tcBorders>
          </w:tcPr>
          <w:p>
            <w:pPr/>
          </w:p>
        </w:tc>
        <w:tc>
          <w:tcPr>
            <w:tcW w:w="1173"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11" w:right="69"/>
              <w:jc w:val="both"/>
              <w:rPr>
                <w:rFonts w:ascii="宋体" w:hAnsi="宋体" w:cs="宋体" w:eastAsia="宋体" w:hint="default"/>
                <w:sz w:val="18"/>
                <w:szCs w:val="18"/>
              </w:rPr>
            </w:pPr>
            <w:r>
              <w:rPr>
                <w:rFonts w:ascii="宋体" w:hAnsi="宋体" w:cs="宋体" w:eastAsia="宋体" w:hint="default"/>
                <w:sz w:val="18"/>
                <w:szCs w:val="18"/>
              </w:rPr>
              <w:t>报告期末表决 权恢复的优先 股股东总数</w:t>
            </w:r>
          </w:p>
          <w:p>
            <w:pPr>
              <w:pStyle w:val="TableParagraph"/>
              <w:spacing w:line="316" w:lineRule="auto" w:before="19"/>
              <w:ind w:left="11" w:right="11"/>
              <w:jc w:val="both"/>
              <w:rPr>
                <w:rFonts w:ascii="宋体" w:hAnsi="宋体" w:cs="宋体" w:eastAsia="宋体" w:hint="default"/>
                <w:sz w:val="18"/>
                <w:szCs w:val="18"/>
              </w:rPr>
            </w:pPr>
            <w:r>
              <w:rPr>
                <w:rFonts w:ascii="宋体" w:hAnsi="宋体" w:cs="宋体" w:eastAsia="宋体" w:hint="default"/>
                <w:spacing w:val="-18"/>
                <w:sz w:val="18"/>
                <w:szCs w:val="18"/>
              </w:rPr>
              <w:t>（如有）（参见</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注</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8</w:t>
            </w:r>
            <w:r>
              <w:rPr>
                <w:rFonts w:ascii="宋体" w:hAnsi="宋体" w:cs="宋体" w:eastAsia="宋体" w:hint="default"/>
                <w:sz w:val="18"/>
                <w:szCs w:val="18"/>
              </w:rPr>
              <w:t>）</w:t>
            </w:r>
          </w:p>
        </w:tc>
        <w:tc>
          <w:tcPr>
            <w:tcW w:w="1220" w:type="dxa"/>
            <w:vMerge/>
            <w:tcBorders>
              <w:left w:val="single" w:sz="10" w:space="0" w:color="D2D2D2"/>
              <w:right w:val="single" w:sz="13" w:space="0" w:color="D2D2D2"/>
            </w:tcBorders>
          </w:tcPr>
          <w:p>
            <w:pPr/>
          </w:p>
        </w:tc>
        <w:tc>
          <w:tcPr>
            <w:tcW w:w="1173" w:type="dxa"/>
            <w:vMerge/>
            <w:tcBorders>
              <w:left w:val="single" w:sz="4" w:space="0" w:color="000000"/>
              <w:right w:val="single" w:sz="4" w:space="0" w:color="000000"/>
            </w:tcBorders>
            <w:shd w:val="clear" w:color="auto" w:fill="D2D2D2"/>
          </w:tcPr>
          <w:p>
            <w:pPr/>
          </w:p>
        </w:tc>
        <w:tc>
          <w:tcPr>
            <w:tcW w:w="1208" w:type="dxa"/>
            <w:vMerge/>
            <w:tcBorders>
              <w:left w:val="single" w:sz="10" w:space="0" w:color="D2D2D2"/>
              <w:right w:val="single" w:sz="4" w:space="0" w:color="000000"/>
            </w:tcBorders>
          </w:tcPr>
          <w:p>
            <w:pPr/>
          </w:p>
        </w:tc>
      </w:tr>
      <w:tr>
        <w:trPr>
          <w:trHeight w:val="312" w:hRule="exact"/>
        </w:trPr>
        <w:tc>
          <w:tcPr>
            <w:tcW w:w="1184" w:type="dxa"/>
            <w:vMerge/>
            <w:tcBorders>
              <w:left w:val="single" w:sz="4" w:space="0" w:color="000000"/>
              <w:bottom w:val="nil" w:sz="6" w:space="0" w:color="auto"/>
              <w:right w:val="single" w:sz="4" w:space="0" w:color="000000"/>
            </w:tcBorders>
            <w:shd w:val="clear" w:color="auto" w:fill="D2D2D2"/>
          </w:tcPr>
          <w:p>
            <w:pPr/>
          </w:p>
        </w:tc>
        <w:tc>
          <w:tcPr>
            <w:tcW w:w="1207" w:type="dxa"/>
            <w:vMerge/>
            <w:tcBorders>
              <w:left w:val="single" w:sz="9" w:space="0" w:color="D2D2D2"/>
              <w:right w:val="single" w:sz="9" w:space="0" w:color="D2D2D2"/>
            </w:tcBorders>
          </w:tcPr>
          <w:p>
            <w:pPr/>
          </w:p>
        </w:tc>
        <w:tc>
          <w:tcPr>
            <w:tcW w:w="117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11" w:right="71"/>
              <w:jc w:val="both"/>
              <w:rPr>
                <w:rFonts w:ascii="宋体" w:hAnsi="宋体" w:cs="宋体" w:eastAsia="宋体" w:hint="default"/>
                <w:sz w:val="18"/>
                <w:szCs w:val="18"/>
              </w:rPr>
            </w:pPr>
            <w:r>
              <w:rPr>
                <w:rFonts w:ascii="宋体" w:hAnsi="宋体" w:cs="宋体" w:eastAsia="宋体" w:hint="default"/>
                <w:sz w:val="18"/>
                <w:szCs w:val="18"/>
              </w:rPr>
              <w:t>年度报告披露 日前上一月末 普通股股东总 数</w:t>
            </w:r>
          </w:p>
        </w:tc>
        <w:tc>
          <w:tcPr>
            <w:tcW w:w="1218" w:type="dxa"/>
            <w:vMerge/>
            <w:tcBorders>
              <w:left w:val="single" w:sz="9" w:space="0" w:color="D2D2D2"/>
              <w:right w:val="single" w:sz="10" w:space="0" w:color="D2D2D2"/>
            </w:tcBorders>
          </w:tcPr>
          <w:p>
            <w:pPr/>
          </w:p>
        </w:tc>
        <w:tc>
          <w:tcPr>
            <w:tcW w:w="1173" w:type="dxa"/>
            <w:vMerge/>
            <w:tcBorders>
              <w:left w:val="single" w:sz="4" w:space="0" w:color="000000"/>
              <w:right w:val="single" w:sz="4" w:space="0" w:color="000000"/>
            </w:tcBorders>
            <w:shd w:val="clear" w:color="auto" w:fill="D2D2D2"/>
          </w:tcPr>
          <w:p>
            <w:pPr/>
          </w:p>
        </w:tc>
        <w:tc>
          <w:tcPr>
            <w:tcW w:w="1220" w:type="dxa"/>
            <w:vMerge/>
            <w:tcBorders>
              <w:left w:val="single" w:sz="10" w:space="0" w:color="D2D2D2"/>
              <w:right w:val="single" w:sz="13" w:space="0" w:color="D2D2D2"/>
            </w:tcBorders>
          </w:tcPr>
          <w:p>
            <w:pPr/>
          </w:p>
        </w:tc>
        <w:tc>
          <w:tcPr>
            <w:tcW w:w="1173" w:type="dxa"/>
            <w:vMerge/>
            <w:tcBorders>
              <w:left w:val="single" w:sz="4" w:space="0" w:color="000000"/>
              <w:right w:val="single" w:sz="4" w:space="0" w:color="000000"/>
            </w:tcBorders>
            <w:shd w:val="clear" w:color="auto" w:fill="D2D2D2"/>
          </w:tcPr>
          <w:p>
            <w:pPr/>
          </w:p>
        </w:tc>
        <w:tc>
          <w:tcPr>
            <w:tcW w:w="1208" w:type="dxa"/>
            <w:vMerge/>
            <w:tcBorders>
              <w:left w:val="single" w:sz="10" w:space="0" w:color="D2D2D2"/>
              <w:right w:val="single" w:sz="4" w:space="0" w:color="000000"/>
            </w:tcBorders>
          </w:tcPr>
          <w:p>
            <w:pPr/>
          </w:p>
        </w:tc>
      </w:tr>
      <w:tr>
        <w:trPr>
          <w:trHeight w:val="703" w:hRule="exact"/>
        </w:trPr>
        <w:tc>
          <w:tcPr>
            <w:tcW w:w="118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49"/>
              <w:ind w:left="12" w:right="81"/>
              <w:jc w:val="left"/>
              <w:rPr>
                <w:rFonts w:ascii="宋体" w:hAnsi="宋体" w:cs="宋体" w:eastAsia="宋体" w:hint="default"/>
                <w:sz w:val="18"/>
                <w:szCs w:val="18"/>
              </w:rPr>
            </w:pPr>
            <w:r>
              <w:rPr>
                <w:rFonts w:ascii="宋体" w:hAnsi="宋体" w:cs="宋体" w:eastAsia="宋体" w:hint="default"/>
                <w:sz w:val="18"/>
                <w:szCs w:val="18"/>
              </w:rPr>
              <w:t>报告期末普通 股股东总数</w:t>
            </w:r>
          </w:p>
        </w:tc>
        <w:tc>
          <w:tcPr>
            <w:tcW w:w="1207" w:type="dxa"/>
            <w:vMerge/>
            <w:tcBorders>
              <w:left w:val="single" w:sz="9" w:space="0" w:color="D2D2D2"/>
              <w:right w:val="single" w:sz="9" w:space="0" w:color="D2D2D2"/>
            </w:tcBorders>
          </w:tcPr>
          <w:p>
            <w:pPr/>
          </w:p>
        </w:tc>
        <w:tc>
          <w:tcPr>
            <w:tcW w:w="1175" w:type="dxa"/>
            <w:vMerge/>
            <w:tcBorders>
              <w:left w:val="single" w:sz="4" w:space="0" w:color="000000"/>
              <w:right w:val="single" w:sz="4" w:space="0" w:color="000000"/>
            </w:tcBorders>
            <w:shd w:val="clear" w:color="auto" w:fill="D2D2D2"/>
          </w:tcPr>
          <w:p>
            <w:pPr/>
          </w:p>
        </w:tc>
        <w:tc>
          <w:tcPr>
            <w:tcW w:w="1218" w:type="dxa"/>
            <w:vMerge/>
            <w:tcBorders>
              <w:left w:val="single" w:sz="9" w:space="0" w:color="D2D2D2"/>
              <w:right w:val="single" w:sz="10" w:space="0" w:color="D2D2D2"/>
            </w:tcBorders>
          </w:tcPr>
          <w:p>
            <w:pPr/>
          </w:p>
        </w:tc>
        <w:tc>
          <w:tcPr>
            <w:tcW w:w="1173" w:type="dxa"/>
            <w:vMerge/>
            <w:tcBorders>
              <w:left w:val="single" w:sz="4" w:space="0" w:color="000000"/>
              <w:right w:val="single" w:sz="4" w:space="0" w:color="000000"/>
            </w:tcBorders>
            <w:shd w:val="clear" w:color="auto" w:fill="D2D2D2"/>
          </w:tcPr>
          <w:p>
            <w:pPr/>
          </w:p>
        </w:tc>
        <w:tc>
          <w:tcPr>
            <w:tcW w:w="1220" w:type="dxa"/>
            <w:vMerge/>
            <w:tcBorders>
              <w:left w:val="single" w:sz="10" w:space="0" w:color="D2D2D2"/>
              <w:right w:val="single" w:sz="13" w:space="0" w:color="D2D2D2"/>
            </w:tcBorders>
          </w:tcPr>
          <w:p>
            <w:pPr/>
          </w:p>
        </w:tc>
        <w:tc>
          <w:tcPr>
            <w:tcW w:w="1173" w:type="dxa"/>
            <w:vMerge/>
            <w:tcBorders>
              <w:left w:val="single" w:sz="4" w:space="0" w:color="000000"/>
              <w:right w:val="single" w:sz="4" w:space="0" w:color="000000"/>
            </w:tcBorders>
            <w:shd w:val="clear" w:color="auto" w:fill="D2D2D2"/>
          </w:tcPr>
          <w:p>
            <w:pPr/>
          </w:p>
        </w:tc>
        <w:tc>
          <w:tcPr>
            <w:tcW w:w="1208" w:type="dxa"/>
            <w:vMerge/>
            <w:tcBorders>
              <w:left w:val="single" w:sz="10" w:space="0" w:color="D2D2D2"/>
              <w:right w:val="single" w:sz="4" w:space="0" w:color="000000"/>
            </w:tcBorders>
          </w:tcPr>
          <w:p>
            <w:pPr/>
          </w:p>
        </w:tc>
      </w:tr>
      <w:tr>
        <w:trPr>
          <w:trHeight w:val="312" w:hRule="exact"/>
        </w:trPr>
        <w:tc>
          <w:tcPr>
            <w:tcW w:w="1184" w:type="dxa"/>
            <w:vMerge w:val="restart"/>
            <w:tcBorders>
              <w:top w:val="nil" w:sz="6" w:space="0" w:color="auto"/>
              <w:left w:val="single" w:sz="4" w:space="0" w:color="000000"/>
              <w:right w:val="single" w:sz="4" w:space="0" w:color="000000"/>
            </w:tcBorders>
            <w:shd w:val="clear" w:color="auto" w:fill="D2D2D2"/>
          </w:tcPr>
          <w:p>
            <w:pPr/>
          </w:p>
        </w:tc>
        <w:tc>
          <w:tcPr>
            <w:tcW w:w="1207" w:type="dxa"/>
            <w:vMerge/>
            <w:tcBorders>
              <w:left w:val="single" w:sz="9" w:space="0" w:color="D2D2D2"/>
              <w:right w:val="single" w:sz="9" w:space="0" w:color="D2D2D2"/>
            </w:tcBorders>
          </w:tcPr>
          <w:p>
            <w:pPr/>
          </w:p>
        </w:tc>
        <w:tc>
          <w:tcPr>
            <w:tcW w:w="1175" w:type="dxa"/>
            <w:vMerge/>
            <w:tcBorders>
              <w:left w:val="single" w:sz="4" w:space="0" w:color="000000"/>
              <w:bottom w:val="nil" w:sz="6" w:space="0" w:color="auto"/>
              <w:right w:val="single" w:sz="4" w:space="0" w:color="000000"/>
            </w:tcBorders>
            <w:shd w:val="clear" w:color="auto" w:fill="D2D2D2"/>
          </w:tcPr>
          <w:p>
            <w:pPr/>
          </w:p>
        </w:tc>
        <w:tc>
          <w:tcPr>
            <w:tcW w:w="1218" w:type="dxa"/>
            <w:vMerge/>
            <w:tcBorders>
              <w:left w:val="single" w:sz="9" w:space="0" w:color="D2D2D2"/>
              <w:right w:val="single" w:sz="10" w:space="0" w:color="D2D2D2"/>
            </w:tcBorders>
          </w:tcPr>
          <w:p>
            <w:pPr/>
          </w:p>
        </w:tc>
        <w:tc>
          <w:tcPr>
            <w:tcW w:w="1173" w:type="dxa"/>
            <w:vMerge/>
            <w:tcBorders>
              <w:left w:val="single" w:sz="4" w:space="0" w:color="000000"/>
              <w:right w:val="single" w:sz="4" w:space="0" w:color="000000"/>
            </w:tcBorders>
            <w:shd w:val="clear" w:color="auto" w:fill="D2D2D2"/>
          </w:tcPr>
          <w:p>
            <w:pPr/>
          </w:p>
        </w:tc>
        <w:tc>
          <w:tcPr>
            <w:tcW w:w="1220" w:type="dxa"/>
            <w:vMerge/>
            <w:tcBorders>
              <w:left w:val="single" w:sz="10" w:space="0" w:color="D2D2D2"/>
              <w:right w:val="single" w:sz="13" w:space="0" w:color="D2D2D2"/>
            </w:tcBorders>
          </w:tcPr>
          <w:p>
            <w:pPr/>
          </w:p>
        </w:tc>
        <w:tc>
          <w:tcPr>
            <w:tcW w:w="1173" w:type="dxa"/>
            <w:vMerge/>
            <w:tcBorders>
              <w:left w:val="single" w:sz="4" w:space="0" w:color="000000"/>
              <w:right w:val="single" w:sz="4" w:space="0" w:color="000000"/>
            </w:tcBorders>
            <w:shd w:val="clear" w:color="auto" w:fill="D2D2D2"/>
          </w:tcPr>
          <w:p>
            <w:pPr/>
          </w:p>
        </w:tc>
        <w:tc>
          <w:tcPr>
            <w:tcW w:w="1208" w:type="dxa"/>
            <w:vMerge/>
            <w:tcBorders>
              <w:left w:val="single" w:sz="10" w:space="0" w:color="D2D2D2"/>
              <w:right w:val="single" w:sz="4" w:space="0" w:color="000000"/>
            </w:tcBorders>
          </w:tcPr>
          <w:p>
            <w:pPr/>
          </w:p>
        </w:tc>
      </w:tr>
      <w:tr>
        <w:trPr>
          <w:trHeight w:val="156" w:hRule="exact"/>
        </w:trPr>
        <w:tc>
          <w:tcPr>
            <w:tcW w:w="1184" w:type="dxa"/>
            <w:vMerge/>
            <w:tcBorders>
              <w:left w:val="single" w:sz="4" w:space="0" w:color="000000"/>
              <w:right w:val="single" w:sz="4" w:space="0" w:color="000000"/>
            </w:tcBorders>
            <w:shd w:val="clear" w:color="auto" w:fill="D2D2D2"/>
          </w:tcPr>
          <w:p>
            <w:pPr/>
          </w:p>
        </w:tc>
        <w:tc>
          <w:tcPr>
            <w:tcW w:w="1207" w:type="dxa"/>
            <w:vMerge/>
            <w:tcBorders>
              <w:left w:val="single" w:sz="9" w:space="0" w:color="D2D2D2"/>
              <w:right w:val="single" w:sz="9" w:space="0" w:color="D2D2D2"/>
            </w:tcBorders>
          </w:tcPr>
          <w:p>
            <w:pPr/>
          </w:p>
        </w:tc>
        <w:tc>
          <w:tcPr>
            <w:tcW w:w="1175" w:type="dxa"/>
            <w:vMerge w:val="restart"/>
            <w:tcBorders>
              <w:top w:val="nil" w:sz="6" w:space="0" w:color="auto"/>
              <w:left w:val="single" w:sz="4" w:space="0" w:color="000000"/>
              <w:right w:val="single" w:sz="4" w:space="0" w:color="000000"/>
            </w:tcBorders>
            <w:shd w:val="clear" w:color="auto" w:fill="D2D2D2"/>
          </w:tcPr>
          <w:p>
            <w:pPr/>
          </w:p>
        </w:tc>
        <w:tc>
          <w:tcPr>
            <w:tcW w:w="1218" w:type="dxa"/>
            <w:vMerge/>
            <w:tcBorders>
              <w:left w:val="single" w:sz="9" w:space="0" w:color="D2D2D2"/>
              <w:right w:val="single" w:sz="10" w:space="0" w:color="D2D2D2"/>
            </w:tcBorders>
          </w:tcPr>
          <w:p>
            <w:pPr/>
          </w:p>
        </w:tc>
        <w:tc>
          <w:tcPr>
            <w:tcW w:w="1173" w:type="dxa"/>
            <w:vMerge/>
            <w:tcBorders>
              <w:left w:val="single" w:sz="4" w:space="0" w:color="000000"/>
              <w:bottom w:val="nil" w:sz="6" w:space="0" w:color="auto"/>
              <w:right w:val="single" w:sz="4" w:space="0" w:color="000000"/>
            </w:tcBorders>
            <w:shd w:val="clear" w:color="auto" w:fill="D2D2D2"/>
          </w:tcPr>
          <w:p>
            <w:pPr/>
          </w:p>
        </w:tc>
        <w:tc>
          <w:tcPr>
            <w:tcW w:w="1220" w:type="dxa"/>
            <w:vMerge/>
            <w:tcBorders>
              <w:left w:val="single" w:sz="10" w:space="0" w:color="D2D2D2"/>
              <w:right w:val="single" w:sz="13" w:space="0" w:color="D2D2D2"/>
            </w:tcBorders>
          </w:tcPr>
          <w:p>
            <w:pPr/>
          </w:p>
        </w:tc>
        <w:tc>
          <w:tcPr>
            <w:tcW w:w="1173" w:type="dxa"/>
            <w:vMerge/>
            <w:tcBorders>
              <w:left w:val="single" w:sz="4" w:space="0" w:color="000000"/>
              <w:right w:val="single" w:sz="4" w:space="0" w:color="000000"/>
            </w:tcBorders>
            <w:shd w:val="clear" w:color="auto" w:fill="D2D2D2"/>
          </w:tcPr>
          <w:p>
            <w:pPr/>
          </w:p>
        </w:tc>
        <w:tc>
          <w:tcPr>
            <w:tcW w:w="1208" w:type="dxa"/>
            <w:vMerge/>
            <w:tcBorders>
              <w:left w:val="single" w:sz="10" w:space="0" w:color="D2D2D2"/>
              <w:right w:val="single" w:sz="4" w:space="0" w:color="000000"/>
            </w:tcBorders>
          </w:tcPr>
          <w:p>
            <w:pPr/>
          </w:p>
        </w:tc>
      </w:tr>
      <w:tr>
        <w:trPr>
          <w:trHeight w:val="168" w:hRule="exact"/>
        </w:trPr>
        <w:tc>
          <w:tcPr>
            <w:tcW w:w="1184" w:type="dxa"/>
            <w:vMerge/>
            <w:tcBorders>
              <w:left w:val="single" w:sz="4" w:space="0" w:color="000000"/>
              <w:bottom w:val="single" w:sz="4" w:space="0" w:color="000000"/>
              <w:right w:val="single" w:sz="4" w:space="0" w:color="000000"/>
            </w:tcBorders>
            <w:shd w:val="clear" w:color="auto" w:fill="D2D2D2"/>
          </w:tcPr>
          <w:p>
            <w:pPr/>
          </w:p>
        </w:tc>
        <w:tc>
          <w:tcPr>
            <w:tcW w:w="1207" w:type="dxa"/>
            <w:vMerge/>
            <w:tcBorders>
              <w:left w:val="single" w:sz="9" w:space="0" w:color="D2D2D2"/>
              <w:bottom w:val="single" w:sz="4" w:space="0" w:color="000000"/>
              <w:right w:val="single" w:sz="9" w:space="0" w:color="D2D2D2"/>
            </w:tcBorders>
          </w:tcPr>
          <w:p>
            <w:pPr/>
          </w:p>
        </w:tc>
        <w:tc>
          <w:tcPr>
            <w:tcW w:w="1175" w:type="dxa"/>
            <w:vMerge/>
            <w:tcBorders>
              <w:left w:val="single" w:sz="4" w:space="0" w:color="000000"/>
              <w:bottom w:val="single" w:sz="4" w:space="0" w:color="000000"/>
              <w:right w:val="single" w:sz="4" w:space="0" w:color="000000"/>
            </w:tcBorders>
            <w:shd w:val="clear" w:color="auto" w:fill="D2D2D2"/>
          </w:tcPr>
          <w:p>
            <w:pPr/>
          </w:p>
        </w:tc>
        <w:tc>
          <w:tcPr>
            <w:tcW w:w="1218" w:type="dxa"/>
            <w:vMerge/>
            <w:tcBorders>
              <w:left w:val="single" w:sz="9" w:space="0" w:color="D2D2D2"/>
              <w:bottom w:val="single" w:sz="4" w:space="0" w:color="000000"/>
              <w:right w:val="single" w:sz="10" w:space="0" w:color="D2D2D2"/>
            </w:tcBorders>
          </w:tcPr>
          <w:p>
            <w:pPr/>
          </w:p>
        </w:tc>
        <w:tc>
          <w:tcPr>
            <w:tcW w:w="1173" w:type="dxa"/>
            <w:tcBorders>
              <w:top w:val="nil" w:sz="6" w:space="0" w:color="auto"/>
              <w:left w:val="single" w:sz="4" w:space="0" w:color="000000"/>
              <w:bottom w:val="single" w:sz="4" w:space="0" w:color="000000"/>
              <w:right w:val="single" w:sz="4" w:space="0" w:color="000000"/>
            </w:tcBorders>
            <w:shd w:val="clear" w:color="auto" w:fill="D2D2D2"/>
          </w:tcPr>
          <w:p>
            <w:pPr/>
          </w:p>
        </w:tc>
        <w:tc>
          <w:tcPr>
            <w:tcW w:w="1220" w:type="dxa"/>
            <w:vMerge/>
            <w:tcBorders>
              <w:left w:val="single" w:sz="10" w:space="0" w:color="D2D2D2"/>
              <w:bottom w:val="single" w:sz="4" w:space="0" w:color="000000"/>
              <w:right w:val="single" w:sz="13" w:space="0" w:color="D2D2D2"/>
            </w:tcBorders>
          </w:tcPr>
          <w:p>
            <w:pPr/>
          </w:p>
        </w:tc>
        <w:tc>
          <w:tcPr>
            <w:tcW w:w="1173" w:type="dxa"/>
            <w:vMerge/>
            <w:tcBorders>
              <w:left w:val="single" w:sz="4" w:space="0" w:color="000000"/>
              <w:bottom w:val="single" w:sz="4" w:space="0" w:color="000000"/>
              <w:right w:val="single" w:sz="4" w:space="0" w:color="000000"/>
            </w:tcBorders>
            <w:shd w:val="clear" w:color="auto" w:fill="D2D2D2"/>
          </w:tcPr>
          <w:p>
            <w:pPr/>
          </w:p>
        </w:tc>
        <w:tc>
          <w:tcPr>
            <w:tcW w:w="1208" w:type="dxa"/>
            <w:vMerge/>
            <w:tcBorders>
              <w:left w:val="single" w:sz="10" w:space="0" w:color="D2D2D2"/>
              <w:bottom w:val="single" w:sz="4" w:space="0" w:color="000000"/>
              <w:right w:val="single" w:sz="4" w:space="0" w:color="000000"/>
            </w:tcBorders>
          </w:tcPr>
          <w:p>
            <w:pPr/>
          </w:p>
        </w:tc>
      </w:tr>
      <w:tr>
        <w:trPr>
          <w:trHeight w:val="396" w:hRule="exact"/>
        </w:trPr>
        <w:tc>
          <w:tcPr>
            <w:tcW w:w="9559"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3051" w:right="0"/>
              <w:jc w:val="left"/>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以上的股东或前</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名股东持股情况</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1702"/>
        <w:gridCol w:w="1179"/>
        <w:gridCol w:w="948"/>
        <w:gridCol w:w="991"/>
        <w:gridCol w:w="852"/>
        <w:gridCol w:w="708"/>
        <w:gridCol w:w="425"/>
        <w:gridCol w:w="1135"/>
        <w:gridCol w:w="709"/>
        <w:gridCol w:w="922"/>
      </w:tblGrid>
      <w:tr>
        <w:trPr>
          <w:trHeight w:val="402" w:hRule="exact"/>
        </w:trPr>
        <w:tc>
          <w:tcPr>
            <w:tcW w:w="170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left="485"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17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left="225" w:right="0"/>
              <w:jc w:val="left"/>
              <w:rPr>
                <w:rFonts w:ascii="宋体" w:hAnsi="宋体" w:cs="宋体" w:eastAsia="宋体" w:hint="default"/>
                <w:sz w:val="18"/>
                <w:szCs w:val="18"/>
              </w:rPr>
            </w:pPr>
            <w:r>
              <w:rPr>
                <w:rFonts w:ascii="宋体" w:hAnsi="宋体" w:cs="宋体" w:eastAsia="宋体" w:hint="default"/>
                <w:sz w:val="18"/>
                <w:szCs w:val="18"/>
              </w:rPr>
              <w:t>股东性质</w:t>
            </w:r>
          </w:p>
        </w:tc>
        <w:tc>
          <w:tcPr>
            <w:tcW w:w="94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left="110" w:right="0"/>
              <w:jc w:val="left"/>
              <w:rPr>
                <w:rFonts w:ascii="宋体" w:hAnsi="宋体" w:cs="宋体" w:eastAsia="宋体" w:hint="default"/>
                <w:sz w:val="18"/>
                <w:szCs w:val="18"/>
              </w:rPr>
            </w:pPr>
            <w:r>
              <w:rPr>
                <w:rFonts w:ascii="宋体" w:hAnsi="宋体" w:cs="宋体" w:eastAsia="宋体" w:hint="default"/>
                <w:sz w:val="18"/>
                <w:szCs w:val="18"/>
              </w:rPr>
              <w:t>持股比例</w:t>
            </w:r>
          </w:p>
        </w:tc>
        <w:tc>
          <w:tcPr>
            <w:tcW w:w="9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316" w:lineRule="auto"/>
              <w:ind w:left="220" w:right="38" w:hanging="180"/>
              <w:jc w:val="left"/>
              <w:rPr>
                <w:rFonts w:ascii="宋体" w:hAnsi="宋体" w:cs="宋体" w:eastAsia="宋体" w:hint="default"/>
                <w:sz w:val="18"/>
                <w:szCs w:val="18"/>
              </w:rPr>
            </w:pPr>
            <w:r>
              <w:rPr>
                <w:rFonts w:ascii="宋体" w:hAnsi="宋体" w:cs="宋体" w:eastAsia="宋体" w:hint="default"/>
                <w:sz w:val="18"/>
                <w:szCs w:val="18"/>
              </w:rPr>
              <w:t>报告期末持 股数量</w:t>
            </w:r>
          </w:p>
        </w:tc>
        <w:tc>
          <w:tcPr>
            <w:tcW w:w="85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5"/>
              <w:ind w:left="59" w:right="60"/>
              <w:jc w:val="center"/>
              <w:rPr>
                <w:rFonts w:ascii="宋体" w:hAnsi="宋体" w:cs="宋体" w:eastAsia="宋体" w:hint="default"/>
                <w:sz w:val="18"/>
                <w:szCs w:val="18"/>
              </w:rPr>
            </w:pPr>
            <w:r>
              <w:rPr>
                <w:rFonts w:ascii="宋体" w:hAnsi="宋体" w:cs="宋体" w:eastAsia="宋体" w:hint="default"/>
                <w:sz w:val="18"/>
                <w:szCs w:val="18"/>
              </w:rPr>
              <w:t>报告期内 增减变动 情况</w:t>
            </w:r>
          </w:p>
        </w:tc>
        <w:tc>
          <w:tcPr>
            <w:tcW w:w="1133"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5"/>
              <w:ind w:left="112" w:right="108"/>
              <w:jc w:val="center"/>
              <w:rPr>
                <w:rFonts w:ascii="宋体" w:hAnsi="宋体" w:cs="宋体" w:eastAsia="宋体" w:hint="default"/>
                <w:sz w:val="18"/>
                <w:szCs w:val="18"/>
              </w:rPr>
            </w:pPr>
            <w:r>
              <w:rPr>
                <w:rFonts w:ascii="宋体" w:hAnsi="宋体" w:cs="宋体" w:eastAsia="宋体" w:hint="default"/>
                <w:sz w:val="18"/>
                <w:szCs w:val="18"/>
              </w:rPr>
              <w:t>持有有限售 条件的股份 数量</w:t>
            </w:r>
          </w:p>
        </w:tc>
        <w:tc>
          <w:tcPr>
            <w:tcW w:w="1135"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5"/>
              <w:ind w:left="112" w:right="110"/>
              <w:jc w:val="center"/>
              <w:rPr>
                <w:rFonts w:ascii="宋体" w:hAnsi="宋体" w:cs="宋体" w:eastAsia="宋体" w:hint="default"/>
                <w:sz w:val="18"/>
                <w:szCs w:val="18"/>
              </w:rPr>
            </w:pPr>
            <w:r>
              <w:rPr>
                <w:rFonts w:ascii="宋体" w:hAnsi="宋体" w:cs="宋体" w:eastAsia="宋体" w:hint="default"/>
                <w:sz w:val="18"/>
                <w:szCs w:val="18"/>
              </w:rPr>
              <w:t>持有无限售 条件的股份 数量</w:t>
            </w:r>
          </w:p>
        </w:tc>
        <w:tc>
          <w:tcPr>
            <w:tcW w:w="163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80" w:right="0"/>
              <w:jc w:val="left"/>
              <w:rPr>
                <w:rFonts w:ascii="宋体" w:hAnsi="宋体" w:cs="宋体" w:eastAsia="宋体" w:hint="default"/>
                <w:sz w:val="18"/>
                <w:szCs w:val="18"/>
              </w:rPr>
            </w:pPr>
            <w:r>
              <w:rPr>
                <w:rFonts w:ascii="宋体" w:hAnsi="宋体" w:cs="宋体" w:eastAsia="宋体" w:hint="default"/>
                <w:sz w:val="18"/>
                <w:szCs w:val="18"/>
              </w:rPr>
              <w:t>质押或冻结情况</w:t>
            </w:r>
          </w:p>
        </w:tc>
      </w:tr>
      <w:tr>
        <w:trPr>
          <w:trHeight w:val="714" w:hRule="exact"/>
        </w:trPr>
        <w:tc>
          <w:tcPr>
            <w:tcW w:w="1702" w:type="dxa"/>
            <w:vMerge/>
            <w:tcBorders>
              <w:left w:val="single" w:sz="4" w:space="0" w:color="000000"/>
              <w:bottom w:val="single" w:sz="4" w:space="0" w:color="000000"/>
              <w:right w:val="single" w:sz="4" w:space="0" w:color="000000"/>
            </w:tcBorders>
            <w:shd w:val="clear" w:color="auto" w:fill="D2D2D2"/>
          </w:tcPr>
          <w:p>
            <w:pPr/>
          </w:p>
        </w:tc>
        <w:tc>
          <w:tcPr>
            <w:tcW w:w="1179" w:type="dxa"/>
            <w:vMerge/>
            <w:tcBorders>
              <w:left w:val="single" w:sz="4" w:space="0" w:color="000000"/>
              <w:bottom w:val="single" w:sz="4" w:space="0" w:color="000000"/>
              <w:right w:val="single" w:sz="4" w:space="0" w:color="000000"/>
            </w:tcBorders>
            <w:shd w:val="clear" w:color="auto" w:fill="D2D2D2"/>
          </w:tcPr>
          <w:p>
            <w:pPr/>
          </w:p>
        </w:tc>
        <w:tc>
          <w:tcPr>
            <w:tcW w:w="948" w:type="dxa"/>
            <w:vMerge/>
            <w:tcBorders>
              <w:left w:val="single" w:sz="4" w:space="0" w:color="000000"/>
              <w:bottom w:val="single" w:sz="4" w:space="0" w:color="000000"/>
              <w:right w:val="single" w:sz="4" w:space="0" w:color="000000"/>
            </w:tcBorders>
            <w:shd w:val="clear" w:color="auto" w:fill="D2D2D2"/>
          </w:tcPr>
          <w:p>
            <w:pPr/>
          </w:p>
        </w:tc>
        <w:tc>
          <w:tcPr>
            <w:tcW w:w="991" w:type="dxa"/>
            <w:vMerge/>
            <w:tcBorders>
              <w:left w:val="single" w:sz="4" w:space="0" w:color="000000"/>
              <w:bottom w:val="single" w:sz="4" w:space="0" w:color="000000"/>
              <w:right w:val="single" w:sz="4" w:space="0" w:color="000000"/>
            </w:tcBorders>
            <w:shd w:val="clear" w:color="auto" w:fill="D2D2D2"/>
          </w:tcPr>
          <w:p>
            <w:pPr/>
          </w:p>
        </w:tc>
        <w:tc>
          <w:tcPr>
            <w:tcW w:w="852" w:type="dxa"/>
            <w:vMerge/>
            <w:tcBorders>
              <w:left w:val="single" w:sz="4" w:space="0" w:color="000000"/>
              <w:bottom w:val="single" w:sz="4" w:space="0" w:color="000000"/>
              <w:right w:val="single" w:sz="4" w:space="0" w:color="000000"/>
            </w:tcBorders>
            <w:shd w:val="clear" w:color="auto" w:fill="D2D2D2"/>
          </w:tcPr>
          <w:p>
            <w:pPr/>
          </w:p>
        </w:tc>
        <w:tc>
          <w:tcPr>
            <w:tcW w:w="1133" w:type="dxa"/>
            <w:gridSpan w:val="2"/>
            <w:vMerge/>
            <w:tcBorders>
              <w:left w:val="single" w:sz="4" w:space="0" w:color="000000"/>
              <w:bottom w:val="single" w:sz="4" w:space="0" w:color="000000"/>
              <w:right w:val="single" w:sz="4" w:space="0" w:color="000000"/>
            </w:tcBorders>
            <w:shd w:val="clear" w:color="auto" w:fill="D2D2D2"/>
          </w:tcPr>
          <w:p>
            <w:pPr/>
          </w:p>
        </w:tc>
        <w:tc>
          <w:tcPr>
            <w:tcW w:w="1135" w:type="dxa"/>
            <w:vMerge/>
            <w:tcBorders>
              <w:left w:val="single" w:sz="4" w:space="0" w:color="000000"/>
              <w:bottom w:val="single" w:sz="4" w:space="0" w:color="000000"/>
              <w:right w:val="single" w:sz="4" w:space="0" w:color="000000"/>
            </w:tcBorders>
            <w:shd w:val="clear" w:color="auto" w:fill="D2D2D2"/>
          </w:tcPr>
          <w:p>
            <w:pPr/>
          </w:p>
        </w:tc>
        <w:tc>
          <w:tcPr>
            <w:tcW w:w="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0"/>
              <w:ind w:left="259" w:right="77" w:hanging="181"/>
              <w:jc w:val="left"/>
              <w:rPr>
                <w:rFonts w:ascii="宋体" w:hAnsi="宋体" w:cs="宋体" w:eastAsia="宋体" w:hint="default"/>
                <w:sz w:val="18"/>
                <w:szCs w:val="18"/>
              </w:rPr>
            </w:pPr>
            <w:r>
              <w:rPr>
                <w:rFonts w:ascii="宋体" w:hAnsi="宋体" w:cs="宋体" w:eastAsia="宋体" w:hint="default"/>
                <w:sz w:val="18"/>
                <w:szCs w:val="18"/>
              </w:rPr>
              <w:t>股份状 态</w:t>
            </w:r>
          </w:p>
        </w:tc>
        <w:tc>
          <w:tcPr>
            <w:tcW w:w="9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数量</w:t>
            </w:r>
          </w:p>
        </w:tc>
      </w:tr>
      <w:tr>
        <w:trPr>
          <w:trHeight w:val="71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46"/>
              <w:jc w:val="left"/>
              <w:rPr>
                <w:rFonts w:ascii="宋体" w:hAnsi="宋体" w:cs="宋体" w:eastAsia="宋体" w:hint="default"/>
                <w:sz w:val="18"/>
                <w:szCs w:val="18"/>
              </w:rPr>
            </w:pPr>
            <w:r>
              <w:rPr>
                <w:rFonts w:ascii="宋体" w:hAnsi="宋体" w:cs="宋体" w:eastAsia="宋体" w:hint="default"/>
                <w:sz w:val="18"/>
                <w:szCs w:val="18"/>
              </w:rPr>
              <w:t>中国四维测绘技术有 限公司</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国有法人</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9.95%</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130,252,434</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13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130,252,434</w:t>
            </w:r>
          </w:p>
        </w:tc>
        <w:tc>
          <w:tcPr>
            <w:tcW w:w="709" w:type="dxa"/>
            <w:tcBorders>
              <w:top w:val="single" w:sz="4" w:space="0" w:color="000000"/>
              <w:left w:val="single" w:sz="4" w:space="0" w:color="000000"/>
              <w:bottom w:val="single" w:sz="4" w:space="0" w:color="000000"/>
              <w:right w:val="single" w:sz="4" w:space="0" w:color="000000"/>
            </w:tcBorders>
          </w:tcPr>
          <w:p>
            <w:pPr/>
          </w:p>
        </w:tc>
        <w:tc>
          <w:tcPr>
            <w:tcW w:w="92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46"/>
              <w:jc w:val="left"/>
              <w:rPr>
                <w:rFonts w:ascii="宋体" w:hAnsi="宋体" w:cs="宋体" w:eastAsia="宋体" w:hint="default"/>
                <w:sz w:val="18"/>
                <w:szCs w:val="18"/>
              </w:rPr>
            </w:pPr>
            <w:r>
              <w:rPr>
                <w:rFonts w:ascii="宋体" w:hAnsi="宋体" w:cs="宋体" w:eastAsia="宋体" w:hint="default"/>
                <w:sz w:val="18"/>
                <w:szCs w:val="18"/>
              </w:rPr>
              <w:t>深圳市腾讯产业投资 基金有限公司</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3" w:right="63"/>
              <w:jc w:val="left"/>
              <w:rPr>
                <w:rFonts w:ascii="宋体" w:hAnsi="宋体" w:cs="宋体" w:eastAsia="宋体" w:hint="default"/>
                <w:sz w:val="18"/>
                <w:szCs w:val="18"/>
              </w:rPr>
            </w:pPr>
            <w:r>
              <w:rPr>
                <w:rFonts w:ascii="宋体" w:hAnsi="宋体" w:cs="宋体" w:eastAsia="宋体" w:hint="default"/>
                <w:sz w:val="18"/>
                <w:szCs w:val="18"/>
              </w:rPr>
              <w:t>境内非国有法 人</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9.74%</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127,575,793</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13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290" w:right="0"/>
              <w:jc w:val="left"/>
              <w:rPr>
                <w:rFonts w:ascii="Times New Roman" w:hAnsi="Times New Roman" w:cs="Times New Roman" w:eastAsia="Times New Roman" w:hint="default"/>
                <w:sz w:val="18"/>
                <w:szCs w:val="18"/>
              </w:rPr>
            </w:pPr>
            <w:r>
              <w:rPr>
                <w:rFonts w:ascii="Times New Roman"/>
                <w:sz w:val="18"/>
              </w:rPr>
              <w:t>10,575,793</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117,000,000</w:t>
            </w:r>
          </w:p>
        </w:tc>
        <w:tc>
          <w:tcPr>
            <w:tcW w:w="709" w:type="dxa"/>
            <w:tcBorders>
              <w:top w:val="single" w:sz="4" w:space="0" w:color="000000"/>
              <w:left w:val="single" w:sz="4" w:space="0" w:color="000000"/>
              <w:bottom w:val="single" w:sz="4" w:space="0" w:color="000000"/>
              <w:right w:val="single" w:sz="4" w:space="0" w:color="000000"/>
            </w:tcBorders>
          </w:tcPr>
          <w:p>
            <w:pPr/>
          </w:p>
        </w:tc>
        <w:tc>
          <w:tcPr>
            <w:tcW w:w="922"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46"/>
              <w:jc w:val="left"/>
              <w:rPr>
                <w:rFonts w:ascii="宋体" w:hAnsi="宋体" w:cs="宋体" w:eastAsia="宋体" w:hint="default"/>
                <w:sz w:val="18"/>
                <w:szCs w:val="18"/>
              </w:rPr>
            </w:pPr>
            <w:r>
              <w:rPr>
                <w:rFonts w:ascii="宋体" w:hAnsi="宋体" w:cs="宋体" w:eastAsia="宋体" w:hint="default"/>
                <w:sz w:val="18"/>
                <w:szCs w:val="18"/>
              </w:rPr>
              <w:t>天安财产保险股份有 限公司－保赢</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3.50%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45,828,437</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13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90" w:right="0"/>
              <w:jc w:val="left"/>
              <w:rPr>
                <w:rFonts w:ascii="Times New Roman" w:hAnsi="Times New Roman" w:cs="Times New Roman" w:eastAsia="Times New Roman" w:hint="default"/>
                <w:sz w:val="18"/>
                <w:szCs w:val="18"/>
              </w:rPr>
            </w:pPr>
            <w:r>
              <w:rPr>
                <w:rFonts w:ascii="Times New Roman"/>
                <w:sz w:val="18"/>
              </w:rPr>
              <w:t>45,828,437</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09" w:type="dxa"/>
            <w:tcBorders>
              <w:top w:val="single" w:sz="4" w:space="0" w:color="000000"/>
              <w:left w:val="single" w:sz="4" w:space="0" w:color="000000"/>
              <w:bottom w:val="single" w:sz="4" w:space="0" w:color="000000"/>
              <w:right w:val="single" w:sz="4" w:space="0" w:color="000000"/>
            </w:tcBorders>
          </w:tcPr>
          <w:p>
            <w:pPr/>
          </w:p>
        </w:tc>
        <w:tc>
          <w:tcPr>
            <w:tcW w:w="922"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46"/>
              <w:jc w:val="left"/>
              <w:rPr>
                <w:rFonts w:ascii="宋体" w:hAnsi="宋体" w:cs="宋体" w:eastAsia="宋体" w:hint="default"/>
                <w:sz w:val="18"/>
                <w:szCs w:val="18"/>
              </w:rPr>
            </w:pPr>
            <w:r>
              <w:rPr>
                <w:rFonts w:ascii="宋体" w:hAnsi="宋体" w:cs="宋体" w:eastAsia="宋体" w:hint="default"/>
                <w:sz w:val="18"/>
                <w:szCs w:val="18"/>
              </w:rPr>
              <w:t>中央汇金资产管理有 限责任公司</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国有法人</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3.32%</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43,453,950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13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43,453,950</w:t>
            </w:r>
          </w:p>
        </w:tc>
        <w:tc>
          <w:tcPr>
            <w:tcW w:w="709" w:type="dxa"/>
            <w:tcBorders>
              <w:top w:val="single" w:sz="4" w:space="0" w:color="000000"/>
              <w:left w:val="single" w:sz="4" w:space="0" w:color="000000"/>
              <w:bottom w:val="single" w:sz="4" w:space="0" w:color="000000"/>
              <w:right w:val="single" w:sz="4" w:space="0" w:color="000000"/>
            </w:tcBorders>
          </w:tcPr>
          <w:p>
            <w:pPr/>
          </w:p>
        </w:tc>
        <w:tc>
          <w:tcPr>
            <w:tcW w:w="922"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北京芯动能投资基金</w:t>
            </w:r>
          </w:p>
          <w:p>
            <w:pPr>
              <w:pStyle w:val="TableParagraph"/>
              <w:spacing w:line="240" w:lineRule="auto" w:before="76"/>
              <w:ind w:left="24" w:right="0"/>
              <w:jc w:val="left"/>
              <w:rPr>
                <w:rFonts w:ascii="宋体" w:hAnsi="宋体" w:cs="宋体" w:eastAsia="宋体" w:hint="default"/>
                <w:sz w:val="18"/>
                <w:szCs w:val="18"/>
              </w:rPr>
            </w:pPr>
            <w:r>
              <w:rPr>
                <w:rFonts w:ascii="宋体" w:hAnsi="宋体" w:cs="宋体" w:eastAsia="宋体" w:hint="default"/>
                <w:sz w:val="18"/>
                <w:szCs w:val="18"/>
              </w:rPr>
              <w:t>（有限合伙）</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63"/>
              <w:jc w:val="left"/>
              <w:rPr>
                <w:rFonts w:ascii="宋体" w:hAnsi="宋体" w:cs="宋体" w:eastAsia="宋体" w:hint="default"/>
                <w:sz w:val="18"/>
                <w:szCs w:val="18"/>
              </w:rPr>
            </w:pPr>
            <w:r>
              <w:rPr>
                <w:rFonts w:ascii="宋体" w:hAnsi="宋体" w:cs="宋体" w:eastAsia="宋体" w:hint="default"/>
                <w:sz w:val="18"/>
                <w:szCs w:val="18"/>
              </w:rPr>
              <w:t>境内非国有法 人</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1.79%</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23,501,762</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13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90" w:right="0"/>
              <w:jc w:val="left"/>
              <w:rPr>
                <w:rFonts w:ascii="Times New Roman" w:hAnsi="Times New Roman" w:cs="Times New Roman" w:eastAsia="Times New Roman" w:hint="default"/>
                <w:sz w:val="18"/>
                <w:szCs w:val="18"/>
              </w:rPr>
            </w:pPr>
            <w:r>
              <w:rPr>
                <w:rFonts w:ascii="Times New Roman"/>
                <w:sz w:val="18"/>
              </w:rPr>
              <w:t>23,501,762</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09" w:type="dxa"/>
            <w:tcBorders>
              <w:top w:val="single" w:sz="4" w:space="0" w:color="000000"/>
              <w:left w:val="single" w:sz="4" w:space="0" w:color="000000"/>
              <w:bottom w:val="single" w:sz="4" w:space="0" w:color="000000"/>
              <w:right w:val="single" w:sz="4" w:space="0" w:color="000000"/>
            </w:tcBorders>
          </w:tcPr>
          <w:p>
            <w:pPr/>
          </w:p>
        </w:tc>
        <w:tc>
          <w:tcPr>
            <w:tcW w:w="922"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46"/>
              <w:jc w:val="both"/>
              <w:rPr>
                <w:rFonts w:ascii="宋体" w:hAnsi="宋体" w:cs="宋体" w:eastAsia="宋体" w:hint="default"/>
                <w:sz w:val="18"/>
                <w:szCs w:val="18"/>
              </w:rPr>
            </w:pPr>
            <w:r>
              <w:rPr>
                <w:rFonts w:ascii="宋体" w:hAnsi="宋体" w:cs="宋体" w:eastAsia="宋体" w:hint="default"/>
                <w:sz w:val="18"/>
                <w:szCs w:val="18"/>
              </w:rPr>
              <w:t>北京四维图新科技股 份有限公司－第一期 员工持股计划</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1.61%</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21,071,092</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13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left="290" w:right="0"/>
              <w:jc w:val="left"/>
              <w:rPr>
                <w:rFonts w:ascii="Times New Roman" w:hAnsi="Times New Roman" w:cs="Times New Roman" w:eastAsia="Times New Roman" w:hint="default"/>
                <w:sz w:val="18"/>
                <w:szCs w:val="18"/>
              </w:rPr>
            </w:pPr>
            <w:r>
              <w:rPr>
                <w:rFonts w:ascii="Times New Roman"/>
                <w:sz w:val="18"/>
              </w:rPr>
              <w:t>21,071,092</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09" w:type="dxa"/>
            <w:tcBorders>
              <w:top w:val="single" w:sz="4" w:space="0" w:color="000000"/>
              <w:left w:val="single" w:sz="4" w:space="0" w:color="000000"/>
              <w:bottom w:val="single" w:sz="4" w:space="0" w:color="000000"/>
              <w:right w:val="single" w:sz="4" w:space="0" w:color="000000"/>
            </w:tcBorders>
          </w:tcPr>
          <w:p>
            <w:pPr/>
          </w:p>
        </w:tc>
        <w:tc>
          <w:tcPr>
            <w:tcW w:w="922"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46"/>
              <w:jc w:val="left"/>
              <w:rPr>
                <w:rFonts w:ascii="宋体" w:hAnsi="宋体" w:cs="宋体" w:eastAsia="宋体" w:hint="default"/>
                <w:sz w:val="18"/>
                <w:szCs w:val="18"/>
              </w:rPr>
            </w:pPr>
            <w:r>
              <w:rPr>
                <w:rFonts w:ascii="宋体" w:hAnsi="宋体" w:cs="宋体" w:eastAsia="宋体" w:hint="default"/>
                <w:sz w:val="18"/>
                <w:szCs w:val="18"/>
              </w:rPr>
              <w:t>林芝锦华投资管理有 限公司</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63"/>
              <w:jc w:val="left"/>
              <w:rPr>
                <w:rFonts w:ascii="宋体" w:hAnsi="宋体" w:cs="宋体" w:eastAsia="宋体" w:hint="default"/>
                <w:sz w:val="18"/>
                <w:szCs w:val="18"/>
              </w:rPr>
            </w:pPr>
            <w:r>
              <w:rPr>
                <w:rFonts w:ascii="宋体" w:hAnsi="宋体" w:cs="宋体" w:eastAsia="宋体" w:hint="default"/>
                <w:sz w:val="18"/>
                <w:szCs w:val="18"/>
              </w:rPr>
              <w:t>境内非国有法 人</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1.57%</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20,564,042</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13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90" w:right="0"/>
              <w:jc w:val="left"/>
              <w:rPr>
                <w:rFonts w:ascii="Times New Roman" w:hAnsi="Times New Roman" w:cs="Times New Roman" w:eastAsia="Times New Roman" w:hint="default"/>
                <w:sz w:val="18"/>
                <w:szCs w:val="18"/>
              </w:rPr>
            </w:pPr>
            <w:r>
              <w:rPr>
                <w:rFonts w:ascii="Times New Roman"/>
                <w:sz w:val="18"/>
              </w:rPr>
              <w:t>20,564,042</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67"/>
              <w:jc w:val="right"/>
              <w:rPr>
                <w:rFonts w:ascii="宋体" w:hAnsi="宋体" w:cs="宋体" w:eastAsia="宋体" w:hint="default"/>
                <w:sz w:val="18"/>
                <w:szCs w:val="18"/>
              </w:rPr>
            </w:pPr>
            <w:r>
              <w:rPr>
                <w:rFonts w:ascii="宋体" w:hAnsi="宋体" w:cs="宋体" w:eastAsia="宋体" w:hint="default"/>
                <w:sz w:val="18"/>
                <w:szCs w:val="18"/>
              </w:rPr>
              <w:t>冻结</w:t>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3" w:right="0"/>
              <w:jc w:val="center"/>
              <w:rPr>
                <w:rFonts w:ascii="Times New Roman" w:hAnsi="Times New Roman" w:cs="Times New Roman" w:eastAsia="Times New Roman" w:hint="default"/>
                <w:sz w:val="18"/>
                <w:szCs w:val="18"/>
              </w:rPr>
            </w:pPr>
            <w:r>
              <w:rPr>
                <w:rFonts w:ascii="Times New Roman"/>
                <w:sz w:val="18"/>
              </w:rPr>
              <w:t>20,564,000</w:t>
            </w:r>
          </w:p>
        </w:tc>
      </w:tr>
      <w:tr>
        <w:trPr>
          <w:trHeight w:val="40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李龙萍</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1.39%</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18,213,866</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z w:val="18"/>
              </w:rPr>
              <w:t>0</w:t>
            </w:r>
          </w:p>
        </w:tc>
        <w:tc>
          <w:tcPr>
            <w:tcW w:w="113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90" w:right="0"/>
              <w:jc w:val="left"/>
              <w:rPr>
                <w:rFonts w:ascii="Times New Roman" w:hAnsi="Times New Roman" w:cs="Times New Roman" w:eastAsia="Times New Roman" w:hint="default"/>
                <w:sz w:val="18"/>
                <w:szCs w:val="18"/>
              </w:rPr>
            </w:pPr>
            <w:r>
              <w:rPr>
                <w:rFonts w:ascii="Times New Roman"/>
                <w:sz w:val="18"/>
              </w:rPr>
              <w:t>18,213,866</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z w:val="18"/>
              </w:rPr>
              <w:t>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67"/>
              <w:jc w:val="right"/>
              <w:rPr>
                <w:rFonts w:ascii="宋体" w:hAnsi="宋体" w:cs="宋体" w:eastAsia="宋体" w:hint="default"/>
                <w:sz w:val="18"/>
                <w:szCs w:val="18"/>
              </w:rPr>
            </w:pPr>
            <w:r>
              <w:rPr>
                <w:rFonts w:ascii="宋体" w:hAnsi="宋体" w:cs="宋体" w:eastAsia="宋体" w:hint="default"/>
                <w:sz w:val="18"/>
                <w:szCs w:val="18"/>
              </w:rPr>
              <w:t>冻结</w:t>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3" w:right="0"/>
              <w:jc w:val="center"/>
              <w:rPr>
                <w:rFonts w:ascii="Times New Roman" w:hAnsi="Times New Roman" w:cs="Times New Roman" w:eastAsia="Times New Roman" w:hint="default"/>
                <w:sz w:val="18"/>
                <w:szCs w:val="18"/>
              </w:rPr>
            </w:pPr>
            <w:r>
              <w:rPr>
                <w:rFonts w:ascii="Times New Roman"/>
                <w:sz w:val="18"/>
              </w:rPr>
              <w:t>18,213,866</w:t>
            </w:r>
          </w:p>
        </w:tc>
      </w:tr>
      <w:tr>
        <w:trPr>
          <w:trHeight w:val="401"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孙玉国</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1.35%</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17,668,323</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13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90" w:right="0"/>
              <w:jc w:val="left"/>
              <w:rPr>
                <w:rFonts w:ascii="Times New Roman" w:hAnsi="Times New Roman" w:cs="Times New Roman" w:eastAsia="Times New Roman" w:hint="default"/>
                <w:sz w:val="18"/>
                <w:szCs w:val="18"/>
              </w:rPr>
            </w:pPr>
            <w:r>
              <w:rPr>
                <w:rFonts w:ascii="Times New Roman"/>
                <w:sz w:val="18"/>
              </w:rPr>
              <w:t>13,251,242</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4,417,081</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67"/>
              <w:jc w:val="right"/>
              <w:rPr>
                <w:rFonts w:ascii="宋体" w:hAnsi="宋体" w:cs="宋体" w:eastAsia="宋体" w:hint="default"/>
                <w:sz w:val="18"/>
                <w:szCs w:val="18"/>
              </w:rPr>
            </w:pPr>
            <w:r>
              <w:rPr>
                <w:rFonts w:ascii="宋体" w:hAnsi="宋体" w:cs="宋体" w:eastAsia="宋体" w:hint="default"/>
                <w:sz w:val="18"/>
                <w:szCs w:val="18"/>
              </w:rPr>
              <w:t>质押</w:t>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4" w:right="0"/>
              <w:jc w:val="center"/>
              <w:rPr>
                <w:rFonts w:ascii="Times New Roman" w:hAnsi="Times New Roman" w:cs="Times New Roman" w:eastAsia="Times New Roman" w:hint="default"/>
                <w:sz w:val="18"/>
                <w:szCs w:val="18"/>
              </w:rPr>
            </w:pPr>
            <w:r>
              <w:rPr>
                <w:rFonts w:ascii="Times New Roman"/>
                <w:sz w:val="18"/>
              </w:rPr>
              <w:t>2,700,000</w:t>
            </w:r>
          </w:p>
        </w:tc>
      </w:tr>
      <w:tr>
        <w:trPr>
          <w:trHeight w:val="1339"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46"/>
              <w:jc w:val="both"/>
              <w:rPr>
                <w:rFonts w:ascii="宋体" w:hAnsi="宋体" w:cs="宋体" w:eastAsia="宋体" w:hint="default"/>
                <w:sz w:val="18"/>
                <w:szCs w:val="18"/>
              </w:rPr>
            </w:pPr>
            <w:r>
              <w:rPr>
                <w:rFonts w:ascii="宋体" w:hAnsi="宋体" w:cs="宋体" w:eastAsia="宋体" w:hint="default"/>
                <w:sz w:val="18"/>
                <w:szCs w:val="18"/>
              </w:rPr>
              <w:t>华泰瑞联基金管理有 限公司－南京华泰瑞 联并购基金一号（有 限合伙）</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20"/>
              <w:jc w:val="right"/>
              <w:rPr>
                <w:rFonts w:ascii="Times New Roman" w:hAnsi="Times New Roman" w:cs="Times New Roman" w:eastAsia="Times New Roman" w:hint="default"/>
                <w:sz w:val="18"/>
                <w:szCs w:val="18"/>
              </w:rPr>
            </w:pPr>
            <w:r>
              <w:rPr>
                <w:rFonts w:ascii="Times New Roman"/>
                <w:sz w:val="18"/>
              </w:rPr>
              <w:t>1.35%</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19"/>
              <w:jc w:val="right"/>
              <w:rPr>
                <w:rFonts w:ascii="Times New Roman" w:hAnsi="Times New Roman" w:cs="Times New Roman" w:eastAsia="Times New Roman" w:hint="default"/>
                <w:sz w:val="18"/>
                <w:szCs w:val="18"/>
              </w:rPr>
            </w:pPr>
            <w:r>
              <w:rPr>
                <w:rFonts w:ascii="Times New Roman"/>
                <w:spacing w:val="-1"/>
                <w:sz w:val="18"/>
              </w:rPr>
              <w:t>17,626,321</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23"/>
              <w:jc w:val="right"/>
              <w:rPr>
                <w:rFonts w:ascii="Times New Roman" w:hAnsi="Times New Roman" w:cs="Times New Roman" w:eastAsia="Times New Roman" w:hint="default"/>
                <w:sz w:val="18"/>
                <w:szCs w:val="18"/>
              </w:rPr>
            </w:pPr>
            <w:r>
              <w:rPr>
                <w:rFonts w:ascii="Times New Roman"/>
                <w:sz w:val="18"/>
              </w:rPr>
              <w:t>0</w:t>
            </w:r>
          </w:p>
        </w:tc>
        <w:tc>
          <w:tcPr>
            <w:tcW w:w="113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left="290" w:right="0"/>
              <w:jc w:val="left"/>
              <w:rPr>
                <w:rFonts w:ascii="Times New Roman" w:hAnsi="Times New Roman" w:cs="Times New Roman" w:eastAsia="Times New Roman" w:hint="default"/>
                <w:sz w:val="18"/>
                <w:szCs w:val="18"/>
              </w:rPr>
            </w:pPr>
            <w:r>
              <w:rPr>
                <w:rFonts w:ascii="Times New Roman"/>
                <w:sz w:val="18"/>
              </w:rPr>
              <w:t>17,626,321</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23"/>
              <w:jc w:val="right"/>
              <w:rPr>
                <w:rFonts w:ascii="Times New Roman" w:hAnsi="Times New Roman" w:cs="Times New Roman" w:eastAsia="Times New Roman" w:hint="default"/>
                <w:sz w:val="18"/>
                <w:szCs w:val="18"/>
              </w:rPr>
            </w:pPr>
            <w:r>
              <w:rPr>
                <w:rFonts w:ascii="Times New Roman"/>
                <w:sz w:val="18"/>
              </w:rPr>
              <w:t>0</w:t>
            </w:r>
          </w:p>
        </w:tc>
        <w:tc>
          <w:tcPr>
            <w:tcW w:w="709" w:type="dxa"/>
            <w:tcBorders>
              <w:top w:val="single" w:sz="4" w:space="0" w:color="000000"/>
              <w:left w:val="single" w:sz="4" w:space="0" w:color="000000"/>
              <w:bottom w:val="single" w:sz="4" w:space="0" w:color="000000"/>
              <w:right w:val="single" w:sz="4" w:space="0" w:color="000000"/>
            </w:tcBorders>
          </w:tcPr>
          <w:p>
            <w:pPr/>
          </w:p>
        </w:tc>
        <w:tc>
          <w:tcPr>
            <w:tcW w:w="922"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288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24" w:right="21"/>
              <w:jc w:val="left"/>
              <w:rPr>
                <w:rFonts w:ascii="宋体" w:hAnsi="宋体" w:cs="宋体" w:eastAsia="宋体" w:hint="default"/>
                <w:sz w:val="18"/>
                <w:szCs w:val="18"/>
              </w:rPr>
            </w:pPr>
            <w:r>
              <w:rPr>
                <w:rFonts w:ascii="宋体" w:hAnsi="宋体" w:cs="宋体" w:eastAsia="宋体" w:hint="default"/>
                <w:sz w:val="18"/>
                <w:szCs w:val="18"/>
              </w:rPr>
              <w:t>战略投资者或一般法人因配售新股 成为前</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4"/>
                <w:sz w:val="18"/>
                <w:szCs w:val="18"/>
              </w:rPr>
              <w:t> </w:t>
            </w:r>
            <w:r>
              <w:rPr>
                <w:rFonts w:ascii="宋体" w:hAnsi="宋体" w:cs="宋体" w:eastAsia="宋体" w:hint="default"/>
                <w:spacing w:val="-13"/>
                <w:sz w:val="18"/>
                <w:szCs w:val="18"/>
              </w:rPr>
              <w:t>名股东的情况（如有）（参</w:t>
            </w:r>
            <w:r>
              <w:rPr>
                <w:rFonts w:ascii="宋体" w:hAnsi="宋体" w:cs="宋体" w:eastAsia="宋体" w:hint="default"/>
                <w:sz w:val="18"/>
                <w:szCs w:val="18"/>
              </w:rPr>
              <w:t> 见注</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w:t>
            </w:r>
          </w:p>
        </w:tc>
        <w:tc>
          <w:tcPr>
            <w:tcW w:w="6690" w:type="dxa"/>
            <w:gridSpan w:val="8"/>
            <w:tcBorders>
              <w:top w:val="single" w:sz="4" w:space="0" w:color="000000"/>
              <w:left w:val="single" w:sz="10" w:space="0" w:color="D2D2D2"/>
              <w:bottom w:val="single" w:sz="4" w:space="0" w:color="000000"/>
              <w:right w:val="single" w:sz="4" w:space="0" w:color="000000"/>
            </w:tcBorders>
          </w:tcPr>
          <w:p>
            <w:pPr>
              <w:pStyle w:val="TableParagraph"/>
              <w:spacing w:line="316" w:lineRule="auto" w:before="49"/>
              <w:ind w:left="19" w:right="18"/>
              <w:jc w:val="left"/>
              <w:rPr>
                <w:rFonts w:ascii="宋体" w:hAnsi="宋体" w:cs="宋体" w:eastAsia="宋体" w:hint="default"/>
                <w:sz w:val="18"/>
                <w:szCs w:val="18"/>
              </w:rPr>
            </w:pPr>
            <w:r>
              <w:rPr>
                <w:rFonts w:ascii="宋体" w:hAnsi="宋体" w:cs="宋体" w:eastAsia="宋体" w:hint="default"/>
                <w:spacing w:val="-1"/>
                <w:sz w:val="18"/>
                <w:szCs w:val="18"/>
              </w:rPr>
              <w:t>上述公司前十名股东中，腾讯产业基金、天安财险、芯动能基金、员工持股计划，林</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3"/>
                <w:sz w:val="18"/>
                <w:szCs w:val="18"/>
              </w:rPr>
              <w:t>芝锦华、李龙萍（中信建投证券委托人之一）、华泰瑞联为公司重大资产重组的非公</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开发行对象。</w:t>
            </w:r>
          </w:p>
        </w:tc>
      </w:tr>
      <w:tr>
        <w:trPr>
          <w:trHeight w:val="715" w:hRule="exact"/>
        </w:trPr>
        <w:tc>
          <w:tcPr>
            <w:tcW w:w="288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4" w:right="145"/>
              <w:jc w:val="left"/>
              <w:rPr>
                <w:rFonts w:ascii="宋体" w:hAnsi="宋体" w:cs="宋体" w:eastAsia="宋体" w:hint="default"/>
                <w:sz w:val="18"/>
                <w:szCs w:val="18"/>
              </w:rPr>
            </w:pPr>
            <w:r>
              <w:rPr>
                <w:rFonts w:ascii="宋体" w:hAnsi="宋体" w:cs="宋体" w:eastAsia="宋体" w:hint="default"/>
                <w:sz w:val="18"/>
                <w:szCs w:val="18"/>
              </w:rPr>
              <w:t>上述股东关联关系或一致行动的说 明</w:t>
            </w:r>
          </w:p>
        </w:tc>
        <w:tc>
          <w:tcPr>
            <w:tcW w:w="6690" w:type="dxa"/>
            <w:gridSpan w:val="8"/>
            <w:tcBorders>
              <w:top w:val="single" w:sz="4" w:space="0" w:color="000000"/>
              <w:left w:val="single" w:sz="10" w:space="0" w:color="D2D2D2"/>
              <w:bottom w:val="single" w:sz="4" w:space="0" w:color="000000"/>
              <w:right w:val="single" w:sz="4" w:space="0" w:color="000000"/>
            </w:tcBorders>
          </w:tcPr>
          <w:p>
            <w:pPr>
              <w:pStyle w:val="TableParagraph"/>
              <w:spacing w:line="314" w:lineRule="auto" w:before="51"/>
              <w:ind w:left="19" w:right="20"/>
              <w:jc w:val="left"/>
              <w:rPr>
                <w:rFonts w:ascii="宋体" w:hAnsi="宋体" w:cs="宋体" w:eastAsia="宋体" w:hint="default"/>
                <w:sz w:val="18"/>
                <w:szCs w:val="18"/>
              </w:rPr>
            </w:pPr>
            <w:r>
              <w:rPr>
                <w:rFonts w:ascii="宋体" w:hAnsi="宋体" w:cs="宋体" w:eastAsia="宋体" w:hint="default"/>
                <w:spacing w:val="-1"/>
                <w:sz w:val="18"/>
                <w:szCs w:val="18"/>
              </w:rPr>
              <w:t>上述股东中天安财险、李龙萍将其表决权授予程鹏先生。公司未知除天安财险、李龙</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萍外其他股东之间是否存在关联关系或一致行动。</w:t>
            </w:r>
          </w:p>
        </w:tc>
      </w:tr>
      <w:tr>
        <w:trPr>
          <w:trHeight w:val="397" w:hRule="exact"/>
        </w:trPr>
        <w:tc>
          <w:tcPr>
            <w:tcW w:w="9571" w:type="dxa"/>
            <w:gridSpan w:val="10"/>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名无限售条件股东持股情况</w:t>
            </w:r>
          </w:p>
        </w:tc>
      </w:tr>
      <w:tr>
        <w:trPr>
          <w:trHeight w:val="211" w:hRule="exact"/>
        </w:trPr>
        <w:tc>
          <w:tcPr>
            <w:tcW w:w="3829" w:type="dxa"/>
            <w:gridSpan w:val="3"/>
            <w:tcBorders>
              <w:top w:val="single" w:sz="4" w:space="0" w:color="000000"/>
              <w:left w:val="single" w:sz="4" w:space="0" w:color="000000"/>
              <w:bottom w:val="nil" w:sz="6" w:space="0" w:color="auto"/>
              <w:right w:val="single" w:sz="4" w:space="0" w:color="000000"/>
            </w:tcBorders>
            <w:shd w:val="clear" w:color="auto" w:fill="D2D2D2"/>
          </w:tcPr>
          <w:p>
            <w:pPr/>
          </w:p>
        </w:tc>
        <w:tc>
          <w:tcPr>
            <w:tcW w:w="255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9"/>
              <w:ind w:left="1092" w:right="99" w:hanging="992"/>
              <w:jc w:val="left"/>
              <w:rPr>
                <w:rFonts w:ascii="宋体" w:hAnsi="宋体" w:cs="宋体" w:eastAsia="宋体" w:hint="default"/>
                <w:sz w:val="18"/>
                <w:szCs w:val="18"/>
              </w:rPr>
            </w:pPr>
            <w:r>
              <w:rPr>
                <w:rFonts w:ascii="宋体" w:hAnsi="宋体" w:cs="宋体" w:eastAsia="宋体" w:hint="default"/>
                <w:sz w:val="18"/>
                <w:szCs w:val="18"/>
              </w:rPr>
              <w:t>报告期末持有无限售条件股份 数量</w:t>
            </w:r>
          </w:p>
        </w:tc>
        <w:tc>
          <w:tcPr>
            <w:tcW w:w="3190" w:type="dxa"/>
            <w:gridSpan w:val="4"/>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股份种类</w:t>
            </w:r>
          </w:p>
        </w:tc>
      </w:tr>
      <w:tr>
        <w:trPr>
          <w:trHeight w:val="192" w:hRule="exact"/>
        </w:trPr>
        <w:tc>
          <w:tcPr>
            <w:tcW w:w="3829" w:type="dxa"/>
            <w:gridSpan w:val="3"/>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2552" w:type="dxa"/>
            <w:gridSpan w:val="3"/>
            <w:vMerge/>
            <w:tcBorders>
              <w:left w:val="single" w:sz="4" w:space="0" w:color="000000"/>
              <w:right w:val="single" w:sz="4" w:space="0" w:color="000000"/>
            </w:tcBorders>
            <w:shd w:val="clear" w:color="auto" w:fill="D2D2D2"/>
          </w:tcPr>
          <w:p>
            <w:pPr/>
          </w:p>
        </w:tc>
        <w:tc>
          <w:tcPr>
            <w:tcW w:w="3190" w:type="dxa"/>
            <w:gridSpan w:val="4"/>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3829" w:type="dxa"/>
            <w:gridSpan w:val="3"/>
            <w:vMerge/>
            <w:tcBorders>
              <w:left w:val="single" w:sz="4" w:space="0" w:color="000000"/>
              <w:bottom w:val="nil" w:sz="6" w:space="0" w:color="auto"/>
              <w:right w:val="single" w:sz="4" w:space="0" w:color="000000"/>
            </w:tcBorders>
            <w:shd w:val="clear" w:color="auto" w:fill="D2D2D2"/>
          </w:tcPr>
          <w:p>
            <w:pPr/>
          </w:p>
        </w:tc>
        <w:tc>
          <w:tcPr>
            <w:tcW w:w="2552" w:type="dxa"/>
            <w:gridSpan w:val="3"/>
            <w:vMerge/>
            <w:tcBorders>
              <w:left w:val="single" w:sz="4" w:space="0" w:color="000000"/>
              <w:right w:val="single" w:sz="4" w:space="0" w:color="000000"/>
            </w:tcBorders>
            <w:shd w:val="clear" w:color="auto" w:fill="D2D2D2"/>
          </w:tcPr>
          <w:p>
            <w:pPr/>
          </w:p>
        </w:tc>
        <w:tc>
          <w:tcPr>
            <w:tcW w:w="1560"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415" w:right="0"/>
              <w:jc w:val="left"/>
              <w:rPr>
                <w:rFonts w:ascii="宋体" w:hAnsi="宋体" w:cs="宋体" w:eastAsia="宋体" w:hint="default"/>
                <w:sz w:val="18"/>
                <w:szCs w:val="18"/>
              </w:rPr>
            </w:pPr>
            <w:r>
              <w:rPr>
                <w:rFonts w:ascii="宋体" w:hAnsi="宋体" w:cs="宋体" w:eastAsia="宋体" w:hint="default"/>
                <w:sz w:val="18"/>
                <w:szCs w:val="18"/>
              </w:rPr>
              <w:t>股份种类</w:t>
            </w:r>
          </w:p>
        </w:tc>
        <w:tc>
          <w:tcPr>
            <w:tcW w:w="1630"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 w:right="0"/>
              <w:jc w:val="center"/>
              <w:rPr>
                <w:rFonts w:ascii="宋体" w:hAnsi="宋体" w:cs="宋体" w:eastAsia="宋体" w:hint="default"/>
                <w:sz w:val="18"/>
                <w:szCs w:val="18"/>
              </w:rPr>
            </w:pPr>
            <w:r>
              <w:rPr>
                <w:rFonts w:ascii="宋体" w:hAnsi="宋体" w:cs="宋体" w:eastAsia="宋体" w:hint="default"/>
                <w:sz w:val="18"/>
                <w:szCs w:val="18"/>
              </w:rPr>
              <w:t>数量</w:t>
            </w:r>
          </w:p>
        </w:tc>
      </w:tr>
      <w:tr>
        <w:trPr>
          <w:trHeight w:val="204" w:hRule="exact"/>
        </w:trPr>
        <w:tc>
          <w:tcPr>
            <w:tcW w:w="3829" w:type="dxa"/>
            <w:gridSpan w:val="3"/>
            <w:tcBorders>
              <w:top w:val="nil" w:sz="6" w:space="0" w:color="auto"/>
              <w:left w:val="single" w:sz="4" w:space="0" w:color="000000"/>
              <w:bottom w:val="single" w:sz="4" w:space="0" w:color="000000"/>
              <w:right w:val="single" w:sz="4" w:space="0" w:color="000000"/>
            </w:tcBorders>
            <w:shd w:val="clear" w:color="auto" w:fill="D2D2D2"/>
          </w:tcPr>
          <w:p>
            <w:pPr/>
          </w:p>
        </w:tc>
        <w:tc>
          <w:tcPr>
            <w:tcW w:w="2552" w:type="dxa"/>
            <w:gridSpan w:val="3"/>
            <w:vMerge/>
            <w:tcBorders>
              <w:left w:val="single" w:sz="4" w:space="0" w:color="000000"/>
              <w:bottom w:val="single" w:sz="4" w:space="0" w:color="000000"/>
              <w:right w:val="single" w:sz="4" w:space="0" w:color="000000"/>
            </w:tcBorders>
            <w:shd w:val="clear" w:color="auto" w:fill="D2D2D2"/>
          </w:tcPr>
          <w:p>
            <w:pPr/>
          </w:p>
        </w:tc>
        <w:tc>
          <w:tcPr>
            <w:tcW w:w="1560" w:type="dxa"/>
            <w:gridSpan w:val="2"/>
            <w:vMerge/>
            <w:tcBorders>
              <w:left w:val="single" w:sz="4" w:space="0" w:color="000000"/>
              <w:bottom w:val="single" w:sz="4" w:space="0" w:color="000000"/>
              <w:right w:val="single" w:sz="4" w:space="0" w:color="000000"/>
            </w:tcBorders>
            <w:shd w:val="clear" w:color="auto" w:fill="D2D2D2"/>
          </w:tcPr>
          <w:p>
            <w:pPr/>
          </w:p>
        </w:tc>
        <w:tc>
          <w:tcPr>
            <w:tcW w:w="1630" w:type="dxa"/>
            <w:gridSpan w:val="2"/>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382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中国四维测绘技术有限公司</w:t>
            </w:r>
          </w:p>
        </w:tc>
        <w:tc>
          <w:tcPr>
            <w:tcW w:w="2552" w:type="dxa"/>
            <w:gridSpan w:val="3"/>
            <w:tcBorders>
              <w:top w:val="single" w:sz="21" w:space="0" w:color="D2D2D2"/>
              <w:left w:val="single" w:sz="4" w:space="0" w:color="000000"/>
              <w:bottom w:val="single" w:sz="4" w:space="0" w:color="000000"/>
              <w:right w:val="single" w:sz="4" w:space="0" w:color="000000"/>
            </w:tcBorders>
          </w:tcPr>
          <w:p>
            <w:pPr>
              <w:pStyle w:val="TableParagraph"/>
              <w:spacing w:line="240" w:lineRule="auto" w:before="72"/>
              <w:ind w:left="1620" w:right="0"/>
              <w:jc w:val="left"/>
              <w:rPr>
                <w:rFonts w:ascii="Times New Roman" w:hAnsi="Times New Roman" w:cs="Times New Roman" w:eastAsia="Times New Roman" w:hint="default"/>
                <w:sz w:val="18"/>
                <w:szCs w:val="18"/>
              </w:rPr>
            </w:pPr>
            <w:r>
              <w:rPr>
                <w:rFonts w:ascii="Times New Roman"/>
                <w:sz w:val="18"/>
              </w:rPr>
              <w:t>130,252,434</w:t>
            </w:r>
          </w:p>
        </w:tc>
        <w:tc>
          <w:tcPr>
            <w:tcW w:w="15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63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698" w:right="0"/>
              <w:jc w:val="left"/>
              <w:rPr>
                <w:rFonts w:ascii="Times New Roman" w:hAnsi="Times New Roman" w:cs="Times New Roman" w:eastAsia="Times New Roman" w:hint="default"/>
                <w:sz w:val="18"/>
                <w:szCs w:val="18"/>
              </w:rPr>
            </w:pPr>
            <w:r>
              <w:rPr>
                <w:rFonts w:ascii="Times New Roman"/>
                <w:sz w:val="18"/>
              </w:rPr>
              <w:t>130,252,434</w:t>
            </w:r>
          </w:p>
        </w:tc>
      </w:tr>
      <w:tr>
        <w:trPr>
          <w:trHeight w:val="401" w:hRule="exact"/>
        </w:trPr>
        <w:tc>
          <w:tcPr>
            <w:tcW w:w="382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深圳市腾讯产业投资基金有限公司</w:t>
            </w:r>
          </w:p>
        </w:tc>
        <w:tc>
          <w:tcPr>
            <w:tcW w:w="255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627" w:right="0"/>
              <w:jc w:val="left"/>
              <w:rPr>
                <w:rFonts w:ascii="Times New Roman" w:hAnsi="Times New Roman" w:cs="Times New Roman" w:eastAsia="Times New Roman" w:hint="default"/>
                <w:sz w:val="18"/>
                <w:szCs w:val="18"/>
              </w:rPr>
            </w:pPr>
            <w:r>
              <w:rPr>
                <w:rFonts w:ascii="Times New Roman"/>
                <w:sz w:val="18"/>
              </w:rPr>
              <w:t>117,000,000</w:t>
            </w:r>
          </w:p>
        </w:tc>
        <w:tc>
          <w:tcPr>
            <w:tcW w:w="15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63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06" w:right="0"/>
              <w:jc w:val="left"/>
              <w:rPr>
                <w:rFonts w:ascii="Times New Roman" w:hAnsi="Times New Roman" w:cs="Times New Roman" w:eastAsia="Times New Roman" w:hint="default"/>
                <w:sz w:val="18"/>
                <w:szCs w:val="18"/>
              </w:rPr>
            </w:pPr>
            <w:r>
              <w:rPr>
                <w:rFonts w:ascii="Times New Roman"/>
                <w:sz w:val="18"/>
              </w:rPr>
              <w:t>117,000,000</w:t>
            </w:r>
          </w:p>
        </w:tc>
      </w:tr>
      <w:tr>
        <w:trPr>
          <w:trHeight w:val="403" w:hRule="exact"/>
        </w:trPr>
        <w:tc>
          <w:tcPr>
            <w:tcW w:w="382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中央汇金资产管理有限责任公司</w:t>
            </w:r>
          </w:p>
        </w:tc>
        <w:tc>
          <w:tcPr>
            <w:tcW w:w="255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43,453,950</w:t>
            </w:r>
          </w:p>
        </w:tc>
        <w:tc>
          <w:tcPr>
            <w:tcW w:w="15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63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87" w:right="0"/>
              <w:jc w:val="left"/>
              <w:rPr>
                <w:rFonts w:ascii="Times New Roman" w:hAnsi="Times New Roman" w:cs="Times New Roman" w:eastAsia="Times New Roman" w:hint="default"/>
                <w:sz w:val="18"/>
                <w:szCs w:val="18"/>
              </w:rPr>
            </w:pPr>
            <w:r>
              <w:rPr>
                <w:rFonts w:ascii="Times New Roman"/>
                <w:sz w:val="18"/>
              </w:rPr>
              <w:t>43,453,950</w:t>
            </w:r>
          </w:p>
        </w:tc>
      </w:tr>
      <w:tr>
        <w:trPr>
          <w:trHeight w:val="713" w:hRule="exact"/>
        </w:trPr>
        <w:tc>
          <w:tcPr>
            <w:tcW w:w="3829" w:type="dxa"/>
            <w:gridSpan w:val="3"/>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4" w:right="19"/>
              <w:jc w:val="left"/>
              <w:rPr>
                <w:rFonts w:ascii="宋体" w:hAnsi="宋体" w:cs="宋体" w:eastAsia="宋体" w:hint="default"/>
                <w:sz w:val="18"/>
                <w:szCs w:val="18"/>
              </w:rPr>
            </w:pPr>
            <w:r>
              <w:rPr>
                <w:rFonts w:ascii="宋体" w:hAnsi="宋体" w:cs="宋体" w:eastAsia="宋体" w:hint="default"/>
                <w:sz w:val="18"/>
                <w:szCs w:val="18"/>
              </w:rPr>
              <w:t>安邦资产－平安银行－安邦资产－共赢</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号集合 资产管理产品（第六期）</w:t>
            </w:r>
          </w:p>
        </w:tc>
        <w:tc>
          <w:tcPr>
            <w:tcW w:w="255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11,781,588</w:t>
            </w:r>
          </w:p>
        </w:tc>
        <w:tc>
          <w:tcPr>
            <w:tcW w:w="15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63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94" w:right="0"/>
              <w:jc w:val="left"/>
              <w:rPr>
                <w:rFonts w:ascii="Times New Roman" w:hAnsi="Times New Roman" w:cs="Times New Roman" w:eastAsia="Times New Roman" w:hint="default"/>
                <w:sz w:val="18"/>
                <w:szCs w:val="18"/>
              </w:rPr>
            </w:pPr>
            <w:r>
              <w:rPr>
                <w:rFonts w:ascii="Times New Roman"/>
                <w:sz w:val="18"/>
              </w:rPr>
              <w:t>11,781,588</w:t>
            </w:r>
          </w:p>
        </w:tc>
      </w:tr>
      <w:tr>
        <w:trPr>
          <w:trHeight w:val="403" w:hRule="exact"/>
        </w:trPr>
        <w:tc>
          <w:tcPr>
            <w:tcW w:w="382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24" w:right="0"/>
              <w:jc w:val="left"/>
              <w:rPr>
                <w:rFonts w:ascii="宋体" w:hAnsi="宋体" w:cs="宋体" w:eastAsia="宋体" w:hint="default"/>
                <w:sz w:val="18"/>
                <w:szCs w:val="18"/>
              </w:rPr>
            </w:pPr>
            <w:r>
              <w:rPr>
                <w:rFonts w:ascii="宋体" w:hAnsi="宋体" w:cs="宋体" w:eastAsia="宋体" w:hint="default"/>
                <w:sz w:val="18"/>
                <w:szCs w:val="18"/>
              </w:rPr>
              <w:t>中国农业银行股份有限公司－华夏中证央企结</w:t>
            </w:r>
          </w:p>
        </w:tc>
        <w:tc>
          <w:tcPr>
            <w:tcW w:w="255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7,133,558</w:t>
            </w:r>
          </w:p>
        </w:tc>
        <w:tc>
          <w:tcPr>
            <w:tcW w:w="15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63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878" w:right="0"/>
              <w:jc w:val="left"/>
              <w:rPr>
                <w:rFonts w:ascii="Times New Roman" w:hAnsi="Times New Roman" w:cs="Times New Roman" w:eastAsia="Times New Roman" w:hint="default"/>
                <w:sz w:val="18"/>
                <w:szCs w:val="18"/>
              </w:rPr>
            </w:pPr>
            <w:r>
              <w:rPr>
                <w:rFonts w:ascii="Times New Roman"/>
                <w:sz w:val="18"/>
              </w:rPr>
              <w:t>7,133,558</w:t>
            </w:r>
          </w:p>
        </w:tc>
      </w:tr>
    </w:tbl>
    <w:p>
      <w:pPr>
        <w:spacing w:after="0" w:line="240" w:lineRule="auto"/>
        <w:jc w:val="lef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3829"/>
        <w:gridCol w:w="2552"/>
        <w:gridCol w:w="1560"/>
        <w:gridCol w:w="1630"/>
      </w:tblGrid>
      <w:tr>
        <w:trPr>
          <w:trHeight w:val="363" w:hRule="exact"/>
        </w:trPr>
        <w:tc>
          <w:tcPr>
            <w:tcW w:w="38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构调整交易型开放式指数证券投资基金</w:t>
            </w:r>
          </w:p>
        </w:tc>
        <w:tc>
          <w:tcPr>
            <w:tcW w:w="2552"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8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章洪根</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5,259,000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5,259,000</w:t>
            </w:r>
          </w:p>
        </w:tc>
      </w:tr>
      <w:tr>
        <w:trPr>
          <w:trHeight w:val="403" w:hRule="exact"/>
        </w:trPr>
        <w:tc>
          <w:tcPr>
            <w:tcW w:w="38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孙玉国</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4,417,081</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4,417,081</w:t>
            </w:r>
          </w:p>
        </w:tc>
      </w:tr>
      <w:tr>
        <w:trPr>
          <w:trHeight w:val="713" w:hRule="exact"/>
        </w:trPr>
        <w:tc>
          <w:tcPr>
            <w:tcW w:w="382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93"/>
              <w:jc w:val="left"/>
              <w:rPr>
                <w:rFonts w:ascii="宋体" w:hAnsi="宋体" w:cs="宋体" w:eastAsia="宋体" w:hint="default"/>
                <w:sz w:val="18"/>
                <w:szCs w:val="18"/>
              </w:rPr>
            </w:pPr>
            <w:r>
              <w:rPr>
                <w:rFonts w:ascii="宋体" w:hAnsi="宋体" w:cs="宋体" w:eastAsia="宋体" w:hint="default"/>
                <w:sz w:val="18"/>
                <w:szCs w:val="18"/>
              </w:rPr>
              <w:t>招商银行股份有限公司－博时中证央企结构调 整交易型开放式指数证券投资基金</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4,237,692</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4,237,692</w:t>
            </w:r>
          </w:p>
        </w:tc>
      </w:tr>
      <w:tr>
        <w:trPr>
          <w:trHeight w:val="403" w:hRule="exact"/>
        </w:trPr>
        <w:tc>
          <w:tcPr>
            <w:tcW w:w="38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香港中央结算有限公司</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w w:val="95"/>
                <w:sz w:val="18"/>
              </w:rPr>
              <w:t>3,885,114</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w w:val="95"/>
                <w:sz w:val="18"/>
              </w:rPr>
              <w:t>3,885,114</w:t>
            </w:r>
          </w:p>
        </w:tc>
      </w:tr>
      <w:tr>
        <w:trPr>
          <w:trHeight w:val="713" w:hRule="exact"/>
        </w:trPr>
        <w:tc>
          <w:tcPr>
            <w:tcW w:w="38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太平人寿保险有限公司－传统－普通保险产品</w:t>
            </w:r>
          </w:p>
          <w:p>
            <w:pPr>
              <w:pStyle w:val="TableParagraph"/>
              <w:spacing w:line="240" w:lineRule="auto" w:before="76"/>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-022L-CT001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深</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3,596,855</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3,596,855</w:t>
            </w:r>
          </w:p>
        </w:tc>
      </w:tr>
      <w:tr>
        <w:trPr>
          <w:trHeight w:val="1028" w:hRule="exact"/>
        </w:trPr>
        <w:tc>
          <w:tcPr>
            <w:tcW w:w="38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名无限售流通股股东之间，以及前</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名无</w:t>
            </w:r>
          </w:p>
          <w:p>
            <w:pPr>
              <w:pStyle w:val="TableParagraph"/>
              <w:spacing w:line="300" w:lineRule="auto" w:before="63"/>
              <w:ind w:left="24" w:right="101"/>
              <w:jc w:val="left"/>
              <w:rPr>
                <w:rFonts w:ascii="宋体" w:hAnsi="宋体" w:cs="宋体" w:eastAsia="宋体" w:hint="default"/>
                <w:sz w:val="18"/>
                <w:szCs w:val="18"/>
              </w:rPr>
            </w:pPr>
            <w:r>
              <w:rPr>
                <w:rFonts w:ascii="宋体" w:hAnsi="宋体" w:cs="宋体" w:eastAsia="宋体" w:hint="default"/>
                <w:sz w:val="18"/>
                <w:szCs w:val="18"/>
              </w:rPr>
              <w:t>限售流通股股东和前</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名股东之间关联关系或 一致行动的说明</w:t>
            </w:r>
          </w:p>
        </w:tc>
        <w:tc>
          <w:tcPr>
            <w:tcW w:w="574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公司未知上述股东之间是否存在关联关系或一致行动。</w:t>
            </w:r>
          </w:p>
        </w:tc>
      </w:tr>
      <w:tr>
        <w:trPr>
          <w:trHeight w:val="1025" w:hRule="exact"/>
        </w:trPr>
        <w:tc>
          <w:tcPr>
            <w:tcW w:w="38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名普通股股东参与融资融券业务情况说明</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（如有</w:t>
            </w:r>
            <w:r>
              <w:rPr>
                <w:rFonts w:ascii="宋体" w:hAnsi="宋体" w:cs="宋体" w:eastAsia="宋体" w:hint="default"/>
                <w:spacing w:val="-92"/>
                <w:sz w:val="18"/>
                <w:szCs w:val="18"/>
              </w:rPr>
              <w:t>）</w:t>
            </w:r>
            <w:r>
              <w:rPr>
                <w:rFonts w:ascii="宋体" w:hAnsi="宋体" w:cs="宋体" w:eastAsia="宋体" w:hint="default"/>
                <w:sz w:val="18"/>
                <w:szCs w:val="18"/>
              </w:rPr>
              <w:t>（参见注</w:t>
            </w:r>
            <w:r>
              <w:rPr>
                <w:rFonts w:ascii="宋体" w:hAnsi="宋体" w:cs="宋体" w:eastAsia="宋体" w:hint="default"/>
                <w:spacing w:val="-44"/>
                <w:sz w:val="18"/>
                <w:szCs w:val="18"/>
              </w:rPr>
              <w:t> </w:t>
            </w:r>
            <w:r>
              <w:rPr>
                <w:rFonts w:ascii="Times New Roman" w:hAnsi="Times New Roman" w:cs="Times New Roman" w:eastAsia="Times New Roman" w:hint="default"/>
                <w:spacing w:val="1"/>
                <w:sz w:val="18"/>
                <w:szCs w:val="18"/>
              </w:rPr>
              <w:t>4</w:t>
            </w:r>
            <w:r>
              <w:rPr>
                <w:rFonts w:ascii="宋体" w:hAnsi="宋体" w:cs="宋体" w:eastAsia="宋体" w:hint="default"/>
                <w:sz w:val="18"/>
                <w:szCs w:val="18"/>
              </w:rPr>
              <w:t>）</w:t>
            </w:r>
          </w:p>
        </w:tc>
        <w:tc>
          <w:tcPr>
            <w:tcW w:w="5742" w:type="dxa"/>
            <w:gridSpan w:val="3"/>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24" w:right="23"/>
              <w:jc w:val="left"/>
              <w:rPr>
                <w:rFonts w:ascii="宋体" w:hAnsi="宋体" w:cs="宋体" w:eastAsia="宋体" w:hint="default"/>
                <w:sz w:val="18"/>
                <w:szCs w:val="18"/>
              </w:rPr>
            </w:pPr>
            <w:r>
              <w:rPr>
                <w:rFonts w:ascii="宋体" w:hAnsi="宋体" w:cs="宋体" w:eastAsia="宋体" w:hint="default"/>
                <w:spacing w:val="-3"/>
                <w:sz w:val="18"/>
                <w:szCs w:val="18"/>
              </w:rPr>
              <w:t>股东章洪根，通过中泰证券股份有限公司客户信用交易担保证券账户持有</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Times New Roman" w:hAnsi="Times New Roman" w:cs="Times New Roman" w:eastAsia="Times New Roman" w:hint="default"/>
                <w:sz w:val="18"/>
                <w:szCs w:val="18"/>
              </w:rPr>
              <w:t>5,120,000 </w:t>
            </w:r>
            <w:r>
              <w:rPr>
                <w:rFonts w:ascii="宋体" w:hAnsi="宋体" w:cs="宋体" w:eastAsia="宋体" w:hint="default"/>
                <w:sz w:val="18"/>
                <w:szCs w:val="18"/>
              </w:rPr>
              <w:t>股，通过普通证券账户持有 </w:t>
            </w:r>
            <w:r>
              <w:rPr>
                <w:rFonts w:ascii="Times New Roman" w:hAnsi="Times New Roman" w:cs="Times New Roman" w:eastAsia="Times New Roman" w:hint="default"/>
                <w:sz w:val="18"/>
                <w:szCs w:val="18"/>
              </w:rPr>
              <w:t>139,000 </w:t>
            </w:r>
            <w:r>
              <w:rPr>
                <w:rFonts w:ascii="宋体" w:hAnsi="宋体" w:cs="宋体" w:eastAsia="宋体" w:hint="default"/>
                <w:sz w:val="18"/>
                <w:szCs w:val="18"/>
              </w:rPr>
              <w:t>股，合计持有</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5,259,000 </w:t>
            </w:r>
            <w:r>
              <w:rPr>
                <w:rFonts w:ascii="宋体" w:hAnsi="宋体" w:cs="宋体" w:eastAsia="宋体" w:hint="default"/>
                <w:sz w:val="18"/>
                <w:szCs w:val="18"/>
              </w:rPr>
              <w:t>股。</w:t>
            </w:r>
          </w:p>
        </w:tc>
      </w:tr>
    </w:tbl>
    <w:p>
      <w:pPr>
        <w:pStyle w:val="BodyText"/>
        <w:spacing w:line="240" w:lineRule="auto" w:before="49"/>
        <w:ind w:right="982"/>
        <w:jc w:val="left"/>
      </w:pPr>
      <w:r>
        <w:rPr/>
        <w:t>公司前</w:t>
      </w:r>
      <w:r>
        <w:rPr>
          <w:spacing w:val="-46"/>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名普通股股东、前</w:t>
      </w:r>
      <w:r>
        <w:rPr>
          <w:spacing w:val="-47"/>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名无限售条件普通股股东在报告期内是否进行约定购回交易</w:t>
      </w:r>
    </w:p>
    <w:p>
      <w:pPr>
        <w:pStyle w:val="BodyText"/>
        <w:spacing w:line="240" w:lineRule="auto" w:before="103"/>
        <w:ind w:right="982"/>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pStyle w:val="BodyText"/>
        <w:spacing w:line="240" w:lineRule="auto" w:before="101"/>
        <w:ind w:right="982"/>
        <w:jc w:val="left"/>
      </w:pPr>
      <w:r>
        <w:rPr/>
        <w:t>公司前</w:t>
      </w:r>
      <w:r>
        <w:rPr>
          <w:spacing w:val="-46"/>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名普通股股东、前</w:t>
      </w:r>
      <w:r>
        <w:rPr>
          <w:spacing w:val="-47"/>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名无限售条件普通股股东在报告期内未进行约定购回交易。</w:t>
      </w:r>
    </w:p>
    <w:p>
      <w:pPr>
        <w:spacing w:line="240" w:lineRule="auto" w:before="2"/>
        <w:rPr>
          <w:rFonts w:ascii="宋体" w:hAnsi="宋体" w:cs="宋体" w:eastAsia="宋体" w:hint="default"/>
          <w:sz w:val="26"/>
          <w:szCs w:val="26"/>
        </w:rPr>
      </w:pPr>
    </w:p>
    <w:p>
      <w:pPr>
        <w:pStyle w:val="Heading4"/>
        <w:spacing w:line="240" w:lineRule="auto"/>
        <w:ind w:right="982"/>
        <w:jc w:val="left"/>
        <w:rPr>
          <w:b w:val="0"/>
          <w:bCs w:val="0"/>
        </w:rPr>
      </w:pPr>
      <w:r>
        <w:rPr>
          <w:rFonts w:ascii="Times New Roman" w:hAnsi="Times New Roman" w:cs="Times New Roman" w:eastAsia="Times New Roman" w:hint="default"/>
        </w:rPr>
        <w:t>2</w:t>
      </w:r>
      <w:r>
        <w:rPr/>
        <w:t>、公司控股股东情况</w:t>
      </w:r>
      <w:r>
        <w:rPr>
          <w:b w:val="0"/>
          <w:bCs w:val="0"/>
        </w:rPr>
      </w:r>
    </w:p>
    <w:p>
      <w:pPr>
        <w:spacing w:line="240" w:lineRule="auto" w:before="5"/>
        <w:rPr>
          <w:rFonts w:ascii="宋体" w:hAnsi="宋体" w:cs="宋体" w:eastAsia="宋体" w:hint="default"/>
          <w:b/>
          <w:bCs/>
          <w:sz w:val="26"/>
          <w:szCs w:val="26"/>
        </w:rPr>
      </w:pPr>
    </w:p>
    <w:p>
      <w:pPr>
        <w:pStyle w:val="BodyText"/>
        <w:spacing w:line="357" w:lineRule="auto"/>
        <w:ind w:right="8234"/>
        <w:jc w:val="left"/>
      </w:pPr>
      <w:r>
        <w:rPr/>
        <w:t>控股股东性质：无控股主体 控股股东类型：不存在 公司不存在控股股东情况的说明</w:t>
      </w:r>
    </w:p>
    <w:p>
      <w:pPr>
        <w:pStyle w:val="BodyText"/>
        <w:spacing w:line="240" w:lineRule="auto" w:before="29"/>
        <w:ind w:left="573" w:right="982"/>
        <w:jc w:val="left"/>
      </w:pPr>
      <w:r>
        <w:rPr>
          <w:rFonts w:ascii="Times New Roman" w:hAnsi="Times New Roman" w:cs="Times New Roman" w:eastAsia="Times New Roman" w:hint="default"/>
          <w:spacing w:val="3"/>
        </w:rPr>
        <w:t>2014</w:t>
      </w:r>
      <w:r>
        <w:rPr>
          <w:spacing w:val="3"/>
        </w:rPr>
        <w:t>年</w:t>
      </w:r>
      <w:r>
        <w:rPr>
          <w:rFonts w:ascii="Times New Roman" w:hAnsi="Times New Roman" w:cs="Times New Roman" w:eastAsia="Times New Roman" w:hint="default"/>
          <w:spacing w:val="3"/>
        </w:rPr>
        <w:t>6</w:t>
      </w:r>
      <w:r>
        <w:rPr>
          <w:spacing w:val="3"/>
        </w:rPr>
        <w:t>月</w:t>
      </w:r>
      <w:r>
        <w:rPr>
          <w:rFonts w:ascii="Times New Roman" w:hAnsi="Times New Roman" w:cs="Times New Roman" w:eastAsia="Times New Roman" w:hint="default"/>
          <w:spacing w:val="3"/>
        </w:rPr>
        <w:t>13</w:t>
      </w:r>
      <w:r>
        <w:rPr>
          <w:spacing w:val="3"/>
        </w:rPr>
        <w:t>日，公司原控股股东中国四维测绘技术有限公司将持有的公司部分股份</w:t>
      </w:r>
      <w:r>
        <w:rPr>
          <w:rFonts w:ascii="Times New Roman" w:hAnsi="Times New Roman" w:cs="Times New Roman" w:eastAsia="Times New Roman" w:hint="default"/>
          <w:spacing w:val="3"/>
        </w:rPr>
        <w:t>78,000,000</w:t>
      </w:r>
      <w:r>
        <w:rPr>
          <w:spacing w:val="3"/>
        </w:rPr>
        <w:t>股（占公司总股本的</w:t>
      </w:r>
      <w:r>
        <w:rPr/>
      </w:r>
    </w:p>
    <w:p>
      <w:pPr>
        <w:pStyle w:val="BodyText"/>
        <w:spacing w:line="307" w:lineRule="auto" w:before="63"/>
        <w:ind w:right="1131"/>
        <w:jc w:val="both"/>
      </w:pPr>
      <w:r>
        <w:rPr>
          <w:rFonts w:ascii="Times New Roman" w:hAnsi="Times New Roman" w:cs="Times New Roman" w:eastAsia="Times New Roman" w:hint="default"/>
        </w:rPr>
        <w:t>11.28%</w:t>
      </w:r>
      <w:r>
        <w:rPr/>
        <w:t>）转让给深圳市腾讯产业投资基金有限公司受让方的过户登记手续办理完毕。协议转让股份过户登记完成后，中国</w:t>
      </w:r>
      <w:r>
        <w:rPr>
          <w:spacing w:val="-21"/>
        </w:rPr>
        <w:t> </w:t>
      </w:r>
      <w:r>
        <w:rPr>
          <w:spacing w:val="-21"/>
        </w:rPr>
      </w:r>
      <w:r>
        <w:rPr>
          <w:spacing w:val="3"/>
        </w:rPr>
        <w:t>四维持有公司股份</w:t>
      </w:r>
      <w:r>
        <w:rPr>
          <w:rFonts w:ascii="Times New Roman" w:hAnsi="Times New Roman" w:cs="Times New Roman" w:eastAsia="Times New Roman" w:hint="default"/>
          <w:spacing w:val="3"/>
        </w:rPr>
        <w:t>86,994,019</w:t>
      </w:r>
      <w:r>
        <w:rPr>
          <w:spacing w:val="3"/>
        </w:rPr>
        <w:t>股（占公司总股本的</w:t>
      </w:r>
      <w:r>
        <w:rPr>
          <w:rFonts w:ascii="Times New Roman" w:hAnsi="Times New Roman" w:cs="Times New Roman" w:eastAsia="Times New Roman" w:hint="default"/>
          <w:spacing w:val="3"/>
        </w:rPr>
        <w:t>12.58%</w:t>
      </w:r>
      <w:r>
        <w:rPr>
          <w:spacing w:val="3"/>
        </w:rPr>
        <w:t>），腾讯产业基金持有公司股份</w:t>
      </w:r>
      <w:r>
        <w:rPr>
          <w:rFonts w:ascii="Times New Roman" w:hAnsi="Times New Roman" w:cs="Times New Roman" w:eastAsia="Times New Roman" w:hint="default"/>
          <w:spacing w:val="3"/>
        </w:rPr>
        <w:t>78,000,000</w:t>
      </w:r>
      <w:r>
        <w:rPr>
          <w:spacing w:val="3"/>
        </w:rPr>
        <w:t>股（占公司总股本的</w:t>
      </w:r>
      <w:r>
        <w:rPr>
          <w:spacing w:val="-45"/>
        </w:rPr>
        <w:t> </w:t>
      </w:r>
      <w:r>
        <w:rPr>
          <w:spacing w:val="-45"/>
        </w:rPr>
      </w:r>
      <w:r>
        <w:rPr>
          <w:rFonts w:ascii="Times New Roman" w:hAnsi="Times New Roman" w:cs="Times New Roman" w:eastAsia="Times New Roman" w:hint="default"/>
        </w:rPr>
        <w:t>11.28%</w:t>
      </w:r>
      <w:r>
        <w:rPr/>
        <w:t>）</w:t>
      </w:r>
      <w:r>
        <w:rPr>
          <w:rFonts w:ascii="Times New Roman" w:hAnsi="Times New Roman" w:cs="Times New Roman" w:eastAsia="Times New Roman" w:hint="default"/>
        </w:rPr>
        <w:t>.</w:t>
      </w:r>
      <w:r>
        <w:rPr/>
        <w:t>中国四维通过协议方式将其持有的公司部分转让给深圳腾讯后，依其持有的股份所享有的表决权已不能对公司董</w:t>
      </w:r>
      <w:r>
        <w:rPr>
          <w:spacing w:val="-60"/>
        </w:rPr>
        <w:t> </w:t>
      </w:r>
      <w:r>
        <w:rPr>
          <w:spacing w:val="-60"/>
        </w:rPr>
      </w:r>
      <w:r>
        <w:rPr/>
        <w:t>事会、股东大会的决议产生重大影响，同时，公司董事会由</w:t>
      </w:r>
      <w:r>
        <w:rPr>
          <w:rFonts w:ascii="Times New Roman" w:hAnsi="Times New Roman" w:cs="Times New Roman" w:eastAsia="Times New Roman" w:hint="default"/>
        </w:rPr>
        <w:t>9</w:t>
      </w:r>
      <w:r>
        <w:rPr/>
        <w:t>名董事组成，除去独立董事</w:t>
      </w:r>
      <w:r>
        <w:rPr>
          <w:rFonts w:ascii="Times New Roman" w:hAnsi="Times New Roman" w:cs="Times New Roman" w:eastAsia="Times New Roman" w:hint="default"/>
        </w:rPr>
        <w:t>3</w:t>
      </w:r>
      <w:r>
        <w:rPr/>
        <w:t>名，其余</w:t>
      </w:r>
      <w:r>
        <w:rPr>
          <w:rFonts w:ascii="Times New Roman" w:hAnsi="Times New Roman" w:cs="Times New Roman" w:eastAsia="Times New Roman" w:hint="default"/>
        </w:rPr>
        <w:t>6</w:t>
      </w:r>
      <w:r>
        <w:rPr/>
        <w:t>个非独立董事席位由中</w:t>
      </w:r>
      <w:r>
        <w:rPr>
          <w:spacing w:val="-85"/>
        </w:rPr>
        <w:t> </w:t>
      </w:r>
      <w:r>
        <w:rPr>
          <w:spacing w:val="-2"/>
        </w:rPr>
        <w:t>国四维、深圳腾讯投资、公司经营管理层三方平均分配。因此，在中国四维与深圳腾讯投资协议转让完成后，中国四维是公</w:t>
      </w:r>
      <w:r>
        <w:rPr>
          <w:spacing w:val="-66"/>
        </w:rPr>
        <w:t> </w:t>
      </w:r>
      <w:r>
        <w:rPr>
          <w:spacing w:val="-66"/>
        </w:rPr>
      </w:r>
      <w:r>
        <w:rPr>
          <w:spacing w:val="-2"/>
        </w:rPr>
        <w:t>司第一大股东，但不再是公司控股股东，中国航天科技集团公司也不再是公司的实际控制人。公司成为无实际控制人、无控</w:t>
      </w:r>
      <w:r>
        <w:rPr>
          <w:spacing w:val="-64"/>
        </w:rPr>
        <w:t> </w:t>
      </w:r>
      <w:r>
        <w:rPr>
          <w:spacing w:val="-64"/>
        </w:rPr>
      </w:r>
      <w:r>
        <w:rPr/>
        <w:t>股股东的上市公司。</w:t>
      </w:r>
    </w:p>
    <w:p>
      <w:pPr>
        <w:pStyle w:val="BodyText"/>
        <w:spacing w:line="240" w:lineRule="auto" w:before="67"/>
        <w:ind w:right="982"/>
        <w:jc w:val="left"/>
      </w:pPr>
      <w:r>
        <w:rPr/>
        <w:t>控股股东报告期内变更</w:t>
      </w:r>
    </w:p>
    <w:p>
      <w:pPr>
        <w:pStyle w:val="BodyText"/>
        <w:spacing w:line="340" w:lineRule="auto" w:before="115"/>
        <w:ind w:right="769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公司报告期控股股东未发生变更。</w:t>
      </w:r>
    </w:p>
    <w:p>
      <w:pPr>
        <w:spacing w:line="240" w:lineRule="auto" w:before="5"/>
        <w:rPr>
          <w:rFonts w:ascii="宋体" w:hAnsi="宋体" w:cs="宋体" w:eastAsia="宋体" w:hint="default"/>
          <w:sz w:val="21"/>
          <w:szCs w:val="21"/>
        </w:rPr>
      </w:pPr>
    </w:p>
    <w:p>
      <w:pPr>
        <w:pStyle w:val="Heading4"/>
        <w:spacing w:line="240" w:lineRule="auto"/>
        <w:ind w:right="982"/>
        <w:jc w:val="left"/>
        <w:rPr>
          <w:b w:val="0"/>
          <w:bCs w:val="0"/>
        </w:rPr>
      </w:pPr>
      <w:r>
        <w:rPr>
          <w:rFonts w:ascii="Times New Roman" w:hAnsi="Times New Roman" w:cs="Times New Roman" w:eastAsia="Times New Roman" w:hint="default"/>
        </w:rPr>
        <w:t>3</w:t>
      </w:r>
      <w:r>
        <w:rPr/>
        <w:t>、公司实际控制人及其一致行动人</w:t>
      </w:r>
      <w:r>
        <w:rPr>
          <w:b w:val="0"/>
          <w:bCs w:val="0"/>
        </w:rPr>
      </w:r>
    </w:p>
    <w:p>
      <w:pPr>
        <w:spacing w:line="240" w:lineRule="auto" w:before="4"/>
        <w:rPr>
          <w:rFonts w:ascii="宋体" w:hAnsi="宋体" w:cs="宋体" w:eastAsia="宋体" w:hint="default"/>
          <w:b/>
          <w:bCs/>
          <w:sz w:val="26"/>
          <w:szCs w:val="26"/>
        </w:rPr>
      </w:pPr>
    </w:p>
    <w:p>
      <w:pPr>
        <w:pStyle w:val="BodyText"/>
        <w:spacing w:line="357" w:lineRule="auto"/>
        <w:ind w:right="8054"/>
        <w:jc w:val="left"/>
      </w:pPr>
      <w:r>
        <w:rPr/>
        <w:t>实际控制人性质：无实际控制人 实际控制人类型：不存在 公司不存在实际控制人情况的说明</w:t>
      </w:r>
    </w:p>
    <w:p>
      <w:pPr>
        <w:pStyle w:val="BodyText"/>
        <w:spacing w:line="240" w:lineRule="auto" w:before="29"/>
        <w:ind w:left="573" w:right="982"/>
        <w:jc w:val="left"/>
      </w:pPr>
      <w:r>
        <w:rPr>
          <w:rFonts w:ascii="Times New Roman" w:hAnsi="Times New Roman" w:cs="Times New Roman" w:eastAsia="Times New Roman" w:hint="default"/>
          <w:spacing w:val="3"/>
        </w:rPr>
        <w:t>2014</w:t>
      </w:r>
      <w:r>
        <w:rPr>
          <w:spacing w:val="3"/>
        </w:rPr>
        <w:t>年</w:t>
      </w:r>
      <w:r>
        <w:rPr>
          <w:rFonts w:ascii="Times New Roman" w:hAnsi="Times New Roman" w:cs="Times New Roman" w:eastAsia="Times New Roman" w:hint="default"/>
          <w:spacing w:val="3"/>
        </w:rPr>
        <w:t>6</w:t>
      </w:r>
      <w:r>
        <w:rPr>
          <w:spacing w:val="3"/>
        </w:rPr>
        <w:t>月</w:t>
      </w:r>
      <w:r>
        <w:rPr>
          <w:rFonts w:ascii="Times New Roman" w:hAnsi="Times New Roman" w:cs="Times New Roman" w:eastAsia="Times New Roman" w:hint="default"/>
          <w:spacing w:val="3"/>
        </w:rPr>
        <w:t>13</w:t>
      </w:r>
      <w:r>
        <w:rPr>
          <w:spacing w:val="3"/>
        </w:rPr>
        <w:t>日，公司原控股股东中国四维测绘技术有限公司将持有的公司部分股份</w:t>
      </w:r>
      <w:r>
        <w:rPr>
          <w:rFonts w:ascii="Times New Roman" w:hAnsi="Times New Roman" w:cs="Times New Roman" w:eastAsia="Times New Roman" w:hint="default"/>
          <w:spacing w:val="3"/>
        </w:rPr>
        <w:t>78,000,000</w:t>
      </w:r>
      <w:r>
        <w:rPr>
          <w:spacing w:val="3"/>
        </w:rPr>
        <w:t>股（占公司总股本的</w:t>
      </w:r>
      <w:r>
        <w:rPr/>
      </w:r>
    </w:p>
    <w:p>
      <w:pPr>
        <w:spacing w:after="0" w:line="240" w:lineRule="auto"/>
        <w:jc w:val="left"/>
        <w:sectPr>
          <w:pgSz w:w="11910" w:h="16840"/>
          <w:pgMar w:header="745" w:footer="979" w:top="1060" w:bottom="1160" w:left="980" w:right="0"/>
        </w:sectPr>
      </w:pPr>
    </w:p>
    <w:p>
      <w:pPr>
        <w:spacing w:line="240" w:lineRule="auto" w:before="9"/>
        <w:rPr>
          <w:rFonts w:ascii="宋体" w:hAnsi="宋体" w:cs="宋体" w:eastAsia="宋体" w:hint="default"/>
          <w:sz w:val="25"/>
          <w:szCs w:val="25"/>
        </w:rPr>
      </w:pPr>
    </w:p>
    <w:p>
      <w:pPr>
        <w:pStyle w:val="BodyText"/>
        <w:spacing w:line="300" w:lineRule="auto" w:before="44"/>
        <w:ind w:right="1133"/>
        <w:jc w:val="both"/>
      </w:pPr>
      <w:r>
        <w:rPr>
          <w:rFonts w:ascii="Times New Roman" w:hAnsi="Times New Roman" w:cs="Times New Roman" w:eastAsia="Times New Roman" w:hint="default"/>
        </w:rPr>
        <w:t>11.28%</w:t>
      </w:r>
      <w:r>
        <w:rPr/>
        <w:t>）转让给深圳市腾讯产业投资基金有限公司受让方的过户登记手续办理完毕。协议转让股份过户登记完成后，中国</w:t>
      </w:r>
      <w:r>
        <w:rPr>
          <w:spacing w:val="-21"/>
        </w:rPr>
        <w:t> </w:t>
      </w:r>
      <w:r>
        <w:rPr>
          <w:spacing w:val="-21"/>
        </w:rPr>
      </w:r>
      <w:r>
        <w:rPr>
          <w:spacing w:val="3"/>
        </w:rPr>
        <w:t>四维持有公司股份</w:t>
      </w:r>
      <w:r>
        <w:rPr>
          <w:rFonts w:ascii="Times New Roman" w:hAnsi="Times New Roman" w:cs="Times New Roman" w:eastAsia="Times New Roman" w:hint="default"/>
          <w:spacing w:val="3"/>
        </w:rPr>
        <w:t>86,994,019</w:t>
      </w:r>
      <w:r>
        <w:rPr>
          <w:spacing w:val="3"/>
        </w:rPr>
        <w:t>股（占公司总股本的</w:t>
      </w:r>
      <w:r>
        <w:rPr>
          <w:rFonts w:ascii="Times New Roman" w:hAnsi="Times New Roman" w:cs="Times New Roman" w:eastAsia="Times New Roman" w:hint="default"/>
          <w:spacing w:val="3"/>
        </w:rPr>
        <w:t>12.58%</w:t>
      </w:r>
      <w:r>
        <w:rPr>
          <w:spacing w:val="3"/>
        </w:rPr>
        <w:t>），腾讯产业基金持有公司股份</w:t>
      </w:r>
      <w:r>
        <w:rPr>
          <w:rFonts w:ascii="Times New Roman" w:hAnsi="Times New Roman" w:cs="Times New Roman" w:eastAsia="Times New Roman" w:hint="default"/>
          <w:spacing w:val="3"/>
        </w:rPr>
        <w:t>78,000,000</w:t>
      </w:r>
      <w:r>
        <w:rPr>
          <w:spacing w:val="3"/>
        </w:rPr>
        <w:t>股（占公司总股本的</w:t>
      </w:r>
      <w:r>
        <w:rPr>
          <w:spacing w:val="-45"/>
        </w:rPr>
        <w:t> </w:t>
      </w:r>
      <w:r>
        <w:rPr>
          <w:spacing w:val="-45"/>
        </w:rPr>
      </w:r>
      <w:r>
        <w:rPr>
          <w:rFonts w:ascii="Times New Roman" w:hAnsi="Times New Roman" w:cs="Times New Roman" w:eastAsia="Times New Roman" w:hint="default"/>
        </w:rPr>
        <w:t>11.28%</w:t>
      </w:r>
      <w:r>
        <w:rPr/>
        <w:t>），中国四维是公司第一大股东，但不再是公司控股股东，中国航天科技集团公司也不再是公司的实际控制人。公</w:t>
      </w:r>
      <w:r>
        <w:rPr>
          <w:spacing w:val="-21"/>
        </w:rPr>
        <w:t> </w:t>
      </w:r>
      <w:r>
        <w:rPr>
          <w:spacing w:val="-21"/>
        </w:rPr>
      </w:r>
      <w:r>
        <w:rPr/>
        <w:t>司成为无实际控制人、无控股股东的上市公司。</w:t>
      </w:r>
    </w:p>
    <w:p>
      <w:pPr>
        <w:pStyle w:val="BodyText"/>
        <w:spacing w:line="240" w:lineRule="auto" w:before="72"/>
        <w:ind w:right="0"/>
        <w:jc w:val="both"/>
      </w:pPr>
      <w:r>
        <w:rPr/>
        <w:t>公司最终控制层面是否存在持股比例在</w:t>
      </w:r>
      <w:r>
        <w:rPr>
          <w:spacing w:val="-44"/>
        </w:rPr>
        <w:t> </w:t>
      </w:r>
      <w:r>
        <w:rPr>
          <w:rFonts w:ascii="Times New Roman" w:hAnsi="Times New Roman" w:cs="Times New Roman" w:eastAsia="Times New Roman" w:hint="default"/>
        </w:rPr>
        <w:t>10%</w:t>
      </w:r>
      <w:r>
        <w:rPr/>
        <w:t>以上的股东情况</w:t>
      </w:r>
    </w:p>
    <w:p>
      <w:pPr>
        <w:pStyle w:val="BodyText"/>
        <w:spacing w:line="240" w:lineRule="auto" w:before="101"/>
        <w:ind w:right="0"/>
        <w:jc w:val="both"/>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pStyle w:val="BodyText"/>
        <w:spacing w:line="340" w:lineRule="auto" w:before="103"/>
        <w:ind w:right="7049"/>
        <w:jc w:val="left"/>
      </w:pPr>
      <w:r>
        <w:rPr/>
        <w:t>公司最终控制层面持股比例</w:t>
      </w:r>
      <w:r>
        <w:rPr>
          <w:spacing w:val="-45"/>
        </w:rPr>
        <w:t> </w:t>
      </w:r>
      <w:r>
        <w:rPr>
          <w:rFonts w:ascii="Times New Roman" w:hAnsi="Times New Roman" w:cs="Times New Roman" w:eastAsia="Times New Roman" w:hint="default"/>
        </w:rPr>
        <w:t>5%</w:t>
      </w:r>
      <w:r>
        <w:rPr/>
        <w:t>以上的股东情况 法人</w:t>
      </w:r>
    </w:p>
    <w:p>
      <w:pPr>
        <w:pStyle w:val="BodyText"/>
        <w:spacing w:line="240" w:lineRule="auto" w:before="39"/>
        <w:ind w:right="0"/>
        <w:jc w:val="both"/>
      </w:pPr>
      <w:r>
        <w:rPr/>
        <w:t>最终控制层面持股情况</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997"/>
        <w:gridCol w:w="1829"/>
        <w:gridCol w:w="1894"/>
        <w:gridCol w:w="1934"/>
        <w:gridCol w:w="1916"/>
      </w:tblGrid>
      <w:tr>
        <w:trPr>
          <w:trHeight w:val="713" w:hRule="exact"/>
        </w:trPr>
        <w:tc>
          <w:tcPr>
            <w:tcW w:w="19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最终控制层面股东名称</w:t>
            </w:r>
          </w:p>
        </w:tc>
        <w:tc>
          <w:tcPr>
            <w:tcW w:w="18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821" w:right="72" w:hanging="747"/>
              <w:jc w:val="left"/>
              <w:rPr>
                <w:rFonts w:ascii="宋体" w:hAnsi="宋体" w:cs="宋体" w:eastAsia="宋体" w:hint="default"/>
                <w:sz w:val="18"/>
                <w:szCs w:val="18"/>
              </w:rPr>
            </w:pPr>
            <w:r>
              <w:rPr>
                <w:rFonts w:ascii="宋体" w:hAnsi="宋体" w:cs="宋体" w:eastAsia="宋体" w:hint="default"/>
                <w:sz w:val="18"/>
                <w:szCs w:val="18"/>
              </w:rPr>
              <w:t>法定代表人</w:t>
            </w:r>
            <w:r>
              <w:rPr>
                <w:rFonts w:ascii="Times New Roman" w:hAnsi="Times New Roman" w:cs="Times New Roman" w:eastAsia="Times New Roman" w:hint="default"/>
                <w:sz w:val="18"/>
                <w:szCs w:val="18"/>
              </w:rPr>
              <w:t>/</w:t>
            </w:r>
            <w:r>
              <w:rPr>
                <w:rFonts w:ascii="宋体" w:hAnsi="宋体" w:cs="宋体" w:eastAsia="宋体" w:hint="default"/>
                <w:sz w:val="18"/>
                <w:szCs w:val="18"/>
              </w:rPr>
              <w:t>单位负责 人</w:t>
            </w:r>
          </w:p>
        </w:tc>
        <w:tc>
          <w:tcPr>
            <w:tcW w:w="18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80" w:right="0"/>
              <w:jc w:val="left"/>
              <w:rPr>
                <w:rFonts w:ascii="宋体" w:hAnsi="宋体" w:cs="宋体" w:eastAsia="宋体" w:hint="default"/>
                <w:sz w:val="18"/>
                <w:szCs w:val="18"/>
              </w:rPr>
            </w:pPr>
            <w:r>
              <w:rPr>
                <w:rFonts w:ascii="宋体" w:hAnsi="宋体" w:cs="宋体" w:eastAsia="宋体" w:hint="default"/>
                <w:sz w:val="18"/>
                <w:szCs w:val="18"/>
              </w:rPr>
              <w:t>成立日期</w:t>
            </w:r>
          </w:p>
        </w:tc>
        <w:tc>
          <w:tcPr>
            <w:tcW w:w="19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22" w:right="0"/>
              <w:jc w:val="left"/>
              <w:rPr>
                <w:rFonts w:ascii="宋体" w:hAnsi="宋体" w:cs="宋体" w:eastAsia="宋体" w:hint="default"/>
                <w:sz w:val="18"/>
                <w:szCs w:val="18"/>
              </w:rPr>
            </w:pPr>
            <w:r>
              <w:rPr>
                <w:rFonts w:ascii="宋体" w:hAnsi="宋体" w:cs="宋体" w:eastAsia="宋体" w:hint="default"/>
                <w:sz w:val="18"/>
                <w:szCs w:val="18"/>
              </w:rPr>
              <w:t>组织机构代码</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13" w:right="0"/>
              <w:jc w:val="left"/>
              <w:rPr>
                <w:rFonts w:ascii="宋体" w:hAnsi="宋体" w:cs="宋体" w:eastAsia="宋体" w:hint="default"/>
                <w:sz w:val="18"/>
                <w:szCs w:val="18"/>
              </w:rPr>
            </w:pPr>
            <w:r>
              <w:rPr>
                <w:rFonts w:ascii="宋体" w:hAnsi="宋体" w:cs="宋体" w:eastAsia="宋体" w:hint="default"/>
                <w:sz w:val="18"/>
                <w:szCs w:val="18"/>
              </w:rPr>
              <w:t>主要经营业务</w:t>
            </w:r>
          </w:p>
        </w:tc>
      </w:tr>
      <w:tr>
        <w:trPr>
          <w:trHeight w:val="715" w:hRule="exact"/>
        </w:trPr>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61"/>
              <w:jc w:val="left"/>
              <w:rPr>
                <w:rFonts w:ascii="宋体" w:hAnsi="宋体" w:cs="宋体" w:eastAsia="宋体" w:hint="default"/>
                <w:sz w:val="18"/>
                <w:szCs w:val="18"/>
              </w:rPr>
            </w:pPr>
            <w:r>
              <w:rPr>
                <w:rFonts w:ascii="宋体" w:hAnsi="宋体" w:cs="宋体" w:eastAsia="宋体" w:hint="default"/>
                <w:sz w:val="18"/>
                <w:szCs w:val="18"/>
              </w:rPr>
              <w:t>国务院国有资产监督管 理委员会</w:t>
            </w:r>
          </w:p>
        </w:tc>
        <w:tc>
          <w:tcPr>
            <w:tcW w:w="1829" w:type="dxa"/>
            <w:tcBorders>
              <w:top w:val="single" w:sz="4" w:space="0" w:color="000000"/>
              <w:left w:val="single" w:sz="4" w:space="0" w:color="000000"/>
              <w:bottom w:val="single" w:sz="4" w:space="0" w:color="000000"/>
              <w:right w:val="single" w:sz="4" w:space="0" w:color="000000"/>
            </w:tcBorders>
          </w:tcPr>
          <w:p>
            <w:pPr/>
          </w:p>
        </w:tc>
        <w:tc>
          <w:tcPr>
            <w:tcW w:w="1894" w:type="dxa"/>
            <w:tcBorders>
              <w:top w:val="single" w:sz="4" w:space="0" w:color="000000"/>
              <w:left w:val="single" w:sz="4" w:space="0" w:color="000000"/>
              <w:bottom w:val="single" w:sz="4" w:space="0" w:color="000000"/>
              <w:right w:val="single" w:sz="4" w:space="0" w:color="000000"/>
            </w:tcBorders>
          </w:tcPr>
          <w:p>
            <w:pPr/>
          </w:p>
        </w:tc>
        <w:tc>
          <w:tcPr>
            <w:tcW w:w="1934"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49"/>
        <w:ind w:right="982"/>
        <w:jc w:val="left"/>
      </w:pPr>
      <w:r>
        <w:rPr/>
        <w:t>实际控制人报告期内变更</w:t>
      </w:r>
    </w:p>
    <w:p>
      <w:pPr>
        <w:pStyle w:val="BodyText"/>
        <w:spacing w:line="350" w:lineRule="auto" w:before="115"/>
        <w:ind w:right="679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公司报告期实际控制人未发生变更。 实际控制人通过信托或其他资产管理方式控制公司</w:t>
      </w:r>
    </w:p>
    <w:p>
      <w:pPr>
        <w:pStyle w:val="BodyText"/>
        <w:spacing w:line="240" w:lineRule="auto" w:before="32"/>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2"/>
        <w:rPr>
          <w:rFonts w:ascii="宋体" w:hAnsi="宋体" w:cs="宋体" w:eastAsia="宋体" w:hint="default"/>
          <w:sz w:val="26"/>
          <w:szCs w:val="26"/>
        </w:rPr>
      </w:pPr>
    </w:p>
    <w:p>
      <w:pPr>
        <w:pStyle w:val="Heading4"/>
        <w:spacing w:line="240" w:lineRule="auto"/>
        <w:ind w:right="982"/>
        <w:jc w:val="left"/>
        <w:rPr>
          <w:b w:val="0"/>
          <w:bCs w:val="0"/>
        </w:rPr>
      </w:pPr>
      <w:r>
        <w:rPr>
          <w:rFonts w:ascii="Times New Roman" w:hAnsi="Times New Roman" w:cs="Times New Roman" w:eastAsia="Times New Roman" w:hint="default"/>
        </w:rPr>
        <w:t>4</w:t>
      </w:r>
      <w:r>
        <w:rPr/>
        <w:t>、其他持股在</w:t>
      </w:r>
      <w:r>
        <w:rPr>
          <w:spacing w:val="-52"/>
        </w:rPr>
        <w:t> </w:t>
      </w:r>
      <w:r>
        <w:rPr>
          <w:rFonts w:ascii="Times New Roman" w:hAnsi="Times New Roman" w:cs="Times New Roman" w:eastAsia="Times New Roman" w:hint="default"/>
        </w:rPr>
        <w:t>10%</w:t>
      </w:r>
      <w:r>
        <w:rPr/>
        <w:t>以上的法人股东</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2"/>
        <w:rPr>
          <w:rFonts w:ascii="宋体" w:hAnsi="宋体" w:cs="宋体" w:eastAsia="宋体" w:hint="default"/>
          <w:sz w:val="26"/>
          <w:szCs w:val="26"/>
        </w:rPr>
      </w:pPr>
    </w:p>
    <w:p>
      <w:pPr>
        <w:pStyle w:val="Heading4"/>
        <w:spacing w:line="240" w:lineRule="auto"/>
        <w:ind w:right="982"/>
        <w:jc w:val="left"/>
        <w:rPr>
          <w:b w:val="0"/>
          <w:bCs w:val="0"/>
        </w:rPr>
      </w:pPr>
      <w:r>
        <w:rPr>
          <w:rFonts w:ascii="Times New Roman" w:hAnsi="Times New Roman" w:cs="Times New Roman" w:eastAsia="Times New Roman" w:hint="default"/>
        </w:rPr>
        <w:t>5</w:t>
      </w:r>
      <w:r>
        <w:rPr/>
        <w:t>、控股股东、实际控制人、重组方及其他承诺主体股份限制减持情况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after="0" w:line="240" w:lineRule="auto"/>
        <w:jc w:val="left"/>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left="3285" w:right="982"/>
        <w:jc w:val="left"/>
        <w:rPr>
          <w:b w:val="0"/>
          <w:bCs w:val="0"/>
        </w:rPr>
      </w:pPr>
      <w:bookmarkStart w:name="_bookmark6" w:id="7"/>
      <w:bookmarkEnd w:id="7"/>
      <w:r>
        <w:rPr>
          <w:b w:val="0"/>
          <w:bCs w:val="0"/>
        </w:rPr>
      </w:r>
      <w:r>
        <w:rPr/>
        <w:t>第七节</w:t>
      </w:r>
      <w:r>
        <w:rPr>
          <w:spacing w:val="-6"/>
        </w:rPr>
        <w:t> </w:t>
      </w:r>
      <w:r>
        <w:rPr/>
        <w:t>优先股相关情况</w:t>
      </w:r>
      <w:r>
        <w:rPr>
          <w:b w:val="0"/>
          <w:bCs w:val="0"/>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9"/>
          <w:szCs w:val="19"/>
        </w:rPr>
      </w:pPr>
    </w:p>
    <w:p>
      <w:pPr>
        <w:pStyle w:val="BodyText"/>
        <w:spacing w:line="338" w:lineRule="auto" w:before="44"/>
        <w:ind w:right="859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报告期公司不存在优先股。</w:t>
      </w:r>
    </w:p>
    <w:p>
      <w:pPr>
        <w:spacing w:after="0" w:line="338" w:lineRule="auto"/>
        <w:jc w:val="left"/>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left="1679" w:right="982"/>
        <w:jc w:val="left"/>
        <w:rPr>
          <w:b w:val="0"/>
          <w:bCs w:val="0"/>
        </w:rPr>
      </w:pPr>
      <w:bookmarkStart w:name="_bookmark7" w:id="8"/>
      <w:bookmarkEnd w:id="8"/>
      <w:r>
        <w:rPr>
          <w:b w:val="0"/>
          <w:bCs w:val="0"/>
        </w:rPr>
      </w:r>
      <w:r>
        <w:rPr/>
        <w:t>第八节</w:t>
      </w:r>
      <w:r>
        <w:rPr>
          <w:spacing w:val="-9"/>
        </w:rPr>
        <w:t> </w:t>
      </w:r>
      <w:r>
        <w:rPr/>
        <w:t>董事、监事、高级管理人员和员工情况</w:t>
      </w:r>
      <w:r>
        <w:rPr>
          <w:b w:val="0"/>
          <w:bCs w:val="0"/>
        </w:rPr>
      </w:r>
    </w:p>
    <w:p>
      <w:pPr>
        <w:spacing w:line="240" w:lineRule="auto" w:before="2"/>
        <w:rPr>
          <w:rFonts w:ascii="宋体" w:hAnsi="宋体" w:cs="宋体" w:eastAsia="宋体" w:hint="default"/>
          <w:b/>
          <w:bCs/>
          <w:sz w:val="39"/>
          <w:szCs w:val="39"/>
        </w:rPr>
      </w:pPr>
    </w:p>
    <w:p>
      <w:pPr>
        <w:pStyle w:val="Heading2"/>
        <w:spacing w:line="240" w:lineRule="auto"/>
        <w:ind w:right="982"/>
        <w:jc w:val="left"/>
        <w:rPr>
          <w:b w:val="0"/>
          <w:bCs w:val="0"/>
        </w:rPr>
      </w:pPr>
      <w:r>
        <w:rPr/>
        <w:t>一、董事、监事和高级管理人员持股变动</w:t>
      </w:r>
      <w:r>
        <w:rPr>
          <w:b w:val="0"/>
          <w:bCs w:val="0"/>
        </w:rPr>
      </w:r>
    </w:p>
    <w:p>
      <w:pPr>
        <w:spacing w:line="240" w:lineRule="auto" w:before="9"/>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800"/>
        <w:gridCol w:w="797"/>
        <w:gridCol w:w="530"/>
        <w:gridCol w:w="569"/>
        <w:gridCol w:w="567"/>
        <w:gridCol w:w="991"/>
        <w:gridCol w:w="850"/>
        <w:gridCol w:w="994"/>
        <w:gridCol w:w="708"/>
        <w:gridCol w:w="852"/>
        <w:gridCol w:w="850"/>
        <w:gridCol w:w="1066"/>
      </w:tblGrid>
      <w:tr>
        <w:trPr>
          <w:trHeight w:val="1339" w:hRule="exact"/>
        </w:trPr>
        <w:tc>
          <w:tcPr>
            <w:tcW w:w="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right="215"/>
              <w:jc w:val="right"/>
              <w:rPr>
                <w:rFonts w:ascii="宋体" w:hAnsi="宋体" w:cs="宋体" w:eastAsia="宋体" w:hint="default"/>
                <w:sz w:val="18"/>
                <w:szCs w:val="18"/>
              </w:rPr>
            </w:pPr>
            <w:r>
              <w:rPr>
                <w:rFonts w:ascii="宋体" w:hAnsi="宋体" w:cs="宋体" w:eastAsia="宋体" w:hint="default"/>
                <w:sz w:val="18"/>
                <w:szCs w:val="18"/>
              </w:rPr>
              <w:t>姓名</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left="213" w:right="0"/>
              <w:jc w:val="left"/>
              <w:rPr>
                <w:rFonts w:ascii="宋体" w:hAnsi="宋体" w:cs="宋体" w:eastAsia="宋体" w:hint="default"/>
                <w:sz w:val="18"/>
                <w:szCs w:val="18"/>
              </w:rPr>
            </w:pPr>
            <w:r>
              <w:rPr>
                <w:rFonts w:ascii="宋体" w:hAnsi="宋体" w:cs="宋体" w:eastAsia="宋体" w:hint="default"/>
                <w:sz w:val="18"/>
                <w:szCs w:val="18"/>
              </w:rPr>
              <w:t>职务</w:t>
            </w:r>
          </w:p>
        </w:tc>
        <w:tc>
          <w:tcPr>
            <w:tcW w:w="5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5"/>
              <w:ind w:left="81" w:right="77"/>
              <w:jc w:val="left"/>
              <w:rPr>
                <w:rFonts w:ascii="宋体" w:hAnsi="宋体" w:cs="宋体" w:eastAsia="宋体" w:hint="default"/>
                <w:sz w:val="18"/>
                <w:szCs w:val="18"/>
              </w:rPr>
            </w:pPr>
            <w:r>
              <w:rPr>
                <w:rFonts w:ascii="宋体" w:hAnsi="宋体" w:cs="宋体" w:eastAsia="宋体" w:hint="default"/>
                <w:sz w:val="18"/>
                <w:szCs w:val="18"/>
              </w:rPr>
              <w:t>任职 状态</w:t>
            </w:r>
          </w:p>
        </w:tc>
        <w:tc>
          <w:tcPr>
            <w:tcW w:w="5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性别</w:t>
            </w:r>
          </w:p>
        </w:tc>
        <w:tc>
          <w:tcPr>
            <w:tcW w:w="5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年龄</w:t>
            </w:r>
          </w:p>
        </w:tc>
        <w:tc>
          <w:tcPr>
            <w:tcW w:w="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5"/>
              <w:ind w:left="400" w:right="38" w:hanging="360"/>
              <w:jc w:val="left"/>
              <w:rPr>
                <w:rFonts w:ascii="宋体" w:hAnsi="宋体" w:cs="宋体" w:eastAsia="宋体" w:hint="default"/>
                <w:sz w:val="18"/>
                <w:szCs w:val="18"/>
              </w:rPr>
            </w:pPr>
            <w:r>
              <w:rPr>
                <w:rFonts w:ascii="宋体" w:hAnsi="宋体" w:cs="宋体" w:eastAsia="宋体" w:hint="default"/>
                <w:sz w:val="18"/>
                <w:szCs w:val="18"/>
              </w:rPr>
              <w:t>任期起始日 期</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5"/>
              <w:ind w:left="240" w:right="59" w:hanging="180"/>
              <w:jc w:val="left"/>
              <w:rPr>
                <w:rFonts w:ascii="宋体" w:hAnsi="宋体" w:cs="宋体" w:eastAsia="宋体" w:hint="default"/>
                <w:sz w:val="18"/>
                <w:szCs w:val="18"/>
              </w:rPr>
            </w:pPr>
            <w:r>
              <w:rPr>
                <w:rFonts w:ascii="宋体" w:hAnsi="宋体" w:cs="宋体" w:eastAsia="宋体" w:hint="default"/>
                <w:sz w:val="18"/>
                <w:szCs w:val="18"/>
              </w:rPr>
              <w:t>任期终止 日期</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期初持股数</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（股）</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79" w:right="77"/>
              <w:jc w:val="both"/>
              <w:rPr>
                <w:rFonts w:ascii="宋体" w:hAnsi="宋体" w:cs="宋体" w:eastAsia="宋体" w:hint="default"/>
                <w:sz w:val="18"/>
                <w:szCs w:val="18"/>
              </w:rPr>
            </w:pPr>
            <w:r>
              <w:rPr>
                <w:rFonts w:ascii="宋体" w:hAnsi="宋体" w:cs="宋体" w:eastAsia="宋体" w:hint="default"/>
                <w:sz w:val="18"/>
                <w:szCs w:val="18"/>
              </w:rPr>
              <w:t>本期增 持股份 数量</w:t>
            </w:r>
          </w:p>
          <w:p>
            <w:pPr>
              <w:pStyle w:val="TableParagraph"/>
              <w:spacing w:line="240" w:lineRule="auto" w:before="19"/>
              <w:ind w:left="79" w:right="0"/>
              <w:jc w:val="both"/>
              <w:rPr>
                <w:rFonts w:ascii="宋体" w:hAnsi="宋体" w:cs="宋体" w:eastAsia="宋体" w:hint="default"/>
                <w:sz w:val="18"/>
                <w:szCs w:val="18"/>
              </w:rPr>
            </w:pPr>
            <w:r>
              <w:rPr>
                <w:rFonts w:ascii="宋体" w:hAnsi="宋体" w:cs="宋体" w:eastAsia="宋体" w:hint="default"/>
                <w:sz w:val="18"/>
                <w:szCs w:val="18"/>
              </w:rPr>
              <w:t>（股）</w:t>
            </w:r>
          </w:p>
        </w:tc>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59" w:right="60"/>
              <w:jc w:val="left"/>
              <w:rPr>
                <w:rFonts w:ascii="宋体" w:hAnsi="宋体" w:cs="宋体" w:eastAsia="宋体" w:hint="default"/>
                <w:sz w:val="18"/>
                <w:szCs w:val="18"/>
              </w:rPr>
            </w:pPr>
            <w:r>
              <w:rPr>
                <w:rFonts w:ascii="宋体" w:hAnsi="宋体" w:cs="宋体" w:eastAsia="宋体" w:hint="default"/>
                <w:sz w:val="18"/>
                <w:szCs w:val="18"/>
              </w:rPr>
              <w:t>本期减持 股份数量</w:t>
            </w:r>
          </w:p>
          <w:p>
            <w:pPr>
              <w:pStyle w:val="TableParagraph"/>
              <w:spacing w:line="240" w:lineRule="auto" w:before="19"/>
              <w:ind w:left="151" w:right="0"/>
              <w:jc w:val="left"/>
              <w:rPr>
                <w:rFonts w:ascii="宋体" w:hAnsi="宋体" w:cs="宋体" w:eastAsia="宋体" w:hint="default"/>
                <w:sz w:val="18"/>
                <w:szCs w:val="18"/>
              </w:rPr>
            </w:pPr>
            <w:r>
              <w:rPr>
                <w:rFonts w:ascii="宋体" w:hAnsi="宋体" w:cs="宋体" w:eastAsia="宋体" w:hint="default"/>
                <w:sz w:val="18"/>
                <w:szCs w:val="18"/>
              </w:rPr>
              <w:t>（股）</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5"/>
              <w:ind w:left="23" w:right="58" w:firstLine="36"/>
              <w:jc w:val="left"/>
              <w:rPr>
                <w:rFonts w:ascii="宋体" w:hAnsi="宋体" w:cs="宋体" w:eastAsia="宋体" w:hint="default"/>
                <w:sz w:val="18"/>
                <w:szCs w:val="18"/>
              </w:rPr>
            </w:pPr>
            <w:r>
              <w:rPr>
                <w:rFonts w:ascii="宋体" w:hAnsi="宋体" w:cs="宋体" w:eastAsia="宋体" w:hint="default"/>
                <w:sz w:val="18"/>
                <w:szCs w:val="18"/>
              </w:rPr>
              <w:t>其他增减 </w:t>
            </w:r>
            <w:r>
              <w:rPr>
                <w:rFonts w:ascii="宋体" w:hAnsi="宋体" w:cs="宋体" w:eastAsia="宋体" w:hint="default"/>
                <w:spacing w:val="-5"/>
                <w:sz w:val="18"/>
                <w:szCs w:val="18"/>
              </w:rPr>
              <w:t>变动（股</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79" w:right="0"/>
              <w:jc w:val="left"/>
              <w:rPr>
                <w:rFonts w:ascii="宋体" w:hAnsi="宋体" w:cs="宋体" w:eastAsia="宋体" w:hint="default"/>
                <w:sz w:val="18"/>
                <w:szCs w:val="18"/>
              </w:rPr>
            </w:pPr>
            <w:r>
              <w:rPr>
                <w:rFonts w:ascii="宋体" w:hAnsi="宋体" w:cs="宋体" w:eastAsia="宋体" w:hint="default"/>
                <w:sz w:val="18"/>
                <w:szCs w:val="18"/>
              </w:rPr>
              <w:t>期末持股数</w:t>
            </w:r>
          </w:p>
          <w:p>
            <w:pPr>
              <w:pStyle w:val="TableParagraph"/>
              <w:tabs>
                <w:tab w:pos="259" w:val="left" w:leader="none"/>
              </w:tabs>
              <w:spacing w:line="240" w:lineRule="auto" w:before="76"/>
              <w:ind w:left="-123" w:right="0"/>
              <w:jc w:val="left"/>
              <w:rPr>
                <w:rFonts w:ascii="宋体" w:hAnsi="宋体" w:cs="宋体" w:eastAsia="宋体" w:hint="default"/>
                <w:sz w:val="18"/>
                <w:szCs w:val="18"/>
              </w:rPr>
            </w:pPr>
            <w:r>
              <w:rPr>
                <w:rFonts w:ascii="宋体" w:hAnsi="宋体" w:cs="宋体" w:eastAsia="宋体" w:hint="default"/>
                <w:sz w:val="18"/>
                <w:szCs w:val="18"/>
              </w:rPr>
              <w:t>）</w:t>
              <w:tab/>
              <w:t>（股）</w:t>
            </w:r>
          </w:p>
        </w:tc>
      </w:tr>
      <w:tr>
        <w:trPr>
          <w:trHeight w:val="713"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224"/>
              <w:jc w:val="right"/>
              <w:rPr>
                <w:rFonts w:ascii="宋体" w:hAnsi="宋体" w:cs="宋体" w:eastAsia="宋体" w:hint="default"/>
                <w:sz w:val="18"/>
                <w:szCs w:val="18"/>
              </w:rPr>
            </w:pPr>
            <w:r>
              <w:rPr>
                <w:rFonts w:ascii="宋体" w:hAnsi="宋体" w:cs="宋体" w:eastAsia="宋体" w:hint="default"/>
                <w:sz w:val="18"/>
                <w:szCs w:val="18"/>
              </w:rPr>
              <w:t>吴劲风</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5" w:right="0"/>
              <w:jc w:val="center"/>
              <w:rPr>
                <w:rFonts w:ascii="Times New Roman" w:hAnsi="Times New Roman" w:cs="Times New Roman" w:eastAsia="Times New Roman" w:hint="default"/>
                <w:sz w:val="18"/>
                <w:szCs w:val="18"/>
              </w:rPr>
            </w:pPr>
            <w:r>
              <w:rPr>
                <w:rFonts w:ascii="Times New Roman"/>
                <w:sz w:val="18"/>
              </w:rPr>
              <w:t>58</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2011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07</w:t>
            </w:r>
          </w:p>
          <w:p>
            <w:pPr>
              <w:pStyle w:val="TableParagraph"/>
              <w:spacing w:line="240" w:lineRule="auto" w:before="61"/>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05</w:t>
            </w:r>
          </w:p>
          <w:p>
            <w:pPr>
              <w:pStyle w:val="TableParagraph"/>
              <w:spacing w:line="240" w:lineRule="auto" w:before="61"/>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5"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224"/>
              <w:jc w:val="right"/>
              <w:rPr>
                <w:rFonts w:ascii="宋体" w:hAnsi="宋体" w:cs="宋体" w:eastAsia="宋体" w:hint="default"/>
                <w:sz w:val="18"/>
                <w:szCs w:val="18"/>
              </w:rPr>
            </w:pPr>
            <w:r>
              <w:rPr>
                <w:rFonts w:ascii="宋体" w:hAnsi="宋体" w:cs="宋体" w:eastAsia="宋体" w:hint="default"/>
                <w:sz w:val="18"/>
                <w:szCs w:val="18"/>
              </w:rPr>
              <w:t>孙玉国</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副董事长</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5" w:right="0"/>
              <w:jc w:val="center"/>
              <w:rPr>
                <w:rFonts w:ascii="Times New Roman" w:hAnsi="Times New Roman" w:cs="Times New Roman" w:eastAsia="Times New Roman" w:hint="default"/>
                <w:sz w:val="18"/>
                <w:szCs w:val="18"/>
              </w:rPr>
            </w:pPr>
            <w:r>
              <w:rPr>
                <w:rFonts w:ascii="Times New Roman"/>
                <w:sz w:val="18"/>
              </w:rPr>
              <w:t>55</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17,668,323</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17,668,323</w:t>
            </w:r>
          </w:p>
        </w:tc>
      </w:tr>
      <w:tr>
        <w:trPr>
          <w:trHeight w:val="713"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221"/>
              <w:jc w:val="right"/>
              <w:rPr>
                <w:rFonts w:ascii="宋体" w:hAnsi="宋体" w:cs="宋体" w:eastAsia="宋体" w:hint="default"/>
                <w:sz w:val="18"/>
                <w:szCs w:val="18"/>
              </w:rPr>
            </w:pPr>
            <w:r>
              <w:rPr>
                <w:rFonts w:ascii="宋体" w:hAnsi="宋体" w:cs="宋体" w:eastAsia="宋体" w:hint="default"/>
                <w:sz w:val="18"/>
                <w:szCs w:val="18"/>
              </w:rPr>
              <w:t>程 </w:t>
            </w:r>
            <w:r>
              <w:rPr>
                <w:rFonts w:ascii="宋体" w:hAnsi="宋体" w:cs="宋体" w:eastAsia="宋体" w:hint="default"/>
                <w:spacing w:val="2"/>
                <w:sz w:val="18"/>
                <w:szCs w:val="18"/>
              </w:rPr>
              <w:t> </w:t>
            </w:r>
            <w:r>
              <w:rPr>
                <w:rFonts w:ascii="宋体" w:hAnsi="宋体" w:cs="宋体" w:eastAsia="宋体" w:hint="default"/>
                <w:sz w:val="18"/>
                <w:szCs w:val="18"/>
              </w:rPr>
              <w:t>鹏</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3" w:right="41"/>
              <w:jc w:val="left"/>
              <w:rPr>
                <w:rFonts w:ascii="宋体" w:hAnsi="宋体" w:cs="宋体" w:eastAsia="宋体" w:hint="default"/>
                <w:sz w:val="18"/>
                <w:szCs w:val="18"/>
              </w:rPr>
            </w:pPr>
            <w:r>
              <w:rPr>
                <w:rFonts w:ascii="宋体" w:hAnsi="宋体" w:cs="宋体" w:eastAsia="宋体" w:hint="default"/>
                <w:sz w:val="18"/>
                <w:szCs w:val="18"/>
              </w:rPr>
              <w:t>董事、总 经理</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5" w:right="0"/>
              <w:jc w:val="center"/>
              <w:rPr>
                <w:rFonts w:ascii="Times New Roman" w:hAnsi="Times New Roman" w:cs="Times New Roman" w:eastAsia="Times New Roman" w:hint="default"/>
                <w:sz w:val="18"/>
                <w:szCs w:val="18"/>
              </w:rPr>
            </w:pPr>
            <w:r>
              <w:rPr>
                <w:rFonts w:ascii="Times New Roman"/>
                <w:sz w:val="18"/>
              </w:rPr>
              <w:t>43</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01</w:t>
            </w:r>
          </w:p>
          <w:p>
            <w:pPr>
              <w:pStyle w:val="TableParagraph"/>
              <w:spacing w:line="240" w:lineRule="auto" w:before="60"/>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05</w:t>
            </w:r>
          </w:p>
          <w:p>
            <w:pPr>
              <w:pStyle w:val="TableParagraph"/>
              <w:spacing w:line="240" w:lineRule="auto" w:before="60"/>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4,218,365</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1,000,000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5,218,365</w:t>
            </w:r>
          </w:p>
        </w:tc>
      </w:tr>
      <w:tr>
        <w:trPr>
          <w:trHeight w:val="715"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221"/>
              <w:jc w:val="right"/>
              <w:rPr>
                <w:rFonts w:ascii="宋体" w:hAnsi="宋体" w:cs="宋体" w:eastAsia="宋体" w:hint="default"/>
                <w:sz w:val="18"/>
                <w:szCs w:val="18"/>
              </w:rPr>
            </w:pPr>
            <w:r>
              <w:rPr>
                <w:rFonts w:ascii="宋体" w:hAnsi="宋体" w:cs="宋体" w:eastAsia="宋体" w:hint="default"/>
                <w:sz w:val="18"/>
                <w:szCs w:val="18"/>
              </w:rPr>
              <w:t>李 </w:t>
            </w:r>
            <w:r>
              <w:rPr>
                <w:rFonts w:ascii="宋体" w:hAnsi="宋体" w:cs="宋体" w:eastAsia="宋体" w:hint="default"/>
                <w:spacing w:val="2"/>
                <w:sz w:val="18"/>
                <w:szCs w:val="18"/>
              </w:rPr>
              <w:t> </w:t>
            </w:r>
            <w:r>
              <w:rPr>
                <w:rFonts w:ascii="宋体" w:hAnsi="宋体" w:cs="宋体" w:eastAsia="宋体" w:hint="default"/>
                <w:sz w:val="18"/>
                <w:szCs w:val="18"/>
              </w:rPr>
              <w:t>想</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5" w:right="0"/>
              <w:jc w:val="center"/>
              <w:rPr>
                <w:rFonts w:ascii="Times New Roman" w:hAnsi="Times New Roman" w:cs="Times New Roman" w:eastAsia="Times New Roman" w:hint="default"/>
                <w:sz w:val="18"/>
                <w:szCs w:val="18"/>
              </w:rPr>
            </w:pPr>
            <w:r>
              <w:rPr>
                <w:rFonts w:ascii="Times New Roman"/>
                <w:sz w:val="18"/>
              </w:rPr>
              <w:t>38</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3"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224"/>
              <w:jc w:val="right"/>
              <w:rPr>
                <w:rFonts w:ascii="宋体" w:hAnsi="宋体" w:cs="宋体" w:eastAsia="宋体" w:hint="default"/>
                <w:sz w:val="18"/>
                <w:szCs w:val="18"/>
              </w:rPr>
            </w:pPr>
            <w:r>
              <w:rPr>
                <w:rFonts w:ascii="宋体" w:hAnsi="宋体" w:cs="宋体" w:eastAsia="宋体" w:hint="default"/>
                <w:sz w:val="18"/>
                <w:szCs w:val="18"/>
              </w:rPr>
              <w:t>任光明</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5" w:right="0"/>
              <w:jc w:val="center"/>
              <w:rPr>
                <w:rFonts w:ascii="Times New Roman" w:hAnsi="Times New Roman" w:cs="Times New Roman" w:eastAsia="Times New Roman" w:hint="default"/>
                <w:sz w:val="18"/>
                <w:szCs w:val="18"/>
              </w:rPr>
            </w:pPr>
            <w:r>
              <w:rPr>
                <w:rFonts w:ascii="Times New Roman"/>
                <w:sz w:val="18"/>
              </w:rPr>
              <w:t>55</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01</w:t>
            </w:r>
          </w:p>
          <w:p>
            <w:pPr>
              <w:pStyle w:val="TableParagraph"/>
              <w:spacing w:line="240" w:lineRule="auto" w:before="60"/>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05</w:t>
            </w:r>
          </w:p>
          <w:p>
            <w:pPr>
              <w:pStyle w:val="TableParagraph"/>
              <w:spacing w:line="240" w:lineRule="auto" w:before="60"/>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6"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224"/>
              <w:jc w:val="right"/>
              <w:rPr>
                <w:rFonts w:ascii="宋体" w:hAnsi="宋体" w:cs="宋体" w:eastAsia="宋体" w:hint="default"/>
                <w:sz w:val="18"/>
                <w:szCs w:val="18"/>
              </w:rPr>
            </w:pPr>
            <w:r>
              <w:rPr>
                <w:rFonts w:ascii="宋体" w:hAnsi="宋体" w:cs="宋体" w:eastAsia="宋体" w:hint="default"/>
                <w:sz w:val="18"/>
                <w:szCs w:val="18"/>
              </w:rPr>
              <w:t>吴艾今</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5" w:right="0"/>
              <w:jc w:val="center"/>
              <w:rPr>
                <w:rFonts w:ascii="Times New Roman" w:hAnsi="Times New Roman" w:cs="Times New Roman" w:eastAsia="Times New Roman" w:hint="default"/>
                <w:sz w:val="18"/>
                <w:szCs w:val="18"/>
              </w:rPr>
            </w:pPr>
            <w:r>
              <w:rPr>
                <w:rFonts w:ascii="Times New Roman"/>
                <w:sz w:val="18"/>
              </w:rPr>
              <w:t>49</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3"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224"/>
              <w:jc w:val="right"/>
              <w:rPr>
                <w:rFonts w:ascii="宋体" w:hAnsi="宋体" w:cs="宋体" w:eastAsia="宋体" w:hint="default"/>
                <w:sz w:val="18"/>
                <w:szCs w:val="18"/>
              </w:rPr>
            </w:pPr>
            <w:r>
              <w:rPr>
                <w:rFonts w:ascii="宋体" w:hAnsi="宋体" w:cs="宋体" w:eastAsia="宋体" w:hint="default"/>
                <w:sz w:val="18"/>
                <w:szCs w:val="18"/>
              </w:rPr>
              <w:t>湛炜标</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5" w:right="0"/>
              <w:jc w:val="center"/>
              <w:rPr>
                <w:rFonts w:ascii="Times New Roman" w:hAnsi="Times New Roman" w:cs="Times New Roman" w:eastAsia="Times New Roman" w:hint="default"/>
                <w:sz w:val="18"/>
                <w:szCs w:val="18"/>
              </w:rPr>
            </w:pPr>
            <w:r>
              <w:rPr>
                <w:rFonts w:ascii="Times New Roman"/>
                <w:sz w:val="18"/>
              </w:rPr>
              <w:t>46</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09</w:t>
            </w:r>
          </w:p>
          <w:p>
            <w:pPr>
              <w:pStyle w:val="TableParagraph"/>
              <w:spacing w:line="240" w:lineRule="auto" w:before="60"/>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05</w:t>
            </w:r>
          </w:p>
          <w:p>
            <w:pPr>
              <w:pStyle w:val="TableParagraph"/>
              <w:spacing w:line="240" w:lineRule="auto" w:before="60"/>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5"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224"/>
              <w:jc w:val="right"/>
              <w:rPr>
                <w:rFonts w:ascii="宋体" w:hAnsi="宋体" w:cs="宋体" w:eastAsia="宋体" w:hint="default"/>
                <w:sz w:val="18"/>
                <w:szCs w:val="18"/>
              </w:rPr>
            </w:pPr>
            <w:r>
              <w:rPr>
                <w:rFonts w:ascii="宋体" w:hAnsi="宋体" w:cs="宋体" w:eastAsia="宋体" w:hint="default"/>
                <w:sz w:val="18"/>
                <w:szCs w:val="18"/>
              </w:rPr>
              <w:t>钟翔平</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5" w:right="0"/>
              <w:jc w:val="center"/>
              <w:rPr>
                <w:rFonts w:ascii="Times New Roman" w:hAnsi="Times New Roman" w:cs="Times New Roman" w:eastAsia="Times New Roman" w:hint="default"/>
                <w:sz w:val="18"/>
                <w:szCs w:val="18"/>
              </w:rPr>
            </w:pPr>
            <w:r>
              <w:rPr>
                <w:rFonts w:ascii="Times New Roman"/>
                <w:sz w:val="18"/>
              </w:rPr>
              <w:t>43</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3"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224"/>
              <w:jc w:val="right"/>
              <w:rPr>
                <w:rFonts w:ascii="宋体" w:hAnsi="宋体" w:cs="宋体" w:eastAsia="宋体" w:hint="default"/>
                <w:sz w:val="18"/>
                <w:szCs w:val="18"/>
              </w:rPr>
            </w:pPr>
            <w:r>
              <w:rPr>
                <w:rFonts w:ascii="宋体" w:hAnsi="宋体" w:cs="宋体" w:eastAsia="宋体" w:hint="default"/>
                <w:sz w:val="18"/>
                <w:szCs w:val="18"/>
              </w:rPr>
              <w:t>郑永进</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5" w:right="0"/>
              <w:jc w:val="center"/>
              <w:rPr>
                <w:rFonts w:ascii="Times New Roman" w:hAnsi="Times New Roman" w:cs="Times New Roman" w:eastAsia="Times New Roman" w:hint="default"/>
                <w:sz w:val="18"/>
                <w:szCs w:val="18"/>
              </w:rPr>
            </w:pPr>
            <w:r>
              <w:rPr>
                <w:rFonts w:ascii="Times New Roman"/>
                <w:sz w:val="18"/>
              </w:rPr>
              <w:t>49</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03</w:t>
            </w:r>
          </w:p>
          <w:p>
            <w:pPr>
              <w:pStyle w:val="TableParagraph"/>
              <w:spacing w:line="240" w:lineRule="auto" w:before="60"/>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05</w:t>
            </w:r>
          </w:p>
          <w:p>
            <w:pPr>
              <w:pStyle w:val="TableParagraph"/>
              <w:spacing w:line="240" w:lineRule="auto" w:before="60"/>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5"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224"/>
              <w:jc w:val="right"/>
              <w:rPr>
                <w:rFonts w:ascii="宋体" w:hAnsi="宋体" w:cs="宋体" w:eastAsia="宋体" w:hint="default"/>
                <w:sz w:val="18"/>
                <w:szCs w:val="18"/>
              </w:rPr>
            </w:pPr>
            <w:r>
              <w:rPr>
                <w:rFonts w:ascii="宋体" w:hAnsi="宋体" w:cs="宋体" w:eastAsia="宋体" w:hint="default"/>
                <w:sz w:val="18"/>
                <w:szCs w:val="18"/>
              </w:rPr>
              <w:t>徐晋晖</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41"/>
              <w:jc w:val="left"/>
              <w:rPr>
                <w:rFonts w:ascii="宋体" w:hAnsi="宋体" w:cs="宋体" w:eastAsia="宋体" w:hint="default"/>
                <w:sz w:val="18"/>
                <w:szCs w:val="18"/>
              </w:rPr>
            </w:pPr>
            <w:r>
              <w:rPr>
                <w:rFonts w:ascii="宋体" w:hAnsi="宋体" w:cs="宋体" w:eastAsia="宋体" w:hint="default"/>
                <w:sz w:val="18"/>
                <w:szCs w:val="18"/>
              </w:rPr>
              <w:t>监事会主 席</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5" w:right="0"/>
              <w:jc w:val="center"/>
              <w:rPr>
                <w:rFonts w:ascii="Times New Roman" w:hAnsi="Times New Roman" w:cs="Times New Roman" w:eastAsia="Times New Roman" w:hint="default"/>
                <w:sz w:val="18"/>
                <w:szCs w:val="18"/>
              </w:rPr>
            </w:pPr>
            <w:r>
              <w:rPr>
                <w:rFonts w:ascii="Times New Roman"/>
                <w:sz w:val="18"/>
              </w:rPr>
              <w:t>53</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531,876</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531,876</w:t>
            </w:r>
          </w:p>
        </w:tc>
      </w:tr>
      <w:tr>
        <w:trPr>
          <w:trHeight w:val="713"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224"/>
              <w:jc w:val="right"/>
              <w:rPr>
                <w:rFonts w:ascii="宋体" w:hAnsi="宋体" w:cs="宋体" w:eastAsia="宋体" w:hint="default"/>
                <w:sz w:val="18"/>
                <w:szCs w:val="18"/>
              </w:rPr>
            </w:pPr>
            <w:r>
              <w:rPr>
                <w:rFonts w:ascii="宋体" w:hAnsi="宋体" w:cs="宋体" w:eastAsia="宋体" w:hint="default"/>
                <w:sz w:val="18"/>
                <w:szCs w:val="18"/>
              </w:rPr>
              <w:t>刘铁军</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5" w:right="0"/>
              <w:jc w:val="center"/>
              <w:rPr>
                <w:rFonts w:ascii="Times New Roman" w:hAnsi="Times New Roman" w:cs="Times New Roman" w:eastAsia="Times New Roman" w:hint="default"/>
                <w:sz w:val="18"/>
                <w:szCs w:val="18"/>
              </w:rPr>
            </w:pPr>
            <w:r>
              <w:rPr>
                <w:rFonts w:ascii="Times New Roman"/>
                <w:sz w:val="18"/>
              </w:rPr>
              <w:t>42</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0"/>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05</w:t>
            </w:r>
          </w:p>
          <w:p>
            <w:pPr>
              <w:pStyle w:val="TableParagraph"/>
              <w:spacing w:line="240" w:lineRule="auto" w:before="60"/>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5"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224"/>
              <w:jc w:val="right"/>
              <w:rPr>
                <w:rFonts w:ascii="宋体" w:hAnsi="宋体" w:cs="宋体" w:eastAsia="宋体" w:hint="default"/>
                <w:sz w:val="18"/>
                <w:szCs w:val="18"/>
              </w:rPr>
            </w:pPr>
            <w:r>
              <w:rPr>
                <w:rFonts w:ascii="宋体" w:hAnsi="宋体" w:cs="宋体" w:eastAsia="宋体" w:hint="default"/>
                <w:sz w:val="18"/>
                <w:szCs w:val="18"/>
              </w:rPr>
              <w:t>张雪娇</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5" w:right="0"/>
              <w:jc w:val="center"/>
              <w:rPr>
                <w:rFonts w:ascii="Times New Roman" w:hAnsi="Times New Roman" w:cs="Times New Roman" w:eastAsia="Times New Roman" w:hint="default"/>
                <w:sz w:val="18"/>
                <w:szCs w:val="18"/>
              </w:rPr>
            </w:pPr>
            <w:r>
              <w:rPr>
                <w:rFonts w:ascii="Times New Roman"/>
                <w:sz w:val="18"/>
              </w:rPr>
              <w:t>36</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04</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3"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221"/>
              <w:jc w:val="right"/>
              <w:rPr>
                <w:rFonts w:ascii="宋体" w:hAnsi="宋体" w:cs="宋体" w:eastAsia="宋体" w:hint="default"/>
                <w:sz w:val="18"/>
                <w:szCs w:val="18"/>
              </w:rPr>
            </w:pPr>
            <w:r>
              <w:rPr>
                <w:rFonts w:ascii="宋体" w:hAnsi="宋体" w:cs="宋体" w:eastAsia="宋体" w:hint="default"/>
                <w:sz w:val="18"/>
                <w:szCs w:val="18"/>
              </w:rPr>
              <w:t>毕 </w:t>
            </w:r>
            <w:r>
              <w:rPr>
                <w:rFonts w:ascii="宋体" w:hAnsi="宋体" w:cs="宋体" w:eastAsia="宋体" w:hint="default"/>
                <w:spacing w:val="2"/>
                <w:sz w:val="18"/>
                <w:szCs w:val="18"/>
              </w:rPr>
              <w:t> </w:t>
            </w:r>
            <w:r>
              <w:rPr>
                <w:rFonts w:ascii="宋体" w:hAnsi="宋体" w:cs="宋体" w:eastAsia="宋体" w:hint="default"/>
                <w:sz w:val="18"/>
                <w:szCs w:val="18"/>
              </w:rPr>
              <w:t>垒</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5" w:right="0"/>
              <w:jc w:val="center"/>
              <w:rPr>
                <w:rFonts w:ascii="Times New Roman" w:hAnsi="Times New Roman" w:cs="Times New Roman" w:eastAsia="Times New Roman" w:hint="default"/>
                <w:sz w:val="18"/>
                <w:szCs w:val="18"/>
              </w:rPr>
            </w:pPr>
            <w:r>
              <w:rPr>
                <w:rFonts w:ascii="Times New Roman"/>
                <w:sz w:val="18"/>
              </w:rPr>
              <w:t>43</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2013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08</w:t>
            </w:r>
          </w:p>
          <w:p>
            <w:pPr>
              <w:pStyle w:val="TableParagraph"/>
              <w:spacing w:line="240" w:lineRule="auto" w:before="60"/>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05</w:t>
            </w:r>
          </w:p>
          <w:p>
            <w:pPr>
              <w:pStyle w:val="TableParagraph"/>
              <w:spacing w:line="240" w:lineRule="auto" w:before="60"/>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285,950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500,000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785,950</w:t>
            </w:r>
          </w:p>
        </w:tc>
      </w:tr>
      <w:tr>
        <w:trPr>
          <w:trHeight w:val="715"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224"/>
              <w:jc w:val="right"/>
              <w:rPr>
                <w:rFonts w:ascii="宋体" w:hAnsi="宋体" w:cs="宋体" w:eastAsia="宋体" w:hint="default"/>
                <w:sz w:val="18"/>
                <w:szCs w:val="18"/>
              </w:rPr>
            </w:pPr>
            <w:r>
              <w:rPr>
                <w:rFonts w:ascii="宋体" w:hAnsi="宋体" w:cs="宋体" w:eastAsia="宋体" w:hint="default"/>
                <w:sz w:val="18"/>
                <w:szCs w:val="18"/>
              </w:rPr>
              <w:t>戴东海</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5" w:right="0"/>
              <w:jc w:val="center"/>
              <w:rPr>
                <w:rFonts w:ascii="Times New Roman" w:hAnsi="Times New Roman" w:cs="Times New Roman" w:eastAsia="Times New Roman" w:hint="default"/>
                <w:sz w:val="18"/>
                <w:szCs w:val="18"/>
              </w:rPr>
            </w:pPr>
            <w:r>
              <w:rPr>
                <w:rFonts w:ascii="Times New Roman"/>
                <w:sz w:val="18"/>
              </w:rPr>
              <w:t>49</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270,000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500,000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770,000</w:t>
            </w:r>
          </w:p>
        </w:tc>
      </w:tr>
      <w:tr>
        <w:trPr>
          <w:trHeight w:val="401"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4"/>
              <w:jc w:val="right"/>
              <w:rPr>
                <w:rFonts w:ascii="宋体" w:hAnsi="宋体" w:cs="宋体" w:eastAsia="宋体" w:hint="default"/>
                <w:sz w:val="18"/>
                <w:szCs w:val="18"/>
              </w:rPr>
            </w:pPr>
            <w:r>
              <w:rPr>
                <w:rFonts w:ascii="宋体" w:hAnsi="宋体" w:cs="宋体" w:eastAsia="宋体" w:hint="default"/>
                <w:sz w:val="18"/>
                <w:szCs w:val="18"/>
              </w:rPr>
              <w:t>景慕寒</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 w:right="0"/>
              <w:jc w:val="center"/>
              <w:rPr>
                <w:rFonts w:ascii="Times New Roman" w:hAnsi="Times New Roman" w:cs="Times New Roman" w:eastAsia="Times New Roman" w:hint="default"/>
                <w:sz w:val="18"/>
                <w:szCs w:val="18"/>
              </w:rPr>
            </w:pPr>
            <w:r>
              <w:rPr>
                <w:rFonts w:ascii="Times New Roman"/>
                <w:sz w:val="18"/>
              </w:rPr>
              <w:t>46</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05</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270,000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500,000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770,000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b/>
          <w:bCs/>
          <w:sz w:val="28"/>
          <w:szCs w:val="28"/>
        </w:rPr>
      </w:pPr>
    </w:p>
    <w:tbl>
      <w:tblPr>
        <w:tblW w:w="0" w:type="auto"/>
        <w:jc w:val="left"/>
        <w:tblInd w:w="148" w:type="dxa"/>
        <w:tblLayout w:type="fixed"/>
        <w:tblCellMar>
          <w:top w:w="0" w:type="dxa"/>
          <w:left w:w="0" w:type="dxa"/>
          <w:bottom w:w="0" w:type="dxa"/>
          <w:right w:w="0" w:type="dxa"/>
        </w:tblCellMar>
        <w:tblLook w:val="01E0"/>
      </w:tblPr>
      <w:tblGrid>
        <w:gridCol w:w="800"/>
        <w:gridCol w:w="797"/>
        <w:gridCol w:w="530"/>
        <w:gridCol w:w="569"/>
        <w:gridCol w:w="567"/>
        <w:gridCol w:w="991"/>
        <w:gridCol w:w="850"/>
        <w:gridCol w:w="994"/>
        <w:gridCol w:w="708"/>
        <w:gridCol w:w="852"/>
        <w:gridCol w:w="850"/>
        <w:gridCol w:w="1066"/>
      </w:tblGrid>
      <w:tr>
        <w:trPr>
          <w:trHeight w:val="363" w:hRule="exact"/>
        </w:trPr>
        <w:tc>
          <w:tcPr>
            <w:tcW w:w="800"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金水祥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89"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190" w:right="0"/>
              <w:jc w:val="left"/>
              <w:rPr>
                <w:rFonts w:ascii="Times New Roman" w:hAnsi="Times New Roman" w:cs="Times New Roman" w:eastAsia="Times New Roman" w:hint="default"/>
                <w:sz w:val="18"/>
                <w:szCs w:val="18"/>
              </w:rPr>
            </w:pPr>
            <w:r>
              <w:rPr>
                <w:rFonts w:ascii="Times New Roman"/>
                <w:sz w:val="18"/>
              </w:rPr>
              <w:t>50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2013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08</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800,838</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500,000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1,300,838</w:t>
            </w:r>
          </w:p>
        </w:tc>
      </w:tr>
      <w:tr>
        <w:trPr>
          <w:trHeight w:val="715"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梁永杰</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89"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190" w:right="0"/>
              <w:jc w:val="left"/>
              <w:rPr>
                <w:rFonts w:ascii="Times New Roman" w:hAnsi="Times New Roman" w:cs="Times New Roman" w:eastAsia="Times New Roman" w:hint="default"/>
                <w:sz w:val="18"/>
                <w:szCs w:val="18"/>
              </w:rPr>
            </w:pPr>
            <w:r>
              <w:rPr>
                <w:rFonts w:ascii="Times New Roman"/>
                <w:sz w:val="18"/>
              </w:rPr>
              <w:t>42</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03</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75,600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500,000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575,600</w:t>
            </w:r>
          </w:p>
        </w:tc>
      </w:tr>
      <w:tr>
        <w:trPr>
          <w:trHeight w:val="1025"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孟庆昕</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41"/>
              <w:jc w:val="left"/>
              <w:rPr>
                <w:rFonts w:ascii="宋体" w:hAnsi="宋体" w:cs="宋体" w:eastAsia="宋体" w:hint="default"/>
                <w:sz w:val="18"/>
                <w:szCs w:val="18"/>
              </w:rPr>
            </w:pPr>
            <w:r>
              <w:rPr>
                <w:rFonts w:ascii="宋体" w:hAnsi="宋体" w:cs="宋体" w:eastAsia="宋体" w:hint="default"/>
                <w:sz w:val="18"/>
                <w:szCs w:val="18"/>
              </w:rPr>
              <w:t>副总经 理、董事 会秘书</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89" w:right="0"/>
              <w:jc w:val="left"/>
              <w:rPr>
                <w:rFonts w:ascii="宋体" w:hAnsi="宋体" w:cs="宋体" w:eastAsia="宋体" w:hint="default"/>
                <w:sz w:val="18"/>
                <w:szCs w:val="18"/>
              </w:rPr>
            </w:pPr>
            <w:r>
              <w:rPr>
                <w:rFonts w:ascii="宋体" w:hAnsi="宋体" w:cs="宋体" w:eastAsia="宋体" w:hint="default"/>
                <w:sz w:val="18"/>
                <w:szCs w:val="18"/>
              </w:rPr>
              <w:t>女</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left="190" w:right="0"/>
              <w:jc w:val="left"/>
              <w:rPr>
                <w:rFonts w:ascii="Times New Roman" w:hAnsi="Times New Roman" w:cs="Times New Roman" w:eastAsia="Times New Roman" w:hint="default"/>
                <w:sz w:val="18"/>
                <w:szCs w:val="18"/>
              </w:rPr>
            </w:pPr>
            <w:r>
              <w:rPr>
                <w:rFonts w:ascii="Times New Roman"/>
                <w:sz w:val="18"/>
              </w:rPr>
              <w:t>45</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55,000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500,000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555,000</w:t>
            </w:r>
          </w:p>
        </w:tc>
      </w:tr>
      <w:tr>
        <w:trPr>
          <w:trHeight w:val="715"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宋铁辉</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89"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190" w:right="0"/>
              <w:jc w:val="left"/>
              <w:rPr>
                <w:rFonts w:ascii="Times New Roman" w:hAnsi="Times New Roman" w:cs="Times New Roman" w:eastAsia="Times New Roman" w:hint="default"/>
                <w:sz w:val="18"/>
                <w:szCs w:val="18"/>
              </w:rPr>
            </w:pPr>
            <w:r>
              <w:rPr>
                <w:rFonts w:ascii="Times New Roman"/>
                <w:sz w:val="18"/>
              </w:rPr>
              <w:t>51</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240,000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500,000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740,000</w:t>
            </w:r>
          </w:p>
        </w:tc>
      </w:tr>
      <w:tr>
        <w:trPr>
          <w:trHeight w:val="713"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姜晓明</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财务总监</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89"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190" w:right="0"/>
              <w:jc w:val="left"/>
              <w:rPr>
                <w:rFonts w:ascii="Times New Roman" w:hAnsi="Times New Roman" w:cs="Times New Roman" w:eastAsia="Times New Roman" w:hint="default"/>
                <w:sz w:val="18"/>
                <w:szCs w:val="18"/>
              </w:rPr>
            </w:pPr>
            <w:r>
              <w:rPr>
                <w:rFonts w:ascii="Times New Roman"/>
                <w:sz w:val="18"/>
              </w:rPr>
              <w:t>39</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165,000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250,000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415,000</w:t>
            </w:r>
          </w:p>
        </w:tc>
      </w:tr>
      <w:tr>
        <w:trPr>
          <w:trHeight w:val="715"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刘 </w:t>
            </w:r>
            <w:r>
              <w:rPr>
                <w:rFonts w:ascii="宋体" w:hAnsi="宋体" w:cs="宋体" w:eastAsia="宋体" w:hint="default"/>
                <w:spacing w:val="2"/>
                <w:sz w:val="18"/>
                <w:szCs w:val="18"/>
              </w:rPr>
              <w:t> </w:t>
            </w:r>
            <w:r>
              <w:rPr>
                <w:rFonts w:ascii="宋体" w:hAnsi="宋体" w:cs="宋体" w:eastAsia="宋体" w:hint="default"/>
                <w:sz w:val="18"/>
                <w:szCs w:val="18"/>
              </w:rPr>
              <w:t>铮</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原监事</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89"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190" w:right="0"/>
              <w:jc w:val="left"/>
              <w:rPr>
                <w:rFonts w:ascii="Times New Roman" w:hAnsi="Times New Roman" w:cs="Times New Roman" w:eastAsia="Times New Roman" w:hint="default"/>
                <w:sz w:val="18"/>
                <w:szCs w:val="18"/>
              </w:rPr>
            </w:pPr>
            <w:r>
              <w:rPr>
                <w:rFonts w:ascii="Times New Roman"/>
                <w:sz w:val="18"/>
              </w:rPr>
              <w:t>46</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04</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3"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唐 </w:t>
            </w:r>
            <w:r>
              <w:rPr>
                <w:rFonts w:ascii="宋体" w:hAnsi="宋体" w:cs="宋体" w:eastAsia="宋体" w:hint="default"/>
                <w:spacing w:val="2"/>
                <w:sz w:val="18"/>
                <w:szCs w:val="18"/>
              </w:rPr>
              <w:t> </w:t>
            </w:r>
            <w:r>
              <w:rPr>
                <w:rFonts w:ascii="宋体" w:hAnsi="宋体" w:cs="宋体" w:eastAsia="宋体" w:hint="default"/>
                <w:sz w:val="18"/>
                <w:szCs w:val="18"/>
              </w:rPr>
              <w:t>伟</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41"/>
              <w:jc w:val="left"/>
              <w:rPr>
                <w:rFonts w:ascii="宋体" w:hAnsi="宋体" w:cs="宋体" w:eastAsia="宋体" w:hint="default"/>
                <w:sz w:val="18"/>
                <w:szCs w:val="18"/>
              </w:rPr>
            </w:pPr>
            <w:r>
              <w:rPr>
                <w:rFonts w:ascii="宋体" w:hAnsi="宋体" w:cs="宋体" w:eastAsia="宋体" w:hint="default"/>
                <w:sz w:val="18"/>
                <w:szCs w:val="18"/>
              </w:rPr>
              <w:t>原财务总 监</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89"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190" w:right="0"/>
              <w:jc w:val="left"/>
              <w:rPr>
                <w:rFonts w:ascii="Times New Roman" w:hAnsi="Times New Roman" w:cs="Times New Roman" w:eastAsia="Times New Roman" w:hint="default"/>
                <w:sz w:val="18"/>
                <w:szCs w:val="18"/>
              </w:rPr>
            </w:pPr>
            <w:r>
              <w:rPr>
                <w:rFonts w:ascii="Times New Roman"/>
                <w:sz w:val="18"/>
              </w:rPr>
              <w:t>44</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03</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2"/>
                <w:sz w:val="18"/>
              </w:rPr>
              <w:t>411,522</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2"/>
                <w:sz w:val="18"/>
              </w:rPr>
              <w:t>411,522</w:t>
            </w:r>
          </w:p>
        </w:tc>
      </w:tr>
      <w:tr>
        <w:trPr>
          <w:trHeight w:val="715"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雷文辉</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41"/>
              <w:jc w:val="left"/>
              <w:rPr>
                <w:rFonts w:ascii="宋体" w:hAnsi="宋体" w:cs="宋体" w:eastAsia="宋体" w:hint="default"/>
                <w:sz w:val="18"/>
                <w:szCs w:val="18"/>
              </w:rPr>
            </w:pPr>
            <w:r>
              <w:rPr>
                <w:rFonts w:ascii="宋体" w:hAnsi="宋体" w:cs="宋体" w:eastAsia="宋体" w:hint="default"/>
                <w:sz w:val="18"/>
                <w:szCs w:val="18"/>
              </w:rPr>
              <w:t>原副总经 理</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89"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190" w:right="0"/>
              <w:jc w:val="left"/>
              <w:rPr>
                <w:rFonts w:ascii="Times New Roman" w:hAnsi="Times New Roman" w:cs="Times New Roman" w:eastAsia="Times New Roman" w:hint="default"/>
                <w:sz w:val="18"/>
                <w:szCs w:val="18"/>
              </w:rPr>
            </w:pPr>
            <w:r>
              <w:rPr>
                <w:rFonts w:ascii="Times New Roman"/>
                <w:sz w:val="18"/>
              </w:rPr>
              <w:t>53</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2013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08</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03</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1,235,357</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123,400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250,000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1,361,957</w:t>
            </w:r>
          </w:p>
        </w:tc>
      </w:tr>
      <w:tr>
        <w:trPr>
          <w:trHeight w:val="401" w:hRule="exact"/>
        </w:trPr>
        <w:tc>
          <w:tcPr>
            <w:tcW w:w="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5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5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18" w:right="0"/>
              <w:jc w:val="left"/>
              <w:rPr>
                <w:rFonts w:ascii="Times New Roman" w:hAnsi="Times New Roman" w:cs="Times New Roman" w:eastAsia="Times New Roman" w:hint="default"/>
                <w:sz w:val="18"/>
                <w:szCs w:val="18"/>
              </w:rPr>
            </w:pPr>
            <w:r>
              <w:rPr>
                <w:rFonts w:ascii="Times New Roman"/>
                <w:sz w:val="18"/>
              </w:rPr>
              <w:t>--</w:t>
            </w:r>
          </w:p>
        </w:tc>
        <w:tc>
          <w:tcPr>
            <w:tcW w:w="5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18" w:right="0"/>
              <w:jc w:val="left"/>
              <w:rPr>
                <w:rFonts w:ascii="Times New Roman" w:hAnsi="Times New Roman" w:cs="Times New Roman" w:eastAsia="Times New Roman" w:hint="default"/>
                <w:sz w:val="18"/>
                <w:szCs w:val="18"/>
              </w:rPr>
            </w:pPr>
            <w:r>
              <w:rPr>
                <w:rFonts w:ascii="Times New Roman"/>
                <w:sz w:val="18"/>
              </w:rPr>
              <w:t>--</w:t>
            </w:r>
          </w:p>
        </w:tc>
        <w:tc>
          <w:tcPr>
            <w:tcW w:w="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25,816,309</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123,400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w w:val="95"/>
                <w:sz w:val="18"/>
              </w:rPr>
              <w:t>5,411,522</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31,104,431</w:t>
            </w:r>
          </w:p>
        </w:tc>
      </w:tr>
    </w:tbl>
    <w:p>
      <w:pPr>
        <w:spacing w:line="240" w:lineRule="auto" w:before="1"/>
        <w:rPr>
          <w:rFonts w:ascii="宋体" w:hAnsi="宋体" w:cs="宋体" w:eastAsia="宋体" w:hint="default"/>
          <w:b/>
          <w:bCs/>
          <w:sz w:val="18"/>
          <w:szCs w:val="18"/>
        </w:rPr>
      </w:pPr>
    </w:p>
    <w:p>
      <w:pPr>
        <w:pStyle w:val="Heading2"/>
        <w:spacing w:line="240" w:lineRule="auto" w:before="26"/>
        <w:ind w:right="982"/>
        <w:jc w:val="left"/>
        <w:rPr>
          <w:b w:val="0"/>
          <w:bCs w:val="0"/>
        </w:rPr>
      </w:pPr>
      <w:r>
        <w:rPr/>
        <w:t>二、公司董事、监事、高级管理人员变动情况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p>
      <w:pPr>
        <w:pStyle w:val="BodyText"/>
        <w:spacing w:line="240" w:lineRule="auto"/>
        <w:ind w:left="0" w:right="1139"/>
        <w:jc w:val="right"/>
      </w:pPr>
      <w:r>
        <w:rPr/>
        <w:pict>
          <v:shape style="position:absolute;margin-left:56.400002pt;margin-top:-30.768295pt;width:479.15pt;height:127.7pt;mso-position-horizontal-relative:page;mso-position-vertical-relative:paragraph;z-index:140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330"/>
                    <w:gridCol w:w="1330"/>
                    <w:gridCol w:w="1333"/>
                    <w:gridCol w:w="1330"/>
                    <w:gridCol w:w="4247"/>
                  </w:tblGrid>
                  <w:tr>
                    <w:trPr>
                      <w:trHeight w:val="401" w:hRule="exact"/>
                    </w:trPr>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11" w:right="0"/>
                          <w:jc w:val="left"/>
                          <w:rPr>
                            <w:rFonts w:ascii="宋体" w:hAnsi="宋体" w:cs="宋体" w:eastAsia="宋体" w:hint="default"/>
                            <w:sz w:val="18"/>
                            <w:szCs w:val="18"/>
                          </w:rPr>
                        </w:pPr>
                        <w:r>
                          <w:rPr>
                            <w:rFonts w:ascii="宋体" w:hAnsi="宋体" w:cs="宋体" w:eastAsia="宋体" w:hint="default"/>
                            <w:sz w:val="18"/>
                            <w:szCs w:val="18"/>
                          </w:rPr>
                          <w:t>担任的职务</w:t>
                        </w:r>
                      </w:p>
                    </w:tc>
                    <w:tc>
                      <w:tcPr>
                        <w:tcW w:w="13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类型</w:t>
                        </w:r>
                      </w:p>
                    </w:tc>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日期</w:t>
                        </w:r>
                      </w:p>
                    </w:tc>
                    <w:tc>
                      <w:tcPr>
                        <w:tcW w:w="42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原因</w:t>
                        </w:r>
                      </w:p>
                    </w:tc>
                  </w:tr>
                  <w:tr>
                    <w:trPr>
                      <w:trHeight w:val="715"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刘铮</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原监事</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14</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42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刘铮先生因工作安排的原因，不再担任公司监事职务</w:t>
                        </w:r>
                      </w:p>
                    </w:tc>
                  </w:tr>
                  <w:tr>
                    <w:trPr>
                      <w:trHeight w:val="713"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雷文辉</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原副总经理</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27</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42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雷文辉先生因个人原因辞去公司副总经理职务。</w:t>
                        </w:r>
                      </w:p>
                    </w:tc>
                  </w:tr>
                  <w:tr>
                    <w:trPr>
                      <w:trHeight w:val="715"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唐伟</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原财务总监</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28</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424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72"/>
                          <w:jc w:val="left"/>
                          <w:rPr>
                            <w:rFonts w:ascii="宋体" w:hAnsi="宋体" w:cs="宋体" w:eastAsia="宋体" w:hint="default"/>
                            <w:sz w:val="18"/>
                            <w:szCs w:val="18"/>
                          </w:rPr>
                        </w:pPr>
                        <w:r>
                          <w:rPr>
                            <w:rFonts w:ascii="宋体" w:hAnsi="宋体" w:cs="宋体" w:eastAsia="宋体" w:hint="default"/>
                            <w:sz w:val="18"/>
                            <w:szCs w:val="18"/>
                          </w:rPr>
                          <w:t>唐伟先生因个人原因辞去公司财务总监、副总经理等 职务。</w:t>
                        </w:r>
                      </w:p>
                    </w:tc>
                  </w:tr>
                </w:tbl>
                <w:p>
                  <w:pPr/>
                </w:p>
              </w:txbxContent>
            </v:textbox>
            <w10:wrap type="none"/>
          </v:shape>
        </w:pict>
      </w: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8"/>
          <w:szCs w:val="28"/>
        </w:rPr>
      </w:pPr>
    </w:p>
    <w:p>
      <w:pPr>
        <w:pStyle w:val="Heading2"/>
        <w:spacing w:line="240" w:lineRule="auto" w:before="26"/>
        <w:ind w:right="982"/>
        <w:jc w:val="left"/>
        <w:rPr>
          <w:b w:val="0"/>
          <w:bCs w:val="0"/>
        </w:rPr>
      </w:pPr>
      <w:r>
        <w:rPr/>
        <w:t>三、任职情况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t>公司现任董事、监事、高级管理人员专业背景、主要工作经历以及目前在公司的主要职责</w:t>
      </w:r>
    </w:p>
    <w:p>
      <w:pPr>
        <w:spacing w:line="240" w:lineRule="auto" w:before="3"/>
        <w:rPr>
          <w:rFonts w:ascii="宋体" w:hAnsi="宋体" w:cs="宋体" w:eastAsia="宋体" w:hint="default"/>
          <w:sz w:val="13"/>
          <w:szCs w:val="13"/>
        </w:rPr>
      </w:pPr>
    </w:p>
    <w:p>
      <w:pPr>
        <w:pStyle w:val="Heading5"/>
        <w:spacing w:line="408" w:lineRule="auto" w:before="0"/>
        <w:ind w:left="573" w:right="982" w:firstLine="0"/>
        <w:jc w:val="left"/>
      </w:pPr>
      <w:r>
        <w:rPr/>
        <w:t>（</w:t>
      </w:r>
      <w:r>
        <w:rPr>
          <w:rFonts w:ascii="宋体" w:hAnsi="宋体" w:cs="宋体" w:eastAsia="宋体" w:hint="default"/>
        </w:rPr>
        <w:t>1</w:t>
      </w:r>
      <w:r>
        <w:rPr/>
        <w:t>）公司董事任职情况</w:t>
      </w:r>
      <w:r>
        <w:rPr>
          <w:rFonts w:ascii="宋体" w:hAnsi="宋体" w:cs="宋体" w:eastAsia="宋体" w:hint="default"/>
          <w:w w:val="100"/>
        </w:rPr>
        <w:t> </w:t>
      </w:r>
      <w:r>
        <w:rPr/>
        <w:t>吴劲风先生，中国国籍，无境外居留权，</w:t>
      </w:r>
      <w:r>
        <w:rPr>
          <w:rFonts w:ascii="宋体" w:hAnsi="宋体" w:cs="宋体" w:eastAsia="宋体" w:hint="default"/>
        </w:rPr>
        <w:t>1961</w:t>
      </w:r>
      <w:r>
        <w:rPr/>
        <w:t>年</w:t>
      </w:r>
      <w:r>
        <w:rPr>
          <w:rFonts w:ascii="宋体" w:hAnsi="宋体" w:cs="宋体" w:eastAsia="宋体" w:hint="default"/>
        </w:rPr>
        <w:t>9</w:t>
      </w:r>
      <w:r>
        <w:rPr/>
        <w:t>月出生，教授级高级工程师。曾任中国通信广播卫</w:t>
      </w:r>
    </w:p>
    <w:p>
      <w:pPr>
        <w:pStyle w:val="Heading5"/>
        <w:spacing w:line="408" w:lineRule="auto"/>
        <w:ind w:right="982" w:firstLine="0"/>
        <w:jc w:val="left"/>
      </w:pPr>
      <w:r>
        <w:rPr>
          <w:spacing w:val="-7"/>
        </w:rPr>
        <w:t>星公司副总经理、总经理、党委委员，中国卫星通信集团公司副总经理、总经理、党委委员、党委副书记、</w:t>
      </w:r>
      <w:r>
        <w:rPr>
          <w:spacing w:val="-23"/>
        </w:rPr>
        <w:t> </w:t>
      </w:r>
      <w:r>
        <w:rPr>
          <w:spacing w:val="-23"/>
        </w:rPr>
      </w:r>
      <w:r>
        <w:rPr>
          <w:spacing w:val="-2"/>
        </w:rPr>
        <w:t>科学技术专家委员会主任，中国东方通信卫星有限责任公司董事长、总经理、党委书记，中国直播卫星有</w:t>
      </w:r>
    </w:p>
    <w:p>
      <w:pPr>
        <w:spacing w:after="0" w:line="408" w:lineRule="auto"/>
        <w:jc w:val="left"/>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pStyle w:val="Heading5"/>
        <w:spacing w:line="408" w:lineRule="auto" w:before="176"/>
        <w:ind w:right="1126" w:firstLine="0"/>
        <w:jc w:val="both"/>
        <w:rPr>
          <w:rFonts w:ascii="宋体" w:hAnsi="宋体" w:cs="宋体" w:eastAsia="宋体" w:hint="default"/>
        </w:rPr>
      </w:pPr>
      <w:r>
        <w:rPr>
          <w:spacing w:val="-2"/>
        </w:rPr>
        <w:t>限公司董事长、总经理，鑫诺卫星通信有限公司董事长，中卫星空移动电视有限公司董事长，中寰卫星导</w:t>
      </w:r>
      <w:r>
        <w:rPr>
          <w:spacing w:val="-47"/>
        </w:rPr>
        <w:t> </w:t>
      </w:r>
      <w:r>
        <w:rPr>
          <w:spacing w:val="-47"/>
        </w:rPr>
      </w:r>
      <w:r>
        <w:rPr>
          <w:spacing w:val="-2"/>
        </w:rPr>
        <w:t>航通信有限公司副董事长，亚太卫星控股有限公司非执行董事，中国伽利略卫星导航有限公司董事，中卫</w:t>
      </w:r>
      <w:r>
        <w:rPr>
          <w:spacing w:val="-43"/>
        </w:rPr>
        <w:t> </w:t>
      </w:r>
      <w:r>
        <w:rPr>
          <w:spacing w:val="-43"/>
        </w:rPr>
      </w:r>
      <w:r>
        <w:rPr>
          <w:spacing w:val="-2"/>
        </w:rPr>
        <w:t>普信宽带通信有限公司董事，直播星数字信息技术有限公司董事，中国四维测绘技术有限公司董事长、总</w:t>
      </w:r>
      <w:r>
        <w:rPr>
          <w:spacing w:val="-43"/>
        </w:rPr>
        <w:t> </w:t>
      </w:r>
      <w:r>
        <w:rPr>
          <w:spacing w:val="-43"/>
        </w:rPr>
      </w:r>
      <w:r>
        <w:rPr>
          <w:spacing w:val="-2"/>
        </w:rPr>
        <w:t>经理、党委书记。现任公司董事长，中国航天科技集团有限公司科技委副主任，中国卫通集团股份有限公</w:t>
      </w:r>
      <w:r>
        <w:rPr>
          <w:spacing w:val="-47"/>
        </w:rPr>
        <w:t> </w:t>
      </w:r>
      <w:r>
        <w:rPr>
          <w:spacing w:val="-47"/>
        </w:rPr>
      </w:r>
      <w:r>
        <w:rPr/>
        <w:t>司董事，物联网技术应用研究院理事长，工业和信息化部通信科学技术委员会常委。</w:t>
      </w:r>
      <w:r>
        <w:rPr>
          <w:rFonts w:ascii="宋体" w:hAnsi="宋体" w:cs="宋体" w:eastAsia="宋体" w:hint="default"/>
        </w:rPr>
        <w:t> </w:t>
      </w:r>
    </w:p>
    <w:p>
      <w:pPr>
        <w:pStyle w:val="Heading5"/>
        <w:spacing w:line="408" w:lineRule="auto"/>
        <w:ind w:right="1126"/>
        <w:jc w:val="both"/>
        <w:rPr>
          <w:rFonts w:ascii="宋体" w:hAnsi="宋体" w:cs="宋体" w:eastAsia="宋体" w:hint="default"/>
        </w:rPr>
      </w:pPr>
      <w:r>
        <w:rPr/>
        <w:t>孙玉国先生，中国国籍，无境外居留权，</w:t>
      </w:r>
      <w:r>
        <w:rPr>
          <w:rFonts w:ascii="宋体" w:hAnsi="宋体" w:cs="宋体" w:eastAsia="宋体" w:hint="default"/>
        </w:rPr>
        <w:t>1964</w:t>
      </w:r>
      <w:r>
        <w:rPr/>
        <w:t>年</w:t>
      </w:r>
      <w:r>
        <w:rPr>
          <w:rFonts w:ascii="宋体" w:hAnsi="宋体" w:cs="宋体" w:eastAsia="宋体" w:hint="default"/>
        </w:rPr>
        <w:t>7</w:t>
      </w:r>
      <w:r>
        <w:rPr/>
        <w:t>月出生，博士研究生学历，研究员。现任公司副董</w:t>
      </w:r>
      <w:r>
        <w:rPr>
          <w:w w:val="100"/>
        </w:rPr>
        <w:t> </w:t>
      </w:r>
      <w:r>
        <w:rPr>
          <w:spacing w:val="-2"/>
        </w:rPr>
        <w:t>事长，北京图迅丰达信息技术有限公司董事长，禾多科技</w:t>
      </w:r>
      <w:r>
        <w:rPr>
          <w:rFonts w:ascii="宋体" w:hAnsi="宋体" w:cs="宋体" w:eastAsia="宋体" w:hint="default"/>
          <w:spacing w:val="-2"/>
        </w:rPr>
        <w:t>(</w:t>
      </w:r>
      <w:r>
        <w:rPr>
          <w:spacing w:val="-2"/>
        </w:rPr>
        <w:t>北京</w:t>
      </w:r>
      <w:r>
        <w:rPr>
          <w:rFonts w:ascii="宋体" w:hAnsi="宋体" w:cs="宋体" w:eastAsia="宋体" w:hint="default"/>
          <w:spacing w:val="-2"/>
        </w:rPr>
        <w:t>)</w:t>
      </w:r>
      <w:r>
        <w:rPr>
          <w:spacing w:val="-2"/>
        </w:rPr>
        <w:t>有限公司、成都返空汇网络技术有限公司</w:t>
      </w:r>
      <w:r>
        <w:rPr>
          <w:spacing w:val="-42"/>
        </w:rPr>
        <w:t> </w:t>
      </w:r>
      <w:r>
        <w:rPr>
          <w:spacing w:val="-42"/>
        </w:rPr>
      </w:r>
      <w:r>
        <w:rPr/>
        <w:t>董事，北京万兔思睿科技有限公司监事，中国地理信息产业协会会长。</w:t>
      </w:r>
      <w:r>
        <w:rPr>
          <w:rFonts w:ascii="宋体" w:hAnsi="宋体" w:cs="宋体" w:eastAsia="宋体" w:hint="default"/>
        </w:rPr>
        <w:t> </w:t>
      </w:r>
    </w:p>
    <w:p>
      <w:pPr>
        <w:pStyle w:val="Heading5"/>
        <w:spacing w:line="408" w:lineRule="auto"/>
        <w:ind w:right="982"/>
        <w:jc w:val="left"/>
        <w:rPr>
          <w:rFonts w:ascii="宋体" w:hAnsi="宋体" w:cs="宋体" w:eastAsia="宋体" w:hint="default"/>
        </w:rPr>
      </w:pPr>
      <w:r>
        <w:rPr/>
        <w:t>程鹏先生，中国国籍，拥有美国居留权，</w:t>
      </w:r>
      <w:r>
        <w:rPr>
          <w:rFonts w:ascii="宋体" w:hAnsi="宋体" w:cs="宋体" w:eastAsia="宋体" w:hint="default"/>
        </w:rPr>
        <w:t>1976</w:t>
      </w:r>
      <w:r>
        <w:rPr/>
        <w:t>年</w:t>
      </w:r>
      <w:r>
        <w:rPr>
          <w:rFonts w:ascii="宋体" w:hAnsi="宋体" w:cs="宋体" w:eastAsia="宋体" w:hint="default"/>
        </w:rPr>
        <w:t>1</w:t>
      </w:r>
      <w:r>
        <w:rPr/>
        <w:t>月出生，本科学历。现任公司董事、总经理，中寰</w:t>
      </w:r>
      <w:r>
        <w:rPr>
          <w:w w:val="100"/>
        </w:rPr>
        <w:t> </w:t>
      </w:r>
      <w:r>
        <w:rPr>
          <w:spacing w:val="-2"/>
        </w:rPr>
        <w:t>卫星导航通信有限公司、北京世纪高通科技有限公司、合肥杰发科技有限公司、北京图新经纬导航系统有</w:t>
      </w:r>
      <w:r>
        <w:rPr>
          <w:spacing w:val="-42"/>
        </w:rPr>
        <w:t> </w:t>
      </w:r>
      <w:r>
        <w:rPr>
          <w:spacing w:val="-42"/>
        </w:rPr>
      </w:r>
      <w:r>
        <w:rPr/>
        <w:t>限公司、北京四维智联科技有限公司、北京六分科技有限公司董事长，北京图迅丰达信息技术有限公司、</w:t>
      </w:r>
      <w:r>
        <w:rPr>
          <w:spacing w:val="-24"/>
        </w:rPr>
        <w:t> </w:t>
      </w:r>
      <w:r>
        <w:rPr>
          <w:spacing w:val="-24"/>
        </w:rPr>
      </w:r>
      <w:r>
        <w:rPr>
          <w:spacing w:val="-3"/>
        </w:rPr>
        <w:t>上海安吉四维信息技术有限公司、</w:t>
      </w:r>
      <w:r>
        <w:rPr>
          <w:rFonts w:ascii="宋体" w:hAnsi="宋体" w:cs="宋体" w:eastAsia="宋体" w:hint="default"/>
          <w:spacing w:val="-3"/>
        </w:rPr>
        <w:t>Cooperatieve</w:t>
      </w:r>
      <w:r>
        <w:rPr>
          <w:rFonts w:ascii="宋体" w:hAnsi="宋体" w:cs="宋体" w:eastAsia="宋体" w:hint="default"/>
          <w:spacing w:val="-38"/>
        </w:rPr>
        <w:t> </w:t>
      </w:r>
      <w:r>
        <w:rPr>
          <w:rFonts w:ascii="宋体" w:hAnsi="宋体" w:cs="宋体" w:eastAsia="宋体" w:hint="default"/>
        </w:rPr>
        <w:t>NavInfo</w:t>
      </w:r>
      <w:r>
        <w:rPr>
          <w:rFonts w:ascii="宋体" w:hAnsi="宋体" w:cs="宋体" w:eastAsia="宋体" w:hint="default"/>
          <w:spacing w:val="-38"/>
        </w:rPr>
        <w:t> </w:t>
      </w:r>
      <w:r>
        <w:rPr>
          <w:rFonts w:ascii="宋体" w:hAnsi="宋体" w:cs="宋体" w:eastAsia="宋体" w:hint="default"/>
          <w:spacing w:val="-5"/>
        </w:rPr>
        <w:t>U.A.</w:t>
      </w:r>
      <w:r>
        <w:rPr>
          <w:spacing w:val="-5"/>
        </w:rPr>
        <w:t>、北京万兔思睿科技有限公司、禾多科技</w:t>
      </w:r>
      <w:r>
        <w:rPr>
          <w:rFonts w:ascii="宋体" w:hAnsi="宋体" w:cs="宋体" w:eastAsia="宋体" w:hint="default"/>
          <w:spacing w:val="-5"/>
        </w:rPr>
        <w:t>(</w:t>
      </w:r>
      <w:r>
        <w:rPr>
          <w:spacing w:val="-5"/>
        </w:rPr>
        <w:t>北</w:t>
      </w:r>
      <w:r>
        <w:rPr>
          <w:spacing w:val="-71"/>
        </w:rPr>
        <w:t> </w:t>
      </w:r>
      <w:r>
        <w:rPr/>
        <w:t>京</w:t>
      </w:r>
      <w:r>
        <w:rPr>
          <w:rFonts w:ascii="宋体" w:hAnsi="宋体" w:cs="宋体" w:eastAsia="宋体" w:hint="default"/>
        </w:rPr>
        <w:t>)</w:t>
      </w:r>
      <w:r>
        <w:rPr/>
        <w:t>有限公司董事。</w:t>
      </w:r>
      <w:r>
        <w:rPr>
          <w:rFonts w:ascii="宋体" w:hAnsi="宋体" w:cs="宋体" w:eastAsia="宋体" w:hint="default"/>
        </w:rPr>
        <w:t> </w:t>
      </w:r>
    </w:p>
    <w:p>
      <w:pPr>
        <w:pStyle w:val="Heading5"/>
        <w:spacing w:line="408" w:lineRule="auto"/>
        <w:ind w:right="1126"/>
        <w:jc w:val="both"/>
        <w:rPr>
          <w:rFonts w:ascii="宋体" w:hAnsi="宋体" w:cs="宋体" w:eastAsia="宋体" w:hint="default"/>
        </w:rPr>
      </w:pPr>
      <w:r>
        <w:rPr>
          <w:spacing w:val="-2"/>
        </w:rPr>
        <w:t>李想先生，中国国籍，无境外居留权，</w:t>
      </w:r>
      <w:r>
        <w:rPr>
          <w:rFonts w:ascii="宋体" w:hAnsi="宋体" w:cs="宋体" w:eastAsia="宋体" w:hint="default"/>
          <w:spacing w:val="-2"/>
        </w:rPr>
        <w:t>1981</w:t>
      </w:r>
      <w:r>
        <w:rPr>
          <w:spacing w:val="-2"/>
        </w:rPr>
        <w:t>年</w:t>
      </w:r>
      <w:r>
        <w:rPr>
          <w:rFonts w:ascii="宋体" w:hAnsi="宋体" w:cs="宋体" w:eastAsia="宋体" w:hint="default"/>
          <w:spacing w:val="-2"/>
        </w:rPr>
        <w:t>10</w:t>
      </w:r>
      <w:r>
        <w:rPr>
          <w:spacing w:val="-2"/>
        </w:rPr>
        <w:t>月出生。曾任北京泡泡信息技术有限公司总经理、北</w:t>
      </w:r>
      <w:r>
        <w:rPr>
          <w:w w:val="100"/>
        </w:rPr>
        <w:t> </w:t>
      </w:r>
      <w:r>
        <w:rPr>
          <w:spacing w:val="-2"/>
        </w:rPr>
        <w:t>京车之家信息技术有限公司总裁。具有</w:t>
      </w:r>
      <w:r>
        <w:rPr>
          <w:rFonts w:ascii="宋体" w:hAnsi="宋体" w:cs="宋体" w:eastAsia="宋体" w:hint="default"/>
          <w:spacing w:val="-2"/>
        </w:rPr>
        <w:t>20</w:t>
      </w:r>
      <w:r>
        <w:rPr>
          <w:spacing w:val="-2"/>
        </w:rPr>
        <w:t>年的互联网行业经验，曾带领团队从</w:t>
      </w:r>
      <w:r>
        <w:rPr>
          <w:rFonts w:ascii="宋体" w:hAnsi="宋体" w:cs="宋体" w:eastAsia="宋体" w:hint="default"/>
          <w:spacing w:val="-2"/>
        </w:rPr>
        <w:t>IT</w:t>
      </w:r>
      <w:r>
        <w:rPr>
          <w:spacing w:val="-2"/>
        </w:rPr>
        <w:t>产品向汽车业扩张，创建</w:t>
      </w:r>
      <w:r>
        <w:rPr>
          <w:spacing w:val="-39"/>
        </w:rPr>
        <w:t> </w:t>
      </w:r>
      <w:r>
        <w:rPr>
          <w:spacing w:val="-39"/>
        </w:rPr>
      </w:r>
      <w:r>
        <w:rPr>
          <w:spacing w:val="-2"/>
        </w:rPr>
        <w:t>汽车之家网站，目前汽车之家已成长为全球访问量最大的汽车网站。现任公司独立董事，北京车和家信息</w:t>
      </w:r>
      <w:r>
        <w:rPr>
          <w:spacing w:val="-43"/>
        </w:rPr>
        <w:t> </w:t>
      </w:r>
      <w:r>
        <w:rPr>
          <w:spacing w:val="-43"/>
        </w:rPr>
      </w:r>
      <w:r>
        <w:rPr>
          <w:spacing w:val="-2"/>
        </w:rPr>
        <w:t>技术有限公司董事长、总经理，空气管家（北京）科技有限公司、江苏车宜家新能源科技有限公司、北京</w:t>
      </w:r>
      <w:r>
        <w:rPr>
          <w:spacing w:val="-45"/>
        </w:rPr>
        <w:t> </w:t>
      </w:r>
      <w:r>
        <w:rPr>
          <w:spacing w:val="-45"/>
        </w:rPr>
      </w:r>
      <w:r>
        <w:rPr/>
        <w:t>易航远智科技有限公司、新石器慧通（北京）科技有限公司董事。</w:t>
      </w:r>
      <w:r>
        <w:rPr>
          <w:rFonts w:ascii="宋体" w:hAnsi="宋体" w:cs="宋体" w:eastAsia="宋体" w:hint="default"/>
        </w:rPr>
        <w:t> </w:t>
      </w:r>
    </w:p>
    <w:p>
      <w:pPr>
        <w:pStyle w:val="Heading5"/>
        <w:spacing w:line="408" w:lineRule="auto"/>
        <w:ind w:right="1126"/>
        <w:jc w:val="both"/>
        <w:rPr>
          <w:rFonts w:ascii="宋体" w:hAnsi="宋体" w:cs="宋体" w:eastAsia="宋体" w:hint="default"/>
        </w:rPr>
      </w:pPr>
      <w:r>
        <w:rPr/>
        <w:t>任光明先生，中国国籍，无境外居留权，</w:t>
      </w:r>
      <w:r>
        <w:rPr>
          <w:rFonts w:ascii="宋体" w:hAnsi="宋体" w:cs="宋体" w:eastAsia="宋体" w:hint="default"/>
        </w:rPr>
        <w:t>1964</w:t>
      </w:r>
      <w:r>
        <w:rPr/>
        <w:t>年</w:t>
      </w:r>
      <w:r>
        <w:rPr>
          <w:rFonts w:ascii="宋体" w:hAnsi="宋体" w:cs="宋体" w:eastAsia="宋体" w:hint="default"/>
        </w:rPr>
        <w:t>6</w:t>
      </w:r>
      <w:r>
        <w:rPr/>
        <w:t>月生，南开大学国际经济及世界历史双学位学士，</w:t>
      </w:r>
      <w:r>
        <w:rPr>
          <w:w w:val="100"/>
        </w:rPr>
        <w:t> </w:t>
      </w:r>
      <w:r>
        <w:rPr/>
        <w:t>北京大学国际</w:t>
      </w:r>
      <w:r>
        <w:rPr>
          <w:rFonts w:ascii="宋体" w:hAnsi="宋体" w:cs="宋体" w:eastAsia="宋体" w:hint="default"/>
        </w:rPr>
        <w:t>MBA</w:t>
      </w:r>
      <w:r>
        <w:rPr/>
        <w:t>。</w:t>
      </w:r>
      <w:r>
        <w:rPr>
          <w:rFonts w:ascii="宋体" w:hAnsi="宋体" w:cs="宋体" w:eastAsia="宋体" w:hint="default"/>
        </w:rPr>
        <w:t>1987</w:t>
      </w:r>
      <w:r>
        <w:rPr/>
        <w:t>年至</w:t>
      </w:r>
      <w:r>
        <w:rPr>
          <w:rFonts w:ascii="宋体" w:hAnsi="宋体" w:cs="宋体" w:eastAsia="宋体" w:hint="default"/>
        </w:rPr>
        <w:t>2000</w:t>
      </w:r>
      <w:r>
        <w:rPr/>
        <w:t>年任职于国务院港澳事务办公室、中英联合联络小组中方代表处，先后</w:t>
      </w:r>
      <w:r>
        <w:rPr>
          <w:spacing w:val="-28"/>
        </w:rPr>
        <w:t> </w:t>
      </w:r>
      <w:r>
        <w:rPr>
          <w:spacing w:val="-28"/>
        </w:rPr>
      </w:r>
      <w:r>
        <w:rPr>
          <w:spacing w:val="-2"/>
        </w:rPr>
        <w:t>在港澳办研究所和港澳办经济司从事涉港经济、金融事务，参与筹备澳门回归事宜；</w:t>
      </w:r>
      <w:r>
        <w:rPr>
          <w:rFonts w:ascii="宋体" w:hAnsi="宋体" w:cs="宋体" w:eastAsia="宋体" w:hint="default"/>
          <w:spacing w:val="-2"/>
        </w:rPr>
        <w:t>2000</w:t>
      </w:r>
      <w:r>
        <w:rPr>
          <w:spacing w:val="-2"/>
        </w:rPr>
        <w:t>年至</w:t>
      </w:r>
      <w:r>
        <w:rPr>
          <w:rFonts w:ascii="宋体" w:hAnsi="宋体" w:cs="宋体" w:eastAsia="宋体" w:hint="default"/>
          <w:spacing w:val="-2"/>
        </w:rPr>
        <w:t>2001</w:t>
      </w:r>
      <w:r>
        <w:rPr>
          <w:spacing w:val="-2"/>
        </w:rPr>
        <w:t>年，任</w:t>
      </w:r>
      <w:r>
        <w:rPr>
          <w:spacing w:val="-39"/>
        </w:rPr>
        <w:t> </w:t>
      </w:r>
      <w:r>
        <w:rPr>
          <w:spacing w:val="-39"/>
        </w:rPr>
      </w:r>
      <w:r>
        <w:rPr>
          <w:spacing w:val="-2"/>
        </w:rPr>
        <w:t>职于香港电讯盈科北京公司；</w:t>
      </w:r>
      <w:r>
        <w:rPr>
          <w:rFonts w:ascii="宋体" w:hAnsi="宋体" w:cs="宋体" w:eastAsia="宋体" w:hint="default"/>
          <w:spacing w:val="-2"/>
        </w:rPr>
        <w:t>2001</w:t>
      </w:r>
      <w:r>
        <w:rPr>
          <w:spacing w:val="-2"/>
        </w:rPr>
        <w:t>年</w:t>
      </w:r>
      <w:r>
        <w:rPr>
          <w:rFonts w:ascii="宋体" w:hAnsi="宋体" w:cs="宋体" w:eastAsia="宋体" w:hint="default"/>
          <w:spacing w:val="-2"/>
        </w:rPr>
        <w:t>8</w:t>
      </w:r>
      <w:r>
        <w:rPr>
          <w:spacing w:val="-2"/>
        </w:rPr>
        <w:t>月至</w:t>
      </w:r>
      <w:r>
        <w:rPr>
          <w:rFonts w:ascii="宋体" w:hAnsi="宋体" w:cs="宋体" w:eastAsia="宋体" w:hint="default"/>
          <w:spacing w:val="-2"/>
        </w:rPr>
        <w:t>2012</w:t>
      </w:r>
      <w:r>
        <w:rPr>
          <w:spacing w:val="-2"/>
        </w:rPr>
        <w:t>年</w:t>
      </w:r>
      <w:r>
        <w:rPr>
          <w:rFonts w:ascii="宋体" w:hAnsi="宋体" w:cs="宋体" w:eastAsia="宋体" w:hint="default"/>
          <w:spacing w:val="-2"/>
        </w:rPr>
        <w:t>4</w:t>
      </w:r>
      <w:r>
        <w:rPr>
          <w:spacing w:val="-2"/>
        </w:rPr>
        <w:t>月，于香港交易所北京代表处任首席代表。现任公司独</w:t>
      </w:r>
      <w:r>
        <w:rPr>
          <w:spacing w:val="-34"/>
        </w:rPr>
        <w:t> </w:t>
      </w:r>
      <w:r>
        <w:rPr>
          <w:spacing w:val="-34"/>
        </w:rPr>
      </w:r>
      <w:r>
        <w:rPr/>
        <w:t>立董事，北京星轨科技有限公司董事长，碧生源控股有限公司独立董事。</w:t>
      </w:r>
      <w:r>
        <w:rPr>
          <w:rFonts w:ascii="宋体" w:hAnsi="宋体" w:cs="宋体" w:eastAsia="宋体" w:hint="default"/>
        </w:rPr>
        <w:t> </w:t>
      </w:r>
    </w:p>
    <w:p>
      <w:pPr>
        <w:pStyle w:val="Heading5"/>
        <w:spacing w:line="408" w:lineRule="auto"/>
        <w:ind w:right="1126"/>
        <w:jc w:val="both"/>
        <w:rPr>
          <w:rFonts w:ascii="宋体" w:hAnsi="宋体" w:cs="宋体" w:eastAsia="宋体" w:hint="default"/>
        </w:rPr>
      </w:pPr>
      <w:r>
        <w:rPr/>
        <w:t>吴艾今女士，中国国籍，无境外居留权，</w:t>
      </w:r>
      <w:r>
        <w:rPr>
          <w:rFonts w:ascii="宋体" w:hAnsi="宋体" w:cs="宋体" w:eastAsia="宋体" w:hint="default"/>
        </w:rPr>
        <w:t>1970</w:t>
      </w:r>
      <w:r>
        <w:rPr/>
        <w:t>年出生，北大光华管理学院工商管理硕士（</w:t>
      </w:r>
      <w:r>
        <w:rPr>
          <w:rFonts w:ascii="宋体" w:hAnsi="宋体" w:cs="宋体" w:eastAsia="宋体" w:hint="default"/>
        </w:rPr>
        <w:t>MBA</w:t>
      </w:r>
      <w:r>
        <w:rPr/>
        <w:t>），中</w:t>
      </w:r>
      <w:r>
        <w:rPr>
          <w:w w:val="100"/>
        </w:rPr>
        <w:t> </w:t>
      </w:r>
      <w:r>
        <w:rPr>
          <w:spacing w:val="-7"/>
        </w:rPr>
        <w:t>国注册会计师、国际注册咨询师。曾任中天会计师事务所审计部项目经理，信永中和会计师事务所合伙人。</w:t>
      </w:r>
      <w:r>
        <w:rPr>
          <w:spacing w:val="-17"/>
        </w:rPr>
        <w:t> </w:t>
      </w:r>
      <w:r>
        <w:rPr>
          <w:spacing w:val="-17"/>
        </w:rPr>
      </w:r>
      <w:r>
        <w:rPr/>
        <w:t>现任公司独立董事，北京天润坤泽财务管理咨询公司总经理、合伙人。</w:t>
      </w:r>
      <w:r>
        <w:rPr>
          <w:rFonts w:ascii="宋体" w:hAnsi="宋体" w:cs="宋体" w:eastAsia="宋体" w:hint="default"/>
        </w:rPr>
        <w:t> </w:t>
      </w:r>
    </w:p>
    <w:p>
      <w:pPr>
        <w:pStyle w:val="Heading5"/>
        <w:spacing w:line="408" w:lineRule="auto"/>
        <w:ind w:right="1126"/>
        <w:jc w:val="both"/>
      </w:pPr>
      <w:r>
        <w:rPr/>
        <w:t>湛炜标先生，中国国籍，无境外居留权，</w:t>
      </w:r>
      <w:r>
        <w:rPr>
          <w:rFonts w:ascii="宋体" w:hAnsi="宋体" w:cs="宋体" w:eastAsia="宋体" w:hint="default"/>
        </w:rPr>
        <w:t>1973</w:t>
      </w:r>
      <w:r>
        <w:rPr/>
        <w:t>年</w:t>
      </w:r>
      <w:r>
        <w:rPr>
          <w:rFonts w:ascii="宋体" w:hAnsi="宋体" w:cs="宋体" w:eastAsia="宋体" w:hint="default"/>
        </w:rPr>
        <w:t>9</w:t>
      </w:r>
      <w:r>
        <w:rPr/>
        <w:t>月出生，硕士学位。曾任金蝶软件（中国）有限公</w:t>
      </w:r>
      <w:r>
        <w:rPr>
          <w:w w:val="100"/>
        </w:rPr>
        <w:t> </w:t>
      </w:r>
      <w:r>
        <w:rPr>
          <w:spacing w:val="-2"/>
        </w:rPr>
        <w:t>司项目经理、微软（中国）有限公司华南区企业服务部经理。于</w:t>
      </w:r>
      <w:r>
        <w:rPr>
          <w:rFonts w:ascii="宋体" w:hAnsi="宋体" w:cs="宋体" w:eastAsia="宋体" w:hint="default"/>
          <w:spacing w:val="-2"/>
        </w:rPr>
        <w:t>2003</w:t>
      </w:r>
      <w:r>
        <w:rPr>
          <w:spacing w:val="-2"/>
        </w:rPr>
        <w:t>年加入腾讯公司。现任公司董事，腾</w:t>
      </w:r>
      <w:r>
        <w:rPr>
          <w:spacing w:val="-40"/>
        </w:rPr>
        <w:t> </w:t>
      </w:r>
      <w:r>
        <w:rPr>
          <w:spacing w:val="-40"/>
        </w:rPr>
      </w:r>
      <w:r>
        <w:rPr>
          <w:spacing w:val="-2"/>
        </w:rPr>
        <w:t>讯投资董事总经理，北京转转精神科技有限责任公司、天津转转世界科技有限责任公司、深圳市泰捷软件</w:t>
      </w:r>
      <w:r>
        <w:rPr>
          <w:spacing w:val="-42"/>
        </w:rPr>
        <w:t> </w:t>
      </w:r>
      <w:r>
        <w:rPr>
          <w:spacing w:val="-42"/>
        </w:rPr>
      </w:r>
      <w:r>
        <w:rPr>
          <w:spacing w:val="-2"/>
        </w:rPr>
        <w:t>技术有限公司、北京知道创宇信息技术有限公司、深圳市壹信网络科技有限公司、上海灿谷投资管理咨询</w:t>
      </w:r>
    </w:p>
    <w:p>
      <w:pPr>
        <w:spacing w:after="0" w:line="408" w:lineRule="auto"/>
        <w:jc w:val="both"/>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pStyle w:val="Heading5"/>
        <w:spacing w:line="408" w:lineRule="auto" w:before="176"/>
        <w:ind w:right="1126" w:firstLine="0"/>
        <w:jc w:val="both"/>
        <w:rPr>
          <w:rFonts w:ascii="宋体" w:hAnsi="宋体" w:cs="宋体" w:eastAsia="宋体" w:hint="default"/>
        </w:rPr>
      </w:pPr>
      <w:r>
        <w:rPr/>
        <w:t>服务有限公司、</w:t>
      </w:r>
      <w:r>
        <w:rPr>
          <w:rFonts w:ascii="宋体" w:hAnsi="宋体" w:cs="宋体" w:eastAsia="宋体" w:hint="default"/>
        </w:rPr>
        <w:t>Cango</w:t>
      </w:r>
      <w:r>
        <w:rPr>
          <w:rFonts w:ascii="宋体" w:hAnsi="宋体" w:cs="宋体" w:eastAsia="宋体" w:hint="default"/>
          <w:spacing w:val="22"/>
        </w:rPr>
        <w:t> </w:t>
      </w:r>
      <w:r>
        <w:rPr>
          <w:rFonts w:ascii="宋体" w:hAnsi="宋体" w:cs="宋体" w:eastAsia="宋体" w:hint="default"/>
        </w:rPr>
        <w:t>Inc.</w:t>
      </w:r>
      <w:r>
        <w:rPr/>
        <w:t>、</w:t>
      </w:r>
      <w:r>
        <w:rPr>
          <w:rFonts w:ascii="宋体" w:hAnsi="宋体" w:cs="宋体" w:eastAsia="宋体" w:hint="default"/>
        </w:rPr>
        <w:t>CANGO</w:t>
      </w:r>
      <w:r>
        <w:rPr>
          <w:rFonts w:ascii="宋体" w:hAnsi="宋体" w:cs="宋体" w:eastAsia="宋体" w:hint="default"/>
          <w:spacing w:val="22"/>
        </w:rPr>
        <w:t> </w:t>
      </w:r>
      <w:r>
        <w:rPr>
          <w:rFonts w:ascii="宋体" w:hAnsi="宋体" w:cs="宋体" w:eastAsia="宋体" w:hint="default"/>
        </w:rPr>
        <w:t>GROUP</w:t>
      </w:r>
      <w:r>
        <w:rPr>
          <w:rFonts w:ascii="宋体" w:hAnsi="宋体" w:cs="宋体" w:eastAsia="宋体" w:hint="default"/>
          <w:spacing w:val="22"/>
        </w:rPr>
        <w:t> </w:t>
      </w:r>
      <w:r>
        <w:rPr>
          <w:rFonts w:ascii="宋体" w:hAnsi="宋体" w:cs="宋体" w:eastAsia="宋体" w:hint="default"/>
        </w:rPr>
        <w:t>LIMITED</w:t>
      </w:r>
      <w:r>
        <w:rPr/>
        <w:t>、深圳微众金融科技集团股份有限公司、广东腾南网</w:t>
      </w:r>
      <w:r>
        <w:rPr>
          <w:spacing w:val="-101"/>
        </w:rPr>
        <w:t> </w:t>
      </w:r>
      <w:r>
        <w:rPr>
          <w:spacing w:val="-101"/>
        </w:rPr>
      </w:r>
      <w:r>
        <w:rPr>
          <w:spacing w:val="-2"/>
        </w:rPr>
        <w:t>络信息科技有限公司、湖北腾楚网络科技有限责任公司、天津猫眼微影文化传媒有限公司、北京微影时代</w:t>
      </w:r>
      <w:r>
        <w:rPr>
          <w:spacing w:val="-45"/>
        </w:rPr>
        <w:t> </w:t>
      </w:r>
      <w:r>
        <w:rPr>
          <w:spacing w:val="-45"/>
        </w:rPr>
      </w:r>
      <w:r>
        <w:rPr/>
        <w:t>科技有限公司、天津五八金服有限公司、</w:t>
      </w:r>
      <w:r>
        <w:rPr>
          <w:rFonts w:ascii="宋体" w:hAnsi="宋体" w:cs="宋体" w:eastAsia="宋体" w:hint="default"/>
        </w:rPr>
        <w:t>ZHUAN</w:t>
      </w:r>
      <w:r>
        <w:rPr>
          <w:rFonts w:ascii="宋体" w:hAnsi="宋体" w:cs="宋体" w:eastAsia="宋体" w:hint="default"/>
          <w:spacing w:val="24"/>
        </w:rPr>
        <w:t> </w:t>
      </w:r>
      <w:r>
        <w:rPr>
          <w:rFonts w:ascii="宋体" w:hAnsi="宋体" w:cs="宋体" w:eastAsia="宋体" w:hint="default"/>
        </w:rPr>
        <w:t>SPIRIT</w:t>
      </w:r>
      <w:r>
        <w:rPr>
          <w:rFonts w:ascii="宋体" w:hAnsi="宋体" w:cs="宋体" w:eastAsia="宋体" w:hint="default"/>
          <w:spacing w:val="24"/>
        </w:rPr>
        <w:t> </w:t>
      </w:r>
      <w:r>
        <w:rPr>
          <w:rFonts w:ascii="宋体" w:hAnsi="宋体" w:cs="宋体" w:eastAsia="宋体" w:hint="default"/>
        </w:rPr>
        <w:t>HOLDINGS</w:t>
      </w:r>
      <w:r>
        <w:rPr>
          <w:rFonts w:ascii="宋体" w:hAnsi="宋体" w:cs="宋体" w:eastAsia="宋体" w:hint="default"/>
          <w:spacing w:val="24"/>
        </w:rPr>
        <w:t> </w:t>
      </w:r>
      <w:r>
        <w:rPr>
          <w:rFonts w:ascii="宋体" w:hAnsi="宋体" w:cs="宋体" w:eastAsia="宋体" w:hint="default"/>
        </w:rPr>
        <w:t>LIMITED</w:t>
      </w:r>
      <w:r>
        <w:rPr/>
        <w:t>、无锡掌睿星科技股份有限公</w:t>
      </w:r>
      <w:r>
        <w:rPr>
          <w:spacing w:val="-102"/>
        </w:rPr>
        <w:t> </w:t>
      </w:r>
      <w:r>
        <w:rPr>
          <w:spacing w:val="-102"/>
        </w:rPr>
      </w:r>
      <w:r>
        <w:rPr/>
        <w:t>司、</w:t>
      </w:r>
      <w:r>
        <w:rPr>
          <w:rFonts w:ascii="宋体" w:hAnsi="宋体" w:cs="宋体" w:eastAsia="宋体" w:hint="default"/>
        </w:rPr>
        <w:t>Infinium Limited</w:t>
      </w:r>
      <w:r>
        <w:rPr/>
        <w:t>、</w:t>
      </w:r>
      <w:r>
        <w:rPr>
          <w:rFonts w:ascii="宋体" w:hAnsi="宋体" w:cs="宋体" w:eastAsia="宋体" w:hint="default"/>
        </w:rPr>
        <w:t>Infinium Hong Kong Holdings</w:t>
      </w:r>
      <w:r>
        <w:rPr>
          <w:rFonts w:ascii="宋体" w:hAnsi="宋体" w:cs="宋体" w:eastAsia="宋体" w:hint="default"/>
          <w:spacing w:val="-11"/>
        </w:rPr>
        <w:t> </w:t>
      </w:r>
      <w:r>
        <w:rPr>
          <w:rFonts w:ascii="宋体" w:hAnsi="宋体" w:cs="宋体" w:eastAsia="宋体" w:hint="default"/>
        </w:rPr>
        <w:t>Limited</w:t>
      </w:r>
      <w:r>
        <w:rPr/>
        <w:t>董事。</w:t>
      </w:r>
      <w:r>
        <w:rPr>
          <w:rFonts w:ascii="宋体" w:hAnsi="宋体" w:cs="宋体" w:eastAsia="宋体" w:hint="default"/>
        </w:rPr>
        <w:t> </w:t>
      </w:r>
    </w:p>
    <w:p>
      <w:pPr>
        <w:pStyle w:val="Heading5"/>
        <w:spacing w:line="408" w:lineRule="auto"/>
        <w:ind w:right="1126"/>
        <w:jc w:val="both"/>
        <w:rPr>
          <w:rFonts w:ascii="宋体" w:hAnsi="宋体" w:cs="宋体" w:eastAsia="宋体" w:hint="default"/>
        </w:rPr>
      </w:pPr>
      <w:r>
        <w:rPr>
          <w:spacing w:val="-2"/>
        </w:rPr>
        <w:t>钟翔平先生，中国国籍，无境外居留权，</w:t>
      </w:r>
      <w:r>
        <w:rPr>
          <w:rFonts w:ascii="宋体" w:hAnsi="宋体" w:cs="宋体" w:eastAsia="宋体" w:hint="default"/>
          <w:spacing w:val="-2"/>
        </w:rPr>
        <w:t>1976</w:t>
      </w:r>
      <w:r>
        <w:rPr>
          <w:spacing w:val="-2"/>
        </w:rPr>
        <w:t>年出生，南京大学计算机科学与技术系计算机应用技术</w:t>
      </w:r>
      <w:r>
        <w:rPr>
          <w:w w:val="100"/>
        </w:rPr>
        <w:t> </w:t>
      </w:r>
      <w:r>
        <w:rPr/>
        <w:t>专业硕士毕业。</w:t>
      </w:r>
      <w:r>
        <w:rPr>
          <w:rFonts w:ascii="宋体" w:hAnsi="宋体" w:cs="宋体" w:eastAsia="宋体" w:hint="default"/>
        </w:rPr>
        <w:t>2004</w:t>
      </w:r>
      <w:r>
        <w:rPr/>
        <w:t>年</w:t>
      </w:r>
      <w:r>
        <w:rPr>
          <w:rFonts w:ascii="宋体" w:hAnsi="宋体" w:cs="宋体" w:eastAsia="宋体" w:hint="default"/>
        </w:rPr>
        <w:t>7</w:t>
      </w:r>
      <w:r>
        <w:rPr/>
        <w:t>月加盟腾讯，组织成立腾讯无线研发部，作为负责人牵头启动了浏览器项目，孵</w:t>
      </w:r>
      <w:r>
        <w:rPr>
          <w:spacing w:val="-28"/>
        </w:rPr>
        <w:t> </w:t>
      </w:r>
      <w:r>
        <w:rPr>
          <w:spacing w:val="-28"/>
        </w:rPr>
      </w:r>
      <w:r>
        <w:rPr>
          <w:spacing w:val="-2"/>
        </w:rPr>
        <w:t>化了手机</w:t>
      </w:r>
      <w:r>
        <w:rPr>
          <w:rFonts w:ascii="宋体" w:hAnsi="宋体" w:cs="宋体" w:eastAsia="宋体" w:hint="default"/>
          <w:spacing w:val="-2"/>
        </w:rPr>
        <w:t>QQ</w:t>
      </w:r>
      <w:r>
        <w:rPr>
          <w:spacing w:val="-2"/>
        </w:rPr>
        <w:t>浏览器基础版本，带领</w:t>
      </w:r>
      <w:r>
        <w:rPr>
          <w:rFonts w:ascii="宋体" w:hAnsi="宋体" w:cs="宋体" w:eastAsia="宋体" w:hint="default"/>
          <w:spacing w:val="-2"/>
        </w:rPr>
        <w:t>QQ</w:t>
      </w:r>
      <w:r>
        <w:rPr>
          <w:spacing w:val="-2"/>
        </w:rPr>
        <w:t>浏览器业务从低谷突破，业务从低点起步，最终成为移动浏览行业领</w:t>
      </w:r>
      <w:r>
        <w:rPr>
          <w:spacing w:val="-40"/>
        </w:rPr>
        <w:t> </w:t>
      </w:r>
      <w:r>
        <w:rPr>
          <w:spacing w:val="-40"/>
        </w:rPr>
      </w:r>
      <w:r>
        <w:rPr>
          <w:spacing w:val="-2"/>
        </w:rPr>
        <w:t>跑者。作为腾讯智慧出行业务单元及智能平台业务负责人，全面负责腾讯地图、腾讯车联网、腾讯自动驾</w:t>
      </w:r>
      <w:r>
        <w:rPr>
          <w:spacing w:val="-47"/>
        </w:rPr>
        <w:t> </w:t>
      </w:r>
      <w:r>
        <w:rPr>
          <w:spacing w:val="-47"/>
        </w:rPr>
      </w:r>
      <w:r>
        <w:rPr>
          <w:spacing w:val="-7"/>
        </w:rPr>
        <w:t>驶、腾讯位置服务、腾讯叮当、腾讯智能翻译等业务及团队管理工作，带领团队在智能网联汽车解决方案、</w:t>
      </w:r>
      <w:r>
        <w:rPr>
          <w:spacing w:val="-18"/>
        </w:rPr>
        <w:t> </w:t>
      </w:r>
      <w:r>
        <w:rPr>
          <w:spacing w:val="-18"/>
        </w:rPr>
      </w:r>
      <w:r>
        <w:rPr>
          <w:spacing w:val="-2"/>
        </w:rPr>
        <w:t>自动驾驶技术、高精度地图及仿真平台等技术领域取得领先优势，并在语音、语义、图像识别等技术研究</w:t>
      </w:r>
      <w:r>
        <w:rPr>
          <w:spacing w:val="-47"/>
        </w:rPr>
        <w:t> </w:t>
      </w:r>
      <w:r>
        <w:rPr>
          <w:spacing w:val="-47"/>
        </w:rPr>
      </w:r>
      <w:r>
        <w:rPr/>
        <w:t>领域取得丰厚积累。现任公司董事，腾讯公司副总裁。</w:t>
      </w:r>
      <w:r>
        <w:rPr>
          <w:rFonts w:ascii="宋体" w:hAnsi="宋体" w:cs="宋体" w:eastAsia="宋体" w:hint="default"/>
        </w:rPr>
        <w:t> </w:t>
      </w:r>
    </w:p>
    <w:p>
      <w:pPr>
        <w:pStyle w:val="Heading5"/>
        <w:spacing w:line="408" w:lineRule="auto"/>
        <w:ind w:right="1128"/>
        <w:jc w:val="both"/>
        <w:rPr>
          <w:rFonts w:ascii="宋体" w:hAnsi="宋体" w:cs="宋体" w:eastAsia="宋体" w:hint="default"/>
        </w:rPr>
      </w:pPr>
      <w:r>
        <w:rPr/>
        <w:t>郑永进先生，中国国籍，无外居留权，</w:t>
      </w:r>
      <w:r>
        <w:rPr>
          <w:rFonts w:ascii="宋体" w:hAnsi="宋体" w:cs="宋体" w:eastAsia="宋体" w:hint="default"/>
        </w:rPr>
        <w:t>1970</w:t>
      </w:r>
      <w:r>
        <w:rPr/>
        <w:t>年</w:t>
      </w:r>
      <w:r>
        <w:rPr>
          <w:rFonts w:ascii="宋体" w:hAnsi="宋体" w:cs="宋体" w:eastAsia="宋体" w:hint="default"/>
        </w:rPr>
        <w:t>4</w:t>
      </w:r>
      <w:r>
        <w:rPr/>
        <w:t>月出生，高级会计师，</w:t>
      </w:r>
      <w:r>
        <w:rPr>
          <w:rFonts w:ascii="宋体" w:hAnsi="宋体" w:cs="宋体" w:eastAsia="宋体" w:hint="default"/>
        </w:rPr>
        <w:t>EMBA</w:t>
      </w:r>
      <w:r>
        <w:rPr/>
        <w:t>。曾任中国航天科技集团</w:t>
      </w:r>
      <w:r>
        <w:rPr>
          <w:w w:val="100"/>
        </w:rPr>
        <w:t> </w:t>
      </w:r>
      <w:r>
        <w:rPr>
          <w:spacing w:val="-2"/>
        </w:rPr>
        <w:t>公司经营投资部处长、中国四维测绘技术有限公司副总经理、财务总监。现任公司董事，中国四维测绘技</w:t>
      </w:r>
      <w:r>
        <w:rPr>
          <w:spacing w:val="-46"/>
        </w:rPr>
        <w:t> </w:t>
      </w:r>
      <w:r>
        <w:rPr>
          <w:spacing w:val="-46"/>
        </w:rPr>
      </w:r>
      <w:r>
        <w:rPr/>
        <w:t>术有限公司财务总监，包头四维智慧城市科技有限公司董事长。</w:t>
      </w:r>
      <w:r>
        <w:rPr>
          <w:rFonts w:ascii="宋体" w:hAnsi="宋体" w:cs="宋体" w:eastAsia="宋体" w:hint="default"/>
        </w:rPr>
        <w:t> </w:t>
      </w:r>
    </w:p>
    <w:p>
      <w:pPr>
        <w:spacing w:line="240" w:lineRule="auto" w:before="6"/>
        <w:rPr>
          <w:rFonts w:ascii="宋体" w:hAnsi="宋体" w:cs="宋体" w:eastAsia="宋体" w:hint="default"/>
          <w:sz w:val="15"/>
          <w:szCs w:val="15"/>
        </w:rPr>
      </w:pPr>
    </w:p>
    <w:p>
      <w:pPr>
        <w:pStyle w:val="Heading5"/>
        <w:spacing w:line="408" w:lineRule="auto" w:before="0"/>
        <w:ind w:left="573" w:right="982" w:firstLine="0"/>
        <w:jc w:val="left"/>
      </w:pPr>
      <w:r>
        <w:rPr/>
        <w:t>（</w:t>
      </w:r>
      <w:r>
        <w:rPr>
          <w:rFonts w:ascii="宋体" w:hAnsi="宋体" w:cs="宋体" w:eastAsia="宋体" w:hint="default"/>
        </w:rPr>
        <w:t>2</w:t>
      </w:r>
      <w:r>
        <w:rPr/>
        <w:t>）公司监事任职情况</w:t>
      </w:r>
      <w:r>
        <w:rPr>
          <w:rFonts w:ascii="宋体" w:hAnsi="宋体" w:cs="宋体" w:eastAsia="宋体" w:hint="default"/>
          <w:w w:val="100"/>
        </w:rPr>
        <w:t> </w:t>
      </w:r>
      <w:r>
        <w:rPr/>
        <w:t>徐晋晖先生，中国国籍，无境外居留权，</w:t>
      </w:r>
      <w:r>
        <w:rPr>
          <w:rFonts w:ascii="宋体" w:hAnsi="宋体" w:cs="宋体" w:eastAsia="宋体" w:hint="default"/>
        </w:rPr>
        <w:t>1966</w:t>
      </w:r>
      <w:r>
        <w:rPr/>
        <w:t>年</w:t>
      </w:r>
      <w:r>
        <w:rPr>
          <w:rFonts w:ascii="宋体" w:hAnsi="宋体" w:cs="宋体" w:eastAsia="宋体" w:hint="default"/>
        </w:rPr>
        <w:t>4</w:t>
      </w:r>
      <w:r>
        <w:rPr/>
        <w:t>月出生，博士，研究员。曾任烟台大学教师，中讯</w:t>
      </w:r>
    </w:p>
    <w:p>
      <w:pPr>
        <w:pStyle w:val="Heading5"/>
        <w:spacing w:line="408" w:lineRule="auto"/>
        <w:ind w:right="1126" w:firstLine="0"/>
        <w:jc w:val="both"/>
      </w:pPr>
      <w:r>
        <w:rPr>
          <w:spacing w:val="-2"/>
        </w:rPr>
        <w:t>通信发展有限公司技术经理，北京四维图新科技股份有限公司研发部副经理、经理、技术中心副总监、地</w:t>
      </w:r>
      <w:r>
        <w:rPr>
          <w:spacing w:val="-44"/>
        </w:rPr>
        <w:t> </w:t>
      </w:r>
      <w:r>
        <w:rPr>
          <w:spacing w:val="-44"/>
        </w:rPr>
      </w:r>
      <w:r>
        <w:rPr>
          <w:spacing w:val="-2"/>
        </w:rPr>
        <w:t>图中心总监、工程技术中心主任。现任公司监事会主席，北京世纪高通科技有限公司总工，北京中科劲点</w:t>
      </w:r>
    </w:p>
    <w:p>
      <w:pPr>
        <w:pStyle w:val="Heading5"/>
        <w:spacing w:line="408" w:lineRule="auto"/>
        <w:ind w:left="573" w:right="982" w:hanging="421"/>
        <w:jc w:val="left"/>
      </w:pPr>
      <w:r>
        <w:rPr/>
        <w:t>（北京）科技有限公司、北京四维万兴科技有限公司董事。</w:t>
      </w:r>
      <w:r>
        <w:rPr>
          <w:rFonts w:ascii="宋体" w:hAnsi="宋体" w:cs="宋体" w:eastAsia="宋体" w:hint="default"/>
          <w:w w:val="100"/>
        </w:rPr>
        <w:t> </w:t>
      </w:r>
      <w:r>
        <w:rPr>
          <w:spacing w:val="-2"/>
        </w:rPr>
        <w:t>刘铁军先生，中国国籍，无境外居留权，</w:t>
      </w:r>
      <w:r>
        <w:rPr>
          <w:rFonts w:ascii="宋体" w:hAnsi="宋体" w:cs="宋体" w:eastAsia="宋体" w:hint="default"/>
          <w:spacing w:val="-2"/>
        </w:rPr>
        <w:t>1977</w:t>
      </w:r>
      <w:r>
        <w:rPr>
          <w:spacing w:val="-2"/>
        </w:rPr>
        <w:t>年</w:t>
      </w:r>
      <w:r>
        <w:rPr>
          <w:rFonts w:ascii="宋体" w:hAnsi="宋体" w:cs="宋体" w:eastAsia="宋体" w:hint="default"/>
          <w:spacing w:val="-2"/>
        </w:rPr>
        <w:t>10</w:t>
      </w:r>
      <w:r>
        <w:rPr>
          <w:spacing w:val="-2"/>
        </w:rPr>
        <w:t>月出生，高级工程师，博士。曾任新疆地质矿产勘</w:t>
      </w:r>
    </w:p>
    <w:p>
      <w:pPr>
        <w:pStyle w:val="Heading5"/>
        <w:spacing w:line="408" w:lineRule="auto"/>
        <w:ind w:right="1126" w:firstLine="0"/>
        <w:jc w:val="both"/>
        <w:rPr>
          <w:rFonts w:ascii="宋体" w:hAnsi="宋体" w:cs="宋体" w:eastAsia="宋体" w:hint="default"/>
        </w:rPr>
      </w:pPr>
      <w:r>
        <w:rPr>
          <w:spacing w:val="-2"/>
        </w:rPr>
        <w:t>查开发局第一区域地质调查大队遥感中心技术负责、中国城市建设研究院有限公司工程师、中国四维测绘</w:t>
      </w:r>
      <w:r>
        <w:rPr>
          <w:spacing w:val="-43"/>
        </w:rPr>
        <w:t> </w:t>
      </w:r>
      <w:r>
        <w:rPr>
          <w:spacing w:val="-43"/>
        </w:rPr>
      </w:r>
      <w:r>
        <w:rPr>
          <w:spacing w:val="-2"/>
        </w:rPr>
        <w:t>技术有限公司研究发展部副部长。现任公司监事，中国四维测绘技术有限公司遥感与导航应用事业部副部</w:t>
      </w:r>
      <w:r>
        <w:rPr>
          <w:spacing w:val="-43"/>
        </w:rPr>
        <w:t> </w:t>
      </w:r>
      <w:r>
        <w:rPr>
          <w:spacing w:val="-43"/>
        </w:rPr>
      </w:r>
      <w:r>
        <w:rPr/>
        <w:t>长。</w:t>
      </w:r>
      <w:r>
        <w:rPr>
          <w:rFonts w:ascii="宋体" w:hAnsi="宋体" w:cs="宋体" w:eastAsia="宋体" w:hint="default"/>
        </w:rPr>
        <w:t> </w:t>
      </w:r>
    </w:p>
    <w:p>
      <w:pPr>
        <w:pStyle w:val="Heading5"/>
        <w:spacing w:line="408" w:lineRule="auto"/>
        <w:ind w:right="1126"/>
        <w:jc w:val="both"/>
        <w:rPr>
          <w:rFonts w:ascii="宋体" w:hAnsi="宋体" w:cs="宋体" w:eastAsia="宋体" w:hint="default"/>
        </w:rPr>
      </w:pPr>
      <w:r>
        <w:rPr>
          <w:spacing w:val="-2"/>
        </w:rPr>
        <w:t>张雪娇女士，中国国籍，无境外居留权，</w:t>
      </w:r>
      <w:r>
        <w:rPr>
          <w:rFonts w:ascii="宋体" w:hAnsi="宋体" w:cs="宋体" w:eastAsia="宋体" w:hint="default"/>
          <w:spacing w:val="-2"/>
        </w:rPr>
        <w:t>1983</w:t>
      </w:r>
      <w:r>
        <w:rPr>
          <w:spacing w:val="-2"/>
        </w:rPr>
        <w:t>年</w:t>
      </w:r>
      <w:r>
        <w:rPr>
          <w:rFonts w:ascii="宋体" w:hAnsi="宋体" w:cs="宋体" w:eastAsia="宋体" w:hint="default"/>
          <w:spacing w:val="-2"/>
        </w:rPr>
        <w:t>12</w:t>
      </w:r>
      <w:r>
        <w:rPr>
          <w:spacing w:val="-2"/>
        </w:rPr>
        <w:t>月出生，硕士学位，研究生同等学历，毕业于加拿</w:t>
      </w:r>
      <w:r>
        <w:rPr>
          <w:w w:val="100"/>
        </w:rPr>
        <w:t> </w:t>
      </w:r>
      <w:r>
        <w:rPr/>
        <w:t>大英属哥伦比亚大学。于</w:t>
      </w:r>
      <w:r>
        <w:rPr>
          <w:rFonts w:ascii="宋体" w:hAnsi="宋体" w:cs="宋体" w:eastAsia="宋体" w:hint="default"/>
        </w:rPr>
        <w:t>2014</w:t>
      </w:r>
      <w:r>
        <w:rPr/>
        <w:t>年</w:t>
      </w:r>
      <w:r>
        <w:rPr>
          <w:rFonts w:ascii="宋体" w:hAnsi="宋体" w:cs="宋体" w:eastAsia="宋体" w:hint="default"/>
        </w:rPr>
        <w:t>8</w:t>
      </w:r>
      <w:r>
        <w:rPr/>
        <w:t>月入职北京四维图新科技股份有限公司，担任副总裁助理。现任公司监</w:t>
      </w:r>
      <w:r>
        <w:rPr>
          <w:spacing w:val="-27"/>
        </w:rPr>
        <w:t> </w:t>
      </w:r>
      <w:r>
        <w:rPr>
          <w:spacing w:val="-27"/>
        </w:rPr>
      </w:r>
      <w:r>
        <w:rPr/>
        <w:t>事，总裁助理。</w:t>
      </w:r>
      <w:r>
        <w:rPr>
          <w:rFonts w:ascii="宋体" w:hAnsi="宋体" w:cs="宋体" w:eastAsia="宋体" w:hint="default"/>
        </w:rPr>
        <w:t> </w:t>
      </w:r>
    </w:p>
    <w:p>
      <w:pPr>
        <w:spacing w:line="240" w:lineRule="auto" w:before="6"/>
        <w:rPr>
          <w:rFonts w:ascii="宋体" w:hAnsi="宋体" w:cs="宋体" w:eastAsia="宋体" w:hint="default"/>
          <w:sz w:val="15"/>
          <w:szCs w:val="15"/>
        </w:rPr>
      </w:pPr>
    </w:p>
    <w:p>
      <w:pPr>
        <w:pStyle w:val="Heading5"/>
        <w:spacing w:line="408" w:lineRule="auto" w:before="0"/>
        <w:ind w:left="573" w:right="6474" w:firstLine="0"/>
        <w:jc w:val="left"/>
        <w:rPr>
          <w:rFonts w:ascii="宋体" w:hAnsi="宋体" w:cs="宋体" w:eastAsia="宋体" w:hint="default"/>
        </w:rPr>
      </w:pPr>
      <w:r>
        <w:rPr/>
        <w:t>（</w:t>
      </w:r>
      <w:r>
        <w:rPr>
          <w:rFonts w:ascii="宋体" w:hAnsi="宋体" w:cs="宋体" w:eastAsia="宋体" w:hint="default"/>
        </w:rPr>
        <w:t>3</w:t>
      </w:r>
      <w:r>
        <w:rPr/>
        <w:t>）公司高级管理人员任职情况</w:t>
      </w:r>
      <w:r>
        <w:rPr>
          <w:rFonts w:ascii="宋体" w:hAnsi="宋体" w:cs="宋体" w:eastAsia="宋体" w:hint="default"/>
          <w:w w:val="100"/>
        </w:rPr>
        <w:t> </w:t>
      </w:r>
      <w:r>
        <w:rPr/>
        <w:t>程鹏先生简历同董事简历。</w:t>
      </w:r>
      <w:r>
        <w:rPr>
          <w:rFonts w:ascii="宋体" w:hAnsi="宋体" w:cs="宋体" w:eastAsia="宋体" w:hint="default"/>
        </w:rPr>
        <w:t> </w:t>
      </w:r>
    </w:p>
    <w:p>
      <w:pPr>
        <w:pStyle w:val="Heading5"/>
        <w:spacing w:line="240" w:lineRule="auto"/>
        <w:ind w:left="573" w:right="982" w:firstLine="0"/>
        <w:jc w:val="left"/>
      </w:pPr>
      <w:r>
        <w:rPr/>
        <w:t>毕垒先生，中国国籍，无境外居留权，</w:t>
      </w:r>
      <w:r>
        <w:rPr>
          <w:rFonts w:ascii="宋体" w:hAnsi="宋体" w:cs="宋体" w:eastAsia="宋体" w:hint="default"/>
        </w:rPr>
        <w:t>1976</w:t>
      </w:r>
      <w:r>
        <w:rPr/>
        <w:t>年</w:t>
      </w:r>
      <w:r>
        <w:rPr>
          <w:rFonts w:ascii="宋体" w:hAnsi="宋体" w:cs="宋体" w:eastAsia="宋体" w:hint="default"/>
        </w:rPr>
        <w:t>11</w:t>
      </w:r>
      <w:r>
        <w:rPr/>
        <w:t>月出生，本科学历，高级工程师。曾任中国通信广播</w:t>
      </w:r>
    </w:p>
    <w:p>
      <w:pPr>
        <w:spacing w:after="0" w:line="240" w:lineRule="auto"/>
        <w:jc w:val="left"/>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pStyle w:val="Heading5"/>
        <w:spacing w:line="408" w:lineRule="auto" w:before="176"/>
        <w:ind w:right="982" w:firstLine="0"/>
        <w:jc w:val="left"/>
        <w:rPr>
          <w:rFonts w:ascii="宋体" w:hAnsi="宋体" w:cs="宋体" w:eastAsia="宋体" w:hint="default"/>
        </w:rPr>
      </w:pPr>
      <w:r>
        <w:rPr>
          <w:spacing w:val="-2"/>
        </w:rPr>
        <w:t>卫星公司卫星业务监测通信工程师，中国卫星通信集团公司市场营销主办、销售主管，中国东方通信卫星</w:t>
      </w:r>
      <w:r>
        <w:rPr>
          <w:spacing w:val="-44"/>
        </w:rPr>
        <w:t> </w:t>
      </w:r>
      <w:r>
        <w:rPr>
          <w:spacing w:val="-44"/>
        </w:rPr>
      </w:r>
      <w:r>
        <w:rPr>
          <w:spacing w:val="-2"/>
        </w:rPr>
        <w:t>有限责任公司市场营销主管，中国直播卫星有限公司高级项目经理，中国四维测绘技术有限公司战略企划</w:t>
      </w:r>
      <w:r>
        <w:rPr>
          <w:spacing w:val="-44"/>
        </w:rPr>
        <w:t> </w:t>
      </w:r>
      <w:r>
        <w:rPr>
          <w:spacing w:val="-44"/>
        </w:rPr>
      </w:r>
      <w:r>
        <w:rPr>
          <w:spacing w:val="-7"/>
        </w:rPr>
        <w:t>部总经理、业务发展部部长。现任公司副总经理，中寰卫星导航通信有限公司董事、总经理，中交宇科（北</w:t>
      </w:r>
      <w:r>
        <w:rPr>
          <w:spacing w:val="-22"/>
        </w:rPr>
        <w:t> </w:t>
      </w:r>
      <w:r>
        <w:rPr>
          <w:spacing w:val="-22"/>
        </w:rPr>
      </w:r>
      <w:r>
        <w:rPr/>
        <w:t>京）空间信息技术有限公司董事长，北京四维天盛投资管理有限公司、北京图新数聚科技有限公司董事，</w:t>
      </w:r>
      <w:r>
        <w:rPr>
          <w:spacing w:val="-24"/>
        </w:rPr>
        <w:t> </w:t>
      </w:r>
      <w:r>
        <w:rPr>
          <w:spacing w:val="-24"/>
        </w:rPr>
      </w:r>
      <w:r>
        <w:rPr/>
        <w:t>合肥杰发科技有限公司、上海安吉四维信息技术有限公司监事。</w:t>
      </w:r>
      <w:r>
        <w:rPr>
          <w:rFonts w:ascii="宋体" w:hAnsi="宋体" w:cs="宋体" w:eastAsia="宋体" w:hint="default"/>
        </w:rPr>
        <w:t> </w:t>
      </w:r>
    </w:p>
    <w:p>
      <w:pPr>
        <w:pStyle w:val="Heading5"/>
        <w:spacing w:line="408" w:lineRule="auto"/>
        <w:ind w:right="982"/>
        <w:jc w:val="left"/>
        <w:rPr>
          <w:rFonts w:ascii="宋体" w:hAnsi="宋体" w:cs="宋体" w:eastAsia="宋体" w:hint="default"/>
        </w:rPr>
      </w:pPr>
      <w:r>
        <w:rPr/>
        <w:t>戴东海先生，中国国籍，有境外居留权，</w:t>
      </w:r>
      <w:r>
        <w:rPr>
          <w:rFonts w:ascii="宋体" w:hAnsi="宋体" w:cs="宋体" w:eastAsia="宋体" w:hint="default"/>
        </w:rPr>
        <w:t>1970</w:t>
      </w:r>
      <w:r>
        <w:rPr/>
        <w:t>年</w:t>
      </w:r>
      <w:r>
        <w:rPr>
          <w:rFonts w:ascii="宋体" w:hAnsi="宋体" w:cs="宋体" w:eastAsia="宋体" w:hint="default"/>
        </w:rPr>
        <w:t>8</w:t>
      </w:r>
      <w:r>
        <w:rPr/>
        <w:t>月出生，博士研究生学历。曾任泰维计算机公司技</w:t>
      </w:r>
      <w:r>
        <w:rPr>
          <w:w w:val="100"/>
        </w:rPr>
        <w:t> </w:t>
      </w:r>
      <w:r>
        <w:rPr/>
        <w:t>术总监，北京图为先科技有限公司副总经理。现任公司副总经理，北京六分科技有限公司董事、总经理，</w:t>
      </w:r>
      <w:r>
        <w:rPr>
          <w:spacing w:val="-24"/>
        </w:rPr>
        <w:t> </w:t>
      </w:r>
      <w:r>
        <w:rPr>
          <w:spacing w:val="-24"/>
        </w:rPr>
      </w:r>
      <w:r>
        <w:rPr>
          <w:spacing w:val="-2"/>
        </w:rPr>
        <w:t>武汉四维图新科技有限公司执行董事，北京世纪高通科技有限公司、北京未来导航科技有限公司董事，北</w:t>
      </w:r>
      <w:r>
        <w:rPr>
          <w:spacing w:val="-43"/>
        </w:rPr>
        <w:t> </w:t>
      </w:r>
      <w:r>
        <w:rPr>
          <w:spacing w:val="-43"/>
        </w:rPr>
      </w:r>
      <w:r>
        <w:rPr/>
        <w:t>京四维智联科技有限公司监事。</w:t>
      </w:r>
      <w:r>
        <w:rPr>
          <w:rFonts w:ascii="宋体" w:hAnsi="宋体" w:cs="宋体" w:eastAsia="宋体" w:hint="default"/>
        </w:rPr>
        <w:t> </w:t>
      </w:r>
    </w:p>
    <w:p>
      <w:pPr>
        <w:pStyle w:val="Heading5"/>
        <w:spacing w:line="408" w:lineRule="auto"/>
        <w:ind w:right="1126"/>
        <w:jc w:val="both"/>
        <w:rPr>
          <w:rFonts w:ascii="宋体" w:hAnsi="宋体" w:cs="宋体" w:eastAsia="宋体" w:hint="default"/>
        </w:rPr>
      </w:pPr>
      <w:r>
        <w:rPr>
          <w:spacing w:val="-2"/>
        </w:rPr>
        <w:t>景慕寒先生，中国国籍，无境外居留权，</w:t>
      </w:r>
      <w:r>
        <w:rPr>
          <w:rFonts w:ascii="宋体" w:hAnsi="宋体" w:cs="宋体" w:eastAsia="宋体" w:hint="default"/>
          <w:spacing w:val="-2"/>
        </w:rPr>
        <w:t>1973</w:t>
      </w:r>
      <w:r>
        <w:rPr>
          <w:spacing w:val="-2"/>
        </w:rPr>
        <w:t>年</w:t>
      </w:r>
      <w:r>
        <w:rPr>
          <w:rFonts w:ascii="宋体" w:hAnsi="宋体" w:cs="宋体" w:eastAsia="宋体" w:hint="default"/>
          <w:spacing w:val="-2"/>
        </w:rPr>
        <w:t>5</w:t>
      </w:r>
      <w:r>
        <w:rPr>
          <w:spacing w:val="-2"/>
        </w:rPr>
        <w:t>月出生，硕士学历，美国旧金山大学</w:t>
      </w:r>
      <w:r>
        <w:rPr>
          <w:rFonts w:ascii="宋体" w:hAnsi="宋体" w:cs="宋体" w:eastAsia="宋体" w:hint="default"/>
          <w:spacing w:val="-2"/>
        </w:rPr>
        <w:t>MBA</w:t>
      </w:r>
      <w:r>
        <w:rPr>
          <w:spacing w:val="-2"/>
        </w:rPr>
        <w:t>。曾任北京</w:t>
      </w:r>
      <w:r>
        <w:rPr>
          <w:w w:val="100"/>
        </w:rPr>
        <w:t> </w:t>
      </w:r>
      <w:r>
        <w:rPr>
          <w:spacing w:val="-2"/>
        </w:rPr>
        <w:t>爱而信科技发展有限公司总经理，北京图为先科技有限公司总经理。现任公司副总经理，北京四维智联科</w:t>
      </w:r>
      <w:r>
        <w:rPr>
          <w:spacing w:val="-43"/>
        </w:rPr>
        <w:t> </w:t>
      </w:r>
      <w:r>
        <w:rPr>
          <w:spacing w:val="-43"/>
        </w:rPr>
      </w:r>
      <w:r>
        <w:rPr>
          <w:spacing w:val="-2"/>
        </w:rPr>
        <w:t>技有限公司董事、总经理，合肥杰发科技有限公司、北京世纪高通科技有限公司、北京六分科技有限公司</w:t>
      </w:r>
      <w:r>
        <w:rPr>
          <w:spacing w:val="-50"/>
        </w:rPr>
        <w:t> </w:t>
      </w:r>
      <w:r>
        <w:rPr>
          <w:spacing w:val="-50"/>
        </w:rPr>
      </w:r>
      <w:r>
        <w:rPr/>
        <w:t>董事。</w:t>
      </w:r>
      <w:r>
        <w:rPr>
          <w:rFonts w:ascii="宋体" w:hAnsi="宋体" w:cs="宋体" w:eastAsia="宋体" w:hint="default"/>
        </w:rPr>
        <w:t> </w:t>
      </w:r>
    </w:p>
    <w:p>
      <w:pPr>
        <w:pStyle w:val="Heading5"/>
        <w:spacing w:line="408" w:lineRule="auto"/>
        <w:ind w:right="1126"/>
        <w:jc w:val="both"/>
        <w:rPr>
          <w:rFonts w:ascii="宋体" w:hAnsi="宋体" w:cs="宋体" w:eastAsia="宋体" w:hint="default"/>
        </w:rPr>
      </w:pPr>
      <w:r>
        <w:rPr/>
        <w:t>金水祥先生，中国国籍，无境外居留权，</w:t>
      </w:r>
      <w:r>
        <w:rPr>
          <w:rFonts w:ascii="宋体" w:hAnsi="宋体" w:cs="宋体" w:eastAsia="宋体" w:hint="default"/>
        </w:rPr>
        <w:t>1969</w:t>
      </w:r>
      <w:r>
        <w:rPr/>
        <w:t>年</w:t>
      </w:r>
      <w:r>
        <w:rPr>
          <w:rFonts w:ascii="宋体" w:hAnsi="宋体" w:cs="宋体" w:eastAsia="宋体" w:hint="default"/>
        </w:rPr>
        <w:t>5</w:t>
      </w:r>
      <w:r>
        <w:rPr/>
        <w:t>月出生，本科学历。曾任铁道部专业设计院航测处</w:t>
      </w:r>
      <w:r>
        <w:rPr>
          <w:w w:val="100"/>
        </w:rPr>
        <w:t> </w:t>
      </w:r>
      <w:r>
        <w:rPr>
          <w:spacing w:val="-2"/>
        </w:rPr>
        <w:t>业勘测队技术队长、队长、制图科科长、测图科科长，凯普奇软件</w:t>
      </w:r>
      <w:r>
        <w:rPr>
          <w:rFonts w:ascii="宋体" w:hAnsi="宋体" w:cs="宋体" w:eastAsia="宋体" w:hint="default"/>
          <w:spacing w:val="-2"/>
        </w:rPr>
        <w:t>(</w:t>
      </w:r>
      <w:r>
        <w:rPr>
          <w:spacing w:val="-2"/>
        </w:rPr>
        <w:t>北京</w:t>
      </w:r>
      <w:r>
        <w:rPr>
          <w:rFonts w:ascii="宋体" w:hAnsi="宋体" w:cs="宋体" w:eastAsia="宋体" w:hint="default"/>
          <w:spacing w:val="-2"/>
        </w:rPr>
        <w:t>)</w:t>
      </w:r>
      <w:r>
        <w:rPr>
          <w:spacing w:val="-2"/>
        </w:rPr>
        <w:t>有限公司项目经理，北京安彩星</w:t>
      </w:r>
      <w:r>
        <w:rPr>
          <w:spacing w:val="-40"/>
        </w:rPr>
        <w:t> </w:t>
      </w:r>
      <w:r>
        <w:rPr>
          <w:spacing w:val="-40"/>
        </w:rPr>
      </w:r>
      <w:r>
        <w:rPr>
          <w:spacing w:val="-5"/>
        </w:rPr>
        <w:t>通科技股份有限公司</w:t>
      </w:r>
      <w:r>
        <w:rPr>
          <w:rFonts w:ascii="宋体" w:hAnsi="宋体" w:cs="宋体" w:eastAsia="宋体" w:hint="default"/>
          <w:spacing w:val="-5"/>
        </w:rPr>
        <w:t>GIS</w:t>
      </w:r>
      <w:r>
        <w:rPr>
          <w:spacing w:val="-5"/>
        </w:rPr>
        <w:t>系统部分负责人。现任公司副总经理，西安四维图新信息技术有限公司执行董事，</w:t>
      </w:r>
      <w:r>
        <w:rPr>
          <w:spacing w:val="-4"/>
        </w:rPr>
        <w:t> </w:t>
      </w:r>
      <w:r>
        <w:rPr>
          <w:spacing w:val="-4"/>
        </w:rPr>
      </w:r>
      <w:r>
        <w:rPr>
          <w:spacing w:val="-2"/>
        </w:rPr>
        <w:t>中寰卫星导航通信有限公司、中交宇科（北京）空间信息技术有限公司、北京图新经纬导航系统有限公司</w:t>
      </w:r>
      <w:r>
        <w:rPr>
          <w:spacing w:val="-43"/>
        </w:rPr>
        <w:t> </w:t>
      </w:r>
      <w:r>
        <w:rPr>
          <w:spacing w:val="-43"/>
        </w:rPr>
      </w:r>
      <w:r>
        <w:rPr/>
        <w:t>董事，北京四维万兴科技有限公司监事。</w:t>
      </w:r>
      <w:r>
        <w:rPr>
          <w:rFonts w:ascii="宋体" w:hAnsi="宋体" w:cs="宋体" w:eastAsia="宋体" w:hint="default"/>
        </w:rPr>
        <w:t> </w:t>
      </w:r>
    </w:p>
    <w:p>
      <w:pPr>
        <w:pStyle w:val="Heading5"/>
        <w:spacing w:line="408" w:lineRule="auto"/>
        <w:ind w:right="1126"/>
        <w:jc w:val="both"/>
        <w:rPr>
          <w:rFonts w:ascii="宋体" w:hAnsi="宋体" w:cs="宋体" w:eastAsia="宋体" w:hint="default"/>
        </w:rPr>
      </w:pPr>
      <w:r>
        <w:rPr>
          <w:spacing w:val="-2"/>
        </w:rPr>
        <w:t>梁永杰先生，中国国籍，无境外居留权，</w:t>
      </w:r>
      <w:r>
        <w:rPr>
          <w:rFonts w:ascii="宋体" w:hAnsi="宋体" w:cs="宋体" w:eastAsia="宋体" w:hint="default"/>
          <w:spacing w:val="-2"/>
        </w:rPr>
        <w:t>1977</w:t>
      </w:r>
      <w:r>
        <w:rPr>
          <w:spacing w:val="-2"/>
        </w:rPr>
        <w:t>年</w:t>
      </w:r>
      <w:r>
        <w:rPr>
          <w:rFonts w:ascii="宋体" w:hAnsi="宋体" w:cs="宋体" w:eastAsia="宋体" w:hint="default"/>
          <w:spacing w:val="-2"/>
        </w:rPr>
        <w:t>11</w:t>
      </w:r>
      <w:r>
        <w:rPr>
          <w:spacing w:val="-2"/>
        </w:rPr>
        <w:t>月出生，本科学历。曾任上海纳维信息科技有限公</w:t>
      </w:r>
      <w:r>
        <w:rPr>
          <w:w w:val="100"/>
        </w:rPr>
        <w:t> </w:t>
      </w:r>
      <w:r>
        <w:rPr>
          <w:spacing w:val="-2"/>
        </w:rPr>
        <w:t>司销售总监，上海安吉四维信息技术有限公司总经理、上海趣驾信息科技有限公司总经理。现任本公司副</w:t>
      </w:r>
      <w:r>
        <w:rPr>
          <w:spacing w:val="-43"/>
        </w:rPr>
        <w:t> </w:t>
      </w:r>
      <w:r>
        <w:rPr>
          <w:spacing w:val="-43"/>
        </w:rPr>
      </w:r>
      <w:r>
        <w:rPr>
          <w:spacing w:val="-2"/>
        </w:rPr>
        <w:t>总经理，北京世纪高通科技有限公司董事、总经理，长沙市海图科技有限公司董事长，中再巨灾风险管理</w:t>
      </w:r>
      <w:r>
        <w:rPr>
          <w:spacing w:val="-50"/>
        </w:rPr>
        <w:t> </w:t>
      </w:r>
      <w:r>
        <w:rPr>
          <w:spacing w:val="-50"/>
        </w:rPr>
      </w:r>
      <w:r>
        <w:rPr/>
        <w:t>股份有限公司董事。</w:t>
      </w:r>
      <w:r>
        <w:rPr>
          <w:rFonts w:ascii="宋体" w:hAnsi="宋体" w:cs="宋体" w:eastAsia="宋体" w:hint="default"/>
        </w:rPr>
        <w:t> </w:t>
      </w:r>
    </w:p>
    <w:p>
      <w:pPr>
        <w:pStyle w:val="Heading5"/>
        <w:spacing w:line="408" w:lineRule="auto"/>
        <w:ind w:right="1127"/>
        <w:jc w:val="both"/>
        <w:rPr>
          <w:rFonts w:ascii="宋体" w:hAnsi="宋体" w:cs="宋体" w:eastAsia="宋体" w:hint="default"/>
        </w:rPr>
      </w:pPr>
      <w:r>
        <w:rPr>
          <w:spacing w:val="-5"/>
        </w:rPr>
        <w:t>孟庆昕女士，中国国籍，无境外居留权，</w:t>
      </w:r>
      <w:r>
        <w:rPr>
          <w:rFonts w:ascii="宋体" w:hAnsi="宋体" w:cs="宋体" w:eastAsia="宋体" w:hint="default"/>
          <w:spacing w:val="-5"/>
        </w:rPr>
        <w:t>1974</w:t>
      </w:r>
      <w:r>
        <w:rPr>
          <w:spacing w:val="-5"/>
        </w:rPr>
        <w:t>年</w:t>
      </w:r>
      <w:r>
        <w:rPr>
          <w:rFonts w:ascii="宋体" w:hAnsi="宋体" w:cs="宋体" w:eastAsia="宋体" w:hint="default"/>
          <w:spacing w:val="-5"/>
        </w:rPr>
        <w:t>4</w:t>
      </w:r>
      <w:r>
        <w:rPr>
          <w:spacing w:val="-5"/>
        </w:rPr>
        <w:t>月出生，硕士，高级经济师。曾任中交宇科（北京）</w:t>
      </w:r>
      <w:r>
        <w:rPr>
          <w:w w:val="100"/>
        </w:rPr>
        <w:t> </w:t>
      </w:r>
      <w:r>
        <w:rPr>
          <w:spacing w:val="-2"/>
        </w:rPr>
        <w:t>空间信息技术有限公司常务副总经理、总经理。现任公司副总经理、董事会秘书，中交宇科（北京）空间</w:t>
      </w:r>
      <w:r>
        <w:rPr>
          <w:spacing w:val="-42"/>
        </w:rPr>
        <w:t> </w:t>
      </w:r>
      <w:r>
        <w:rPr>
          <w:spacing w:val="-42"/>
        </w:rPr>
      </w:r>
      <w:r>
        <w:rPr/>
        <w:t>信息技术有限公司董事、总经理，天地图有限公司副董事长。</w:t>
      </w:r>
      <w:r>
        <w:rPr>
          <w:rFonts w:ascii="宋体" w:hAnsi="宋体" w:cs="宋体" w:eastAsia="宋体" w:hint="default"/>
        </w:rPr>
        <w:t> </w:t>
      </w:r>
    </w:p>
    <w:p>
      <w:pPr>
        <w:pStyle w:val="Heading5"/>
        <w:spacing w:line="408" w:lineRule="auto"/>
        <w:ind w:right="1126"/>
        <w:jc w:val="both"/>
        <w:rPr>
          <w:rFonts w:ascii="宋体" w:hAnsi="宋体" w:cs="宋体" w:eastAsia="宋体" w:hint="default"/>
        </w:rPr>
      </w:pPr>
      <w:r>
        <w:rPr>
          <w:spacing w:val="-2"/>
        </w:rPr>
        <w:t>宋铁辉先生，中国国籍，拥有澳大利亚居留权，</w:t>
      </w:r>
      <w:r>
        <w:rPr>
          <w:rFonts w:ascii="宋体" w:hAnsi="宋体" w:cs="宋体" w:eastAsia="宋体" w:hint="default"/>
          <w:spacing w:val="-2"/>
        </w:rPr>
        <w:t>1968</w:t>
      </w:r>
      <w:r>
        <w:rPr>
          <w:spacing w:val="-2"/>
        </w:rPr>
        <w:t>年</w:t>
      </w:r>
      <w:r>
        <w:rPr>
          <w:rFonts w:ascii="宋体" w:hAnsi="宋体" w:cs="宋体" w:eastAsia="宋体" w:hint="default"/>
          <w:spacing w:val="-2"/>
        </w:rPr>
        <w:t>11</w:t>
      </w:r>
      <w:r>
        <w:rPr>
          <w:spacing w:val="-2"/>
        </w:rPr>
        <w:t>月出生，本科学历。曾任惠州市德赛西威汽</w:t>
      </w:r>
      <w:r>
        <w:rPr>
          <w:w w:val="100"/>
        </w:rPr>
        <w:t> </w:t>
      </w:r>
      <w:r>
        <w:rPr>
          <w:spacing w:val="-2"/>
        </w:rPr>
        <w:t>车电子有限公司中国大众业务线销售经理和上海区销售经理、业务发展部经理、业务发展总监，大客户管</w:t>
      </w:r>
      <w:r>
        <w:rPr>
          <w:spacing w:val="-44"/>
        </w:rPr>
        <w:t> </w:t>
      </w:r>
      <w:r>
        <w:rPr>
          <w:spacing w:val="-44"/>
        </w:rPr>
      </w:r>
      <w:r>
        <w:rPr/>
        <w:t>理副总经理。现任公司副总经理，北京四维智联科技有限公司、上海安吉四维信息技术有限公司董事。</w:t>
      </w:r>
      <w:r>
        <w:rPr>
          <w:rFonts w:ascii="宋体" w:hAnsi="宋体" w:cs="宋体" w:eastAsia="宋体" w:hint="default"/>
        </w:rPr>
        <w:t> </w:t>
      </w:r>
    </w:p>
    <w:p>
      <w:pPr>
        <w:pStyle w:val="Heading5"/>
        <w:spacing w:line="408" w:lineRule="auto"/>
        <w:ind w:right="1131"/>
        <w:jc w:val="both"/>
      </w:pPr>
      <w:r>
        <w:rPr/>
        <w:t>姜晓明先生，中国国籍，无境外居留权，</w:t>
      </w:r>
      <w:r>
        <w:rPr>
          <w:rFonts w:ascii="宋体" w:hAnsi="宋体" w:cs="宋体" w:eastAsia="宋体" w:hint="default"/>
        </w:rPr>
        <w:t>1980</w:t>
      </w:r>
      <w:r>
        <w:rPr/>
        <w:t>年</w:t>
      </w:r>
      <w:r>
        <w:rPr>
          <w:rFonts w:ascii="宋体" w:hAnsi="宋体" w:cs="宋体" w:eastAsia="宋体" w:hint="default"/>
        </w:rPr>
        <w:t>7</w:t>
      </w:r>
      <w:r>
        <w:rPr/>
        <w:t>月出生，注册会计师，毕业于西安交通大学会计专</w:t>
      </w:r>
      <w:r>
        <w:rPr>
          <w:w w:val="100"/>
        </w:rPr>
        <w:t> </w:t>
      </w:r>
      <w:r>
        <w:rPr/>
        <w:t>业本科学历，中国人民大学企业管理硕士学位。</w:t>
      </w:r>
      <w:r>
        <w:rPr>
          <w:rFonts w:ascii="宋体" w:hAnsi="宋体" w:cs="宋体" w:eastAsia="宋体" w:hint="default"/>
        </w:rPr>
        <w:t>2001</w:t>
      </w:r>
      <w:r>
        <w:rPr/>
        <w:t>年</w:t>
      </w:r>
      <w:r>
        <w:rPr>
          <w:rFonts w:ascii="宋体" w:hAnsi="宋体" w:cs="宋体" w:eastAsia="宋体" w:hint="default"/>
        </w:rPr>
        <w:t>7</w:t>
      </w:r>
      <w:r>
        <w:rPr/>
        <w:t>月至</w:t>
      </w:r>
      <w:r>
        <w:rPr>
          <w:rFonts w:ascii="宋体" w:hAnsi="宋体" w:cs="宋体" w:eastAsia="宋体" w:hint="default"/>
        </w:rPr>
        <w:t>2004</w:t>
      </w:r>
      <w:r>
        <w:rPr/>
        <w:t>年</w:t>
      </w:r>
      <w:r>
        <w:rPr>
          <w:rFonts w:ascii="宋体" w:hAnsi="宋体" w:cs="宋体" w:eastAsia="宋体" w:hint="default"/>
        </w:rPr>
        <w:t>10</w:t>
      </w:r>
      <w:r>
        <w:rPr/>
        <w:t>月就职于北海银河高科技产业股份</w:t>
      </w:r>
    </w:p>
    <w:p>
      <w:pPr>
        <w:spacing w:after="0" w:line="408" w:lineRule="auto"/>
        <w:jc w:val="both"/>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pStyle w:val="Heading5"/>
        <w:spacing w:line="408" w:lineRule="auto" w:before="176"/>
        <w:ind w:right="1129" w:firstLine="0"/>
        <w:jc w:val="both"/>
        <w:rPr>
          <w:rFonts w:ascii="宋体" w:hAnsi="宋体" w:cs="宋体" w:eastAsia="宋体" w:hint="default"/>
        </w:rPr>
      </w:pPr>
      <w:r>
        <w:rPr/>
        <w:t>有限公司任财务部会计职务。于</w:t>
      </w:r>
      <w:r>
        <w:rPr>
          <w:rFonts w:ascii="宋体" w:hAnsi="宋体" w:cs="宋体" w:eastAsia="宋体" w:hint="default"/>
        </w:rPr>
        <w:t>2005</w:t>
      </w:r>
      <w:r>
        <w:rPr/>
        <w:t>年</w:t>
      </w:r>
      <w:r>
        <w:rPr>
          <w:rFonts w:ascii="宋体" w:hAnsi="宋体" w:cs="宋体" w:eastAsia="宋体" w:hint="default"/>
        </w:rPr>
        <w:t>5</w:t>
      </w:r>
      <w:r>
        <w:rPr/>
        <w:t>月入职北京四维图新科技股份有限公司，曾任财务部预算经理、</w:t>
      </w:r>
      <w:r>
        <w:rPr>
          <w:spacing w:val="-27"/>
        </w:rPr>
        <w:t> </w:t>
      </w:r>
      <w:r>
        <w:rPr>
          <w:spacing w:val="-27"/>
        </w:rPr>
      </w:r>
      <w:r>
        <w:rPr>
          <w:spacing w:val="-2"/>
        </w:rPr>
        <w:t>财务部副总经理、财务部总经理。现任公司财务总监，四维图新（香港）有限公司、四维图新日本有限公</w:t>
      </w:r>
      <w:r>
        <w:rPr>
          <w:spacing w:val="-45"/>
        </w:rPr>
        <w:t> </w:t>
      </w:r>
      <w:r>
        <w:rPr>
          <w:spacing w:val="-45"/>
        </w:rPr>
      </w:r>
      <w:r>
        <w:rPr>
          <w:spacing w:val="-2"/>
        </w:rPr>
        <w:t>司董事，北京四维图新科技有限公司、上海纳维信息技术有限公司、长沙市海图科技有限公司、北京四维</w:t>
      </w:r>
      <w:r>
        <w:rPr>
          <w:spacing w:val="-50"/>
        </w:rPr>
        <w:t> </w:t>
      </w:r>
      <w:r>
        <w:rPr>
          <w:spacing w:val="-50"/>
        </w:rPr>
      </w:r>
      <w:r>
        <w:rPr/>
        <w:t>天和科技有限公司监事。</w:t>
      </w:r>
      <w:r>
        <w:rPr>
          <w:rFonts w:ascii="宋体" w:hAnsi="宋体" w:cs="宋体" w:eastAsia="宋体" w:hint="default"/>
        </w:rPr>
        <w:t> </w:t>
      </w:r>
    </w:p>
    <w:p>
      <w:pPr>
        <w:pStyle w:val="BodyText"/>
        <w:spacing w:line="240" w:lineRule="auto" w:before="31"/>
        <w:ind w:right="0"/>
        <w:jc w:val="both"/>
      </w:pPr>
      <w:r>
        <w:rPr/>
        <w:t>在股东单位任职情况</w:t>
      </w:r>
    </w:p>
    <w:p>
      <w:pPr>
        <w:pStyle w:val="BodyText"/>
        <w:spacing w:line="240" w:lineRule="auto" w:before="115"/>
        <w:ind w:right="0"/>
        <w:jc w:val="both"/>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4"/>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217"/>
        <w:gridCol w:w="3231"/>
        <w:gridCol w:w="1078"/>
        <w:gridCol w:w="1212"/>
        <w:gridCol w:w="1347"/>
        <w:gridCol w:w="1486"/>
      </w:tblGrid>
      <w:tr>
        <w:trPr>
          <w:trHeight w:val="713" w:hRule="exact"/>
        </w:trPr>
        <w:tc>
          <w:tcPr>
            <w:tcW w:w="12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64" w:right="0"/>
              <w:jc w:val="left"/>
              <w:rPr>
                <w:rFonts w:ascii="宋体" w:hAnsi="宋体" w:cs="宋体" w:eastAsia="宋体" w:hint="default"/>
                <w:sz w:val="18"/>
                <w:szCs w:val="18"/>
              </w:rPr>
            </w:pPr>
            <w:r>
              <w:rPr>
                <w:rFonts w:ascii="宋体" w:hAnsi="宋体" w:cs="宋体" w:eastAsia="宋体" w:hint="default"/>
                <w:sz w:val="18"/>
                <w:szCs w:val="18"/>
              </w:rPr>
              <w:t>任职人员姓名</w:t>
            </w:r>
          </w:p>
        </w:tc>
        <w:tc>
          <w:tcPr>
            <w:tcW w:w="3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070"/>
              <w:jc w:val="right"/>
              <w:rPr>
                <w:rFonts w:ascii="宋体" w:hAnsi="宋体" w:cs="宋体" w:eastAsia="宋体" w:hint="default"/>
                <w:sz w:val="18"/>
                <w:szCs w:val="18"/>
              </w:rPr>
            </w:pPr>
            <w:r>
              <w:rPr>
                <w:rFonts w:ascii="宋体" w:hAnsi="宋体" w:cs="宋体" w:eastAsia="宋体" w:hint="default"/>
                <w:sz w:val="18"/>
                <w:szCs w:val="18"/>
              </w:rPr>
              <w:t>股东单位名称</w:t>
            </w:r>
          </w:p>
        </w:tc>
        <w:tc>
          <w:tcPr>
            <w:tcW w:w="10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84" w:right="82"/>
              <w:jc w:val="left"/>
              <w:rPr>
                <w:rFonts w:ascii="宋体" w:hAnsi="宋体" w:cs="宋体" w:eastAsia="宋体" w:hint="default"/>
                <w:sz w:val="18"/>
                <w:szCs w:val="18"/>
              </w:rPr>
            </w:pPr>
            <w:r>
              <w:rPr>
                <w:rFonts w:ascii="宋体" w:hAnsi="宋体" w:cs="宋体" w:eastAsia="宋体" w:hint="default"/>
                <w:sz w:val="18"/>
                <w:szCs w:val="18"/>
              </w:rPr>
              <w:t>在股东单位 担任的职务</w:t>
            </w:r>
          </w:p>
        </w:tc>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62" w:right="0"/>
              <w:jc w:val="left"/>
              <w:rPr>
                <w:rFonts w:ascii="宋体" w:hAnsi="宋体" w:cs="宋体" w:eastAsia="宋体" w:hint="default"/>
                <w:sz w:val="18"/>
                <w:szCs w:val="18"/>
              </w:rPr>
            </w:pPr>
            <w:r>
              <w:rPr>
                <w:rFonts w:ascii="宋体" w:hAnsi="宋体" w:cs="宋体" w:eastAsia="宋体" w:hint="default"/>
                <w:sz w:val="18"/>
                <w:szCs w:val="18"/>
              </w:rPr>
              <w:t>任期起始日期</w:t>
            </w:r>
          </w:p>
        </w:tc>
        <w:tc>
          <w:tcPr>
            <w:tcW w:w="13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29" w:right="0"/>
              <w:jc w:val="left"/>
              <w:rPr>
                <w:rFonts w:ascii="宋体" w:hAnsi="宋体" w:cs="宋体" w:eastAsia="宋体" w:hint="default"/>
                <w:sz w:val="18"/>
                <w:szCs w:val="18"/>
              </w:rPr>
            </w:pPr>
            <w:r>
              <w:rPr>
                <w:rFonts w:ascii="宋体" w:hAnsi="宋体" w:cs="宋体" w:eastAsia="宋体" w:hint="default"/>
                <w:sz w:val="18"/>
                <w:szCs w:val="18"/>
              </w:rPr>
              <w:t>任期终止日期</w:t>
            </w:r>
          </w:p>
        </w:tc>
        <w:tc>
          <w:tcPr>
            <w:tcW w:w="14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96" w:right="107" w:hanging="89"/>
              <w:jc w:val="left"/>
              <w:rPr>
                <w:rFonts w:ascii="宋体" w:hAnsi="宋体" w:cs="宋体" w:eastAsia="宋体" w:hint="default"/>
                <w:sz w:val="18"/>
                <w:szCs w:val="18"/>
              </w:rPr>
            </w:pPr>
            <w:r>
              <w:rPr>
                <w:rFonts w:ascii="宋体" w:hAnsi="宋体" w:cs="宋体" w:eastAsia="宋体" w:hint="default"/>
                <w:sz w:val="18"/>
                <w:szCs w:val="18"/>
              </w:rPr>
              <w:t>在股东单位是否 领取报酬津贴</w:t>
            </w:r>
          </w:p>
        </w:tc>
      </w:tr>
      <w:tr>
        <w:trPr>
          <w:trHeight w:val="716" w:hRule="exact"/>
        </w:trPr>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郑永进</w:t>
            </w:r>
          </w:p>
        </w:tc>
        <w:tc>
          <w:tcPr>
            <w:tcW w:w="32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35"/>
              <w:jc w:val="right"/>
              <w:rPr>
                <w:rFonts w:ascii="宋体" w:hAnsi="宋体" w:cs="宋体" w:eastAsia="宋体" w:hint="default"/>
                <w:sz w:val="18"/>
                <w:szCs w:val="18"/>
              </w:rPr>
            </w:pPr>
            <w:r>
              <w:rPr>
                <w:rFonts w:ascii="宋体" w:hAnsi="宋体" w:cs="宋体" w:eastAsia="宋体" w:hint="default"/>
                <w:sz w:val="18"/>
                <w:szCs w:val="18"/>
              </w:rPr>
              <w:t>中国四维测绘技术有限公司</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财务总监</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p>
          <w:p>
            <w:pPr>
              <w:pStyle w:val="TableParagraph"/>
              <w:spacing w:line="240" w:lineRule="auto" w:before="6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347"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1025" w:hRule="exact"/>
        </w:trPr>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刘铁军</w:t>
            </w:r>
          </w:p>
        </w:tc>
        <w:tc>
          <w:tcPr>
            <w:tcW w:w="32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035"/>
              <w:jc w:val="right"/>
              <w:rPr>
                <w:rFonts w:ascii="宋体" w:hAnsi="宋体" w:cs="宋体" w:eastAsia="宋体" w:hint="default"/>
                <w:sz w:val="18"/>
                <w:szCs w:val="18"/>
              </w:rPr>
            </w:pPr>
            <w:r>
              <w:rPr>
                <w:rFonts w:ascii="宋体" w:hAnsi="宋体" w:cs="宋体" w:eastAsia="宋体" w:hint="default"/>
                <w:sz w:val="18"/>
                <w:szCs w:val="18"/>
              </w:rPr>
              <w:t>中国四维测绘技术有限公司</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42"/>
              <w:jc w:val="both"/>
              <w:rPr>
                <w:rFonts w:ascii="宋体" w:hAnsi="宋体" w:cs="宋体" w:eastAsia="宋体" w:hint="default"/>
                <w:sz w:val="18"/>
                <w:szCs w:val="18"/>
              </w:rPr>
            </w:pPr>
            <w:r>
              <w:rPr>
                <w:rFonts w:ascii="宋体" w:hAnsi="宋体" w:cs="宋体" w:eastAsia="宋体" w:hint="default"/>
                <w:sz w:val="18"/>
                <w:szCs w:val="18"/>
              </w:rPr>
              <w:t>遥感与导航 应用事业部 副部长</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347"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5" w:hRule="exact"/>
        </w:trPr>
        <w:tc>
          <w:tcPr>
            <w:tcW w:w="12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4" w:right="101"/>
              <w:jc w:val="left"/>
              <w:rPr>
                <w:rFonts w:ascii="宋体" w:hAnsi="宋体" w:cs="宋体" w:eastAsia="宋体" w:hint="default"/>
                <w:sz w:val="18"/>
                <w:szCs w:val="18"/>
              </w:rPr>
            </w:pPr>
            <w:r>
              <w:rPr>
                <w:rFonts w:ascii="宋体" w:hAnsi="宋体" w:cs="宋体" w:eastAsia="宋体" w:hint="default"/>
                <w:sz w:val="18"/>
                <w:szCs w:val="18"/>
              </w:rPr>
              <w:t>在股东单位任 职情况的说明</w:t>
            </w:r>
          </w:p>
        </w:tc>
        <w:tc>
          <w:tcPr>
            <w:tcW w:w="8354"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pStyle w:val="BodyText"/>
        <w:spacing w:line="240" w:lineRule="auto" w:before="49"/>
        <w:ind w:right="982"/>
        <w:jc w:val="left"/>
      </w:pPr>
      <w:r>
        <w:rPr/>
        <w:t>在其他单位任职情况</w:t>
      </w:r>
    </w:p>
    <w:p>
      <w:pPr>
        <w:pStyle w:val="BodyText"/>
        <w:spacing w:line="240" w:lineRule="auto" w:before="115"/>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4"/>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234"/>
        <w:gridCol w:w="3277"/>
        <w:gridCol w:w="1092"/>
        <w:gridCol w:w="1229"/>
        <w:gridCol w:w="1361"/>
        <w:gridCol w:w="1375"/>
      </w:tblGrid>
      <w:tr>
        <w:trPr>
          <w:trHeight w:val="716" w:hRule="exact"/>
        </w:trPr>
        <w:tc>
          <w:tcPr>
            <w:tcW w:w="12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72" w:right="0"/>
              <w:jc w:val="left"/>
              <w:rPr>
                <w:rFonts w:ascii="宋体" w:hAnsi="宋体" w:cs="宋体" w:eastAsia="宋体" w:hint="default"/>
                <w:sz w:val="18"/>
                <w:szCs w:val="18"/>
              </w:rPr>
            </w:pPr>
            <w:r>
              <w:rPr>
                <w:rFonts w:ascii="宋体" w:hAnsi="宋体" w:cs="宋体" w:eastAsia="宋体" w:hint="default"/>
                <w:sz w:val="18"/>
                <w:szCs w:val="18"/>
              </w:rPr>
              <w:t>任职人员姓名</w:t>
            </w:r>
          </w:p>
        </w:tc>
        <w:tc>
          <w:tcPr>
            <w:tcW w:w="3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其他单位名称</w:t>
            </w:r>
          </w:p>
        </w:tc>
        <w:tc>
          <w:tcPr>
            <w:tcW w:w="10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91" w:right="89"/>
              <w:jc w:val="left"/>
              <w:rPr>
                <w:rFonts w:ascii="宋体" w:hAnsi="宋体" w:cs="宋体" w:eastAsia="宋体" w:hint="default"/>
                <w:sz w:val="18"/>
                <w:szCs w:val="18"/>
              </w:rPr>
            </w:pPr>
            <w:r>
              <w:rPr>
                <w:rFonts w:ascii="宋体" w:hAnsi="宋体" w:cs="宋体" w:eastAsia="宋体" w:hint="default"/>
                <w:sz w:val="18"/>
                <w:szCs w:val="18"/>
              </w:rPr>
              <w:t>在其他单位 担任的职务</w:t>
            </w:r>
          </w:p>
        </w:tc>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69" w:right="0"/>
              <w:jc w:val="left"/>
              <w:rPr>
                <w:rFonts w:ascii="宋体" w:hAnsi="宋体" w:cs="宋体" w:eastAsia="宋体" w:hint="default"/>
                <w:sz w:val="18"/>
                <w:szCs w:val="18"/>
              </w:rPr>
            </w:pPr>
            <w:r>
              <w:rPr>
                <w:rFonts w:ascii="宋体" w:hAnsi="宋体" w:cs="宋体" w:eastAsia="宋体" w:hint="default"/>
                <w:sz w:val="18"/>
                <w:szCs w:val="18"/>
              </w:rPr>
              <w:t>任期起始日期</w:t>
            </w:r>
          </w:p>
        </w:tc>
        <w:tc>
          <w:tcPr>
            <w:tcW w:w="13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34" w:right="0"/>
              <w:jc w:val="left"/>
              <w:rPr>
                <w:rFonts w:ascii="宋体" w:hAnsi="宋体" w:cs="宋体" w:eastAsia="宋体" w:hint="default"/>
                <w:sz w:val="18"/>
                <w:szCs w:val="18"/>
              </w:rPr>
            </w:pPr>
            <w:r>
              <w:rPr>
                <w:rFonts w:ascii="宋体" w:hAnsi="宋体" w:cs="宋体" w:eastAsia="宋体" w:hint="default"/>
                <w:sz w:val="18"/>
                <w:szCs w:val="18"/>
              </w:rPr>
              <w:t>任期终止日期</w:t>
            </w:r>
          </w:p>
        </w:tc>
        <w:tc>
          <w:tcPr>
            <w:tcW w:w="13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43" w:right="50" w:hanging="92"/>
              <w:jc w:val="left"/>
              <w:rPr>
                <w:rFonts w:ascii="宋体" w:hAnsi="宋体" w:cs="宋体" w:eastAsia="宋体" w:hint="default"/>
                <w:sz w:val="18"/>
                <w:szCs w:val="18"/>
              </w:rPr>
            </w:pPr>
            <w:r>
              <w:rPr>
                <w:rFonts w:ascii="宋体" w:hAnsi="宋体" w:cs="宋体" w:eastAsia="宋体" w:hint="default"/>
                <w:sz w:val="18"/>
                <w:szCs w:val="18"/>
              </w:rPr>
              <w:t>在其他单位是否 领取报酬津贴</w:t>
            </w:r>
          </w:p>
        </w:tc>
      </w:tr>
      <w:tr>
        <w:trPr>
          <w:trHeight w:val="713" w:hRule="exact"/>
        </w:trPr>
        <w:tc>
          <w:tcPr>
            <w:tcW w:w="123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吴劲风</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中国航天科技集团公司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4" w:right="156"/>
              <w:jc w:val="left"/>
              <w:rPr>
                <w:rFonts w:ascii="宋体" w:hAnsi="宋体" w:cs="宋体" w:eastAsia="宋体" w:hint="default"/>
                <w:sz w:val="18"/>
                <w:szCs w:val="18"/>
              </w:rPr>
            </w:pPr>
            <w:r>
              <w:rPr>
                <w:rFonts w:ascii="宋体" w:hAnsi="宋体" w:cs="宋体" w:eastAsia="宋体" w:hint="default"/>
                <w:sz w:val="18"/>
                <w:szCs w:val="18"/>
              </w:rPr>
              <w:t>科技委副主 任</w:t>
            </w:r>
          </w:p>
        </w:tc>
        <w:tc>
          <w:tcPr>
            <w:tcW w:w="1229" w:type="dxa"/>
            <w:tcBorders>
              <w:top w:val="single" w:sz="4" w:space="0" w:color="000000"/>
              <w:left w:val="single" w:sz="4" w:space="0" w:color="000000"/>
              <w:bottom w:val="single" w:sz="4" w:space="0" w:color="000000"/>
              <w:right w:val="single" w:sz="4" w:space="0" w:color="000000"/>
            </w:tcBorders>
          </w:tcPr>
          <w:p>
            <w:pPr/>
          </w:p>
        </w:tc>
        <w:tc>
          <w:tcPr>
            <w:tcW w:w="1361"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3" w:hRule="exact"/>
        </w:trPr>
        <w:tc>
          <w:tcPr>
            <w:tcW w:w="1234" w:type="dxa"/>
            <w:vMerge/>
            <w:tcBorders>
              <w:left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中国卫通集团股份有限公司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
        </w:tc>
        <w:tc>
          <w:tcPr>
            <w:tcW w:w="1361"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1234" w:type="dxa"/>
            <w:vMerge/>
            <w:tcBorders>
              <w:left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物联网技术应用研究院</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理事长</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01</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1"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1234" w:type="dxa"/>
            <w:vMerge/>
            <w:tcBorders>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工业和信息化部通信科技委员会</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常委</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1"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123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孙玉国</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中国地理信息产业协会</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会长</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7"/>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月</w:t>
            </w:r>
            <w:r>
              <w:rPr>
                <w:rFonts w:ascii="宋体" w:hAnsi="宋体" w:cs="宋体" w:eastAsia="宋体" w:hint="default"/>
                <w:spacing w:val="-67"/>
                <w:sz w:val="18"/>
                <w:szCs w:val="18"/>
              </w:rPr>
              <w:t> </w:t>
            </w:r>
            <w:r>
              <w:rPr>
                <w:rFonts w:ascii="Times New Roman" w:hAnsi="Times New Roman" w:cs="Times New Roman" w:eastAsia="Times New Roman" w:hint="default"/>
                <w:sz w:val="18"/>
                <w:szCs w:val="18"/>
              </w:rPr>
              <w:t>01</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1"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6" w:hRule="exact"/>
        </w:trPr>
        <w:tc>
          <w:tcPr>
            <w:tcW w:w="1234" w:type="dxa"/>
            <w:vMerge/>
            <w:tcBorders>
              <w:left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北京万兔思睿科技有限公司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1"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1234" w:type="dxa"/>
            <w:vMerge/>
            <w:tcBorders>
              <w:left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禾多科技</w:t>
            </w:r>
            <w:r>
              <w:rPr>
                <w:rFonts w:ascii="Times New Roman" w:hAnsi="Times New Roman" w:cs="Times New Roman" w:eastAsia="Times New Roman" w:hint="default"/>
                <w:sz w:val="18"/>
                <w:szCs w:val="18"/>
              </w:rPr>
              <w:t>(</w:t>
            </w:r>
            <w:r>
              <w:rPr>
                <w:rFonts w:ascii="宋体" w:hAnsi="宋体" w:cs="宋体" w:eastAsia="宋体" w:hint="default"/>
                <w:sz w:val="18"/>
                <w:szCs w:val="18"/>
              </w:rPr>
              <w:t>北京</w:t>
            </w:r>
            <w:r>
              <w:rPr>
                <w:rFonts w:ascii="Times New Roman" w:hAnsi="Times New Roman" w:cs="Times New Roman" w:eastAsia="Times New Roman" w:hint="default"/>
                <w:sz w:val="18"/>
                <w:szCs w:val="18"/>
              </w:rPr>
              <w:t>)</w:t>
            </w:r>
            <w:r>
              <w:rPr>
                <w:rFonts w:ascii="宋体" w:hAnsi="宋体" w:cs="宋体" w:eastAsia="宋体" w:hint="default"/>
                <w:sz w:val="18"/>
                <w:szCs w:val="18"/>
              </w:rPr>
              <w:t>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07</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1"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234" w:type="dxa"/>
            <w:vMerge/>
            <w:tcBorders>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成都返空汇网络技术有限公司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
        </w:tc>
        <w:tc>
          <w:tcPr>
            <w:tcW w:w="1361"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23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程鹏</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上海安吉四维信息技术有限公司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7"/>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月</w:t>
            </w:r>
            <w:r>
              <w:rPr>
                <w:rFonts w:ascii="宋体" w:hAnsi="宋体" w:cs="宋体" w:eastAsia="宋体" w:hint="default"/>
                <w:spacing w:val="-67"/>
                <w:sz w:val="18"/>
                <w:szCs w:val="18"/>
              </w:rPr>
              <w:t> </w:t>
            </w:r>
            <w:r>
              <w:rPr>
                <w:rFonts w:ascii="Times New Roman" w:hAnsi="Times New Roman" w:cs="Times New Roman" w:eastAsia="Times New Roman" w:hint="default"/>
                <w:sz w:val="18"/>
                <w:szCs w:val="18"/>
              </w:rPr>
              <w:t>01</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1"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1234" w:type="dxa"/>
            <w:vMerge/>
            <w:tcBorders>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禾多科技</w:t>
            </w:r>
            <w:r>
              <w:rPr>
                <w:rFonts w:ascii="Times New Roman" w:hAnsi="Times New Roman" w:cs="Times New Roman" w:eastAsia="Times New Roman" w:hint="default"/>
                <w:sz w:val="18"/>
                <w:szCs w:val="18"/>
              </w:rPr>
              <w:t>(</w:t>
            </w:r>
            <w:r>
              <w:rPr>
                <w:rFonts w:ascii="宋体" w:hAnsi="宋体" w:cs="宋体" w:eastAsia="宋体" w:hint="default"/>
                <w:sz w:val="18"/>
                <w:szCs w:val="18"/>
              </w:rPr>
              <w:t>北京</w:t>
            </w:r>
            <w:r>
              <w:rPr>
                <w:rFonts w:ascii="Times New Roman" w:hAnsi="Times New Roman" w:cs="Times New Roman" w:eastAsia="Times New Roman" w:hint="default"/>
                <w:sz w:val="18"/>
                <w:szCs w:val="18"/>
              </w:rPr>
              <w:t>)</w:t>
            </w:r>
            <w:r>
              <w:rPr>
                <w:rFonts w:ascii="宋体" w:hAnsi="宋体" w:cs="宋体" w:eastAsia="宋体" w:hint="default"/>
                <w:sz w:val="18"/>
                <w:szCs w:val="18"/>
              </w:rPr>
              <w:t>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01</w:t>
            </w:r>
          </w:p>
          <w:p>
            <w:pPr>
              <w:pStyle w:val="TableParagraph"/>
              <w:spacing w:line="240" w:lineRule="auto" w:before="62"/>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1"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1234"/>
        <w:gridCol w:w="3277"/>
        <w:gridCol w:w="1092"/>
        <w:gridCol w:w="1229"/>
        <w:gridCol w:w="1361"/>
        <w:gridCol w:w="1375"/>
      </w:tblGrid>
      <w:tr>
        <w:trPr>
          <w:trHeight w:val="713" w:hRule="exact"/>
        </w:trPr>
        <w:tc>
          <w:tcPr>
            <w:tcW w:w="1234"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北京万兔思睿科技有限公司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1"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123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2"/>
              <w:ind w:left="24" w:right="0"/>
              <w:jc w:val="left"/>
              <w:rPr>
                <w:rFonts w:ascii="宋体" w:hAnsi="宋体" w:cs="宋体" w:eastAsia="宋体" w:hint="default"/>
                <w:sz w:val="18"/>
                <w:szCs w:val="18"/>
              </w:rPr>
            </w:pPr>
            <w:r>
              <w:rPr>
                <w:rFonts w:ascii="宋体" w:hAnsi="宋体" w:cs="宋体" w:eastAsia="宋体" w:hint="default"/>
                <w:sz w:val="18"/>
                <w:szCs w:val="18"/>
              </w:rPr>
              <w:t>李想</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北京车和家信息技术有限公司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21"/>
              <w:jc w:val="left"/>
              <w:rPr>
                <w:rFonts w:ascii="宋体" w:hAnsi="宋体" w:cs="宋体" w:eastAsia="宋体" w:hint="default"/>
                <w:sz w:val="18"/>
                <w:szCs w:val="18"/>
              </w:rPr>
            </w:pPr>
            <w:r>
              <w:rPr>
                <w:rFonts w:ascii="宋体" w:hAnsi="宋体" w:cs="宋体" w:eastAsia="宋体" w:hint="default"/>
                <w:spacing w:val="-8"/>
                <w:sz w:val="18"/>
                <w:szCs w:val="18"/>
              </w:rPr>
              <w:t>董事长、总经</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理</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10</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1"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1" w:hRule="exact"/>
        </w:trPr>
        <w:tc>
          <w:tcPr>
            <w:tcW w:w="1234" w:type="dxa"/>
            <w:vMerge/>
            <w:tcBorders>
              <w:left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空气管家（北京）科技有限公司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
        </w:tc>
        <w:tc>
          <w:tcPr>
            <w:tcW w:w="1361"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234" w:type="dxa"/>
            <w:vMerge/>
            <w:tcBorders>
              <w:left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江苏车宜家新能源科技有限公司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
        </w:tc>
        <w:tc>
          <w:tcPr>
            <w:tcW w:w="1361"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234" w:type="dxa"/>
            <w:vMerge/>
            <w:tcBorders>
              <w:left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北京易航远智科技有限公司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
        </w:tc>
        <w:tc>
          <w:tcPr>
            <w:tcW w:w="1361"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1234" w:type="dxa"/>
            <w:vMerge/>
            <w:tcBorders>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新石器慧通（北京）科技有限公司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01</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1"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123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9"/>
              <w:ind w:left="24" w:right="0"/>
              <w:jc w:val="left"/>
              <w:rPr>
                <w:rFonts w:ascii="宋体" w:hAnsi="宋体" w:cs="宋体" w:eastAsia="宋体" w:hint="default"/>
                <w:sz w:val="18"/>
                <w:szCs w:val="18"/>
              </w:rPr>
            </w:pPr>
            <w:r>
              <w:rPr>
                <w:rFonts w:ascii="宋体" w:hAnsi="宋体" w:cs="宋体" w:eastAsia="宋体" w:hint="default"/>
                <w:sz w:val="18"/>
                <w:szCs w:val="18"/>
              </w:rPr>
              <w:t>任光明</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北京星轨科技有限公司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1"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5" w:hRule="exact"/>
        </w:trPr>
        <w:tc>
          <w:tcPr>
            <w:tcW w:w="1234" w:type="dxa"/>
            <w:vMerge/>
            <w:tcBorders>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碧生源控股有限公司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01</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1"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3"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吴艾今</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北京天润坤泽财务管理咨询公司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21"/>
              <w:jc w:val="left"/>
              <w:rPr>
                <w:rFonts w:ascii="宋体" w:hAnsi="宋体" w:cs="宋体" w:eastAsia="宋体" w:hint="default"/>
                <w:sz w:val="18"/>
                <w:szCs w:val="18"/>
              </w:rPr>
            </w:pPr>
            <w:r>
              <w:rPr>
                <w:rFonts w:ascii="宋体" w:hAnsi="宋体" w:cs="宋体" w:eastAsia="宋体" w:hint="default"/>
                <w:spacing w:val="-8"/>
                <w:sz w:val="18"/>
                <w:szCs w:val="18"/>
              </w:rPr>
              <w:t>总经理、合伙</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人</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1"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5" w:hRule="exact"/>
        </w:trPr>
        <w:tc>
          <w:tcPr>
            <w:tcW w:w="123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20"/>
                <w:szCs w:val="20"/>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湛炜标</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腾讯公司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56"/>
              <w:jc w:val="left"/>
              <w:rPr>
                <w:rFonts w:ascii="宋体" w:hAnsi="宋体" w:cs="宋体" w:eastAsia="宋体" w:hint="default"/>
                <w:sz w:val="18"/>
                <w:szCs w:val="18"/>
              </w:rPr>
            </w:pPr>
            <w:r>
              <w:rPr>
                <w:rFonts w:ascii="宋体" w:hAnsi="宋体" w:cs="宋体" w:eastAsia="宋体" w:hint="default"/>
                <w:sz w:val="18"/>
                <w:szCs w:val="18"/>
              </w:rPr>
              <w:t>腾讯投资董 事总经理</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2003</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01</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1"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3" w:hRule="exact"/>
        </w:trPr>
        <w:tc>
          <w:tcPr>
            <w:tcW w:w="1234" w:type="dxa"/>
            <w:vMerge/>
            <w:tcBorders>
              <w:left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天津五八金服有限公司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1"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234" w:type="dxa"/>
            <w:vMerge/>
            <w:tcBorders>
              <w:left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上海灿谷投资管理咨询服务有限公司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01</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1"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234" w:type="dxa"/>
            <w:vMerge/>
            <w:tcBorders>
              <w:left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Cango</w:t>
            </w:r>
            <w:r>
              <w:rPr>
                <w:rFonts w:ascii="Times New Roman"/>
                <w:spacing w:val="-1"/>
                <w:sz w:val="18"/>
              </w:rPr>
              <w:t> </w:t>
            </w:r>
            <w:r>
              <w:rPr>
                <w:rFonts w:ascii="Times New Roman"/>
                <w:sz w:val="18"/>
              </w:rPr>
              <w:t>Inc.</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1"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234" w:type="dxa"/>
            <w:vMerge/>
            <w:tcBorders>
              <w:left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CANGO GROUP</w:t>
            </w:r>
            <w:r>
              <w:rPr>
                <w:rFonts w:ascii="Times New Roman"/>
                <w:spacing w:val="-13"/>
                <w:sz w:val="18"/>
              </w:rPr>
              <w:t> </w:t>
            </w:r>
            <w:r>
              <w:rPr>
                <w:rFonts w:ascii="Times New Roman"/>
                <w:sz w:val="18"/>
              </w:rPr>
              <w:t>LIMITED</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01</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1"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34" w:type="dxa"/>
            <w:vMerge/>
            <w:tcBorders>
              <w:left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广东腾南网络信息科技有限公司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
        </w:tc>
        <w:tc>
          <w:tcPr>
            <w:tcW w:w="1361"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34" w:type="dxa"/>
            <w:vMerge/>
            <w:tcBorders>
              <w:left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深圳市壹信网络科技有限公司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
        </w:tc>
        <w:tc>
          <w:tcPr>
            <w:tcW w:w="1361"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34" w:type="dxa"/>
            <w:vMerge/>
            <w:tcBorders>
              <w:left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深圳市泰捷软件技术有限公司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
        </w:tc>
        <w:tc>
          <w:tcPr>
            <w:tcW w:w="1361"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1234" w:type="dxa"/>
            <w:vMerge/>
            <w:tcBorders>
              <w:left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湖北腾楚网络科技有限责任公司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
        </w:tc>
        <w:tc>
          <w:tcPr>
            <w:tcW w:w="1361"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234" w:type="dxa"/>
            <w:vMerge/>
            <w:tcBorders>
              <w:left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天津猫眼微影文化传媒有限公司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1"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234" w:type="dxa"/>
            <w:vMerge/>
            <w:tcBorders>
              <w:left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北京微影时代科技有限公司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01</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1"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34" w:type="dxa"/>
            <w:vMerge/>
            <w:tcBorders>
              <w:left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北京知道创宇信息技术有限公司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
        </w:tc>
        <w:tc>
          <w:tcPr>
            <w:tcW w:w="1361"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34" w:type="dxa"/>
            <w:vMerge/>
            <w:tcBorders>
              <w:left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北京转转精神科技有限责任公司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
        </w:tc>
        <w:tc>
          <w:tcPr>
            <w:tcW w:w="1361"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34" w:type="dxa"/>
            <w:vMerge/>
            <w:tcBorders>
              <w:left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天津转转世界科技有限责任公司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
        </w:tc>
        <w:tc>
          <w:tcPr>
            <w:tcW w:w="1361"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34" w:type="dxa"/>
            <w:vMerge/>
            <w:tcBorders>
              <w:left w:val="single" w:sz="4" w:space="0" w:color="000000"/>
              <w:bottom w:val="nil" w:sz="6" w:space="0" w:color="auto"/>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ZHUAN SPIRIT HOLDINGS</w:t>
            </w:r>
            <w:r>
              <w:rPr>
                <w:rFonts w:ascii="Times New Roman"/>
                <w:spacing w:val="-11"/>
                <w:sz w:val="18"/>
              </w:rPr>
              <w:t> </w:t>
            </w:r>
            <w:r>
              <w:rPr>
                <w:rFonts w:ascii="Times New Roman"/>
                <w:sz w:val="18"/>
              </w:rPr>
              <w:t>LIMITED</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
        </w:tc>
        <w:tc>
          <w:tcPr>
            <w:tcW w:w="1361"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
        </w:tc>
      </w:tr>
    </w:tbl>
    <w:p>
      <w:pPr>
        <w:spacing w:after="0"/>
        <w:sectPr>
          <w:footerReference w:type="default" r:id="rId49"/>
          <w:pgSz w:w="11910" w:h="16840"/>
          <w:pgMar w:footer="979" w:header="745"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1234"/>
        <w:gridCol w:w="3277"/>
        <w:gridCol w:w="1092"/>
        <w:gridCol w:w="1229"/>
        <w:gridCol w:w="1361"/>
        <w:gridCol w:w="1375"/>
      </w:tblGrid>
      <w:tr>
        <w:trPr>
          <w:trHeight w:val="401" w:hRule="exact"/>
        </w:trPr>
        <w:tc>
          <w:tcPr>
            <w:tcW w:w="1234" w:type="dxa"/>
            <w:vMerge w:val="restart"/>
            <w:tcBorders>
              <w:top w:val="nil" w:sz="6" w:space="0" w:color="auto"/>
              <w:left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无锡掌睿星科技股份有限公司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
        </w:tc>
        <w:tc>
          <w:tcPr>
            <w:tcW w:w="1361"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34" w:type="dxa"/>
            <w:vMerge/>
            <w:tcBorders>
              <w:left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深圳微众金融科技集团股份有限公司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
        </w:tc>
        <w:tc>
          <w:tcPr>
            <w:tcW w:w="1361"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34" w:type="dxa"/>
            <w:vMerge/>
            <w:tcBorders>
              <w:left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Infinium Hong Kong Holdings</w:t>
            </w:r>
            <w:r>
              <w:rPr>
                <w:rFonts w:ascii="Times New Roman"/>
                <w:spacing w:val="-13"/>
                <w:sz w:val="18"/>
              </w:rPr>
              <w:t> </w:t>
            </w:r>
            <w:r>
              <w:rPr>
                <w:rFonts w:ascii="Times New Roman"/>
                <w:sz w:val="18"/>
              </w:rPr>
              <w:t>Limited</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
        </w:tc>
        <w:tc>
          <w:tcPr>
            <w:tcW w:w="1361"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34" w:type="dxa"/>
            <w:vMerge/>
            <w:tcBorders>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Infinium</w:t>
            </w:r>
            <w:r>
              <w:rPr>
                <w:rFonts w:ascii="Times New Roman"/>
                <w:spacing w:val="-8"/>
                <w:sz w:val="18"/>
              </w:rPr>
              <w:t> </w:t>
            </w:r>
            <w:r>
              <w:rPr>
                <w:rFonts w:ascii="Times New Roman"/>
                <w:sz w:val="18"/>
              </w:rPr>
              <w:t>Limited</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
        </w:tc>
        <w:tc>
          <w:tcPr>
            <w:tcW w:w="1361"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钟翔平</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腾讯公司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2004</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1"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5"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郑永进</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包头四维智慧城市科技有限公司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22</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1"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123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9"/>
              <w:ind w:left="24" w:right="0"/>
              <w:jc w:val="left"/>
              <w:rPr>
                <w:rFonts w:ascii="宋体" w:hAnsi="宋体" w:cs="宋体" w:eastAsia="宋体" w:hint="default"/>
                <w:sz w:val="18"/>
                <w:szCs w:val="18"/>
              </w:rPr>
            </w:pPr>
            <w:r>
              <w:rPr>
                <w:rFonts w:ascii="宋体" w:hAnsi="宋体" w:cs="宋体" w:eastAsia="宋体" w:hint="default"/>
                <w:sz w:val="18"/>
                <w:szCs w:val="18"/>
              </w:rPr>
              <w:t>徐晋晖</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中科劲点（北京）科技有限公司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1"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1234" w:type="dxa"/>
            <w:vMerge/>
            <w:tcBorders>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北京四维万兴科技有限公司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01</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1"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123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1"/>
              <w:ind w:left="24" w:right="0"/>
              <w:jc w:val="left"/>
              <w:rPr>
                <w:rFonts w:ascii="宋体" w:hAnsi="宋体" w:cs="宋体" w:eastAsia="宋体" w:hint="default"/>
                <w:sz w:val="18"/>
                <w:szCs w:val="18"/>
              </w:rPr>
            </w:pPr>
            <w:r>
              <w:rPr>
                <w:rFonts w:ascii="宋体" w:hAnsi="宋体" w:cs="宋体" w:eastAsia="宋体" w:hint="default"/>
                <w:sz w:val="18"/>
                <w:szCs w:val="18"/>
              </w:rPr>
              <w:t>毕垒</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北京四维天盛投资管理有限公司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24</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1"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1234" w:type="dxa"/>
            <w:vMerge/>
            <w:tcBorders>
              <w:left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北京图新数聚科技有限公司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21</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1"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1234" w:type="dxa"/>
            <w:vMerge/>
            <w:tcBorders>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上海安吉四维信息技术有限公司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1"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6"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戴东海</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北京未来导航科技有限公司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01</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1"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金水祥</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北京四维万兴科技有限公司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1"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梁永杰</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中再巨灾风险管理股份有限公司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02</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1"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孟庆昕</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天地图有限公司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副董事长</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15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1"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宋铁辉</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上海安吉四维信息技术有限公司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03</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1"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6"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姜晓明</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北京四维天和科技有限公司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61"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pStyle w:val="BodyText"/>
        <w:spacing w:line="240" w:lineRule="auto" w:before="49"/>
        <w:ind w:right="982"/>
        <w:jc w:val="left"/>
      </w:pPr>
      <w:r>
        <w:rPr/>
        <w:t>公司现任及报告期内离任董事、监事和高级管理人员近三年证券监管机构处罚的情况</w:t>
      </w:r>
    </w:p>
    <w:p>
      <w:pPr>
        <w:pStyle w:val="BodyText"/>
        <w:spacing w:line="240" w:lineRule="auto" w:before="115"/>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3"/>
        <w:rPr>
          <w:rFonts w:ascii="宋体" w:hAnsi="宋体" w:cs="宋体" w:eastAsia="宋体" w:hint="default"/>
          <w:sz w:val="24"/>
          <w:szCs w:val="24"/>
        </w:rPr>
      </w:pPr>
    </w:p>
    <w:p>
      <w:pPr>
        <w:pStyle w:val="Heading2"/>
        <w:spacing w:line="240" w:lineRule="auto"/>
        <w:ind w:right="982"/>
        <w:jc w:val="left"/>
        <w:rPr>
          <w:b w:val="0"/>
          <w:bCs w:val="0"/>
        </w:rPr>
      </w:pPr>
      <w:r>
        <w:rPr/>
        <w:t>四、董事、监事、高级管理人员报酬情况</w:t>
      </w:r>
      <w:r>
        <w:rPr>
          <w:b w:val="0"/>
          <w:bCs w:val="0"/>
        </w:rPr>
      </w:r>
    </w:p>
    <w:p>
      <w:pPr>
        <w:spacing w:line="240" w:lineRule="auto" w:before="6"/>
        <w:rPr>
          <w:rFonts w:ascii="宋体" w:hAnsi="宋体" w:cs="宋体" w:eastAsia="宋体" w:hint="default"/>
          <w:b/>
          <w:bCs/>
          <w:sz w:val="26"/>
          <w:szCs w:val="26"/>
        </w:rPr>
      </w:pPr>
    </w:p>
    <w:p>
      <w:pPr>
        <w:pStyle w:val="BodyText"/>
        <w:spacing w:line="357" w:lineRule="auto"/>
        <w:ind w:left="513" w:right="1118" w:hanging="361"/>
        <w:jc w:val="left"/>
      </w:pPr>
      <w:r>
        <w:rPr/>
        <w:t>董事、监事、高级管理人员报酬的决策程序、确定依据、实际支付情况 </w:t>
      </w:r>
      <w:r>
        <w:rPr>
          <w:spacing w:val="-5"/>
        </w:rPr>
        <w:t>公司按照《公司章程》的规定，确定董事、监事和高级管理人员的报酬。不在公司任职的董事、监事不在公司领取报酬，</w:t>
      </w:r>
    </w:p>
    <w:p>
      <w:pPr>
        <w:pStyle w:val="BodyText"/>
        <w:spacing w:line="224" w:lineRule="exact"/>
        <w:ind w:right="982"/>
        <w:jc w:val="left"/>
      </w:pPr>
      <w:r>
        <w:rPr/>
        <w:t>独立董事的报酬与支付由股东大会确定</w:t>
      </w:r>
      <w:r>
        <w:rPr>
          <w:spacing w:val="-82"/>
        </w:rPr>
        <w:t>。</w:t>
      </w:r>
      <w:r>
        <w:rPr/>
        <w:t>董事会薪酬与考核委员会根据年度绩效进行考核并报董事会批准高级管理人员的年</w:t>
      </w:r>
    </w:p>
    <w:p>
      <w:pPr>
        <w:pStyle w:val="BodyText"/>
        <w:spacing w:line="240" w:lineRule="auto" w:before="76"/>
        <w:ind w:right="982"/>
        <w:jc w:val="left"/>
      </w:pPr>
      <w:r>
        <w:rPr/>
        <w:t>度薪金与绩效。</w:t>
      </w:r>
    </w:p>
    <w:p>
      <w:pPr>
        <w:spacing w:after="0" w:line="240" w:lineRule="auto"/>
        <w:jc w:val="left"/>
        <w:sectPr>
          <w:footerReference w:type="default" r:id="rId50"/>
          <w:pgSz w:w="11910" w:h="16840"/>
          <w:pgMar w:footer="979" w:header="745" w:top="1060" w:bottom="1160" w:left="980" w:right="0"/>
          <w:pgNumType w:start="101"/>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p>
      <w:pPr>
        <w:pStyle w:val="BodyText"/>
        <w:spacing w:line="240" w:lineRule="auto"/>
        <w:ind w:right="982"/>
        <w:jc w:val="left"/>
      </w:pPr>
      <w:r>
        <w:rPr/>
        <w:t>公司报告期内董事、监事和高级管理人员报酬情况</w:t>
      </w:r>
    </w:p>
    <w:p>
      <w:pPr>
        <w:pStyle w:val="BodyText"/>
        <w:spacing w:line="240" w:lineRule="auto" w:before="115"/>
        <w:ind w:left="0" w:right="1131"/>
        <w:jc w:val="right"/>
      </w:pPr>
      <w:r>
        <w:rPr/>
        <w:t>单位：万元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368"/>
        <w:gridCol w:w="1368"/>
        <w:gridCol w:w="1369"/>
        <w:gridCol w:w="1366"/>
        <w:gridCol w:w="1368"/>
        <w:gridCol w:w="1366"/>
        <w:gridCol w:w="1368"/>
      </w:tblGrid>
      <w:tr>
        <w:trPr>
          <w:trHeight w:val="71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职务</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性别</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年龄</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任职状态</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7" w:right="46" w:hanging="180"/>
              <w:jc w:val="left"/>
              <w:rPr>
                <w:rFonts w:ascii="宋体" w:hAnsi="宋体" w:cs="宋体" w:eastAsia="宋体" w:hint="default"/>
                <w:sz w:val="18"/>
                <w:szCs w:val="18"/>
              </w:rPr>
            </w:pPr>
            <w:r>
              <w:rPr>
                <w:rFonts w:ascii="宋体" w:hAnsi="宋体" w:cs="宋体" w:eastAsia="宋体" w:hint="default"/>
                <w:sz w:val="18"/>
                <w:szCs w:val="18"/>
              </w:rPr>
              <w:t>从公司获得的税 前报酬总额</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7" w:right="48" w:hanging="180"/>
              <w:jc w:val="left"/>
              <w:rPr>
                <w:rFonts w:ascii="宋体" w:hAnsi="宋体" w:cs="宋体" w:eastAsia="宋体" w:hint="default"/>
                <w:sz w:val="18"/>
                <w:szCs w:val="18"/>
              </w:rPr>
            </w:pPr>
            <w:r>
              <w:rPr>
                <w:rFonts w:ascii="宋体" w:hAnsi="宋体" w:cs="宋体" w:eastAsia="宋体" w:hint="default"/>
                <w:sz w:val="18"/>
                <w:szCs w:val="18"/>
              </w:rPr>
              <w:t>是否在公司关联 方获取报酬</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吴劲风</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 w:right="0"/>
              <w:jc w:val="center"/>
              <w:rPr>
                <w:rFonts w:ascii="Times New Roman" w:hAnsi="Times New Roman" w:cs="Times New Roman" w:eastAsia="Times New Roman" w:hint="default"/>
                <w:sz w:val="18"/>
                <w:szCs w:val="18"/>
              </w:rPr>
            </w:pPr>
            <w:r>
              <w:rPr>
                <w:rFonts w:ascii="Times New Roman"/>
                <w:sz w:val="18"/>
              </w:rPr>
              <w:t>58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孙玉国</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副董事长</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55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程 </w:t>
            </w:r>
            <w:r>
              <w:rPr>
                <w:rFonts w:ascii="宋体" w:hAnsi="宋体" w:cs="宋体" w:eastAsia="宋体" w:hint="default"/>
                <w:spacing w:val="2"/>
                <w:sz w:val="18"/>
                <w:szCs w:val="18"/>
              </w:rPr>
              <w:t> </w:t>
            </w:r>
            <w:r>
              <w:rPr>
                <w:rFonts w:ascii="宋体" w:hAnsi="宋体" w:cs="宋体" w:eastAsia="宋体" w:hint="default"/>
                <w:sz w:val="18"/>
                <w:szCs w:val="18"/>
              </w:rPr>
              <w:t>鹏</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董事、总经理</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 w:right="0"/>
              <w:jc w:val="center"/>
              <w:rPr>
                <w:rFonts w:ascii="Times New Roman" w:hAnsi="Times New Roman" w:cs="Times New Roman" w:eastAsia="Times New Roman" w:hint="default"/>
                <w:sz w:val="18"/>
                <w:szCs w:val="18"/>
              </w:rPr>
            </w:pPr>
            <w:r>
              <w:rPr>
                <w:rFonts w:ascii="Times New Roman"/>
                <w:sz w:val="18"/>
              </w:rPr>
              <w:t>43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 w:right="0"/>
              <w:jc w:val="center"/>
              <w:rPr>
                <w:rFonts w:ascii="Times New Roman" w:hAnsi="Times New Roman" w:cs="Times New Roman" w:eastAsia="Times New Roman" w:hint="default"/>
                <w:sz w:val="18"/>
                <w:szCs w:val="18"/>
              </w:rPr>
            </w:pPr>
            <w:r>
              <w:rPr>
                <w:rFonts w:ascii="Times New Roman"/>
                <w:sz w:val="18"/>
              </w:rPr>
              <w:t>214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李 </w:t>
            </w:r>
            <w:r>
              <w:rPr>
                <w:rFonts w:ascii="宋体" w:hAnsi="宋体" w:cs="宋体" w:eastAsia="宋体" w:hint="default"/>
                <w:spacing w:val="2"/>
                <w:sz w:val="18"/>
                <w:szCs w:val="18"/>
              </w:rPr>
              <w:t> </w:t>
            </w:r>
            <w:r>
              <w:rPr>
                <w:rFonts w:ascii="宋体" w:hAnsi="宋体" w:cs="宋体" w:eastAsia="宋体" w:hint="default"/>
                <w:sz w:val="18"/>
                <w:szCs w:val="18"/>
              </w:rPr>
              <w:t>想</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38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10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4"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任光明</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 w:right="0"/>
              <w:jc w:val="center"/>
              <w:rPr>
                <w:rFonts w:ascii="Times New Roman" w:hAnsi="Times New Roman" w:cs="Times New Roman" w:eastAsia="Times New Roman" w:hint="default"/>
                <w:sz w:val="18"/>
                <w:szCs w:val="18"/>
              </w:rPr>
            </w:pPr>
            <w:r>
              <w:rPr>
                <w:rFonts w:ascii="Times New Roman"/>
                <w:sz w:val="18"/>
              </w:rPr>
              <w:t>55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 w:right="0"/>
              <w:jc w:val="center"/>
              <w:rPr>
                <w:rFonts w:ascii="Times New Roman" w:hAnsi="Times New Roman" w:cs="Times New Roman" w:eastAsia="Times New Roman" w:hint="default"/>
                <w:sz w:val="18"/>
                <w:szCs w:val="18"/>
              </w:rPr>
            </w:pPr>
            <w:r>
              <w:rPr>
                <w:rFonts w:ascii="Times New Roman"/>
                <w:sz w:val="18"/>
              </w:rPr>
              <w:t>10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吴艾今</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女</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49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10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湛炜标</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 w:right="0"/>
              <w:jc w:val="center"/>
              <w:rPr>
                <w:rFonts w:ascii="Times New Roman" w:hAnsi="Times New Roman" w:cs="Times New Roman" w:eastAsia="Times New Roman" w:hint="default"/>
                <w:sz w:val="18"/>
                <w:szCs w:val="18"/>
              </w:rPr>
            </w:pPr>
            <w:r>
              <w:rPr>
                <w:rFonts w:ascii="Times New Roman"/>
                <w:sz w:val="18"/>
              </w:rPr>
              <w:t>46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钟翔平</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43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郑永进</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 w:right="0"/>
              <w:jc w:val="center"/>
              <w:rPr>
                <w:rFonts w:ascii="Times New Roman" w:hAnsi="Times New Roman" w:cs="Times New Roman" w:eastAsia="Times New Roman" w:hint="default"/>
                <w:sz w:val="18"/>
                <w:szCs w:val="18"/>
              </w:rPr>
            </w:pPr>
            <w:r>
              <w:rPr>
                <w:rFonts w:ascii="Times New Roman"/>
                <w:sz w:val="18"/>
              </w:rPr>
              <w:t>49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徐晋晖</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监事会主席</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53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59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刘铁军</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 w:right="0"/>
              <w:jc w:val="center"/>
              <w:rPr>
                <w:rFonts w:ascii="Times New Roman" w:hAnsi="Times New Roman" w:cs="Times New Roman" w:eastAsia="Times New Roman" w:hint="default"/>
                <w:sz w:val="18"/>
                <w:szCs w:val="18"/>
              </w:rPr>
            </w:pPr>
            <w:r>
              <w:rPr>
                <w:rFonts w:ascii="Times New Roman"/>
                <w:sz w:val="18"/>
              </w:rPr>
              <w:t>42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张雪娇</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女</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36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18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毕 </w:t>
            </w:r>
            <w:r>
              <w:rPr>
                <w:rFonts w:ascii="宋体" w:hAnsi="宋体" w:cs="宋体" w:eastAsia="宋体" w:hint="default"/>
                <w:spacing w:val="2"/>
                <w:sz w:val="18"/>
                <w:szCs w:val="18"/>
              </w:rPr>
              <w:t> </w:t>
            </w:r>
            <w:r>
              <w:rPr>
                <w:rFonts w:ascii="宋体" w:hAnsi="宋体" w:cs="宋体" w:eastAsia="宋体" w:hint="default"/>
                <w:sz w:val="18"/>
                <w:szCs w:val="18"/>
              </w:rPr>
              <w:t>垒</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 w:right="0"/>
              <w:jc w:val="center"/>
              <w:rPr>
                <w:rFonts w:ascii="Times New Roman" w:hAnsi="Times New Roman" w:cs="Times New Roman" w:eastAsia="Times New Roman" w:hint="default"/>
                <w:sz w:val="18"/>
                <w:szCs w:val="18"/>
              </w:rPr>
            </w:pPr>
            <w:r>
              <w:rPr>
                <w:rFonts w:ascii="Times New Roman"/>
                <w:sz w:val="18"/>
              </w:rPr>
              <w:t>43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 w:right="0"/>
              <w:jc w:val="center"/>
              <w:rPr>
                <w:rFonts w:ascii="Times New Roman" w:hAnsi="Times New Roman" w:cs="Times New Roman" w:eastAsia="Times New Roman" w:hint="default"/>
                <w:sz w:val="18"/>
                <w:szCs w:val="18"/>
              </w:rPr>
            </w:pPr>
            <w:r>
              <w:rPr>
                <w:rFonts w:ascii="Times New Roman"/>
                <w:sz w:val="18"/>
              </w:rPr>
              <w:t>120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戴东海</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49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120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景慕寒</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 w:right="0"/>
              <w:jc w:val="center"/>
              <w:rPr>
                <w:rFonts w:ascii="Times New Roman" w:hAnsi="Times New Roman" w:cs="Times New Roman" w:eastAsia="Times New Roman" w:hint="default"/>
                <w:sz w:val="18"/>
                <w:szCs w:val="18"/>
              </w:rPr>
            </w:pPr>
            <w:r>
              <w:rPr>
                <w:rFonts w:ascii="Times New Roman"/>
                <w:sz w:val="18"/>
              </w:rPr>
              <w:t>46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 w:right="0"/>
              <w:jc w:val="center"/>
              <w:rPr>
                <w:rFonts w:ascii="Times New Roman" w:hAnsi="Times New Roman" w:cs="Times New Roman" w:eastAsia="Times New Roman" w:hint="default"/>
                <w:sz w:val="18"/>
                <w:szCs w:val="18"/>
              </w:rPr>
            </w:pPr>
            <w:r>
              <w:rPr>
                <w:rFonts w:ascii="Times New Roman"/>
                <w:sz w:val="18"/>
              </w:rPr>
              <w:t>120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金水祥</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50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120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梁永杰</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 w:right="0"/>
              <w:jc w:val="center"/>
              <w:rPr>
                <w:rFonts w:ascii="Times New Roman" w:hAnsi="Times New Roman" w:cs="Times New Roman" w:eastAsia="Times New Roman" w:hint="default"/>
                <w:sz w:val="18"/>
                <w:szCs w:val="18"/>
              </w:rPr>
            </w:pPr>
            <w:r>
              <w:rPr>
                <w:rFonts w:ascii="Times New Roman"/>
                <w:sz w:val="18"/>
              </w:rPr>
              <w:t>42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 w:right="0"/>
              <w:jc w:val="center"/>
              <w:rPr>
                <w:rFonts w:ascii="Times New Roman" w:hAnsi="Times New Roman" w:cs="Times New Roman" w:eastAsia="Times New Roman" w:hint="default"/>
                <w:sz w:val="18"/>
                <w:szCs w:val="18"/>
              </w:rPr>
            </w:pPr>
            <w:r>
              <w:rPr>
                <w:rFonts w:ascii="Times New Roman"/>
                <w:sz w:val="18"/>
              </w:rPr>
              <w:t>120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孟庆昕</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6" w:right="71"/>
              <w:jc w:val="left"/>
              <w:rPr>
                <w:rFonts w:ascii="宋体" w:hAnsi="宋体" w:cs="宋体" w:eastAsia="宋体" w:hint="default"/>
                <w:sz w:val="18"/>
                <w:szCs w:val="18"/>
              </w:rPr>
            </w:pPr>
            <w:r>
              <w:rPr>
                <w:rFonts w:ascii="宋体" w:hAnsi="宋体" w:cs="宋体" w:eastAsia="宋体" w:hint="default"/>
                <w:sz w:val="18"/>
                <w:szCs w:val="18"/>
              </w:rPr>
              <w:t>副总经理、董事 会秘书</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女</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45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120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宋铁辉</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 w:right="0"/>
              <w:jc w:val="center"/>
              <w:rPr>
                <w:rFonts w:ascii="Times New Roman" w:hAnsi="Times New Roman" w:cs="Times New Roman" w:eastAsia="Times New Roman" w:hint="default"/>
                <w:sz w:val="18"/>
                <w:szCs w:val="18"/>
              </w:rPr>
            </w:pPr>
            <w:r>
              <w:rPr>
                <w:rFonts w:ascii="Times New Roman"/>
                <w:sz w:val="18"/>
              </w:rPr>
              <w:t>51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 w:right="0"/>
              <w:jc w:val="center"/>
              <w:rPr>
                <w:rFonts w:ascii="Times New Roman" w:hAnsi="Times New Roman" w:cs="Times New Roman" w:eastAsia="Times New Roman" w:hint="default"/>
                <w:sz w:val="18"/>
                <w:szCs w:val="18"/>
              </w:rPr>
            </w:pPr>
            <w:r>
              <w:rPr>
                <w:rFonts w:ascii="Times New Roman"/>
                <w:sz w:val="18"/>
              </w:rPr>
              <w:t>120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姜晓明</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财务总监</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39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70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4" w:right="0"/>
              <w:jc w:val="center"/>
              <w:rPr>
                <w:rFonts w:ascii="Times New Roman" w:hAnsi="Times New Roman" w:cs="Times New Roman" w:eastAsia="Times New Roman" w:hint="default"/>
                <w:sz w:val="18"/>
                <w:szCs w:val="18"/>
              </w:rPr>
            </w:pPr>
            <w:r>
              <w:rPr>
                <w:rFonts w:ascii="Times New Roman"/>
                <w:sz w:val="18"/>
              </w:rPr>
              <w:t>--</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2" w:right="0"/>
              <w:jc w:val="center"/>
              <w:rPr>
                <w:rFonts w:ascii="Times New Roman" w:hAnsi="Times New Roman" w:cs="Times New Roman" w:eastAsia="Times New Roman" w:hint="default"/>
                <w:sz w:val="18"/>
                <w:szCs w:val="18"/>
              </w:rPr>
            </w:pPr>
            <w:r>
              <w:rPr>
                <w:rFonts w:ascii="Times New Roman"/>
                <w:sz w:val="18"/>
              </w:rPr>
              <w:t>--</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c>
          <w:tcPr>
            <w:tcW w:w="136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2"/>
              <w:ind w:left="12" w:right="0"/>
              <w:jc w:val="center"/>
              <w:rPr>
                <w:rFonts w:ascii="Times New Roman" w:hAnsi="Times New Roman" w:cs="Times New Roman" w:eastAsia="Times New Roman" w:hint="default"/>
                <w:sz w:val="18"/>
                <w:szCs w:val="18"/>
              </w:rPr>
            </w:pPr>
            <w:r>
              <w:rPr>
                <w:rFonts w:ascii="Times New Roman"/>
                <w:sz w:val="18"/>
              </w:rPr>
              <w:t>1,237</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619" w:right="0"/>
              <w:jc w:val="left"/>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left"/>
        <w:rPr>
          <w:rFonts w:ascii="Times New Roman" w:hAnsi="Times New Roman" w:cs="Times New Roman" w:eastAsia="Times New Roman" w:hint="default"/>
          <w:sz w:val="18"/>
          <w:szCs w:val="18"/>
        </w:rPr>
        <w:sectPr>
          <w:pgSz w:w="11910" w:h="16840"/>
          <w:pgMar w:header="745" w:footer="979" w:top="1060" w:bottom="1160" w:left="980" w:right="0"/>
        </w:sectPr>
      </w:pPr>
    </w:p>
    <w:p>
      <w:pPr>
        <w:pStyle w:val="BodyText"/>
        <w:spacing w:line="240" w:lineRule="auto" w:before="49"/>
        <w:ind w:right="-20"/>
        <w:jc w:val="left"/>
      </w:pPr>
      <w:r>
        <w:rPr/>
        <w:t>公司董事、高级管理人员报告期内被授予的股权激励情况</w:t>
      </w:r>
    </w:p>
    <w:p>
      <w:pPr>
        <w:pStyle w:val="BodyText"/>
        <w:spacing w:line="240" w:lineRule="auto" w:before="115"/>
        <w:ind w:right="-2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21"/>
          <w:szCs w:val="21"/>
        </w:rPr>
      </w:pPr>
    </w:p>
    <w:p>
      <w:pPr>
        <w:pStyle w:val="BodyText"/>
        <w:spacing w:line="240" w:lineRule="auto"/>
        <w:ind w:right="0"/>
        <w:jc w:val="left"/>
      </w:pPr>
      <w:r>
        <w:rPr/>
        <w:t>单位：股</w:t>
      </w:r>
    </w:p>
    <w:p>
      <w:pPr>
        <w:spacing w:after="0" w:line="240" w:lineRule="auto"/>
        <w:jc w:val="left"/>
        <w:sectPr>
          <w:type w:val="continuous"/>
          <w:pgSz w:w="11910" w:h="16840"/>
          <w:pgMar w:top="1060" w:bottom="1160" w:left="980" w:right="0"/>
          <w:cols w:num="2" w:equalWidth="0">
            <w:col w:w="4653" w:space="4267"/>
            <w:col w:w="2010"/>
          </w:cols>
        </w:sectPr>
      </w:pP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863"/>
        <w:gridCol w:w="871"/>
        <w:gridCol w:w="869"/>
        <w:gridCol w:w="872"/>
        <w:gridCol w:w="869"/>
        <w:gridCol w:w="869"/>
        <w:gridCol w:w="872"/>
        <w:gridCol w:w="869"/>
        <w:gridCol w:w="871"/>
        <w:gridCol w:w="869"/>
        <w:gridCol w:w="871"/>
      </w:tblGrid>
      <w:tr>
        <w:trPr>
          <w:trHeight w:val="1337" w:hRule="exact"/>
        </w:trPr>
        <w:tc>
          <w:tcPr>
            <w:tcW w:w="8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46"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8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51" w:right="0"/>
              <w:jc w:val="left"/>
              <w:rPr>
                <w:rFonts w:ascii="宋体" w:hAnsi="宋体" w:cs="宋体" w:eastAsia="宋体" w:hint="default"/>
                <w:sz w:val="18"/>
                <w:szCs w:val="18"/>
              </w:rPr>
            </w:pPr>
            <w:r>
              <w:rPr>
                <w:rFonts w:ascii="宋体" w:hAnsi="宋体" w:cs="宋体" w:eastAsia="宋体" w:hint="default"/>
                <w:sz w:val="18"/>
                <w:szCs w:val="18"/>
              </w:rPr>
              <w:t>职务</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69" w:right="67"/>
              <w:jc w:val="center"/>
              <w:rPr>
                <w:rFonts w:ascii="宋体" w:hAnsi="宋体" w:cs="宋体" w:eastAsia="宋体" w:hint="default"/>
                <w:sz w:val="18"/>
                <w:szCs w:val="18"/>
              </w:rPr>
            </w:pPr>
            <w:r>
              <w:rPr>
                <w:rFonts w:ascii="宋体" w:hAnsi="宋体" w:cs="宋体" w:eastAsia="宋体" w:hint="default"/>
                <w:sz w:val="18"/>
                <w:szCs w:val="18"/>
              </w:rPr>
              <w:t>报告期内 可行权股 数</w:t>
            </w:r>
          </w:p>
        </w:tc>
        <w:tc>
          <w:tcPr>
            <w:tcW w:w="8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69" w:right="70"/>
              <w:jc w:val="center"/>
              <w:rPr>
                <w:rFonts w:ascii="宋体" w:hAnsi="宋体" w:cs="宋体" w:eastAsia="宋体" w:hint="default"/>
                <w:sz w:val="18"/>
                <w:szCs w:val="18"/>
              </w:rPr>
            </w:pPr>
            <w:r>
              <w:rPr>
                <w:rFonts w:ascii="宋体" w:hAnsi="宋体" w:cs="宋体" w:eastAsia="宋体" w:hint="default"/>
                <w:sz w:val="18"/>
                <w:szCs w:val="18"/>
              </w:rPr>
              <w:t>报告期内 已行权股 数</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3" w:right="67" w:firstLine="45"/>
              <w:jc w:val="both"/>
              <w:rPr>
                <w:rFonts w:ascii="宋体" w:hAnsi="宋体" w:cs="宋体" w:eastAsia="宋体" w:hint="default"/>
                <w:sz w:val="18"/>
                <w:szCs w:val="18"/>
              </w:rPr>
            </w:pPr>
            <w:r>
              <w:rPr>
                <w:rFonts w:ascii="宋体" w:hAnsi="宋体" w:cs="宋体" w:eastAsia="宋体" w:hint="default"/>
                <w:sz w:val="18"/>
                <w:szCs w:val="18"/>
              </w:rPr>
              <w:t>报告期内 已行权股 数行权价 </w:t>
            </w:r>
            <w:r>
              <w:rPr>
                <w:rFonts w:ascii="宋体" w:hAnsi="宋体" w:cs="宋体" w:eastAsia="宋体" w:hint="default"/>
                <w:spacing w:val="-10"/>
                <w:sz w:val="18"/>
                <w:szCs w:val="18"/>
              </w:rPr>
              <w:t>格（元</w:t>
            </w:r>
            <w:r>
              <w:rPr>
                <w:rFonts w:ascii="Times New Roman" w:hAnsi="Times New Roman" w:cs="Times New Roman" w:eastAsia="Times New Roman" w:hint="default"/>
                <w:spacing w:val="-10"/>
                <w:sz w:val="18"/>
                <w:szCs w:val="18"/>
              </w:rPr>
              <w:t>/</w:t>
            </w:r>
            <w:r>
              <w:rPr>
                <w:rFonts w:ascii="宋体" w:hAnsi="宋体" w:cs="宋体" w:eastAsia="宋体" w:hint="default"/>
                <w:spacing w:val="-10"/>
                <w:sz w:val="18"/>
                <w:szCs w:val="18"/>
              </w:rPr>
              <w:t>股</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2"/>
                <w:szCs w:val="12"/>
              </w:rPr>
            </w:pPr>
          </w:p>
          <w:p>
            <w:pPr>
              <w:pStyle w:val="TableParagraph"/>
              <w:spacing w:line="312" w:lineRule="exact"/>
              <w:ind w:left="45" w:right="41" w:hanging="2"/>
              <w:jc w:val="center"/>
              <w:rPr>
                <w:rFonts w:ascii="宋体" w:hAnsi="宋体" w:cs="宋体" w:eastAsia="宋体" w:hint="default"/>
                <w:sz w:val="18"/>
                <w:szCs w:val="18"/>
              </w:rPr>
            </w:pPr>
            <w:r>
              <w:rPr>
                <w:rFonts w:ascii="宋体" w:hAnsi="宋体" w:cs="宋体" w:eastAsia="宋体" w:hint="default"/>
                <w:sz w:val="18"/>
                <w:szCs w:val="18"/>
              </w:rPr>
              <w:t>报告期末 市价（元</w:t>
            </w:r>
            <w:r>
              <w:rPr>
                <w:rFonts w:ascii="Times New Roman" w:hAnsi="Times New Roman" w:cs="Times New Roman" w:eastAsia="Times New Roman" w:hint="default"/>
                <w:sz w:val="18"/>
                <w:szCs w:val="18"/>
              </w:rPr>
              <w:t>/ </w:t>
            </w:r>
            <w:r>
              <w:rPr>
                <w:rFonts w:ascii="宋体" w:hAnsi="宋体" w:cs="宋体" w:eastAsia="宋体" w:hint="default"/>
                <w:sz w:val="18"/>
                <w:szCs w:val="18"/>
              </w:rPr>
              <w:t>股）</w:t>
            </w:r>
          </w:p>
          <w:p>
            <w:pPr>
              <w:pStyle w:val="TableParagraph"/>
              <w:spacing w:line="119" w:lineRule="exact"/>
              <w:ind w:left="-120" w:right="0"/>
              <w:jc w:val="left"/>
              <w:rPr>
                <w:rFonts w:ascii="宋体" w:hAnsi="宋体" w:cs="宋体" w:eastAsia="宋体" w:hint="default"/>
                <w:sz w:val="18"/>
                <w:szCs w:val="18"/>
              </w:rPr>
            </w:pPr>
            <w:r>
              <w:rPr>
                <w:rFonts w:ascii="宋体" w:hAnsi="宋体" w:cs="宋体" w:eastAsia="宋体" w:hint="default"/>
                <w:sz w:val="18"/>
                <w:szCs w:val="18"/>
              </w:rPr>
              <w:t>）</w:t>
            </w:r>
          </w:p>
        </w:tc>
        <w:tc>
          <w:tcPr>
            <w:tcW w:w="8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69" w:right="70"/>
              <w:jc w:val="both"/>
              <w:rPr>
                <w:rFonts w:ascii="宋体" w:hAnsi="宋体" w:cs="宋体" w:eastAsia="宋体" w:hint="default"/>
                <w:sz w:val="18"/>
                <w:szCs w:val="18"/>
              </w:rPr>
            </w:pPr>
            <w:r>
              <w:rPr>
                <w:rFonts w:ascii="宋体" w:hAnsi="宋体" w:cs="宋体" w:eastAsia="宋体" w:hint="default"/>
                <w:sz w:val="18"/>
                <w:szCs w:val="18"/>
              </w:rPr>
              <w:t>期初持有 限制性股 票数量</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69" w:right="67"/>
              <w:jc w:val="center"/>
              <w:rPr>
                <w:rFonts w:ascii="宋体" w:hAnsi="宋体" w:cs="宋体" w:eastAsia="宋体" w:hint="default"/>
                <w:sz w:val="18"/>
                <w:szCs w:val="18"/>
              </w:rPr>
            </w:pPr>
            <w:r>
              <w:rPr>
                <w:rFonts w:ascii="宋体" w:hAnsi="宋体" w:cs="宋体" w:eastAsia="宋体" w:hint="default"/>
                <w:sz w:val="18"/>
                <w:szCs w:val="18"/>
              </w:rPr>
              <w:t>本期已解 锁股份数 量</w:t>
            </w:r>
          </w:p>
        </w:tc>
        <w:tc>
          <w:tcPr>
            <w:tcW w:w="8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69" w:right="71"/>
              <w:jc w:val="center"/>
              <w:rPr>
                <w:rFonts w:ascii="宋体" w:hAnsi="宋体" w:cs="宋体" w:eastAsia="宋体" w:hint="default"/>
                <w:sz w:val="18"/>
                <w:szCs w:val="18"/>
              </w:rPr>
            </w:pPr>
            <w:r>
              <w:rPr>
                <w:rFonts w:ascii="宋体" w:hAnsi="宋体" w:cs="宋体" w:eastAsia="宋体" w:hint="default"/>
                <w:sz w:val="18"/>
                <w:szCs w:val="18"/>
              </w:rPr>
              <w:t>报告期新 授予限制 性股票数 量</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2" w:lineRule="auto" w:before="49"/>
              <w:ind w:left="45" w:right="41" w:hanging="3"/>
              <w:jc w:val="center"/>
              <w:rPr>
                <w:rFonts w:ascii="宋体" w:hAnsi="宋体" w:cs="宋体" w:eastAsia="宋体" w:hint="default"/>
                <w:sz w:val="18"/>
                <w:szCs w:val="18"/>
              </w:rPr>
            </w:pPr>
            <w:r>
              <w:rPr>
                <w:rFonts w:ascii="宋体" w:hAnsi="宋体" w:cs="宋体" w:eastAsia="宋体" w:hint="default"/>
                <w:sz w:val="18"/>
                <w:szCs w:val="18"/>
              </w:rPr>
              <w:t>限制性股 票的授予 价格（元</w:t>
            </w:r>
            <w:r>
              <w:rPr>
                <w:rFonts w:ascii="Times New Roman" w:hAnsi="Times New Roman" w:cs="Times New Roman" w:eastAsia="Times New Roman" w:hint="default"/>
                <w:sz w:val="18"/>
                <w:szCs w:val="18"/>
              </w:rPr>
              <w:t>/ </w:t>
            </w:r>
            <w:r>
              <w:rPr>
                <w:rFonts w:ascii="宋体" w:hAnsi="宋体" w:cs="宋体" w:eastAsia="宋体" w:hint="default"/>
                <w:sz w:val="18"/>
                <w:szCs w:val="18"/>
              </w:rPr>
              <w:t>股）</w:t>
            </w:r>
          </w:p>
        </w:tc>
        <w:tc>
          <w:tcPr>
            <w:tcW w:w="8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69" w:right="71"/>
              <w:jc w:val="both"/>
              <w:rPr>
                <w:rFonts w:ascii="宋体" w:hAnsi="宋体" w:cs="宋体" w:eastAsia="宋体" w:hint="default"/>
                <w:sz w:val="18"/>
                <w:szCs w:val="18"/>
              </w:rPr>
            </w:pPr>
            <w:r>
              <w:rPr>
                <w:rFonts w:ascii="宋体" w:hAnsi="宋体" w:cs="宋体" w:eastAsia="宋体" w:hint="default"/>
                <w:sz w:val="18"/>
                <w:szCs w:val="18"/>
              </w:rPr>
              <w:t>期末持有 限制性股 票数量</w:t>
            </w:r>
          </w:p>
        </w:tc>
      </w:tr>
      <w:tr>
        <w:trPr>
          <w:trHeight w:val="715"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程鹏</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6" w:right="19"/>
              <w:jc w:val="left"/>
              <w:rPr>
                <w:rFonts w:ascii="宋体" w:hAnsi="宋体" w:cs="宋体" w:eastAsia="宋体" w:hint="default"/>
                <w:sz w:val="18"/>
                <w:szCs w:val="18"/>
              </w:rPr>
            </w:pPr>
            <w:r>
              <w:rPr>
                <w:rFonts w:ascii="宋体" w:hAnsi="宋体" w:cs="宋体" w:eastAsia="宋体" w:hint="default"/>
                <w:spacing w:val="-18"/>
                <w:sz w:val="18"/>
                <w:szCs w:val="18"/>
              </w:rPr>
              <w:t>董事、总经</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理</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39" w:right="0"/>
              <w:jc w:val="left"/>
              <w:rPr>
                <w:rFonts w:ascii="Times New Roman" w:hAnsi="Times New Roman" w:cs="Times New Roman" w:eastAsia="Times New Roman" w:hint="default"/>
                <w:sz w:val="18"/>
                <w:szCs w:val="18"/>
              </w:rPr>
            </w:pPr>
            <w:r>
              <w:rPr>
                <w:rFonts w:ascii="Times New Roman"/>
                <w:sz w:val="18"/>
              </w:rPr>
              <w:t>14.11</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17" w:right="0"/>
              <w:jc w:val="left"/>
              <w:rPr>
                <w:rFonts w:ascii="Times New Roman" w:hAnsi="Times New Roman" w:cs="Times New Roman" w:eastAsia="Times New Roman" w:hint="default"/>
                <w:sz w:val="18"/>
                <w:szCs w:val="18"/>
              </w:rPr>
            </w:pPr>
            <w:r>
              <w:rPr>
                <w:rFonts w:ascii="Times New Roman"/>
                <w:sz w:val="18"/>
              </w:rPr>
              <w:t>1,000,000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32" w:right="0"/>
              <w:jc w:val="left"/>
              <w:rPr>
                <w:rFonts w:ascii="Times New Roman" w:hAnsi="Times New Roman" w:cs="Times New Roman" w:eastAsia="Times New Roman" w:hint="default"/>
                <w:sz w:val="18"/>
                <w:szCs w:val="18"/>
              </w:rPr>
            </w:pPr>
            <w:r>
              <w:rPr>
                <w:rFonts w:ascii="Times New Roman"/>
                <w:sz w:val="18"/>
              </w:rPr>
              <w:t>12.15</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17" w:right="0"/>
              <w:jc w:val="left"/>
              <w:rPr>
                <w:rFonts w:ascii="Times New Roman" w:hAnsi="Times New Roman" w:cs="Times New Roman" w:eastAsia="Times New Roman" w:hint="default"/>
                <w:sz w:val="18"/>
                <w:szCs w:val="18"/>
              </w:rPr>
            </w:pPr>
            <w:r>
              <w:rPr>
                <w:rFonts w:ascii="Times New Roman"/>
                <w:sz w:val="18"/>
              </w:rPr>
              <w:t>1,000,000</w:t>
            </w:r>
          </w:p>
        </w:tc>
      </w:tr>
    </w:tbl>
    <w:p>
      <w:pPr>
        <w:spacing w:after="0" w:line="240" w:lineRule="auto"/>
        <w:jc w:val="left"/>
        <w:rPr>
          <w:rFonts w:ascii="Times New Roman" w:hAnsi="Times New Roman" w:cs="Times New Roman" w:eastAsia="Times New Roman" w:hint="default"/>
          <w:sz w:val="18"/>
          <w:szCs w:val="18"/>
        </w:rPr>
        <w:sectPr>
          <w:type w:val="continuous"/>
          <w:pgSz w:w="11910" w:h="16840"/>
          <w:pgMar w:top="1060" w:bottom="1160" w:left="980" w:right="0"/>
        </w:sectPr>
      </w:pPr>
    </w:p>
    <w:p>
      <w:pPr>
        <w:spacing w:line="240" w:lineRule="auto" w:before="6"/>
        <w:rPr>
          <w:rFonts w:ascii="宋体" w:hAnsi="宋体" w:cs="宋体" w:eastAsia="宋体" w:hint="default"/>
          <w:sz w:val="28"/>
          <w:szCs w:val="28"/>
        </w:rPr>
      </w:pPr>
      <w:r>
        <w:rPr/>
        <w:pict>
          <v:shape style="position:absolute;margin-left:101.419998pt;margin-top:173.059982pt;width:85.2pt;height:15.6pt;mso-position-horizontal-relative:page;mso-position-vertical-relative:page;z-index:-1325200" type="#_x0000_t202" filled="false" stroked="false">
            <v:textbox inset="0,0,0,0">
              <w:txbxContent>
                <w:p>
                  <w:pPr>
                    <w:pStyle w:val="BodyText"/>
                    <w:spacing w:line="240" w:lineRule="auto" w:before="49"/>
                    <w:ind w:left="0" w:right="0"/>
                    <w:jc w:val="left"/>
                  </w:pPr>
                  <w:r>
                    <w:rPr/>
                    <w:t>副总经理、</w:t>
                  </w:r>
                </w:p>
              </w:txbxContent>
            </v:textbox>
            <w10:wrap type="none"/>
          </v:shape>
        </w:pict>
      </w:r>
    </w:p>
    <w:tbl>
      <w:tblPr>
        <w:tblW w:w="0" w:type="auto"/>
        <w:jc w:val="left"/>
        <w:tblInd w:w="148" w:type="dxa"/>
        <w:tblLayout w:type="fixed"/>
        <w:tblCellMar>
          <w:top w:w="0" w:type="dxa"/>
          <w:left w:w="0" w:type="dxa"/>
          <w:bottom w:w="0" w:type="dxa"/>
          <w:right w:w="0" w:type="dxa"/>
        </w:tblCellMar>
        <w:tblLook w:val="01E0"/>
      </w:tblPr>
      <w:tblGrid>
        <w:gridCol w:w="864"/>
        <w:gridCol w:w="872"/>
        <w:gridCol w:w="868"/>
        <w:gridCol w:w="872"/>
        <w:gridCol w:w="869"/>
        <w:gridCol w:w="869"/>
        <w:gridCol w:w="872"/>
        <w:gridCol w:w="869"/>
        <w:gridCol w:w="871"/>
        <w:gridCol w:w="869"/>
        <w:gridCol w:w="871"/>
      </w:tblGrid>
      <w:tr>
        <w:trPr>
          <w:trHeight w:val="401"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毕垒</w:t>
            </w:r>
          </w:p>
        </w:tc>
        <w:tc>
          <w:tcPr>
            <w:tcW w:w="872"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49"/>
              <w:ind w:right="86"/>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868" w:type="dxa"/>
            <w:tcBorders>
              <w:top w:val="single" w:sz="4" w:space="0" w:color="000000"/>
              <w:left w:val="single" w:sz="5"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2"/>
                <w:sz w:val="18"/>
              </w:rPr>
              <w:t>14.11</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125,000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125,000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500,000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32" w:right="0"/>
              <w:jc w:val="left"/>
              <w:rPr>
                <w:rFonts w:ascii="Times New Roman" w:hAnsi="Times New Roman" w:cs="Times New Roman" w:eastAsia="Times New Roman" w:hint="default"/>
                <w:sz w:val="18"/>
                <w:szCs w:val="18"/>
              </w:rPr>
            </w:pPr>
            <w:r>
              <w:rPr>
                <w:rFonts w:ascii="Times New Roman"/>
                <w:sz w:val="18"/>
              </w:rPr>
              <w:t>12.15</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500,000</w:t>
            </w:r>
          </w:p>
        </w:tc>
      </w:tr>
      <w:tr>
        <w:trPr>
          <w:trHeight w:val="403"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戴东海</w:t>
            </w:r>
          </w:p>
        </w:tc>
        <w:tc>
          <w:tcPr>
            <w:tcW w:w="872"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51"/>
              <w:ind w:right="86"/>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868" w:type="dxa"/>
            <w:tcBorders>
              <w:top w:val="single" w:sz="4" w:space="0" w:color="000000"/>
              <w:left w:val="single" w:sz="5"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2"/>
                <w:sz w:val="18"/>
              </w:rPr>
              <w:t>14.11</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135,000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135,000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500,000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32" w:right="0"/>
              <w:jc w:val="left"/>
              <w:rPr>
                <w:rFonts w:ascii="Times New Roman" w:hAnsi="Times New Roman" w:cs="Times New Roman" w:eastAsia="Times New Roman" w:hint="default"/>
                <w:sz w:val="18"/>
                <w:szCs w:val="18"/>
              </w:rPr>
            </w:pPr>
            <w:r>
              <w:rPr>
                <w:rFonts w:ascii="Times New Roman"/>
                <w:sz w:val="18"/>
              </w:rPr>
              <w:t>12.15</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500,000</w:t>
            </w:r>
          </w:p>
        </w:tc>
      </w:tr>
      <w:tr>
        <w:trPr>
          <w:trHeight w:val="401"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景慕寒</w:t>
            </w:r>
          </w:p>
        </w:tc>
        <w:tc>
          <w:tcPr>
            <w:tcW w:w="872"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49"/>
              <w:ind w:right="86"/>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868" w:type="dxa"/>
            <w:tcBorders>
              <w:top w:val="single" w:sz="4" w:space="0" w:color="000000"/>
              <w:left w:val="single" w:sz="5"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2"/>
                <w:sz w:val="18"/>
              </w:rPr>
              <w:t>14.11</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135,000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135,000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500,000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32" w:right="0"/>
              <w:jc w:val="left"/>
              <w:rPr>
                <w:rFonts w:ascii="Times New Roman" w:hAnsi="Times New Roman" w:cs="Times New Roman" w:eastAsia="Times New Roman" w:hint="default"/>
                <w:sz w:val="18"/>
                <w:szCs w:val="18"/>
              </w:rPr>
            </w:pPr>
            <w:r>
              <w:rPr>
                <w:rFonts w:ascii="Times New Roman"/>
                <w:sz w:val="18"/>
              </w:rPr>
              <w:t>12.15</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500,000</w:t>
            </w:r>
          </w:p>
        </w:tc>
      </w:tr>
      <w:tr>
        <w:trPr>
          <w:trHeight w:val="403"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金水祥</w:t>
            </w:r>
          </w:p>
        </w:tc>
        <w:tc>
          <w:tcPr>
            <w:tcW w:w="872"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51"/>
              <w:ind w:right="86"/>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868" w:type="dxa"/>
            <w:tcBorders>
              <w:top w:val="single" w:sz="4" w:space="0" w:color="000000"/>
              <w:left w:val="single" w:sz="5"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2"/>
                <w:sz w:val="18"/>
              </w:rPr>
              <w:t>14.11</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500,000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32" w:right="0"/>
              <w:jc w:val="left"/>
              <w:rPr>
                <w:rFonts w:ascii="Times New Roman" w:hAnsi="Times New Roman" w:cs="Times New Roman" w:eastAsia="Times New Roman" w:hint="default"/>
                <w:sz w:val="18"/>
                <w:szCs w:val="18"/>
              </w:rPr>
            </w:pPr>
            <w:r>
              <w:rPr>
                <w:rFonts w:ascii="Times New Roman"/>
                <w:sz w:val="18"/>
              </w:rPr>
              <w:t>12.15</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500,000</w:t>
            </w:r>
          </w:p>
        </w:tc>
      </w:tr>
      <w:tr>
        <w:trPr>
          <w:trHeight w:val="401"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梁永杰</w:t>
            </w:r>
          </w:p>
        </w:tc>
        <w:tc>
          <w:tcPr>
            <w:tcW w:w="872"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49"/>
              <w:ind w:right="86"/>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868" w:type="dxa"/>
            <w:tcBorders>
              <w:top w:val="single" w:sz="4" w:space="0" w:color="000000"/>
              <w:left w:val="single" w:sz="5"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2"/>
                <w:sz w:val="18"/>
              </w:rPr>
              <w:t>14.11</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35,000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35,000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500,000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32" w:right="0"/>
              <w:jc w:val="left"/>
              <w:rPr>
                <w:rFonts w:ascii="Times New Roman" w:hAnsi="Times New Roman" w:cs="Times New Roman" w:eastAsia="Times New Roman" w:hint="default"/>
                <w:sz w:val="18"/>
                <w:szCs w:val="18"/>
              </w:rPr>
            </w:pPr>
            <w:r>
              <w:rPr>
                <w:rFonts w:ascii="Times New Roman"/>
                <w:sz w:val="18"/>
              </w:rPr>
              <w:t>12.15</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500,000</w:t>
            </w:r>
          </w:p>
        </w:tc>
      </w:tr>
      <w:tr>
        <w:trPr>
          <w:trHeight w:val="1027"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4" w:right="0"/>
              <w:jc w:val="left"/>
              <w:rPr>
                <w:rFonts w:ascii="宋体" w:hAnsi="宋体" w:cs="宋体" w:eastAsia="宋体" w:hint="default"/>
                <w:sz w:val="18"/>
                <w:szCs w:val="18"/>
              </w:rPr>
            </w:pPr>
            <w:r>
              <w:rPr>
                <w:rFonts w:ascii="宋体" w:hAnsi="宋体" w:cs="宋体" w:eastAsia="宋体" w:hint="default"/>
                <w:sz w:val="18"/>
                <w:szCs w:val="18"/>
              </w:rPr>
              <w:t>孟庆昕</w:t>
            </w:r>
          </w:p>
        </w:tc>
        <w:tc>
          <w:tcPr>
            <w:tcW w:w="872"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6" w:right="113"/>
              <w:jc w:val="left"/>
              <w:rPr>
                <w:rFonts w:ascii="宋体" w:hAnsi="宋体" w:cs="宋体" w:eastAsia="宋体" w:hint="default"/>
                <w:sz w:val="18"/>
                <w:szCs w:val="18"/>
              </w:rPr>
            </w:pPr>
            <w:r>
              <w:rPr>
                <w:rFonts w:ascii="宋体" w:hAnsi="宋体" w:cs="宋体" w:eastAsia="宋体" w:hint="default"/>
                <w:sz w:val="18"/>
                <w:szCs w:val="18"/>
              </w:rPr>
              <w:t>董事会秘 书</w:t>
            </w:r>
          </w:p>
        </w:tc>
        <w:tc>
          <w:tcPr>
            <w:tcW w:w="868" w:type="dxa"/>
            <w:tcBorders>
              <w:top w:val="single" w:sz="4" w:space="0" w:color="000000"/>
              <w:left w:val="single" w:sz="5" w:space="0" w:color="000000"/>
              <w:bottom w:val="single" w:sz="4" w:space="0" w:color="000000"/>
              <w:right w:val="single" w:sz="4" w:space="0" w:color="000000"/>
            </w:tcBorders>
          </w:tcPr>
          <w:p>
            <w:pPr>
              <w:pStyle w:val="TableParagraph"/>
              <w:spacing w:line="312" w:lineRule="exact"/>
              <w:ind w:left="-3" w:right="-51"/>
              <w:jc w:val="left"/>
              <w:rPr>
                <w:rFonts w:ascii="宋体" w:hAnsi="宋体" w:cs="宋体" w:eastAsia="宋体" w:hint="default"/>
                <w:sz w:val="20"/>
                <w:szCs w:val="20"/>
              </w:rPr>
            </w:pPr>
            <w:r>
              <w:rPr>
                <w:rFonts w:ascii="宋体" w:hAnsi="宋体" w:cs="宋体" w:eastAsia="宋体" w:hint="default"/>
                <w:position w:val="-5"/>
                <w:sz w:val="20"/>
                <w:szCs w:val="20"/>
              </w:rPr>
              <w:pict>
                <v:group style="width:43pt;height:15.6pt;mso-position-horizontal-relative:char;mso-position-vertical-relative:line" coordorigin="0,0" coordsize="860,312">
                  <v:group style="position:absolute;left:0;top:0;width:860;height:312" coordorigin="0,0" coordsize="860,312">
                    <v:shape style="position:absolute;left:0;top:0;width:860;height:312" coordorigin="0,0" coordsize="860,312" path="m0,312l859,312,859,0,0,0,0,312xe" filled="true" fillcolor="#ffffff" stroked="false">
                      <v:path arrowok="t"/>
                      <v:fill type="solid"/>
                    </v:shape>
                  </v:group>
                </v:group>
              </w:pict>
            </w:r>
            <w:r>
              <w:rPr>
                <w:rFonts w:ascii="宋体" w:hAnsi="宋体" w:cs="宋体" w:eastAsia="宋体" w:hint="default"/>
                <w:position w:val="-5"/>
                <w:sz w:val="20"/>
                <w:szCs w:val="20"/>
              </w:rPr>
            </w:r>
          </w:p>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2"/>
                <w:sz w:val="18"/>
              </w:rPr>
              <w:t>14.11</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27,500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27,500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500,000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432" w:right="0"/>
              <w:jc w:val="left"/>
              <w:rPr>
                <w:rFonts w:ascii="Times New Roman" w:hAnsi="Times New Roman" w:cs="Times New Roman" w:eastAsia="Times New Roman" w:hint="default"/>
                <w:sz w:val="18"/>
                <w:szCs w:val="18"/>
              </w:rPr>
            </w:pPr>
            <w:r>
              <w:rPr>
                <w:rFonts w:ascii="Times New Roman"/>
                <w:sz w:val="18"/>
              </w:rPr>
              <w:t>12.15</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500,000</w:t>
            </w:r>
          </w:p>
        </w:tc>
      </w:tr>
      <w:tr>
        <w:trPr>
          <w:trHeight w:val="401"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宋铁辉</w:t>
            </w:r>
          </w:p>
        </w:tc>
        <w:tc>
          <w:tcPr>
            <w:tcW w:w="872"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49"/>
              <w:ind w:right="86"/>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868" w:type="dxa"/>
            <w:tcBorders>
              <w:top w:val="single" w:sz="4" w:space="0" w:color="000000"/>
              <w:left w:val="single" w:sz="5"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2"/>
                <w:sz w:val="18"/>
              </w:rPr>
              <w:t>14.11</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90,000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90,000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500,000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32" w:right="0"/>
              <w:jc w:val="left"/>
              <w:rPr>
                <w:rFonts w:ascii="Times New Roman" w:hAnsi="Times New Roman" w:cs="Times New Roman" w:eastAsia="Times New Roman" w:hint="default"/>
                <w:sz w:val="18"/>
                <w:szCs w:val="18"/>
              </w:rPr>
            </w:pPr>
            <w:r>
              <w:rPr>
                <w:rFonts w:ascii="Times New Roman"/>
                <w:sz w:val="18"/>
              </w:rPr>
              <w:t>12.15</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500,000</w:t>
            </w:r>
          </w:p>
        </w:tc>
      </w:tr>
      <w:tr>
        <w:trPr>
          <w:trHeight w:val="404"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姜晓明</w:t>
            </w:r>
          </w:p>
        </w:tc>
        <w:tc>
          <w:tcPr>
            <w:tcW w:w="872"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51"/>
              <w:ind w:right="86"/>
              <w:jc w:val="center"/>
              <w:rPr>
                <w:rFonts w:ascii="宋体" w:hAnsi="宋体" w:cs="宋体" w:eastAsia="宋体" w:hint="default"/>
                <w:sz w:val="18"/>
                <w:szCs w:val="18"/>
              </w:rPr>
            </w:pPr>
            <w:r>
              <w:rPr>
                <w:rFonts w:ascii="宋体" w:hAnsi="宋体" w:cs="宋体" w:eastAsia="宋体" w:hint="default"/>
                <w:sz w:val="18"/>
                <w:szCs w:val="18"/>
              </w:rPr>
              <w:t>财务总监</w:t>
            </w:r>
          </w:p>
        </w:tc>
        <w:tc>
          <w:tcPr>
            <w:tcW w:w="868" w:type="dxa"/>
            <w:tcBorders>
              <w:top w:val="single" w:sz="4" w:space="0" w:color="000000"/>
              <w:left w:val="single" w:sz="5"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2"/>
                <w:sz w:val="18"/>
              </w:rPr>
              <w:t>14.11</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55,000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55,000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250,000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32" w:right="0"/>
              <w:jc w:val="left"/>
              <w:rPr>
                <w:rFonts w:ascii="Times New Roman" w:hAnsi="Times New Roman" w:cs="Times New Roman" w:eastAsia="Times New Roman" w:hint="default"/>
                <w:sz w:val="18"/>
                <w:szCs w:val="18"/>
              </w:rPr>
            </w:pPr>
            <w:r>
              <w:rPr>
                <w:rFonts w:ascii="Times New Roman"/>
                <w:sz w:val="18"/>
              </w:rPr>
              <w:t>12.15</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250,000</w:t>
            </w:r>
          </w:p>
        </w:tc>
      </w:tr>
      <w:tr>
        <w:trPr>
          <w:trHeight w:val="401" w:hRule="exact"/>
        </w:trPr>
        <w:tc>
          <w:tcPr>
            <w:tcW w:w="8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72" w:type="dxa"/>
            <w:tcBorders>
              <w:top w:val="single" w:sz="4" w:space="0" w:color="000000"/>
              <w:left w:val="single" w:sz="4" w:space="0" w:color="000000"/>
              <w:bottom w:val="single" w:sz="4" w:space="0" w:color="000000"/>
              <w:right w:val="single" w:sz="5"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868" w:type="dxa"/>
            <w:tcBorders>
              <w:top w:val="single" w:sz="4" w:space="0" w:color="000000"/>
              <w:left w:val="single" w:sz="5"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602,500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602,500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4,750,000</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370" w:right="0"/>
              <w:jc w:val="left"/>
              <w:rPr>
                <w:rFonts w:ascii="Times New Roman" w:hAnsi="Times New Roman" w:cs="Times New Roman" w:eastAsia="Times New Roman" w:hint="default"/>
                <w:sz w:val="18"/>
                <w:szCs w:val="18"/>
              </w:rPr>
            </w:pPr>
            <w:r>
              <w:rPr>
                <w:rFonts w:ascii="Times New Roman"/>
                <w:sz w:val="18"/>
              </w:rPr>
              <w:t>--</w:t>
            </w:r>
          </w:p>
        </w:tc>
        <w:tc>
          <w:tcPr>
            <w:tcW w:w="87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4,750,000</w:t>
            </w:r>
          </w:p>
        </w:tc>
      </w:tr>
      <w:tr>
        <w:trPr>
          <w:trHeight w:val="715" w:hRule="exact"/>
        </w:trPr>
        <w:tc>
          <w:tcPr>
            <w:tcW w:w="173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备注（如有）</w:t>
            </w:r>
          </w:p>
        </w:tc>
        <w:tc>
          <w:tcPr>
            <w:tcW w:w="7829" w:type="dxa"/>
            <w:gridSpan w:val="9"/>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5" w:right="0"/>
              <w:jc w:val="left"/>
              <w:rPr>
                <w:rFonts w:ascii="宋体" w:hAnsi="宋体" w:cs="宋体" w:eastAsia="宋体" w:hint="default"/>
                <w:sz w:val="18"/>
                <w:szCs w:val="18"/>
              </w:rPr>
            </w:pPr>
            <w:r>
              <w:rPr>
                <w:rFonts w:ascii="宋体" w:hAnsi="宋体" w:cs="宋体" w:eastAsia="宋体" w:hint="default"/>
                <w:spacing w:val="-3"/>
                <w:sz w:val="18"/>
                <w:szCs w:val="18"/>
              </w:rPr>
              <w:t>报告期内，公司完成</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年限制性股票激励计划首次授予第三期解锁及预留授予第二期解锁，即公</w:t>
            </w:r>
          </w:p>
          <w:p>
            <w:pPr>
              <w:pStyle w:val="TableParagraph"/>
              <w:spacing w:line="240" w:lineRule="auto" w:before="60"/>
              <w:ind w:left="15" w:right="0"/>
              <w:jc w:val="left"/>
              <w:rPr>
                <w:rFonts w:ascii="宋体" w:hAnsi="宋体" w:cs="宋体" w:eastAsia="宋体" w:hint="default"/>
                <w:sz w:val="18"/>
                <w:szCs w:val="18"/>
              </w:rPr>
            </w:pPr>
            <w:r>
              <w:rPr>
                <w:rFonts w:ascii="宋体" w:hAnsi="宋体" w:cs="宋体" w:eastAsia="宋体" w:hint="default"/>
                <w:sz w:val="18"/>
                <w:szCs w:val="18"/>
              </w:rPr>
              <w:t>司</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2015 </w:t>
            </w:r>
            <w:r>
              <w:rPr>
                <w:rFonts w:ascii="宋体" w:hAnsi="宋体" w:cs="宋体" w:eastAsia="宋体" w:hint="default"/>
                <w:sz w:val="18"/>
                <w:szCs w:val="18"/>
              </w:rPr>
              <w:t>年限制性股票激励计划全部解锁完成。</w:t>
            </w:r>
          </w:p>
        </w:tc>
      </w:tr>
    </w:tbl>
    <w:p>
      <w:pPr>
        <w:spacing w:line="240" w:lineRule="auto" w:before="1"/>
        <w:rPr>
          <w:rFonts w:ascii="宋体" w:hAnsi="宋体" w:cs="宋体" w:eastAsia="宋体" w:hint="default"/>
          <w:sz w:val="18"/>
          <w:szCs w:val="18"/>
        </w:rPr>
      </w:pPr>
    </w:p>
    <w:p>
      <w:pPr>
        <w:pStyle w:val="Heading2"/>
        <w:spacing w:line="240" w:lineRule="auto" w:before="26"/>
        <w:ind w:right="982"/>
        <w:jc w:val="left"/>
        <w:rPr>
          <w:b w:val="0"/>
          <w:bCs w:val="0"/>
        </w:rPr>
      </w:pPr>
      <w:r>
        <w:rPr/>
        <w:t>五、公司员工情况</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982"/>
        <w:jc w:val="left"/>
        <w:rPr>
          <w:b w:val="0"/>
          <w:bCs w:val="0"/>
        </w:rPr>
      </w:pPr>
      <w:r>
        <w:rPr>
          <w:rFonts w:ascii="Times New Roman" w:hAnsi="Times New Roman" w:cs="Times New Roman" w:eastAsia="Times New Roman" w:hint="default"/>
        </w:rPr>
        <w:t>1</w:t>
      </w:r>
      <w:r>
        <w:rPr/>
        <w:t>、员工数量、专业构成及教育程度</w:t>
      </w:r>
      <w:r>
        <w:rPr>
          <w:b w:val="0"/>
          <w:bCs w:val="0"/>
        </w:rPr>
      </w:r>
    </w:p>
    <w:p>
      <w:pPr>
        <w:spacing w:line="240" w:lineRule="auto" w:before="7"/>
        <w:rPr>
          <w:rFonts w:ascii="宋体" w:hAnsi="宋体" w:cs="宋体" w:eastAsia="宋体" w:hint="default"/>
          <w:b/>
          <w:bCs/>
          <w:sz w:val="25"/>
          <w:szCs w:val="25"/>
        </w:rPr>
      </w:pPr>
    </w:p>
    <w:tbl>
      <w:tblPr>
        <w:tblW w:w="0" w:type="auto"/>
        <w:jc w:val="left"/>
        <w:tblInd w:w="160" w:type="dxa"/>
        <w:tblLayout w:type="fixed"/>
        <w:tblCellMar>
          <w:top w:w="0" w:type="dxa"/>
          <w:left w:w="0" w:type="dxa"/>
          <w:bottom w:w="0" w:type="dxa"/>
          <w:right w:w="0" w:type="dxa"/>
        </w:tblCellMar>
        <w:tblLook w:val="01E0"/>
      </w:tblPr>
      <w:tblGrid>
        <w:gridCol w:w="4765"/>
        <w:gridCol w:w="4794"/>
      </w:tblGrid>
      <w:tr>
        <w:trPr>
          <w:trHeight w:val="403" w:hRule="exact"/>
        </w:trPr>
        <w:tc>
          <w:tcPr>
            <w:tcW w:w="47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母公司在职员工的数量（人）</w:t>
            </w:r>
          </w:p>
        </w:tc>
        <w:tc>
          <w:tcPr>
            <w:tcW w:w="479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2,581</w:t>
            </w:r>
          </w:p>
        </w:tc>
      </w:tr>
      <w:tr>
        <w:trPr>
          <w:trHeight w:val="401" w:hRule="exact"/>
        </w:trPr>
        <w:tc>
          <w:tcPr>
            <w:tcW w:w="47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主要子公司在职员工的数量（人）</w:t>
            </w:r>
          </w:p>
        </w:tc>
        <w:tc>
          <w:tcPr>
            <w:tcW w:w="479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1,680</w:t>
            </w:r>
          </w:p>
        </w:tc>
      </w:tr>
      <w:tr>
        <w:trPr>
          <w:trHeight w:val="403" w:hRule="exact"/>
        </w:trPr>
        <w:tc>
          <w:tcPr>
            <w:tcW w:w="47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在职员工的数量合计（人）</w:t>
            </w:r>
          </w:p>
        </w:tc>
        <w:tc>
          <w:tcPr>
            <w:tcW w:w="479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4,261</w:t>
            </w:r>
          </w:p>
        </w:tc>
      </w:tr>
      <w:tr>
        <w:trPr>
          <w:trHeight w:val="401" w:hRule="exact"/>
        </w:trPr>
        <w:tc>
          <w:tcPr>
            <w:tcW w:w="47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当期领取薪酬员工总人数（人）</w:t>
            </w:r>
          </w:p>
        </w:tc>
        <w:tc>
          <w:tcPr>
            <w:tcW w:w="479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4,261</w:t>
            </w:r>
          </w:p>
        </w:tc>
      </w:tr>
      <w:tr>
        <w:trPr>
          <w:trHeight w:val="408" w:hRule="exact"/>
        </w:trPr>
        <w:tc>
          <w:tcPr>
            <w:tcW w:w="47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母公司及主要子公司需承担费用的离退休职工人数（人）</w:t>
            </w:r>
          </w:p>
        </w:tc>
        <w:tc>
          <w:tcPr>
            <w:tcW w:w="479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r>
        <w:trPr>
          <w:trHeight w:val="391" w:hRule="exact"/>
        </w:trPr>
        <w:tc>
          <w:tcPr>
            <w:tcW w:w="955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1" w:right="12"/>
              <w:jc w:val="center"/>
              <w:rPr>
                <w:rFonts w:ascii="宋体" w:hAnsi="宋体" w:cs="宋体" w:eastAsia="宋体" w:hint="default"/>
                <w:sz w:val="18"/>
                <w:szCs w:val="18"/>
              </w:rPr>
            </w:pPr>
            <w:r>
              <w:rPr>
                <w:rFonts w:ascii="宋体" w:hAnsi="宋体" w:cs="宋体" w:eastAsia="宋体" w:hint="default"/>
                <w:sz w:val="18"/>
                <w:szCs w:val="18"/>
              </w:rPr>
              <w:t>专业构成</w:t>
            </w:r>
          </w:p>
        </w:tc>
      </w:tr>
      <w:tr>
        <w:trPr>
          <w:trHeight w:val="408" w:hRule="exact"/>
        </w:trPr>
        <w:tc>
          <w:tcPr>
            <w:tcW w:w="47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 w:right="0"/>
              <w:jc w:val="center"/>
              <w:rPr>
                <w:rFonts w:ascii="宋体" w:hAnsi="宋体" w:cs="宋体" w:eastAsia="宋体" w:hint="default"/>
                <w:sz w:val="18"/>
                <w:szCs w:val="18"/>
              </w:rPr>
            </w:pPr>
            <w:r>
              <w:rPr>
                <w:rFonts w:ascii="宋体" w:hAnsi="宋体" w:cs="宋体" w:eastAsia="宋体" w:hint="default"/>
                <w:sz w:val="18"/>
                <w:szCs w:val="18"/>
              </w:rPr>
              <w:t>专业构成类别</w:t>
            </w:r>
          </w:p>
        </w:tc>
        <w:tc>
          <w:tcPr>
            <w:tcW w:w="47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584" w:right="0"/>
              <w:jc w:val="left"/>
              <w:rPr>
                <w:rFonts w:ascii="宋体" w:hAnsi="宋体" w:cs="宋体" w:eastAsia="宋体" w:hint="default"/>
                <w:sz w:val="18"/>
                <w:szCs w:val="18"/>
              </w:rPr>
            </w:pPr>
            <w:r>
              <w:rPr>
                <w:rFonts w:ascii="宋体" w:hAnsi="宋体" w:cs="宋体" w:eastAsia="宋体" w:hint="default"/>
                <w:sz w:val="18"/>
                <w:szCs w:val="18"/>
              </w:rPr>
              <w:t>专业构成人数（人）</w:t>
            </w:r>
          </w:p>
        </w:tc>
      </w:tr>
      <w:tr>
        <w:trPr>
          <w:trHeight w:val="401" w:hRule="exact"/>
        </w:trPr>
        <w:tc>
          <w:tcPr>
            <w:tcW w:w="47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生产人员</w:t>
            </w:r>
          </w:p>
        </w:tc>
        <w:tc>
          <w:tcPr>
            <w:tcW w:w="479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1,153</w:t>
            </w:r>
          </w:p>
        </w:tc>
      </w:tr>
      <w:tr>
        <w:trPr>
          <w:trHeight w:val="403" w:hRule="exact"/>
        </w:trPr>
        <w:tc>
          <w:tcPr>
            <w:tcW w:w="47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销售人员</w:t>
            </w:r>
          </w:p>
        </w:tc>
        <w:tc>
          <w:tcPr>
            <w:tcW w:w="479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223</w:t>
            </w:r>
          </w:p>
        </w:tc>
      </w:tr>
      <w:tr>
        <w:trPr>
          <w:trHeight w:val="401" w:hRule="exact"/>
        </w:trPr>
        <w:tc>
          <w:tcPr>
            <w:tcW w:w="47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技术人员</w:t>
            </w:r>
          </w:p>
        </w:tc>
        <w:tc>
          <w:tcPr>
            <w:tcW w:w="479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2,408</w:t>
            </w:r>
          </w:p>
        </w:tc>
      </w:tr>
      <w:tr>
        <w:trPr>
          <w:trHeight w:val="404" w:hRule="exact"/>
        </w:trPr>
        <w:tc>
          <w:tcPr>
            <w:tcW w:w="47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财务人员</w:t>
            </w:r>
          </w:p>
        </w:tc>
        <w:tc>
          <w:tcPr>
            <w:tcW w:w="479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70</w:t>
            </w:r>
          </w:p>
        </w:tc>
      </w:tr>
      <w:tr>
        <w:trPr>
          <w:trHeight w:val="401" w:hRule="exact"/>
        </w:trPr>
        <w:tc>
          <w:tcPr>
            <w:tcW w:w="47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行政人员</w:t>
            </w:r>
          </w:p>
        </w:tc>
        <w:tc>
          <w:tcPr>
            <w:tcW w:w="479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407</w:t>
            </w:r>
          </w:p>
        </w:tc>
      </w:tr>
      <w:tr>
        <w:trPr>
          <w:trHeight w:val="408" w:hRule="exact"/>
        </w:trPr>
        <w:tc>
          <w:tcPr>
            <w:tcW w:w="47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9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4,261</w:t>
            </w:r>
          </w:p>
        </w:tc>
      </w:tr>
      <w:tr>
        <w:trPr>
          <w:trHeight w:val="391" w:hRule="exact"/>
        </w:trPr>
        <w:tc>
          <w:tcPr>
            <w:tcW w:w="955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1" w:right="12"/>
              <w:jc w:val="center"/>
              <w:rPr>
                <w:rFonts w:ascii="宋体" w:hAnsi="宋体" w:cs="宋体" w:eastAsia="宋体" w:hint="default"/>
                <w:sz w:val="18"/>
                <w:szCs w:val="18"/>
              </w:rPr>
            </w:pPr>
            <w:r>
              <w:rPr>
                <w:rFonts w:ascii="宋体" w:hAnsi="宋体" w:cs="宋体" w:eastAsia="宋体" w:hint="default"/>
                <w:sz w:val="18"/>
                <w:szCs w:val="18"/>
              </w:rPr>
              <w:t>教育程度</w:t>
            </w:r>
          </w:p>
        </w:tc>
      </w:tr>
      <w:tr>
        <w:trPr>
          <w:trHeight w:val="408" w:hRule="exact"/>
        </w:trPr>
        <w:tc>
          <w:tcPr>
            <w:tcW w:w="47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sz w:val="18"/>
                <w:szCs w:val="18"/>
              </w:rPr>
              <w:t>教育程度类别</w:t>
            </w:r>
          </w:p>
        </w:tc>
        <w:tc>
          <w:tcPr>
            <w:tcW w:w="47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1" w:right="0"/>
              <w:jc w:val="left"/>
              <w:rPr>
                <w:rFonts w:ascii="宋体" w:hAnsi="宋体" w:cs="宋体" w:eastAsia="宋体" w:hint="default"/>
                <w:sz w:val="18"/>
                <w:szCs w:val="18"/>
              </w:rPr>
            </w:pPr>
            <w:r>
              <w:rPr>
                <w:rFonts w:ascii="宋体" w:hAnsi="宋体" w:cs="宋体" w:eastAsia="宋体" w:hint="default"/>
                <w:sz w:val="18"/>
                <w:szCs w:val="18"/>
              </w:rPr>
              <w:t>数量（人）</w:t>
            </w:r>
          </w:p>
        </w:tc>
      </w:tr>
      <w:tr>
        <w:trPr>
          <w:trHeight w:val="401" w:hRule="exact"/>
        </w:trPr>
        <w:tc>
          <w:tcPr>
            <w:tcW w:w="4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大学本科以上学历</w:t>
            </w:r>
          </w:p>
        </w:tc>
        <w:tc>
          <w:tcPr>
            <w:tcW w:w="4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825</w:t>
            </w:r>
          </w:p>
        </w:tc>
      </w:tr>
      <w:tr>
        <w:trPr>
          <w:trHeight w:val="403" w:hRule="exact"/>
        </w:trPr>
        <w:tc>
          <w:tcPr>
            <w:tcW w:w="4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大学本科</w:t>
            </w:r>
          </w:p>
        </w:tc>
        <w:tc>
          <w:tcPr>
            <w:tcW w:w="4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2,015</w:t>
            </w:r>
          </w:p>
        </w:tc>
      </w:tr>
      <w:tr>
        <w:trPr>
          <w:trHeight w:val="401" w:hRule="exact"/>
        </w:trPr>
        <w:tc>
          <w:tcPr>
            <w:tcW w:w="4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大学本科以下学历</w:t>
            </w:r>
          </w:p>
        </w:tc>
        <w:tc>
          <w:tcPr>
            <w:tcW w:w="4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1,421</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b/>
          <w:bCs/>
          <w:sz w:val="28"/>
          <w:szCs w:val="28"/>
        </w:rPr>
      </w:pPr>
    </w:p>
    <w:tbl>
      <w:tblPr>
        <w:tblW w:w="0" w:type="auto"/>
        <w:jc w:val="left"/>
        <w:tblInd w:w="149" w:type="dxa"/>
        <w:tblLayout w:type="fixed"/>
        <w:tblCellMar>
          <w:top w:w="0" w:type="dxa"/>
          <w:left w:w="0" w:type="dxa"/>
          <w:bottom w:w="0" w:type="dxa"/>
          <w:right w:w="0" w:type="dxa"/>
        </w:tblCellMar>
        <w:tblLook w:val="01E0"/>
      </w:tblPr>
      <w:tblGrid>
        <w:gridCol w:w="4783"/>
        <w:gridCol w:w="4787"/>
      </w:tblGrid>
      <w:tr>
        <w:trPr>
          <w:trHeight w:val="404"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4,261</w:t>
            </w:r>
          </w:p>
        </w:tc>
      </w:tr>
    </w:tbl>
    <w:p>
      <w:pPr>
        <w:spacing w:line="240" w:lineRule="auto" w:before="3"/>
        <w:rPr>
          <w:rFonts w:ascii="宋体" w:hAnsi="宋体" w:cs="宋体" w:eastAsia="宋体" w:hint="default"/>
          <w:b/>
          <w:bCs/>
          <w:sz w:val="19"/>
          <w:szCs w:val="19"/>
        </w:rPr>
      </w:pPr>
    </w:p>
    <w:p>
      <w:pPr>
        <w:pStyle w:val="Heading4"/>
        <w:spacing w:line="240" w:lineRule="auto" w:before="36"/>
        <w:ind w:right="982"/>
        <w:jc w:val="left"/>
        <w:rPr>
          <w:b w:val="0"/>
          <w:bCs w:val="0"/>
        </w:rPr>
      </w:pPr>
      <w:r>
        <w:rPr>
          <w:rFonts w:ascii="Times New Roman" w:hAnsi="Times New Roman" w:cs="Times New Roman" w:eastAsia="Times New Roman" w:hint="default"/>
        </w:rPr>
        <w:t>2</w:t>
      </w:r>
      <w:r>
        <w:rPr/>
        <w:t>、薪酬政策</w:t>
      </w:r>
      <w:r>
        <w:rPr>
          <w:b w:val="0"/>
          <w:bCs w:val="0"/>
        </w:rPr>
      </w:r>
    </w:p>
    <w:p>
      <w:pPr>
        <w:spacing w:line="240" w:lineRule="auto" w:before="6"/>
        <w:rPr>
          <w:rFonts w:ascii="宋体" w:hAnsi="宋体" w:cs="宋体" w:eastAsia="宋体" w:hint="default"/>
          <w:b/>
          <w:bCs/>
          <w:sz w:val="30"/>
          <w:szCs w:val="30"/>
        </w:rPr>
      </w:pPr>
    </w:p>
    <w:p>
      <w:pPr>
        <w:pStyle w:val="Heading5"/>
        <w:spacing w:line="408" w:lineRule="auto" w:before="0"/>
        <w:ind w:right="982"/>
        <w:jc w:val="left"/>
        <w:rPr>
          <w:rFonts w:ascii="宋体" w:hAnsi="宋体" w:cs="宋体" w:eastAsia="宋体" w:hint="default"/>
        </w:rPr>
      </w:pPr>
      <w:r>
        <w:rPr>
          <w:spacing w:val="-2"/>
        </w:rPr>
        <w:t>根据国家法律法规、公司战略目标和年度经营计划，依据员工所在岗位和级别不同，参考市场薪酬确</w:t>
      </w:r>
      <w:r>
        <w:rPr>
          <w:w w:val="100"/>
        </w:rPr>
        <w:t> </w:t>
      </w:r>
      <w:r>
        <w:rPr/>
        <w:t>定公司薪酬标准，遵循合理合法的薪酬支付理念，在成本预算合理的前提下，保证薪酬水平对外竞争性、</w:t>
      </w:r>
      <w:r>
        <w:rPr>
          <w:spacing w:val="-24"/>
        </w:rPr>
        <w:t> </w:t>
      </w:r>
      <w:r>
        <w:rPr>
          <w:spacing w:val="-24"/>
        </w:rPr>
      </w:r>
      <w:r>
        <w:rPr/>
        <w:t>对内公正性。</w:t>
      </w:r>
      <w:r>
        <w:rPr>
          <w:rFonts w:ascii="宋体" w:hAnsi="宋体" w:cs="宋体" w:eastAsia="宋体" w:hint="default"/>
          <w:spacing w:val="-3"/>
        </w:rPr>
        <w:t> </w:t>
      </w:r>
      <w:r>
        <w:rPr>
          <w:rFonts w:ascii="宋体" w:hAnsi="宋体" w:cs="宋体" w:eastAsia="宋体" w:hint="default"/>
        </w:rPr>
        <w:t> </w:t>
      </w:r>
    </w:p>
    <w:p>
      <w:pPr>
        <w:pStyle w:val="Heading5"/>
        <w:spacing w:line="408" w:lineRule="auto"/>
        <w:ind w:right="982"/>
        <w:jc w:val="left"/>
        <w:rPr>
          <w:rFonts w:ascii="宋体" w:hAnsi="宋体" w:cs="宋体" w:eastAsia="宋体" w:hint="default"/>
        </w:rPr>
      </w:pPr>
      <w:r>
        <w:rPr>
          <w:spacing w:val="-2"/>
        </w:rPr>
        <w:t>薪酬分配体现个人利益与公司总体效益之间的紧密联系，为了更好地吸引和保留人才，公司面向核心</w:t>
      </w:r>
      <w:r>
        <w:rPr>
          <w:w w:val="100"/>
        </w:rPr>
        <w:t> </w:t>
      </w:r>
      <w:r>
        <w:rPr/>
        <w:t>管理人员、核心业务骨干实施股权激励计划，短期、长期激励相结合，丰富薪酬给付形式。</w:t>
      </w:r>
      <w:r>
        <w:rPr>
          <w:rFonts w:ascii="宋体" w:hAnsi="宋体" w:cs="宋体" w:eastAsia="宋体" w:hint="default"/>
        </w:rPr>
        <w:t> </w:t>
      </w:r>
    </w:p>
    <w:p>
      <w:pPr>
        <w:pStyle w:val="BodyText"/>
        <w:spacing w:line="240" w:lineRule="auto" w:before="110"/>
        <w:ind w:right="982"/>
        <w:jc w:val="left"/>
      </w:pPr>
      <w:r>
        <w:rPr/>
        <w:t>公司需遵守《深圳证券交易所行业信息披露指引第</w:t>
      </w:r>
      <w:r>
        <w:rPr>
          <w:spacing w:val="-45"/>
        </w:rPr>
        <w:t> </w:t>
      </w:r>
      <w:r>
        <w:rPr>
          <w:rFonts w:ascii="Times New Roman" w:hAnsi="Times New Roman" w:cs="Times New Roman" w:eastAsia="Times New Roman" w:hint="default"/>
        </w:rPr>
        <w:t>12 </w:t>
      </w:r>
      <w:r>
        <w:rPr/>
        <w:t>号</w:t>
      </w:r>
      <w:r>
        <w:rPr>
          <w:rFonts w:ascii="Times New Roman" w:hAnsi="Times New Roman" w:cs="Times New Roman" w:eastAsia="Times New Roman" w:hint="default"/>
        </w:rPr>
        <w:t>——</w:t>
      </w:r>
      <w:r>
        <w:rPr/>
        <w:t>上市公司从事软件与信息技术服务业务》的披露要求</w:t>
      </w:r>
    </w:p>
    <w:p>
      <w:pPr>
        <w:pStyle w:val="Heading5"/>
        <w:spacing w:line="408" w:lineRule="auto" w:before="159"/>
        <w:ind w:right="982"/>
        <w:jc w:val="left"/>
        <w:rPr>
          <w:rFonts w:ascii="宋体" w:hAnsi="宋体" w:cs="宋体" w:eastAsia="宋体" w:hint="default"/>
        </w:rPr>
      </w:pPr>
      <w:r>
        <w:rPr/>
        <w:t>报告期内职工薪酬总额（计入成本部分）为</w:t>
      </w:r>
      <w:r>
        <w:rPr>
          <w:rFonts w:ascii="宋体" w:hAnsi="宋体" w:cs="宋体" w:eastAsia="宋体" w:hint="default"/>
        </w:rPr>
        <w:t>120,647.52</w:t>
      </w:r>
      <w:r>
        <w:rPr/>
        <w:t>万元，占公司成本总额的</w:t>
      </w:r>
      <w:r>
        <w:rPr>
          <w:rFonts w:ascii="宋体" w:hAnsi="宋体" w:cs="宋体" w:eastAsia="宋体" w:hint="default"/>
        </w:rPr>
        <w:t>48%</w:t>
      </w:r>
      <w:r>
        <w:rPr/>
        <w:t>。核心技术人员</w:t>
      </w:r>
      <w:r>
        <w:rPr>
          <w:w w:val="100"/>
        </w:rPr>
        <w:t> </w:t>
      </w:r>
      <w:r>
        <w:rPr/>
        <w:t>数量占比</w:t>
      </w:r>
      <w:r>
        <w:rPr>
          <w:rFonts w:ascii="宋体" w:hAnsi="宋体" w:cs="宋体" w:eastAsia="宋体" w:hint="default"/>
        </w:rPr>
        <w:t>26.24%</w:t>
      </w:r>
      <w:r>
        <w:rPr/>
        <w:t>，核心技术人员薪酬占比</w:t>
      </w:r>
      <w:r>
        <w:rPr>
          <w:rFonts w:ascii="宋体" w:hAnsi="宋体" w:cs="宋体" w:eastAsia="宋体" w:hint="default"/>
        </w:rPr>
        <w:t>33.35%</w:t>
      </w:r>
      <w:r>
        <w:rPr/>
        <w:t>，与上年同期占比基本持平。</w:t>
      </w:r>
      <w:r>
        <w:rPr>
          <w:rFonts w:ascii="宋体" w:hAnsi="宋体" w:cs="宋体" w:eastAsia="宋体" w:hint="default"/>
        </w:rPr>
        <w:t> </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7"/>
          <w:szCs w:val="27"/>
        </w:rPr>
      </w:pPr>
    </w:p>
    <w:p>
      <w:pPr>
        <w:pStyle w:val="Heading4"/>
        <w:spacing w:line="240" w:lineRule="auto"/>
        <w:ind w:right="982"/>
        <w:jc w:val="left"/>
        <w:rPr>
          <w:b w:val="0"/>
          <w:bCs w:val="0"/>
        </w:rPr>
      </w:pPr>
      <w:r>
        <w:rPr>
          <w:rFonts w:ascii="Times New Roman" w:hAnsi="Times New Roman" w:cs="Times New Roman" w:eastAsia="Times New Roman" w:hint="default"/>
        </w:rPr>
        <w:t>3</w:t>
      </w:r>
      <w:r>
        <w:rPr/>
        <w:t>、培训计划</w:t>
      </w:r>
      <w:r>
        <w:rPr>
          <w:b w:val="0"/>
          <w:bCs w:val="0"/>
        </w:rPr>
      </w:r>
    </w:p>
    <w:p>
      <w:pPr>
        <w:spacing w:line="240" w:lineRule="auto" w:before="8"/>
        <w:rPr>
          <w:rFonts w:ascii="宋体" w:hAnsi="宋体" w:cs="宋体" w:eastAsia="宋体" w:hint="default"/>
          <w:b/>
          <w:bCs/>
          <w:sz w:val="30"/>
          <w:szCs w:val="30"/>
        </w:rPr>
      </w:pPr>
    </w:p>
    <w:p>
      <w:pPr>
        <w:pStyle w:val="Heading5"/>
        <w:spacing w:line="408" w:lineRule="auto" w:before="0"/>
        <w:ind w:right="982"/>
        <w:jc w:val="left"/>
        <w:rPr>
          <w:rFonts w:ascii="宋体" w:hAnsi="宋体" w:cs="宋体" w:eastAsia="宋体" w:hint="default"/>
        </w:rPr>
      </w:pPr>
      <w:r>
        <w:rPr>
          <w:spacing w:val="-2"/>
        </w:rPr>
        <w:t>公司不断优化基于助推员工及公司业务发展的培训体系。结合问卷调研以及访谈等方式，公司设计了</w:t>
      </w:r>
      <w:r>
        <w:rPr>
          <w:w w:val="100"/>
        </w:rPr>
        <w:t> </w:t>
      </w:r>
      <w:r>
        <w:rPr>
          <w:rFonts w:ascii="宋体" w:hAnsi="宋体" w:cs="宋体" w:eastAsia="宋体" w:hint="default"/>
          <w:spacing w:val="-2"/>
        </w:rPr>
        <w:t>2018</w:t>
      </w:r>
      <w:r>
        <w:rPr>
          <w:spacing w:val="-2"/>
        </w:rPr>
        <w:t>年培训计划。全年培训课程从“领导力”、“专业力”、“通用力”、“新员工”、“特色课程”五</w:t>
      </w:r>
      <w:r>
        <w:rPr>
          <w:spacing w:val="-41"/>
        </w:rPr>
        <w:t> </w:t>
      </w:r>
      <w:r>
        <w:rPr>
          <w:spacing w:val="-41"/>
        </w:rPr>
      </w:r>
      <w:r>
        <w:rPr/>
        <w:t>大方面展开。“领导力”项目为针对管理干部，根据基层、中层、高层的不同特点，持续开展行业动态、</w:t>
      </w:r>
      <w:r>
        <w:rPr>
          <w:spacing w:val="-24"/>
        </w:rPr>
        <w:t> </w:t>
      </w:r>
      <w:r>
        <w:rPr>
          <w:spacing w:val="-24"/>
        </w:rPr>
      </w:r>
      <w:r>
        <w:rPr/>
        <w:t>公司战略及新兴技术、管理理念及方法的培训，拓展管理干部视野，转变思维方式，提升管理团队能力。</w:t>
      </w:r>
      <w:r>
        <w:rPr>
          <w:spacing w:val="-24"/>
        </w:rPr>
        <w:t> </w:t>
      </w:r>
      <w:r>
        <w:rPr>
          <w:spacing w:val="-24"/>
        </w:rPr>
      </w:r>
      <w:r>
        <w:rPr>
          <w:spacing w:val="-2"/>
        </w:rPr>
        <w:t>“专业力”项目为公司四大职系、五大职级员工搭建了完整的课程体系，对不同工作性质的员工开展有针</w:t>
      </w:r>
      <w:r>
        <w:rPr>
          <w:spacing w:val="-45"/>
        </w:rPr>
        <w:t> </w:t>
      </w:r>
      <w:r>
        <w:rPr>
          <w:spacing w:val="-45"/>
        </w:rPr>
      </w:r>
      <w:r>
        <w:rPr>
          <w:spacing w:val="-2"/>
        </w:rPr>
        <w:t>对性的培养，满足了员工能力发展和职业发展的需求。“通用力”项目，为公司基层员工及核心员工提供</w:t>
      </w:r>
      <w:r>
        <w:rPr>
          <w:spacing w:val="-42"/>
        </w:rPr>
        <w:t> </w:t>
      </w:r>
      <w:r>
        <w:rPr>
          <w:spacing w:val="-42"/>
        </w:rPr>
      </w:r>
      <w:r>
        <w:rPr>
          <w:spacing w:val="-2"/>
        </w:rPr>
        <w:t>了通用素质能力的培训，提升员工在沟通协作、执行力及目标管理等方面的能力，全面提升员工的综合素</w:t>
      </w:r>
      <w:r>
        <w:rPr>
          <w:spacing w:val="-44"/>
        </w:rPr>
        <w:t> </w:t>
      </w:r>
      <w:r>
        <w:rPr>
          <w:spacing w:val="-44"/>
        </w:rPr>
      </w:r>
      <w:r>
        <w:rPr/>
        <w:t>质。 </w:t>
      </w:r>
      <w:r>
        <w:rPr>
          <w:rFonts w:ascii="宋体" w:hAnsi="宋体" w:cs="宋体" w:eastAsia="宋体" w:hint="default"/>
        </w:rPr>
      </w:r>
      <w:r>
        <w:rPr/>
        <w:t>“新员工”项目，区别社招和校招新员工的不同特点，分别开展不同课程。旨在帮助新员工在文化</w:t>
      </w:r>
      <w:r>
        <w:rPr>
          <w:spacing w:val="-23"/>
        </w:rPr>
        <w:t> </w:t>
      </w:r>
      <w:r>
        <w:rPr>
          <w:spacing w:val="-23"/>
        </w:rPr>
      </w:r>
      <w:r>
        <w:rPr/>
        <w:t>融入、公司业务了解和能力提升方面有所提高。“特色课程”项目，根据公司所处行业以及业务的特点，</w:t>
      </w:r>
      <w:r>
        <w:rPr>
          <w:spacing w:val="-22"/>
        </w:rPr>
        <w:t> </w:t>
      </w:r>
      <w:r>
        <w:rPr>
          <w:spacing w:val="-22"/>
        </w:rPr>
      </w:r>
      <w:r>
        <w:rPr>
          <w:spacing w:val="-2"/>
        </w:rPr>
        <w:t>在公司内部大力开展业务相关特色培训，形成自有知识沉淀和管理。公司还与多所国内一流大学合作，开</w:t>
      </w:r>
      <w:r>
        <w:rPr>
          <w:spacing w:val="-44"/>
        </w:rPr>
        <w:t> </w:t>
      </w:r>
      <w:r>
        <w:rPr>
          <w:spacing w:val="-44"/>
        </w:rPr>
      </w:r>
      <w:r>
        <w:rPr>
          <w:spacing w:val="-2"/>
        </w:rPr>
        <w:t>设了多个专业的在职研究生班，并鼓励支持员工报考，满足在岗员工接受学历教育的需求，丰富了公司员</w:t>
      </w:r>
      <w:r>
        <w:rPr>
          <w:spacing w:val="-44"/>
        </w:rPr>
        <w:t> </w:t>
      </w:r>
      <w:r>
        <w:rPr>
          <w:spacing w:val="-44"/>
        </w:rPr>
      </w:r>
      <w:r>
        <w:rPr/>
        <w:t>工的知识与学历结构。</w:t>
      </w:r>
      <w:r>
        <w:rPr>
          <w:rFonts w:ascii="宋体" w:hAnsi="宋体" w:cs="宋体" w:eastAsia="宋体" w:hint="default"/>
        </w:rPr>
        <w:t> </w:t>
      </w:r>
    </w:p>
    <w:p>
      <w:pPr>
        <w:pStyle w:val="Heading5"/>
        <w:spacing w:line="408" w:lineRule="auto"/>
        <w:ind w:right="1126"/>
        <w:jc w:val="both"/>
      </w:pPr>
      <w:r>
        <w:rPr>
          <w:spacing w:val="-2"/>
        </w:rPr>
        <w:t>除完善的课程体系之外，公司在</w:t>
      </w:r>
      <w:r>
        <w:rPr>
          <w:rFonts w:ascii="宋体" w:hAnsi="宋体" w:cs="宋体" w:eastAsia="宋体" w:hint="default"/>
          <w:spacing w:val="-2"/>
        </w:rPr>
        <w:t>18</w:t>
      </w:r>
      <w:r>
        <w:rPr>
          <w:spacing w:val="-2"/>
        </w:rPr>
        <w:t>年建设并启用了在线学习系统，通过线上“企业学习规模化、员工</w:t>
      </w:r>
      <w:r>
        <w:rPr>
          <w:w w:val="100"/>
        </w:rPr>
        <w:t> </w:t>
      </w:r>
      <w:r>
        <w:rPr>
          <w:spacing w:val="-2"/>
        </w:rPr>
        <w:t>学习个性化、培训智能化”的独特方式，更快、更好的支撑人才培养策略及业务学习需求，搭建内部学习</w:t>
      </w:r>
      <w:r>
        <w:rPr>
          <w:spacing w:val="-47"/>
        </w:rPr>
        <w:t> </w:t>
      </w:r>
      <w:r>
        <w:rPr>
          <w:spacing w:val="-47"/>
        </w:rPr>
      </w:r>
      <w:r>
        <w:rPr>
          <w:spacing w:val="-2"/>
        </w:rPr>
        <w:t>生态，沉淀与传承企业优秀知识经验。同时，在讲师队伍建设、外部培训资源的发掘、利用上，也取得了</w:t>
      </w:r>
      <w:r>
        <w:rPr>
          <w:spacing w:val="-42"/>
        </w:rPr>
        <w:t> </w:t>
      </w:r>
      <w:r>
        <w:rPr>
          <w:spacing w:val="-42"/>
        </w:rPr>
      </w:r>
      <w:r>
        <w:rPr>
          <w:spacing w:val="-2"/>
        </w:rPr>
        <w:t>长足进步。通过多资源、多渠道、多形式等方式，帮助员工在专业领域内持续发展。各项数据显示，在公</w:t>
      </w:r>
    </w:p>
    <w:p>
      <w:pPr>
        <w:spacing w:after="0" w:line="408" w:lineRule="auto"/>
        <w:jc w:val="both"/>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pStyle w:val="Heading5"/>
        <w:spacing w:line="240" w:lineRule="auto" w:before="176"/>
        <w:ind w:right="982" w:firstLine="0"/>
        <w:jc w:val="left"/>
        <w:rPr>
          <w:rFonts w:ascii="宋体" w:hAnsi="宋体" w:cs="宋体" w:eastAsia="宋体" w:hint="default"/>
        </w:rPr>
      </w:pPr>
      <w:r>
        <w:rPr/>
        <w:t>司的人才培养与发展工作中起到了良好的效果，对于公司人才队伍的稳定及发展起到积极的促进作用。</w:t>
      </w:r>
      <w:r>
        <w:rPr>
          <w:rFonts w:ascii="宋体" w:hAnsi="宋体" w:cs="宋体" w:eastAsia="宋体" w:hint="default"/>
        </w:rPr>
        <w:t> </w:t>
      </w:r>
    </w:p>
    <w:p>
      <w:pPr>
        <w:spacing w:line="240" w:lineRule="auto" w:before="0"/>
        <w:rPr>
          <w:rFonts w:ascii="宋体" w:hAnsi="宋体" w:cs="宋体" w:eastAsia="宋体" w:hint="default"/>
          <w:sz w:val="20"/>
          <w:szCs w:val="20"/>
        </w:rPr>
      </w:pPr>
    </w:p>
    <w:p>
      <w:pPr>
        <w:pStyle w:val="Heading4"/>
        <w:spacing w:line="240" w:lineRule="auto" w:before="154"/>
        <w:ind w:right="982"/>
        <w:jc w:val="left"/>
        <w:rPr>
          <w:b w:val="0"/>
          <w:bCs w:val="0"/>
        </w:rPr>
      </w:pPr>
      <w:r>
        <w:rPr>
          <w:rFonts w:ascii="Times New Roman" w:hAnsi="Times New Roman" w:cs="Times New Roman" w:eastAsia="Times New Roman" w:hint="default"/>
        </w:rPr>
        <w:t>4</w:t>
      </w:r>
      <w:r>
        <w:rPr/>
        <w:t>、劳务外包情况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after="0" w:line="240" w:lineRule="auto"/>
        <w:jc w:val="left"/>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left="55" w:right="1031"/>
        <w:jc w:val="center"/>
        <w:rPr>
          <w:b w:val="0"/>
          <w:bCs w:val="0"/>
        </w:rPr>
      </w:pPr>
      <w:bookmarkStart w:name="_bookmark8" w:id="9"/>
      <w:bookmarkEnd w:id="9"/>
      <w:r>
        <w:rPr>
          <w:b w:val="0"/>
          <w:bCs w:val="0"/>
        </w:rPr>
      </w:r>
      <w:r>
        <w:rPr/>
        <w:t>第九节</w:t>
      </w:r>
      <w:r>
        <w:rPr>
          <w:spacing w:val="-2"/>
        </w:rPr>
        <w:t> </w:t>
      </w:r>
      <w:r>
        <w:rPr/>
        <w:t>公司治理</w:t>
      </w:r>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7"/>
          <w:szCs w:val="17"/>
        </w:rPr>
      </w:pPr>
    </w:p>
    <w:p>
      <w:pPr>
        <w:pStyle w:val="Heading2"/>
        <w:spacing w:line="240" w:lineRule="auto" w:before="26"/>
        <w:ind w:right="982"/>
        <w:jc w:val="left"/>
        <w:rPr>
          <w:b w:val="0"/>
          <w:bCs w:val="0"/>
        </w:rPr>
      </w:pPr>
      <w:r>
        <w:rPr/>
        <w:t>一、公司治理的基本状况</w:t>
      </w:r>
      <w:r>
        <w:rPr>
          <w:b w:val="0"/>
          <w:bCs w:val="0"/>
        </w:rPr>
      </w:r>
    </w:p>
    <w:p>
      <w:pPr>
        <w:spacing w:line="240" w:lineRule="auto" w:before="8"/>
        <w:rPr>
          <w:rFonts w:ascii="宋体" w:hAnsi="宋体" w:cs="宋体" w:eastAsia="宋体" w:hint="default"/>
          <w:b/>
          <w:bCs/>
          <w:sz w:val="30"/>
          <w:szCs w:val="30"/>
        </w:rPr>
      </w:pPr>
    </w:p>
    <w:p>
      <w:pPr>
        <w:pStyle w:val="Heading5"/>
        <w:spacing w:line="408" w:lineRule="auto" w:before="0"/>
        <w:ind w:right="1126"/>
        <w:jc w:val="both"/>
        <w:rPr>
          <w:rFonts w:ascii="宋体" w:hAnsi="宋体" w:cs="宋体" w:eastAsia="宋体" w:hint="default"/>
        </w:rPr>
      </w:pPr>
      <w:r>
        <w:rPr>
          <w:spacing w:val="-7"/>
        </w:rPr>
        <w:t>报告期内，公司始终坚持规范运作，严格按照《公司法》、《证券法》、《上市公司治理准则》、《深</w:t>
      </w:r>
      <w:r>
        <w:rPr>
          <w:w w:val="100"/>
        </w:rPr>
        <w:t> </w:t>
      </w:r>
      <w:r>
        <w:rPr>
          <w:spacing w:val="-7"/>
          <w:w w:val="100"/>
        </w:rPr>
        <w:t>圳证券交易所股票上市规则》、《深圳证券交易所中小企业板上市公司规范运作指引》等法律法规以及《公</w:t>
      </w:r>
      <w:r>
        <w:rPr>
          <w:spacing w:val="-75"/>
          <w:w w:val="100"/>
        </w:rPr>
        <w:t> </w:t>
      </w:r>
      <w:r>
        <w:rPr>
          <w:spacing w:val="-75"/>
          <w:w w:val="100"/>
        </w:rPr>
      </w:r>
      <w:r>
        <w:rPr>
          <w:spacing w:val="-2"/>
        </w:rPr>
        <w:t>司章程》的要求，不断完善公司法人治理结构，建立、健全内部控制制度，提升公司治理水平。截至</w:t>
      </w:r>
      <w:r>
        <w:rPr>
          <w:rFonts w:ascii="宋体" w:hAnsi="宋体" w:cs="宋体" w:eastAsia="宋体" w:hint="default"/>
          <w:spacing w:val="-2"/>
        </w:rPr>
        <w:t>2018</w:t>
      </w:r>
      <w:r>
        <w:rPr>
          <w:rFonts w:ascii="宋体" w:hAnsi="宋体" w:cs="宋体" w:eastAsia="宋体" w:hint="default"/>
          <w:spacing w:val="-38"/>
        </w:rPr>
        <w:t> </w:t>
      </w:r>
      <w:r>
        <w:rPr>
          <w:rFonts w:ascii="宋体" w:hAnsi="宋体" w:cs="宋体" w:eastAsia="宋体" w:hint="default"/>
          <w:spacing w:val="-38"/>
        </w:rPr>
      </w:r>
      <w:r>
        <w:rPr>
          <w:spacing w:val="-2"/>
        </w:rPr>
        <w:t>年</w:t>
      </w:r>
      <w:r>
        <w:rPr>
          <w:rFonts w:ascii="宋体" w:hAnsi="宋体" w:cs="宋体" w:eastAsia="宋体" w:hint="default"/>
          <w:spacing w:val="-2"/>
        </w:rPr>
        <w:t>12</w:t>
      </w:r>
      <w:r>
        <w:rPr>
          <w:spacing w:val="-2"/>
        </w:rPr>
        <w:t>月</w:t>
      </w:r>
      <w:r>
        <w:rPr>
          <w:rFonts w:ascii="宋体" w:hAnsi="宋体" w:cs="宋体" w:eastAsia="宋体" w:hint="default"/>
          <w:spacing w:val="-2"/>
        </w:rPr>
        <w:t>31</w:t>
      </w:r>
      <w:r>
        <w:rPr>
          <w:spacing w:val="-2"/>
        </w:rPr>
        <w:t>日，公司治理与《公司法》和中国证监会相关规定的要求不存在差异，也未收到监管部门行政监</w:t>
      </w:r>
      <w:r>
        <w:rPr>
          <w:spacing w:val="-43"/>
        </w:rPr>
        <w:t> </w:t>
      </w:r>
      <w:r>
        <w:rPr>
          <w:spacing w:val="-43"/>
        </w:rPr>
      </w:r>
      <w:r>
        <w:rPr/>
        <w:t>管措施需限期整改的有关文件。</w:t>
      </w:r>
      <w:r>
        <w:rPr>
          <w:rFonts w:ascii="宋体" w:hAnsi="宋体" w:cs="宋体" w:eastAsia="宋体" w:hint="default"/>
        </w:rPr>
        <w:t> </w:t>
      </w:r>
    </w:p>
    <w:p>
      <w:pPr>
        <w:pStyle w:val="Heading5"/>
        <w:spacing w:line="240" w:lineRule="auto"/>
        <w:ind w:left="573" w:right="982" w:firstLine="0"/>
        <w:jc w:val="left"/>
        <w:rPr>
          <w:rFonts w:ascii="宋体" w:hAnsi="宋体" w:cs="宋体" w:eastAsia="宋体" w:hint="default"/>
        </w:rPr>
      </w:pPr>
      <w:r>
        <w:rPr/>
        <w:t>报告期内，公司依照相关法律、法规，对公司现有制度进行了修订：</w:t>
      </w:r>
      <w:r>
        <w:rPr>
          <w:rFonts w:ascii="宋体" w:hAnsi="宋体" w:cs="宋体" w:eastAsia="宋体" w:hint="default"/>
        </w:rPr>
        <w:t> </w:t>
      </w:r>
    </w:p>
    <w:p>
      <w:pPr>
        <w:spacing w:line="240" w:lineRule="auto" w:before="10"/>
        <w:rPr>
          <w:rFonts w:ascii="宋体" w:hAnsi="宋体" w:cs="宋体" w:eastAsia="宋体" w:hint="default"/>
          <w:sz w:val="14"/>
          <w:szCs w:val="14"/>
        </w:rPr>
      </w:pPr>
    </w:p>
    <w:p>
      <w:pPr>
        <w:pStyle w:val="Heading5"/>
        <w:spacing w:line="240" w:lineRule="auto" w:before="0"/>
        <w:ind w:left="573" w:right="982" w:firstLine="0"/>
        <w:jc w:val="left"/>
      </w:pPr>
      <w:r>
        <w:rPr>
          <w:spacing w:val="-5"/>
        </w:rPr>
        <w:t>（</w:t>
      </w:r>
      <w:r>
        <w:rPr>
          <w:rFonts w:ascii="宋体" w:hAnsi="宋体" w:cs="宋体" w:eastAsia="宋体" w:hint="default"/>
          <w:spacing w:val="-5"/>
        </w:rPr>
        <w:t>1</w:t>
      </w:r>
      <w:r>
        <w:rPr>
          <w:spacing w:val="-5"/>
        </w:rPr>
        <w:t>）经公司第四届董事会第八次会议和</w:t>
      </w:r>
      <w:r>
        <w:rPr>
          <w:rFonts w:ascii="宋体" w:hAnsi="宋体" w:cs="宋体" w:eastAsia="宋体" w:hint="default"/>
          <w:spacing w:val="-5"/>
        </w:rPr>
        <w:t>2017</w:t>
      </w:r>
      <w:r>
        <w:rPr>
          <w:spacing w:val="-5"/>
        </w:rPr>
        <w:t>年度股东大会审议，公司修订了《股东大会议事规则》、</w:t>
      </w:r>
    </w:p>
    <w:p>
      <w:pPr>
        <w:spacing w:line="240" w:lineRule="auto" w:before="10"/>
        <w:rPr>
          <w:rFonts w:ascii="宋体" w:hAnsi="宋体" w:cs="宋体" w:eastAsia="宋体" w:hint="default"/>
          <w:sz w:val="14"/>
          <w:szCs w:val="14"/>
        </w:rPr>
      </w:pPr>
    </w:p>
    <w:p>
      <w:pPr>
        <w:pStyle w:val="Heading5"/>
        <w:spacing w:line="408" w:lineRule="auto" w:before="0"/>
        <w:ind w:right="982" w:firstLine="0"/>
        <w:jc w:val="left"/>
        <w:rPr>
          <w:rFonts w:ascii="宋体" w:hAnsi="宋体" w:cs="宋体" w:eastAsia="宋体" w:hint="default"/>
        </w:rPr>
      </w:pPr>
      <w:r>
        <w:rPr>
          <w:spacing w:val="-2"/>
        </w:rPr>
        <w:t>《关联交易管理制度》、《募集资金管理制度》、《内部审计制度》、《投资决策管理制度》、《信息披</w:t>
      </w:r>
      <w:r>
        <w:rPr>
          <w:spacing w:val="-45"/>
        </w:rPr>
        <w:t> </w:t>
      </w:r>
      <w:r>
        <w:rPr>
          <w:spacing w:val="-45"/>
        </w:rPr>
      </w:r>
      <w:r>
        <w:rPr/>
        <w:t>露管理制度》。</w:t>
      </w:r>
      <w:r>
        <w:rPr>
          <w:rFonts w:ascii="宋体" w:hAnsi="宋体" w:cs="宋体" w:eastAsia="宋体" w:hint="default"/>
        </w:rPr>
        <w:t> </w:t>
      </w:r>
    </w:p>
    <w:p>
      <w:pPr>
        <w:spacing w:line="403" w:lineRule="auto" w:before="46"/>
        <w:ind w:left="152" w:right="982" w:firstLine="420"/>
        <w:jc w:val="left"/>
        <w:rPr>
          <w:rFonts w:ascii="宋体" w:hAnsi="宋体" w:cs="宋体" w:eastAsia="宋体" w:hint="default"/>
          <w:sz w:val="18"/>
          <w:szCs w:val="18"/>
        </w:rPr>
      </w:pPr>
      <w:r>
        <w:rPr>
          <w:rFonts w:ascii="宋体" w:hAnsi="宋体" w:cs="宋体" w:eastAsia="宋体" w:hint="default"/>
          <w:sz w:val="21"/>
          <w:szCs w:val="21"/>
        </w:rPr>
        <w:t>（</w:t>
      </w:r>
      <w:r>
        <w:rPr>
          <w:rFonts w:ascii="宋体" w:hAnsi="宋体" w:cs="宋体" w:eastAsia="宋体" w:hint="default"/>
          <w:sz w:val="21"/>
          <w:szCs w:val="21"/>
        </w:rPr>
        <w:t>2</w:t>
      </w:r>
      <w:r>
        <w:rPr>
          <w:rFonts w:ascii="宋体" w:hAnsi="宋体" w:cs="宋体" w:eastAsia="宋体" w:hint="default"/>
          <w:sz w:val="21"/>
          <w:szCs w:val="21"/>
        </w:rPr>
        <w:t>）因股权激励计划的实施，经公司第四届董事会第七次会议和</w:t>
      </w:r>
      <w:r>
        <w:rPr>
          <w:rFonts w:ascii="宋体" w:hAnsi="宋体" w:cs="宋体" w:eastAsia="宋体" w:hint="default"/>
          <w:sz w:val="21"/>
          <w:szCs w:val="21"/>
        </w:rPr>
        <w:t>2018</w:t>
      </w:r>
      <w:r>
        <w:rPr>
          <w:rFonts w:ascii="宋体" w:hAnsi="宋体" w:cs="宋体" w:eastAsia="宋体" w:hint="default"/>
          <w:sz w:val="21"/>
          <w:szCs w:val="21"/>
        </w:rPr>
        <w:t>年第一次临时股东大会审议，</w:t>
      </w:r>
      <w:r>
        <w:rPr>
          <w:rFonts w:ascii="宋体" w:hAnsi="宋体" w:cs="宋体" w:eastAsia="宋体" w:hint="default"/>
          <w:w w:val="100"/>
          <w:sz w:val="21"/>
          <w:szCs w:val="21"/>
        </w:rPr>
        <w:t> </w:t>
      </w:r>
      <w:r>
        <w:rPr>
          <w:rFonts w:ascii="宋体" w:hAnsi="宋体" w:cs="宋体" w:eastAsia="宋体" w:hint="default"/>
          <w:sz w:val="21"/>
          <w:szCs w:val="21"/>
        </w:rPr>
        <w:t>修订了《公司章程》部分条款。</w:t>
      </w:r>
      <w:r>
        <w:rPr>
          <w:rFonts w:ascii="宋体" w:hAnsi="宋体" w:cs="宋体" w:eastAsia="宋体" w:hint="default"/>
          <w:w w:val="100"/>
          <w:sz w:val="21"/>
          <w:szCs w:val="21"/>
        </w:rPr>
        <w:t> </w:t>
      </w:r>
      <w:r>
        <w:rPr>
          <w:rFonts w:ascii="宋体" w:hAnsi="宋体" w:cs="宋体" w:eastAsia="宋体" w:hint="default"/>
          <w:sz w:val="18"/>
          <w:szCs w:val="18"/>
        </w:rPr>
        <w:t>公司治理的实际状况与中国证监会发布的有关上市公司治理的规范性文件是否存在重大差异</w:t>
      </w:r>
    </w:p>
    <w:p>
      <w:pPr>
        <w:pStyle w:val="BodyText"/>
        <w:spacing w:line="340" w:lineRule="auto"/>
        <w:ind w:right="3554"/>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否 公司治理的实际状况与中国证监会发布的有关上市公司治理的规范性文件不存在重大差异。</w:t>
      </w:r>
    </w:p>
    <w:p>
      <w:pPr>
        <w:spacing w:line="240" w:lineRule="auto" w:before="6"/>
        <w:rPr>
          <w:rFonts w:ascii="宋体" w:hAnsi="宋体" w:cs="宋体" w:eastAsia="宋体" w:hint="default"/>
          <w:sz w:val="19"/>
          <w:szCs w:val="19"/>
        </w:rPr>
      </w:pPr>
    </w:p>
    <w:p>
      <w:pPr>
        <w:pStyle w:val="Heading2"/>
        <w:spacing w:line="240" w:lineRule="auto"/>
        <w:ind w:right="982"/>
        <w:jc w:val="left"/>
        <w:rPr>
          <w:b w:val="0"/>
          <w:bCs w:val="0"/>
        </w:rPr>
      </w:pPr>
      <w:r>
        <w:rPr/>
        <w:t>二、公司相对于控股股东在业务、人员、资产、机构、财务等方面的独立情况</w:t>
      </w:r>
      <w:r>
        <w:rPr>
          <w:b w:val="0"/>
          <w:bCs w:val="0"/>
        </w:rPr>
      </w:r>
    </w:p>
    <w:p>
      <w:pPr>
        <w:spacing w:line="240" w:lineRule="auto" w:before="10"/>
        <w:rPr>
          <w:rFonts w:ascii="宋体" w:hAnsi="宋体" w:cs="宋体" w:eastAsia="宋体" w:hint="default"/>
          <w:b/>
          <w:bCs/>
          <w:sz w:val="30"/>
          <w:szCs w:val="30"/>
        </w:rPr>
      </w:pPr>
    </w:p>
    <w:p>
      <w:pPr>
        <w:pStyle w:val="Heading5"/>
        <w:spacing w:line="408" w:lineRule="auto" w:before="0"/>
        <w:ind w:right="982"/>
        <w:jc w:val="left"/>
        <w:rPr>
          <w:rFonts w:ascii="宋体" w:hAnsi="宋体" w:cs="宋体" w:eastAsia="宋体" w:hint="default"/>
        </w:rPr>
      </w:pPr>
      <w:r>
        <w:rPr/>
        <w:t>公司为无实际控制人、无控股股东的上市公司。公司与持股</w:t>
      </w:r>
      <w:r>
        <w:rPr>
          <w:rFonts w:ascii="宋体" w:hAnsi="宋体" w:cs="宋体" w:eastAsia="宋体" w:hint="default"/>
        </w:rPr>
        <w:t>5%</w:t>
      </w:r>
      <w:r>
        <w:rPr/>
        <w:t>以上股东在业务、人员、资产、机构、</w:t>
      </w:r>
      <w:r>
        <w:rPr>
          <w:w w:val="100"/>
        </w:rPr>
        <w:t> </w:t>
      </w:r>
      <w:r>
        <w:rPr/>
        <w:t>财务等方面的独立情况如下：</w:t>
      </w:r>
      <w:r>
        <w:rPr>
          <w:rFonts w:ascii="宋体" w:hAnsi="宋体" w:cs="宋体" w:eastAsia="宋体" w:hint="default"/>
        </w:rPr>
        <w:t> </w:t>
      </w:r>
    </w:p>
    <w:p>
      <w:pPr>
        <w:pStyle w:val="Heading5"/>
        <w:spacing w:line="240" w:lineRule="auto"/>
        <w:ind w:left="573" w:right="982" w:firstLine="0"/>
        <w:jc w:val="left"/>
        <w:rPr>
          <w:rFonts w:ascii="宋体" w:hAnsi="宋体" w:cs="宋体" w:eastAsia="宋体" w:hint="default"/>
        </w:rPr>
      </w:pPr>
      <w:r>
        <w:rPr/>
        <w:t>（一）业务方面：公司业务独立于公司持股</w:t>
      </w:r>
      <w:r>
        <w:rPr>
          <w:rFonts w:ascii="宋体" w:hAnsi="宋体" w:cs="宋体" w:eastAsia="宋体" w:hint="default"/>
        </w:rPr>
        <w:t>5%</w:t>
      </w:r>
      <w:r>
        <w:rPr/>
        <w:t>以上股东，自主经营，业务结构完整。</w:t>
      </w:r>
      <w:r>
        <w:rPr>
          <w:rFonts w:ascii="宋体" w:hAnsi="宋体" w:cs="宋体" w:eastAsia="宋体" w:hint="default"/>
          <w:spacing w:val="-3"/>
        </w:rPr>
        <w:t> </w:t>
      </w:r>
      <w:r>
        <w:rPr>
          <w:rFonts w:ascii="宋体" w:hAnsi="宋体" w:cs="宋体" w:eastAsia="宋体" w:hint="default"/>
        </w:rPr>
        <w:t> </w:t>
      </w:r>
    </w:p>
    <w:p>
      <w:pPr>
        <w:spacing w:line="240" w:lineRule="auto" w:before="11"/>
        <w:rPr>
          <w:rFonts w:ascii="宋体" w:hAnsi="宋体" w:cs="宋体" w:eastAsia="宋体" w:hint="default"/>
          <w:sz w:val="14"/>
          <w:szCs w:val="14"/>
        </w:rPr>
      </w:pPr>
    </w:p>
    <w:p>
      <w:pPr>
        <w:pStyle w:val="Heading5"/>
        <w:spacing w:line="240" w:lineRule="auto" w:before="0"/>
        <w:ind w:left="573" w:right="982" w:firstLine="0"/>
        <w:jc w:val="left"/>
        <w:rPr>
          <w:rFonts w:ascii="宋体" w:hAnsi="宋体" w:cs="宋体" w:eastAsia="宋体" w:hint="default"/>
        </w:rPr>
      </w:pPr>
      <w:r>
        <w:rPr/>
        <w:t>（二）人员方面：公司在人事及薪酬福利管理方面独立运作。</w:t>
      </w:r>
      <w:r>
        <w:rPr>
          <w:rFonts w:ascii="宋体" w:hAnsi="宋体" w:cs="宋体" w:eastAsia="宋体" w:hint="default"/>
          <w:spacing w:val="-3"/>
        </w:rPr>
        <w:t> </w:t>
      </w:r>
      <w:r>
        <w:rPr>
          <w:rFonts w:ascii="宋体" w:hAnsi="宋体" w:cs="宋体" w:eastAsia="宋体" w:hint="default"/>
        </w:rPr>
        <w:t> </w:t>
      </w:r>
    </w:p>
    <w:p>
      <w:pPr>
        <w:spacing w:line="240" w:lineRule="auto" w:before="10"/>
        <w:rPr>
          <w:rFonts w:ascii="宋体" w:hAnsi="宋体" w:cs="宋体" w:eastAsia="宋体" w:hint="default"/>
          <w:sz w:val="14"/>
          <w:szCs w:val="14"/>
        </w:rPr>
      </w:pPr>
    </w:p>
    <w:p>
      <w:pPr>
        <w:pStyle w:val="Heading5"/>
        <w:spacing w:line="240" w:lineRule="auto" w:before="0"/>
        <w:ind w:left="573" w:right="982" w:firstLine="0"/>
        <w:jc w:val="left"/>
        <w:rPr>
          <w:rFonts w:ascii="宋体" w:hAnsi="宋体" w:cs="宋体" w:eastAsia="宋体" w:hint="default"/>
        </w:rPr>
      </w:pPr>
      <w:r>
        <w:rPr/>
        <w:t>（三）资产方面：公司拥有独立的经营场所以及配套设施。</w:t>
      </w:r>
      <w:r>
        <w:rPr>
          <w:rFonts w:ascii="宋体" w:hAnsi="宋体" w:cs="宋体" w:eastAsia="宋体" w:hint="default"/>
          <w:spacing w:val="-3"/>
        </w:rPr>
        <w:t> </w:t>
      </w:r>
      <w:r>
        <w:rPr>
          <w:rFonts w:ascii="宋体" w:hAnsi="宋体" w:cs="宋体" w:eastAsia="宋体" w:hint="default"/>
        </w:rPr>
        <w:t> </w:t>
      </w:r>
    </w:p>
    <w:p>
      <w:pPr>
        <w:spacing w:line="240" w:lineRule="auto" w:before="10"/>
        <w:rPr>
          <w:rFonts w:ascii="宋体" w:hAnsi="宋体" w:cs="宋体" w:eastAsia="宋体" w:hint="default"/>
          <w:sz w:val="14"/>
          <w:szCs w:val="14"/>
        </w:rPr>
      </w:pPr>
    </w:p>
    <w:p>
      <w:pPr>
        <w:pStyle w:val="Heading5"/>
        <w:spacing w:line="408" w:lineRule="auto" w:before="0"/>
        <w:ind w:right="982"/>
        <w:jc w:val="left"/>
        <w:rPr>
          <w:rFonts w:ascii="宋体" w:hAnsi="宋体" w:cs="宋体" w:eastAsia="宋体" w:hint="default"/>
        </w:rPr>
      </w:pPr>
      <w:r>
        <w:rPr>
          <w:spacing w:val="-7"/>
        </w:rPr>
        <w:t>（四）机构方面：公司设立了健全的组织机构体系，董事会、监事会及公司职能部门等机构独立运作，</w:t>
      </w:r>
      <w:r>
        <w:rPr>
          <w:w w:val="100"/>
        </w:rPr>
        <w:t> </w:t>
      </w:r>
      <w:r>
        <w:rPr/>
        <w:t>职能明确，不与公司持股</w:t>
      </w:r>
      <w:r>
        <w:rPr>
          <w:rFonts w:ascii="宋体" w:hAnsi="宋体" w:cs="宋体" w:eastAsia="宋体" w:hint="default"/>
        </w:rPr>
        <w:t>5%</w:t>
      </w:r>
      <w:r>
        <w:rPr/>
        <w:t>以上股东单位职能部门存在从属关系。</w:t>
      </w:r>
      <w:r>
        <w:rPr>
          <w:rFonts w:ascii="宋体" w:hAnsi="宋体" w:cs="宋体" w:eastAsia="宋体" w:hint="default"/>
          <w:spacing w:val="-3"/>
        </w:rPr>
        <w:t> </w:t>
      </w:r>
      <w:r>
        <w:rPr>
          <w:rFonts w:ascii="宋体" w:hAnsi="宋体" w:cs="宋体" w:eastAsia="宋体" w:hint="default"/>
        </w:rPr>
        <w:t> </w:t>
      </w:r>
    </w:p>
    <w:p>
      <w:pPr>
        <w:pStyle w:val="Heading5"/>
        <w:spacing w:line="408" w:lineRule="auto"/>
        <w:ind w:right="982"/>
        <w:jc w:val="left"/>
        <w:rPr>
          <w:rFonts w:ascii="宋体" w:hAnsi="宋体" w:cs="宋体" w:eastAsia="宋体" w:hint="default"/>
        </w:rPr>
      </w:pPr>
      <w:r>
        <w:rPr/>
        <w:t>（五）财务方面：公司设立了独立的的财务部门以及审计部门，配备了专门的财务人员和审计人员，</w:t>
      </w:r>
      <w:r>
        <w:rPr>
          <w:w w:val="100"/>
        </w:rPr>
        <w:t> </w:t>
      </w:r>
      <w:r>
        <w:rPr/>
        <w:t>并建立了独立的会计核算体系和财务管理制度。</w:t>
      </w:r>
      <w:r>
        <w:rPr>
          <w:rFonts w:ascii="宋体" w:hAnsi="宋体" w:cs="宋体" w:eastAsia="宋体" w:hint="default"/>
          <w:spacing w:val="-3"/>
        </w:rPr>
        <w:t> </w:t>
      </w:r>
      <w:r>
        <w:rPr>
          <w:rFonts w:ascii="宋体" w:hAnsi="宋体" w:cs="宋体" w:eastAsia="宋体" w:hint="default"/>
        </w:rPr>
        <w:t> </w:t>
      </w:r>
    </w:p>
    <w:p>
      <w:pPr>
        <w:spacing w:after="0" w:line="408" w:lineRule="auto"/>
        <w:jc w:val="left"/>
        <w:rPr>
          <w:rFonts w:ascii="宋体" w:hAnsi="宋体" w:cs="宋体" w:eastAsia="宋体" w:hint="default"/>
        </w:rPr>
        <w:sectPr>
          <w:pgSz w:w="11910" w:h="16840"/>
          <w:pgMar w:header="745" w:footer="979" w:top="1060" w:bottom="116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982"/>
        <w:jc w:val="left"/>
        <w:rPr>
          <w:b w:val="0"/>
          <w:bCs w:val="0"/>
        </w:rPr>
      </w:pPr>
      <w:r>
        <w:rPr/>
        <w:t>三、同业竞争情况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0"/>
        <w:rPr>
          <w:rFonts w:ascii="宋体" w:hAnsi="宋体" w:cs="宋体" w:eastAsia="宋体" w:hint="default"/>
          <w:sz w:val="24"/>
          <w:szCs w:val="24"/>
        </w:rPr>
      </w:pPr>
    </w:p>
    <w:p>
      <w:pPr>
        <w:pStyle w:val="Heading2"/>
        <w:spacing w:line="240" w:lineRule="auto"/>
        <w:ind w:right="982"/>
        <w:jc w:val="left"/>
        <w:rPr>
          <w:b w:val="0"/>
          <w:bCs w:val="0"/>
        </w:rPr>
      </w:pPr>
      <w:r>
        <w:rPr/>
        <w:t>四、报告期内召开的年度股东大会和临时股东大会的有关情况</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982"/>
        <w:jc w:val="left"/>
        <w:rPr>
          <w:b w:val="0"/>
          <w:bCs w:val="0"/>
        </w:rPr>
      </w:pPr>
      <w:r>
        <w:rPr>
          <w:rFonts w:ascii="Times New Roman" w:hAnsi="Times New Roman" w:cs="Times New Roman" w:eastAsia="Times New Roman" w:hint="default"/>
        </w:rPr>
        <w:t>1</w:t>
      </w:r>
      <w:r>
        <w:rPr/>
        <w:t>、本报告期股东大会情况</w:t>
      </w:r>
      <w:r>
        <w:rPr>
          <w:b w:val="0"/>
          <w:bCs w:val="0"/>
        </w:rPr>
      </w:r>
    </w:p>
    <w:p>
      <w:pPr>
        <w:spacing w:line="240" w:lineRule="auto" w:before="9"/>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1596"/>
        <w:gridCol w:w="1239"/>
        <w:gridCol w:w="994"/>
        <w:gridCol w:w="1135"/>
        <w:gridCol w:w="1416"/>
        <w:gridCol w:w="3188"/>
      </w:tblGrid>
      <w:tr>
        <w:trPr>
          <w:trHeight w:val="713"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会议届次</w:t>
            </w:r>
          </w:p>
        </w:tc>
        <w:tc>
          <w:tcPr>
            <w:tcW w:w="12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会议类型</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312" w:right="41" w:hanging="272"/>
              <w:jc w:val="left"/>
              <w:rPr>
                <w:rFonts w:ascii="宋体" w:hAnsi="宋体" w:cs="宋体" w:eastAsia="宋体" w:hint="default"/>
                <w:sz w:val="18"/>
                <w:szCs w:val="18"/>
              </w:rPr>
            </w:pPr>
            <w:r>
              <w:rPr>
                <w:rFonts w:ascii="宋体" w:hAnsi="宋体" w:cs="宋体" w:eastAsia="宋体" w:hint="default"/>
                <w:sz w:val="18"/>
                <w:szCs w:val="18"/>
              </w:rPr>
              <w:t>投资者参与 比例</w:t>
            </w:r>
          </w:p>
        </w:tc>
        <w:tc>
          <w:tcPr>
            <w:tcW w:w="11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01" w:right="0"/>
              <w:jc w:val="left"/>
              <w:rPr>
                <w:rFonts w:ascii="宋体" w:hAnsi="宋体" w:cs="宋体" w:eastAsia="宋体" w:hint="default"/>
                <w:sz w:val="18"/>
                <w:szCs w:val="18"/>
              </w:rPr>
            </w:pPr>
            <w:r>
              <w:rPr>
                <w:rFonts w:ascii="宋体" w:hAnsi="宋体" w:cs="宋体" w:eastAsia="宋体" w:hint="default"/>
                <w:sz w:val="18"/>
                <w:szCs w:val="18"/>
              </w:rPr>
              <w:t>召开日期</w:t>
            </w:r>
          </w:p>
        </w:tc>
        <w:tc>
          <w:tcPr>
            <w:tcW w:w="14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披露日期</w:t>
            </w:r>
          </w:p>
        </w:tc>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披露索引</w:t>
            </w:r>
          </w:p>
        </w:tc>
      </w:tr>
      <w:tr>
        <w:trPr>
          <w:trHeight w:val="2588"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1"/>
                <w:szCs w:val="21"/>
              </w:rPr>
            </w:pPr>
          </w:p>
          <w:p>
            <w:pPr>
              <w:pStyle w:val="TableParagraph"/>
              <w:spacing w:line="300" w:lineRule="auto"/>
              <w:ind w:left="24" w:right="72"/>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年第一次临时 股东大会</w:t>
            </w:r>
          </w:p>
        </w:tc>
        <w:tc>
          <w:tcPr>
            <w:tcW w:w="12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right="99"/>
              <w:jc w:val="center"/>
              <w:rPr>
                <w:rFonts w:ascii="宋体" w:hAnsi="宋体" w:cs="宋体" w:eastAsia="宋体" w:hint="default"/>
                <w:sz w:val="18"/>
                <w:szCs w:val="18"/>
              </w:rPr>
            </w:pPr>
            <w:r>
              <w:rPr>
                <w:rFonts w:ascii="宋体" w:hAnsi="宋体" w:cs="宋体" w:eastAsia="宋体" w:hint="default"/>
                <w:sz w:val="18"/>
                <w:szCs w:val="18"/>
              </w:rPr>
              <w:t>临时股东大会</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20.45%</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1"/>
                <w:szCs w:val="21"/>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p>
          <w:p>
            <w:pPr>
              <w:pStyle w:val="TableParagraph"/>
              <w:spacing w:line="240" w:lineRule="auto" w:before="6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1"/>
                <w:szCs w:val="21"/>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公告编号：</w:t>
            </w:r>
            <w:r>
              <w:rPr>
                <w:rFonts w:ascii="Times New Roman" w:hAnsi="Times New Roman" w:cs="Times New Roman" w:eastAsia="Times New Roman" w:hint="default"/>
                <w:sz w:val="18"/>
                <w:szCs w:val="18"/>
              </w:rPr>
              <w:t>2018-031</w:t>
            </w:r>
          </w:p>
          <w:p>
            <w:pPr>
              <w:pStyle w:val="TableParagraph"/>
              <w:spacing w:line="300" w:lineRule="auto" w:before="63"/>
              <w:ind w:left="23" w:right="46"/>
              <w:jc w:val="left"/>
              <w:rPr>
                <w:rFonts w:ascii="宋体" w:hAnsi="宋体" w:cs="宋体" w:eastAsia="宋体" w:hint="default"/>
                <w:sz w:val="18"/>
                <w:szCs w:val="18"/>
              </w:rPr>
            </w:pPr>
            <w:r>
              <w:rPr>
                <w:rFonts w:ascii="宋体" w:hAnsi="宋体" w:cs="宋体" w:eastAsia="宋体" w:hint="default"/>
                <w:sz w:val="18"/>
                <w:szCs w:val="18"/>
              </w:rPr>
              <w:t>公告名称：</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年第一次临时股东大会 决议公告</w:t>
            </w:r>
          </w:p>
          <w:p>
            <w:pPr>
              <w:pStyle w:val="TableParagraph"/>
              <w:spacing w:line="362" w:lineRule="auto" w:before="31"/>
              <w:ind w:left="23" w:right="71"/>
              <w:jc w:val="left"/>
              <w:rPr>
                <w:rFonts w:ascii="Times New Roman" w:hAnsi="Times New Roman" w:cs="Times New Roman" w:eastAsia="Times New Roman" w:hint="default"/>
                <w:sz w:val="18"/>
                <w:szCs w:val="18"/>
              </w:rPr>
            </w:pPr>
            <w:r>
              <w:rPr>
                <w:rFonts w:ascii="宋体" w:hAnsi="宋体" w:cs="宋体" w:eastAsia="宋体" w:hint="default"/>
                <w:sz w:val="18"/>
                <w:szCs w:val="18"/>
              </w:rPr>
              <w:t>巨潮资讯网： </w:t>
            </w:r>
            <w:hyperlink r:id="rId51">
              <w:r>
                <w:rPr>
                  <w:rFonts w:ascii="Times New Roman" w:hAnsi="Times New Roman" w:cs="Times New Roman" w:eastAsia="Times New Roman" w:hint="default"/>
                  <w:sz w:val="18"/>
                  <w:szCs w:val="18"/>
                </w:rPr>
                <w:t>http://www.cninfo.com.cn/new/disclosure/</w:t>
              </w:r>
            </w:hyperlink>
            <w:r>
              <w:rPr>
                <w:rFonts w:ascii="Times New Roman" w:hAnsi="Times New Roman" w:cs="Times New Roman" w:eastAsia="Times New Roman" w:hint="default"/>
                <w:w w:val="99"/>
                <w:sz w:val="18"/>
                <w:szCs w:val="18"/>
              </w:rPr>
              <w:t> </w:t>
            </w:r>
            <w:r>
              <w:rPr>
                <w:rFonts w:ascii="Times New Roman" w:hAnsi="Times New Roman" w:cs="Times New Roman" w:eastAsia="Times New Roman" w:hint="default"/>
                <w:sz w:val="18"/>
                <w:szCs w:val="18"/>
              </w:rPr>
              <w:t>detail?plate=szse&amp;stockCode=002405&amp;an</w:t>
            </w:r>
            <w:r>
              <w:rPr>
                <w:rFonts w:ascii="Times New Roman" w:hAnsi="Times New Roman" w:cs="Times New Roman" w:eastAsia="Times New Roman" w:hint="default"/>
                <w:sz w:val="18"/>
                <w:szCs w:val="18"/>
              </w:rPr>
              <w:t> nouncementId=1204942438&amp;announceme ntTime=2018-05-15</w:t>
            </w:r>
          </w:p>
        </w:tc>
      </w:tr>
      <w:tr>
        <w:trPr>
          <w:trHeight w:val="227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1"/>
                <w:szCs w:val="21"/>
              </w:rPr>
            </w:pPr>
          </w:p>
          <w:p>
            <w:pPr>
              <w:pStyle w:val="TableParagraph"/>
              <w:spacing w:line="240" w:lineRule="auto"/>
              <w:ind w:right="4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年度股东大会</w:t>
            </w:r>
          </w:p>
        </w:tc>
        <w:tc>
          <w:tcPr>
            <w:tcW w:w="12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1"/>
                <w:szCs w:val="21"/>
              </w:rPr>
            </w:pPr>
          </w:p>
          <w:p>
            <w:pPr>
              <w:pStyle w:val="TableParagraph"/>
              <w:spacing w:line="240" w:lineRule="auto"/>
              <w:ind w:right="99"/>
              <w:jc w:val="center"/>
              <w:rPr>
                <w:rFonts w:ascii="宋体" w:hAnsi="宋体" w:cs="宋体" w:eastAsia="宋体" w:hint="default"/>
                <w:sz w:val="18"/>
                <w:szCs w:val="18"/>
              </w:rPr>
            </w:pPr>
            <w:r>
              <w:rPr>
                <w:rFonts w:ascii="宋体" w:hAnsi="宋体" w:cs="宋体" w:eastAsia="宋体" w:hint="default"/>
                <w:sz w:val="18"/>
                <w:szCs w:val="18"/>
              </w:rPr>
              <w:t>年度股东大会</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25.31%</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2"/>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p>
          <w:p>
            <w:pPr>
              <w:pStyle w:val="TableParagraph"/>
              <w:spacing w:line="240" w:lineRule="auto" w:before="6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2"/>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30</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公告编号：</w:t>
            </w:r>
            <w:r>
              <w:rPr>
                <w:rFonts w:ascii="Times New Roman" w:hAnsi="Times New Roman" w:cs="Times New Roman" w:eastAsia="Times New Roman" w:hint="default"/>
                <w:sz w:val="18"/>
                <w:szCs w:val="18"/>
              </w:rPr>
              <w:t>2018-045</w:t>
            </w:r>
          </w:p>
          <w:p>
            <w:pPr>
              <w:pStyle w:val="TableParagraph"/>
              <w:spacing w:line="312" w:lineRule="exact" w:before="21"/>
              <w:ind w:left="23" w:right="46"/>
              <w:jc w:val="left"/>
              <w:rPr>
                <w:rFonts w:ascii="Times New Roman" w:hAnsi="Times New Roman" w:cs="Times New Roman" w:eastAsia="Times New Roman" w:hint="default"/>
                <w:sz w:val="18"/>
                <w:szCs w:val="18"/>
              </w:rPr>
            </w:pPr>
            <w:r>
              <w:rPr>
                <w:rFonts w:ascii="宋体" w:hAnsi="宋体" w:cs="宋体" w:eastAsia="宋体" w:hint="default"/>
                <w:sz w:val="18"/>
                <w:szCs w:val="18"/>
              </w:rPr>
              <w:t>公告名称：</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年度股东大会决议公告 巨潮资讯网： </w:t>
            </w:r>
            <w:hyperlink r:id="rId51">
              <w:r>
                <w:rPr>
                  <w:rFonts w:ascii="Times New Roman" w:hAnsi="Times New Roman" w:cs="Times New Roman" w:eastAsia="Times New Roman" w:hint="default"/>
                  <w:sz w:val="18"/>
                  <w:szCs w:val="18"/>
                </w:rPr>
                <w:t>http://www.cninfo.com.cn/new/disclosure/</w:t>
              </w:r>
            </w:hyperlink>
          </w:p>
          <w:p>
            <w:pPr>
              <w:pStyle w:val="TableParagraph"/>
              <w:spacing w:line="362" w:lineRule="auto" w:before="82"/>
              <w:ind w:left="23" w:right="71"/>
              <w:jc w:val="both"/>
              <w:rPr>
                <w:rFonts w:ascii="Times New Roman" w:hAnsi="Times New Roman" w:cs="Times New Roman" w:eastAsia="Times New Roman" w:hint="default"/>
                <w:sz w:val="18"/>
                <w:szCs w:val="18"/>
              </w:rPr>
            </w:pPr>
            <w:r>
              <w:rPr>
                <w:rFonts w:ascii="Times New Roman"/>
                <w:sz w:val="18"/>
              </w:rPr>
              <w:t>detail?plate=szse&amp;stockCode=002405&amp;an nouncementId=1205109640&amp;announceme ntTime=2018-06-30</w:t>
            </w:r>
          </w:p>
        </w:tc>
      </w:tr>
      <w:tr>
        <w:trPr>
          <w:trHeight w:val="2587"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1"/>
                <w:szCs w:val="21"/>
              </w:rPr>
            </w:pPr>
          </w:p>
          <w:p>
            <w:pPr>
              <w:pStyle w:val="TableParagraph"/>
              <w:spacing w:line="300" w:lineRule="auto"/>
              <w:ind w:left="24" w:right="72"/>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年第二次临时 股东大会</w:t>
            </w:r>
          </w:p>
        </w:tc>
        <w:tc>
          <w:tcPr>
            <w:tcW w:w="12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5"/>
                <w:szCs w:val="15"/>
              </w:rPr>
            </w:pPr>
          </w:p>
          <w:p>
            <w:pPr>
              <w:pStyle w:val="TableParagraph"/>
              <w:spacing w:line="240" w:lineRule="auto"/>
              <w:ind w:right="99"/>
              <w:jc w:val="center"/>
              <w:rPr>
                <w:rFonts w:ascii="宋体" w:hAnsi="宋体" w:cs="宋体" w:eastAsia="宋体" w:hint="default"/>
                <w:sz w:val="18"/>
                <w:szCs w:val="18"/>
              </w:rPr>
            </w:pPr>
            <w:r>
              <w:rPr>
                <w:rFonts w:ascii="宋体" w:hAnsi="宋体" w:cs="宋体" w:eastAsia="宋体" w:hint="default"/>
                <w:sz w:val="18"/>
                <w:szCs w:val="18"/>
              </w:rPr>
              <w:t>临时股东大会</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20.41%</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1"/>
                <w:szCs w:val="21"/>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p>
          <w:p>
            <w:pPr>
              <w:pStyle w:val="TableParagraph"/>
              <w:spacing w:line="240" w:lineRule="auto" w:before="6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1"/>
                <w:szCs w:val="21"/>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28</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公告编号：</w:t>
            </w:r>
            <w:r>
              <w:rPr>
                <w:rFonts w:ascii="Times New Roman" w:hAnsi="Times New Roman" w:cs="Times New Roman" w:eastAsia="Times New Roman" w:hint="default"/>
                <w:sz w:val="18"/>
                <w:szCs w:val="18"/>
              </w:rPr>
              <w:t>2018-070</w:t>
            </w:r>
          </w:p>
          <w:p>
            <w:pPr>
              <w:pStyle w:val="TableParagraph"/>
              <w:spacing w:line="300" w:lineRule="auto" w:before="63"/>
              <w:ind w:left="23" w:right="46"/>
              <w:jc w:val="left"/>
              <w:rPr>
                <w:rFonts w:ascii="宋体" w:hAnsi="宋体" w:cs="宋体" w:eastAsia="宋体" w:hint="default"/>
                <w:sz w:val="18"/>
                <w:szCs w:val="18"/>
              </w:rPr>
            </w:pPr>
            <w:r>
              <w:rPr>
                <w:rFonts w:ascii="宋体" w:hAnsi="宋体" w:cs="宋体" w:eastAsia="宋体" w:hint="default"/>
                <w:sz w:val="18"/>
                <w:szCs w:val="18"/>
              </w:rPr>
              <w:t>公告名称：</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年第二次临时股东大会 决议公告</w:t>
            </w:r>
          </w:p>
          <w:p>
            <w:pPr>
              <w:pStyle w:val="TableParagraph"/>
              <w:spacing w:line="362" w:lineRule="auto" w:before="31"/>
              <w:ind w:left="23" w:right="71"/>
              <w:jc w:val="left"/>
              <w:rPr>
                <w:rFonts w:ascii="Times New Roman" w:hAnsi="Times New Roman" w:cs="Times New Roman" w:eastAsia="Times New Roman" w:hint="default"/>
                <w:sz w:val="18"/>
                <w:szCs w:val="18"/>
              </w:rPr>
            </w:pPr>
            <w:r>
              <w:rPr>
                <w:rFonts w:ascii="宋体" w:hAnsi="宋体" w:cs="宋体" w:eastAsia="宋体" w:hint="default"/>
                <w:sz w:val="18"/>
                <w:szCs w:val="18"/>
              </w:rPr>
              <w:t>巨潮资讯网： </w:t>
            </w:r>
            <w:hyperlink r:id="rId51">
              <w:r>
                <w:rPr>
                  <w:rFonts w:ascii="Times New Roman" w:hAnsi="Times New Roman" w:cs="Times New Roman" w:eastAsia="Times New Roman" w:hint="default"/>
                  <w:sz w:val="18"/>
                  <w:szCs w:val="18"/>
                </w:rPr>
                <w:t>http://www.cninfo.com.cn/new/disclosure/</w:t>
              </w:r>
            </w:hyperlink>
            <w:r>
              <w:rPr>
                <w:rFonts w:ascii="Times New Roman" w:hAnsi="Times New Roman" w:cs="Times New Roman" w:eastAsia="Times New Roman" w:hint="default"/>
                <w:w w:val="99"/>
                <w:sz w:val="18"/>
                <w:szCs w:val="18"/>
              </w:rPr>
              <w:t> </w:t>
            </w:r>
            <w:r>
              <w:rPr>
                <w:rFonts w:ascii="Times New Roman" w:hAnsi="Times New Roman" w:cs="Times New Roman" w:eastAsia="Times New Roman" w:hint="default"/>
                <w:sz w:val="18"/>
                <w:szCs w:val="18"/>
              </w:rPr>
              <w:t>detail?plate=szse&amp;stockCode=002405&amp;an</w:t>
            </w:r>
            <w:r>
              <w:rPr>
                <w:rFonts w:ascii="Times New Roman" w:hAnsi="Times New Roman" w:cs="Times New Roman" w:eastAsia="Times New Roman" w:hint="default"/>
                <w:sz w:val="18"/>
                <w:szCs w:val="18"/>
              </w:rPr>
              <w:t> nouncementId=1205471804&amp;announceme ntTime=2018-09-28</w:t>
            </w:r>
          </w:p>
        </w:tc>
      </w:tr>
      <w:tr>
        <w:trPr>
          <w:trHeight w:val="2585"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1"/>
                <w:szCs w:val="21"/>
              </w:rPr>
            </w:pPr>
          </w:p>
          <w:p>
            <w:pPr>
              <w:pStyle w:val="TableParagraph"/>
              <w:spacing w:line="297" w:lineRule="auto"/>
              <w:ind w:left="24" w:right="72"/>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年第三次临时 股东大会</w:t>
            </w:r>
          </w:p>
        </w:tc>
        <w:tc>
          <w:tcPr>
            <w:tcW w:w="12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right="99"/>
              <w:jc w:val="center"/>
              <w:rPr>
                <w:rFonts w:ascii="宋体" w:hAnsi="宋体" w:cs="宋体" w:eastAsia="宋体" w:hint="default"/>
                <w:sz w:val="18"/>
                <w:szCs w:val="18"/>
              </w:rPr>
            </w:pPr>
            <w:r>
              <w:rPr>
                <w:rFonts w:ascii="宋体" w:hAnsi="宋体" w:cs="宋体" w:eastAsia="宋体" w:hint="default"/>
                <w:sz w:val="18"/>
                <w:szCs w:val="18"/>
              </w:rPr>
              <w:t>临时股东大会</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22.13%</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1"/>
                <w:szCs w:val="21"/>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1"/>
                <w:szCs w:val="21"/>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公告编号：</w:t>
            </w:r>
            <w:r>
              <w:rPr>
                <w:rFonts w:ascii="Times New Roman" w:hAnsi="Times New Roman" w:cs="Times New Roman" w:eastAsia="Times New Roman" w:hint="default"/>
                <w:sz w:val="18"/>
                <w:szCs w:val="18"/>
              </w:rPr>
              <w:t>2018-081</w:t>
            </w:r>
          </w:p>
          <w:p>
            <w:pPr>
              <w:pStyle w:val="TableParagraph"/>
              <w:spacing w:line="300" w:lineRule="auto" w:before="60"/>
              <w:ind w:left="23" w:right="46"/>
              <w:jc w:val="left"/>
              <w:rPr>
                <w:rFonts w:ascii="宋体" w:hAnsi="宋体" w:cs="宋体" w:eastAsia="宋体" w:hint="default"/>
                <w:sz w:val="18"/>
                <w:szCs w:val="18"/>
              </w:rPr>
            </w:pPr>
            <w:r>
              <w:rPr>
                <w:rFonts w:ascii="宋体" w:hAnsi="宋体" w:cs="宋体" w:eastAsia="宋体" w:hint="default"/>
                <w:sz w:val="18"/>
                <w:szCs w:val="18"/>
              </w:rPr>
              <w:t>公告名称：</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年第三次临时股东大会 决议公告</w:t>
            </w:r>
          </w:p>
          <w:p>
            <w:pPr>
              <w:pStyle w:val="TableParagraph"/>
              <w:spacing w:line="362" w:lineRule="auto" w:before="31"/>
              <w:ind w:left="23" w:right="69"/>
              <w:jc w:val="left"/>
              <w:rPr>
                <w:rFonts w:ascii="Times New Roman" w:hAnsi="Times New Roman" w:cs="Times New Roman" w:eastAsia="Times New Roman" w:hint="default"/>
                <w:sz w:val="18"/>
                <w:szCs w:val="18"/>
              </w:rPr>
            </w:pPr>
            <w:r>
              <w:rPr>
                <w:rFonts w:ascii="宋体" w:hAnsi="宋体" w:cs="宋体" w:eastAsia="宋体" w:hint="default"/>
                <w:sz w:val="18"/>
                <w:szCs w:val="18"/>
              </w:rPr>
              <w:t>巨潮资讯网： </w:t>
            </w:r>
            <w:hyperlink r:id="rId51">
              <w:r>
                <w:rPr>
                  <w:rFonts w:ascii="Times New Roman" w:hAnsi="Times New Roman" w:cs="Times New Roman" w:eastAsia="Times New Roman" w:hint="default"/>
                  <w:sz w:val="18"/>
                  <w:szCs w:val="18"/>
                </w:rPr>
                <w:t>http://www.cninfo.com.cn/new/disclosure/</w:t>
              </w:r>
            </w:hyperlink>
            <w:r>
              <w:rPr>
                <w:rFonts w:ascii="Times New Roman" w:hAnsi="Times New Roman" w:cs="Times New Roman" w:eastAsia="Times New Roman" w:hint="default"/>
                <w:w w:val="99"/>
                <w:sz w:val="18"/>
                <w:szCs w:val="18"/>
              </w:rPr>
              <w:t> </w:t>
            </w:r>
            <w:r>
              <w:rPr>
                <w:rFonts w:ascii="Times New Roman" w:hAnsi="Times New Roman" w:cs="Times New Roman" w:eastAsia="Times New Roman" w:hint="default"/>
                <w:sz w:val="18"/>
                <w:szCs w:val="18"/>
              </w:rPr>
              <w:t>detail?plate=szse&amp;stockCode=002405&amp;an</w:t>
            </w:r>
            <w:r>
              <w:rPr>
                <w:rFonts w:ascii="Times New Roman" w:hAnsi="Times New Roman" w:cs="Times New Roman" w:eastAsia="Times New Roman" w:hint="default"/>
                <w:sz w:val="18"/>
                <w:szCs w:val="18"/>
              </w:rPr>
              <w:t> nouncementId=1205581578&amp;announceme ntTime=2018-11-06</w:t>
            </w:r>
          </w:p>
        </w:tc>
      </w:tr>
    </w:tbl>
    <w:p>
      <w:pPr>
        <w:spacing w:after="0" w:line="362" w:lineRule="auto"/>
        <w:jc w:val="lef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10"/>
        <w:rPr>
          <w:rFonts w:ascii="宋体" w:hAnsi="宋体" w:cs="宋体" w:eastAsia="宋体" w:hint="default"/>
          <w:b/>
          <w:bCs/>
          <w:sz w:val="24"/>
          <w:szCs w:val="24"/>
        </w:rPr>
      </w:pPr>
    </w:p>
    <w:p>
      <w:pPr>
        <w:pStyle w:val="Heading4"/>
        <w:spacing w:line="240" w:lineRule="auto" w:before="36"/>
        <w:ind w:right="982"/>
        <w:jc w:val="left"/>
        <w:rPr>
          <w:b w:val="0"/>
          <w:bCs w:val="0"/>
        </w:rPr>
      </w:pPr>
      <w:r>
        <w:rPr>
          <w:rFonts w:ascii="Times New Roman" w:hAnsi="Times New Roman" w:cs="Times New Roman" w:eastAsia="Times New Roman" w:hint="default"/>
        </w:rPr>
        <w:t>2</w:t>
      </w:r>
      <w:r>
        <w:rPr/>
        <w:t>、表决权恢复的优先股股东请求召开临时股东大会</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0"/>
        <w:rPr>
          <w:rFonts w:ascii="宋体" w:hAnsi="宋体" w:cs="宋体" w:eastAsia="宋体" w:hint="default"/>
          <w:sz w:val="24"/>
          <w:szCs w:val="24"/>
        </w:rPr>
      </w:pPr>
    </w:p>
    <w:p>
      <w:pPr>
        <w:pStyle w:val="Heading2"/>
        <w:spacing w:line="240" w:lineRule="auto"/>
        <w:ind w:right="982"/>
        <w:jc w:val="left"/>
        <w:rPr>
          <w:b w:val="0"/>
          <w:bCs w:val="0"/>
        </w:rPr>
      </w:pPr>
      <w:r>
        <w:rPr/>
        <w:t>五、报告期内独立董事履行职责的情况</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982"/>
        <w:jc w:val="left"/>
        <w:rPr>
          <w:b w:val="0"/>
          <w:bCs w:val="0"/>
        </w:rPr>
      </w:pPr>
      <w:r>
        <w:rPr>
          <w:rFonts w:ascii="Times New Roman" w:hAnsi="Times New Roman" w:cs="Times New Roman" w:eastAsia="Times New Roman" w:hint="default"/>
        </w:rPr>
        <w:t>1</w:t>
      </w:r>
      <w:r>
        <w:rPr/>
        <w:t>、独立董事出席董事会及股东大会的情况</w:t>
      </w:r>
      <w:r>
        <w:rPr>
          <w:b w:val="0"/>
          <w:bCs w:val="0"/>
        </w:rPr>
      </w:r>
    </w:p>
    <w:p>
      <w:pPr>
        <w:spacing w:line="240" w:lineRule="auto" w:before="9"/>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1428"/>
        <w:gridCol w:w="1164"/>
        <w:gridCol w:w="1165"/>
        <w:gridCol w:w="1162"/>
        <w:gridCol w:w="1164"/>
        <w:gridCol w:w="1162"/>
        <w:gridCol w:w="1165"/>
        <w:gridCol w:w="1164"/>
      </w:tblGrid>
      <w:tr>
        <w:trPr>
          <w:trHeight w:val="401" w:hRule="exact"/>
        </w:trPr>
        <w:tc>
          <w:tcPr>
            <w:tcW w:w="9573"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独立董事出席董事会及股东大会的情况</w:t>
            </w:r>
          </w:p>
        </w:tc>
      </w:tr>
      <w:tr>
        <w:trPr>
          <w:trHeight w:val="1028" w:hRule="exact"/>
        </w:trPr>
        <w:tc>
          <w:tcPr>
            <w:tcW w:w="14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独立董事姓名</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38" w:right="35"/>
              <w:jc w:val="left"/>
              <w:rPr>
                <w:rFonts w:ascii="宋体" w:hAnsi="宋体" w:cs="宋体" w:eastAsia="宋体" w:hint="default"/>
                <w:sz w:val="18"/>
                <w:szCs w:val="18"/>
              </w:rPr>
            </w:pPr>
            <w:r>
              <w:rPr>
                <w:rFonts w:ascii="宋体" w:hAnsi="宋体" w:cs="宋体" w:eastAsia="宋体" w:hint="default"/>
                <w:sz w:val="18"/>
                <w:szCs w:val="18"/>
              </w:rPr>
              <w:t>本报告期应参 加董事会次数</w:t>
            </w:r>
          </w:p>
        </w:tc>
        <w:tc>
          <w:tcPr>
            <w:tcW w:w="1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307" w:right="34" w:hanging="270"/>
              <w:jc w:val="left"/>
              <w:rPr>
                <w:rFonts w:ascii="宋体" w:hAnsi="宋体" w:cs="宋体" w:eastAsia="宋体" w:hint="default"/>
                <w:sz w:val="18"/>
                <w:szCs w:val="18"/>
              </w:rPr>
            </w:pPr>
            <w:r>
              <w:rPr>
                <w:rFonts w:ascii="宋体" w:hAnsi="宋体" w:cs="宋体" w:eastAsia="宋体" w:hint="default"/>
                <w:sz w:val="18"/>
                <w:szCs w:val="18"/>
              </w:rPr>
              <w:t>现场出席董事 会次数</w:t>
            </w:r>
          </w:p>
        </w:tc>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35" w:right="35"/>
              <w:jc w:val="left"/>
              <w:rPr>
                <w:rFonts w:ascii="宋体" w:hAnsi="宋体" w:cs="宋体" w:eastAsia="宋体" w:hint="default"/>
                <w:sz w:val="18"/>
                <w:szCs w:val="18"/>
              </w:rPr>
            </w:pPr>
            <w:r>
              <w:rPr>
                <w:rFonts w:ascii="宋体" w:hAnsi="宋体" w:cs="宋体" w:eastAsia="宋体" w:hint="default"/>
                <w:sz w:val="18"/>
                <w:szCs w:val="18"/>
              </w:rPr>
              <w:t>以通讯方式参 加董事会次数</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307" w:right="36" w:hanging="272"/>
              <w:jc w:val="left"/>
              <w:rPr>
                <w:rFonts w:ascii="宋体" w:hAnsi="宋体" w:cs="宋体" w:eastAsia="宋体" w:hint="default"/>
                <w:sz w:val="18"/>
                <w:szCs w:val="18"/>
              </w:rPr>
            </w:pPr>
            <w:r>
              <w:rPr>
                <w:rFonts w:ascii="宋体" w:hAnsi="宋体" w:cs="宋体" w:eastAsia="宋体" w:hint="default"/>
                <w:sz w:val="18"/>
                <w:szCs w:val="18"/>
              </w:rPr>
              <w:t>委托出席董事 会次数</w:t>
            </w:r>
          </w:p>
        </w:tc>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487" w:right="35" w:hanging="452"/>
              <w:jc w:val="left"/>
              <w:rPr>
                <w:rFonts w:ascii="宋体" w:hAnsi="宋体" w:cs="宋体" w:eastAsia="宋体" w:hint="default"/>
                <w:sz w:val="18"/>
                <w:szCs w:val="18"/>
              </w:rPr>
            </w:pPr>
            <w:r>
              <w:rPr>
                <w:rFonts w:ascii="宋体" w:hAnsi="宋体" w:cs="宋体" w:eastAsia="宋体" w:hint="default"/>
                <w:sz w:val="18"/>
                <w:szCs w:val="18"/>
              </w:rPr>
              <w:t>缺席董事会次 数</w:t>
            </w:r>
          </w:p>
        </w:tc>
        <w:tc>
          <w:tcPr>
            <w:tcW w:w="1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35" w:right="38"/>
              <w:jc w:val="center"/>
              <w:rPr>
                <w:rFonts w:ascii="宋体" w:hAnsi="宋体" w:cs="宋体" w:eastAsia="宋体" w:hint="default"/>
                <w:sz w:val="18"/>
                <w:szCs w:val="18"/>
              </w:rPr>
            </w:pPr>
            <w:r>
              <w:rPr>
                <w:rFonts w:ascii="宋体" w:hAnsi="宋体" w:cs="宋体" w:eastAsia="宋体" w:hint="default"/>
                <w:sz w:val="18"/>
                <w:szCs w:val="18"/>
              </w:rPr>
              <w:t>是否连续两次 未亲自参加董 事会会议</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396" w:right="36" w:hanging="360"/>
              <w:jc w:val="left"/>
              <w:rPr>
                <w:rFonts w:ascii="宋体" w:hAnsi="宋体" w:cs="宋体" w:eastAsia="宋体" w:hint="default"/>
                <w:sz w:val="18"/>
                <w:szCs w:val="18"/>
              </w:rPr>
            </w:pPr>
            <w:r>
              <w:rPr>
                <w:rFonts w:ascii="宋体" w:hAnsi="宋体" w:cs="宋体" w:eastAsia="宋体" w:hint="default"/>
                <w:sz w:val="18"/>
                <w:szCs w:val="18"/>
              </w:rPr>
              <w:t>出席股东大会 次数</w:t>
            </w:r>
          </w:p>
        </w:tc>
      </w:tr>
      <w:tr>
        <w:trPr>
          <w:trHeight w:val="401" w:hRule="exact"/>
        </w:trPr>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李 </w:t>
            </w:r>
            <w:r>
              <w:rPr>
                <w:rFonts w:ascii="宋体" w:hAnsi="宋体" w:cs="宋体" w:eastAsia="宋体" w:hint="default"/>
                <w:spacing w:val="2"/>
                <w:sz w:val="18"/>
                <w:szCs w:val="18"/>
              </w:rPr>
              <w:t> </w:t>
            </w:r>
            <w:r>
              <w:rPr>
                <w:rFonts w:ascii="宋体" w:hAnsi="宋体" w:cs="宋体" w:eastAsia="宋体" w:hint="default"/>
                <w:sz w:val="18"/>
                <w:szCs w:val="18"/>
              </w:rPr>
              <w:t>想</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任光明</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3</w:t>
            </w:r>
          </w:p>
        </w:tc>
      </w:tr>
      <w:tr>
        <w:trPr>
          <w:trHeight w:val="401" w:hRule="exact"/>
        </w:trPr>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吴艾今</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bl>
    <w:p>
      <w:pPr>
        <w:pStyle w:val="BodyText"/>
        <w:spacing w:line="360" w:lineRule="auto" w:before="49"/>
        <w:ind w:right="8054"/>
        <w:jc w:val="left"/>
      </w:pPr>
      <w:r>
        <w:rPr/>
        <w:t>连续两次未亲自出席董事会的说明 不适用</w:t>
      </w:r>
    </w:p>
    <w:p>
      <w:pPr>
        <w:spacing w:line="240" w:lineRule="auto" w:before="2"/>
        <w:rPr>
          <w:rFonts w:ascii="宋体" w:hAnsi="宋体" w:cs="宋体" w:eastAsia="宋体" w:hint="default"/>
          <w:sz w:val="20"/>
          <w:szCs w:val="20"/>
        </w:rPr>
      </w:pPr>
    </w:p>
    <w:p>
      <w:pPr>
        <w:pStyle w:val="Heading4"/>
        <w:spacing w:line="240" w:lineRule="auto"/>
        <w:ind w:right="982"/>
        <w:jc w:val="left"/>
        <w:rPr>
          <w:b w:val="0"/>
          <w:bCs w:val="0"/>
        </w:rPr>
      </w:pPr>
      <w:r>
        <w:rPr>
          <w:rFonts w:ascii="Times New Roman" w:hAnsi="Times New Roman" w:cs="Times New Roman" w:eastAsia="Times New Roman" w:hint="default"/>
        </w:rPr>
        <w:t>2</w:t>
      </w:r>
      <w:r>
        <w:rPr/>
        <w:t>、独立董事对公司有关事项提出异议的情况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t>独立董事对公司有关事项是否提出异议</w:t>
      </w:r>
    </w:p>
    <w:p>
      <w:pPr>
        <w:pStyle w:val="BodyText"/>
        <w:spacing w:line="338" w:lineRule="auto" w:before="117"/>
        <w:ind w:right="6974"/>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否 报告期内独立董事对公司有关事项未提出异议。</w:t>
      </w:r>
    </w:p>
    <w:p>
      <w:pPr>
        <w:spacing w:line="240" w:lineRule="auto" w:before="7"/>
        <w:rPr>
          <w:rFonts w:ascii="宋体" w:hAnsi="宋体" w:cs="宋体" w:eastAsia="宋体" w:hint="default"/>
          <w:sz w:val="21"/>
          <w:szCs w:val="21"/>
        </w:rPr>
      </w:pPr>
    </w:p>
    <w:p>
      <w:pPr>
        <w:pStyle w:val="Heading4"/>
        <w:spacing w:line="240" w:lineRule="auto"/>
        <w:ind w:right="982"/>
        <w:jc w:val="left"/>
        <w:rPr>
          <w:b w:val="0"/>
          <w:bCs w:val="0"/>
        </w:rPr>
      </w:pPr>
      <w:r>
        <w:rPr>
          <w:rFonts w:ascii="Times New Roman" w:hAnsi="Times New Roman" w:cs="Times New Roman" w:eastAsia="Times New Roman" w:hint="default"/>
        </w:rPr>
        <w:t>3</w:t>
      </w:r>
      <w:r>
        <w:rPr/>
        <w:t>、独立董事履行职责的其他说明</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t>独立董事对公司有关建议是否被采纳</w:t>
      </w:r>
    </w:p>
    <w:p>
      <w:pPr>
        <w:pStyle w:val="BodyText"/>
        <w:spacing w:line="348" w:lineRule="auto" w:before="117"/>
        <w:ind w:right="6704"/>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2"/>
        </w:rPr>
        <w:t> </w:t>
      </w:r>
      <w:r>
        <w:rPr/>
        <w:t>否 独立董事对公司有关建议被采纳或未被采纳的说明 </w:t>
      </w:r>
      <w:r>
        <w:rPr>
          <w:rFonts w:ascii="Times New Roman" w:hAnsi="Times New Roman" w:cs="Times New Roman" w:eastAsia="Times New Roman" w:hint="default"/>
        </w:rPr>
        <w:t>1</w:t>
      </w:r>
      <w:r>
        <w:rPr/>
        <w:t>、独立董事对公司对外投资管理工作提出了建议；</w:t>
      </w:r>
    </w:p>
    <w:p>
      <w:pPr>
        <w:pStyle w:val="BodyText"/>
        <w:spacing w:line="222" w:lineRule="exact"/>
        <w:ind w:right="982"/>
        <w:jc w:val="left"/>
      </w:pPr>
      <w:r>
        <w:rPr>
          <w:rFonts w:ascii="Times New Roman" w:hAnsi="Times New Roman" w:cs="Times New Roman" w:eastAsia="Times New Roman" w:hint="default"/>
        </w:rPr>
        <w:t>2</w:t>
      </w:r>
      <w:r>
        <w:rPr/>
        <w:t>、独立董事对于公司经营战略等方面提出了建议。</w:t>
      </w:r>
    </w:p>
    <w:p>
      <w:pPr>
        <w:pStyle w:val="BodyText"/>
        <w:spacing w:line="240" w:lineRule="auto" w:before="63"/>
        <w:ind w:right="982"/>
        <w:jc w:val="left"/>
      </w:pPr>
      <w:r>
        <w:rPr/>
        <w:t>上述建议得到公司的重视和采纳，促进了公司对外投资管理及经营战略制定等方面工作的提高。</w:t>
      </w:r>
    </w:p>
    <w:p>
      <w:pPr>
        <w:spacing w:line="240" w:lineRule="auto" w:before="4"/>
        <w:rPr>
          <w:rFonts w:ascii="宋体" w:hAnsi="宋体" w:cs="宋体" w:eastAsia="宋体" w:hint="default"/>
          <w:sz w:val="25"/>
          <w:szCs w:val="25"/>
        </w:rPr>
      </w:pPr>
    </w:p>
    <w:p>
      <w:pPr>
        <w:pStyle w:val="Heading2"/>
        <w:spacing w:line="240" w:lineRule="auto"/>
        <w:ind w:right="982"/>
        <w:jc w:val="left"/>
        <w:rPr>
          <w:b w:val="0"/>
          <w:bCs w:val="0"/>
        </w:rPr>
      </w:pPr>
      <w:r>
        <w:rPr/>
        <w:t>六、董事会下设专门委员会在报告期内履行职责情况</w:t>
      </w:r>
      <w:r>
        <w:rPr>
          <w:b w:val="0"/>
          <w:bCs w:val="0"/>
        </w:rPr>
      </w:r>
    </w:p>
    <w:p>
      <w:pPr>
        <w:spacing w:line="240" w:lineRule="auto" w:before="10"/>
        <w:rPr>
          <w:rFonts w:ascii="宋体" w:hAnsi="宋体" w:cs="宋体" w:eastAsia="宋体" w:hint="default"/>
          <w:b/>
          <w:bCs/>
          <w:sz w:val="30"/>
          <w:szCs w:val="30"/>
        </w:rPr>
      </w:pPr>
    </w:p>
    <w:p>
      <w:pPr>
        <w:pStyle w:val="Heading5"/>
        <w:spacing w:line="408" w:lineRule="auto" w:before="0"/>
        <w:ind w:right="1126"/>
        <w:jc w:val="both"/>
        <w:rPr>
          <w:rFonts w:ascii="宋体" w:hAnsi="宋体" w:cs="宋体" w:eastAsia="宋体" w:hint="default"/>
        </w:rPr>
      </w:pPr>
      <w:r>
        <w:rPr>
          <w:spacing w:val="-2"/>
        </w:rPr>
        <w:t>董事会下设专门委员会各委员在报告期内恪尽职守、诚实守信地履行职责。积极参加董事会和股东大</w:t>
      </w:r>
      <w:r>
        <w:rPr>
          <w:w w:val="100"/>
        </w:rPr>
        <w:t> </w:t>
      </w:r>
      <w:r>
        <w:rPr>
          <w:spacing w:val="-2"/>
        </w:rPr>
        <w:t>会会议，发挥各自的专业特长、技能和经验，积极地履行职责，切实维护公司及股东特别是社会公众股股</w:t>
      </w:r>
      <w:r>
        <w:rPr>
          <w:spacing w:val="-47"/>
        </w:rPr>
        <w:t> </w:t>
      </w:r>
      <w:r>
        <w:rPr>
          <w:spacing w:val="-47"/>
        </w:rPr>
      </w:r>
      <w:r>
        <w:rPr/>
        <w:t>东的权益。</w:t>
      </w:r>
      <w:r>
        <w:rPr>
          <w:rFonts w:ascii="宋体" w:hAnsi="宋体" w:cs="宋体" w:eastAsia="宋体" w:hint="default"/>
        </w:rPr>
        <w:t> </w:t>
      </w:r>
    </w:p>
    <w:p>
      <w:pPr>
        <w:pStyle w:val="Heading5"/>
        <w:spacing w:line="408" w:lineRule="auto"/>
        <w:ind w:left="573" w:right="982" w:firstLine="0"/>
        <w:jc w:val="left"/>
      </w:pPr>
      <w:r>
        <w:rPr>
          <w:rFonts w:ascii="宋体" w:hAnsi="宋体" w:cs="宋体" w:eastAsia="宋体" w:hint="default"/>
        </w:rPr>
        <w:t>1</w:t>
      </w:r>
      <w:r>
        <w:rPr/>
        <w:t>、董事会战略委员会履职情况</w:t>
      </w:r>
      <w:r>
        <w:rPr>
          <w:rFonts w:ascii="宋体" w:hAnsi="宋体" w:cs="宋体" w:eastAsia="宋体" w:hint="default"/>
          <w:w w:val="100"/>
        </w:rPr>
        <w:t> </w:t>
      </w:r>
      <w:r>
        <w:rPr>
          <w:spacing w:val="-7"/>
        </w:rPr>
        <w:t>战略委员会根据《公司法》、《上市公司治理准则》、《公司章程》、《董事会战略委员会工作细则》</w:t>
      </w:r>
    </w:p>
    <w:p>
      <w:pPr>
        <w:spacing w:after="0" w:line="408" w:lineRule="auto"/>
        <w:jc w:val="left"/>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pStyle w:val="Heading5"/>
        <w:spacing w:line="408" w:lineRule="auto" w:before="176"/>
        <w:ind w:left="573" w:right="5174" w:hanging="421"/>
        <w:jc w:val="left"/>
        <w:rPr>
          <w:rFonts w:ascii="宋体" w:hAnsi="宋体" w:cs="宋体" w:eastAsia="宋体" w:hint="default"/>
        </w:rPr>
      </w:pPr>
      <w:r>
        <w:rPr/>
        <w:t>及其他有关法律法规的规定，积极履行了职责。</w:t>
      </w:r>
      <w:r>
        <w:rPr>
          <w:rFonts w:ascii="宋体" w:hAnsi="宋体" w:cs="宋体" w:eastAsia="宋体" w:hint="default"/>
          <w:w w:val="100"/>
        </w:rPr>
        <w:t> </w:t>
      </w:r>
      <w:r>
        <w:rPr>
          <w:rFonts w:ascii="宋体" w:hAnsi="宋体" w:cs="宋体" w:eastAsia="宋体" w:hint="default"/>
        </w:rPr>
        <w:t>2</w:t>
      </w:r>
      <w:r>
        <w:rPr/>
        <w:t>、董事会薪酬与考核委员会履职情况</w:t>
      </w:r>
      <w:r>
        <w:rPr>
          <w:rFonts w:ascii="宋体" w:hAnsi="宋体" w:cs="宋体" w:eastAsia="宋体" w:hint="default"/>
        </w:rPr>
        <w:t> </w:t>
      </w:r>
    </w:p>
    <w:p>
      <w:pPr>
        <w:pStyle w:val="Heading5"/>
        <w:spacing w:line="408" w:lineRule="auto"/>
        <w:ind w:right="1126"/>
        <w:jc w:val="both"/>
        <w:rPr>
          <w:rFonts w:ascii="宋体" w:hAnsi="宋体" w:cs="宋体" w:eastAsia="宋体" w:hint="default"/>
        </w:rPr>
      </w:pPr>
      <w:r>
        <w:rPr>
          <w:spacing w:val="-2"/>
        </w:rPr>
        <w:t>薪酬与考核委员会根据《公司法》、《上市公司治理准则》、《公司章程》、《董事会薪酬与考核委</w:t>
      </w:r>
      <w:r>
        <w:rPr>
          <w:w w:val="100"/>
        </w:rPr>
        <w:t> </w:t>
      </w:r>
      <w:r>
        <w:rPr>
          <w:spacing w:val="-2"/>
        </w:rPr>
        <w:t>员会工作细则》及其他有关法律法规的规定，积极参与薪酬与考核委员会的日常工作。报告期内，薪酬与</w:t>
      </w:r>
      <w:r>
        <w:rPr>
          <w:spacing w:val="-47"/>
        </w:rPr>
        <w:t> </w:t>
      </w:r>
      <w:r>
        <w:rPr>
          <w:spacing w:val="-47"/>
        </w:rPr>
      </w:r>
      <w:r>
        <w:rPr>
          <w:spacing w:val="-2"/>
        </w:rPr>
        <w:t>考核委员会认真审核了公司</w:t>
      </w:r>
      <w:r>
        <w:rPr>
          <w:rFonts w:ascii="宋体" w:hAnsi="宋体" w:cs="宋体" w:eastAsia="宋体" w:hint="default"/>
          <w:spacing w:val="-2"/>
        </w:rPr>
        <w:t>2018</w:t>
      </w:r>
      <w:r>
        <w:rPr>
          <w:spacing w:val="-2"/>
        </w:rPr>
        <w:t>年限制性股票激励计划、</w:t>
      </w:r>
      <w:r>
        <w:rPr>
          <w:rFonts w:ascii="宋体" w:hAnsi="宋体" w:cs="宋体" w:eastAsia="宋体" w:hint="default"/>
          <w:spacing w:val="-2"/>
        </w:rPr>
        <w:t>2015</w:t>
      </w:r>
      <w:r>
        <w:rPr>
          <w:spacing w:val="-2"/>
        </w:rPr>
        <w:t>年限制性股票解锁等事项，并对公司薪酬制</w:t>
      </w:r>
      <w:r>
        <w:rPr>
          <w:spacing w:val="-35"/>
        </w:rPr>
        <w:t> </w:t>
      </w:r>
      <w:r>
        <w:rPr>
          <w:spacing w:val="-35"/>
        </w:rPr>
      </w:r>
      <w:r>
        <w:rPr>
          <w:spacing w:val="-2"/>
        </w:rPr>
        <w:t>度执行情况进行监督，结合公司经营目标完成情况，对公司薪酬计划的调整进行了讨论，并提出合理性建</w:t>
      </w:r>
      <w:r>
        <w:rPr>
          <w:spacing w:val="-44"/>
        </w:rPr>
        <w:t> </w:t>
      </w:r>
      <w:r>
        <w:rPr>
          <w:spacing w:val="-44"/>
        </w:rPr>
      </w:r>
      <w:r>
        <w:rPr/>
        <w:t>议。</w:t>
      </w:r>
      <w:r>
        <w:rPr>
          <w:rFonts w:ascii="宋体" w:hAnsi="宋体" w:cs="宋体" w:eastAsia="宋体" w:hint="default"/>
        </w:rPr>
        <w:t> </w:t>
      </w:r>
    </w:p>
    <w:p>
      <w:pPr>
        <w:pStyle w:val="Heading5"/>
        <w:spacing w:line="410" w:lineRule="auto"/>
        <w:ind w:left="573" w:right="982" w:firstLine="0"/>
        <w:jc w:val="left"/>
      </w:pPr>
      <w:r>
        <w:rPr>
          <w:rFonts w:ascii="宋体" w:hAnsi="宋体" w:cs="宋体" w:eastAsia="宋体" w:hint="default"/>
        </w:rPr>
        <w:t>3</w:t>
      </w:r>
      <w:r>
        <w:rPr/>
        <w:t>、董事会审计委员会履职情况</w:t>
      </w:r>
      <w:r>
        <w:rPr>
          <w:rFonts w:ascii="宋体" w:hAnsi="宋体" w:cs="宋体" w:eastAsia="宋体" w:hint="default"/>
          <w:w w:val="100"/>
        </w:rPr>
        <w:t> </w:t>
      </w:r>
      <w:r>
        <w:rPr>
          <w:spacing w:val="-7"/>
        </w:rPr>
        <w:t>审计委员会根据《公司法》、《上市公司治理准则》、《公司章程》、《董事会审计委员会工作细则》</w:t>
      </w:r>
    </w:p>
    <w:p>
      <w:pPr>
        <w:pStyle w:val="Heading5"/>
        <w:spacing w:line="408" w:lineRule="auto" w:before="44"/>
        <w:ind w:right="1126" w:firstLine="0"/>
        <w:jc w:val="both"/>
        <w:rPr>
          <w:rFonts w:ascii="宋体" w:hAnsi="宋体" w:cs="宋体" w:eastAsia="宋体" w:hint="default"/>
        </w:rPr>
      </w:pPr>
      <w:r>
        <w:rPr>
          <w:spacing w:val="-2"/>
        </w:rPr>
        <w:t>及其他有关法律法规的规定，积极履行职责。报告期内，审计委员会监督和评估外部审计机构工作，审阅</w:t>
      </w:r>
      <w:r>
        <w:rPr>
          <w:spacing w:val="-47"/>
        </w:rPr>
        <w:t> </w:t>
      </w:r>
      <w:r>
        <w:rPr>
          <w:spacing w:val="-47"/>
        </w:rPr>
      </w:r>
      <w:r>
        <w:rPr>
          <w:spacing w:val="-2"/>
        </w:rPr>
        <w:t>公司的财务报告并对其发表意见，继续积极深入完善内控体系建设、全面开展推广内部控制评价工作，以</w:t>
      </w:r>
      <w:r>
        <w:rPr>
          <w:spacing w:val="-43"/>
        </w:rPr>
        <w:t> </w:t>
      </w:r>
      <w:r>
        <w:rPr>
          <w:spacing w:val="-43"/>
        </w:rPr>
      </w:r>
      <w:r>
        <w:rPr/>
        <w:t>及协调管理层及相关部门与外部审计机构的沟通，确保审计的独立性并保质保量如期完成审计工作等。</w:t>
      </w:r>
      <w:r>
        <w:rPr>
          <w:rFonts w:ascii="宋体" w:hAnsi="宋体" w:cs="宋体" w:eastAsia="宋体" w:hint="default"/>
        </w:rPr>
        <w:t> </w:t>
      </w:r>
    </w:p>
    <w:p>
      <w:pPr>
        <w:pStyle w:val="Heading5"/>
        <w:spacing w:line="408" w:lineRule="auto"/>
        <w:ind w:left="573" w:right="982" w:firstLine="0"/>
        <w:jc w:val="left"/>
      </w:pPr>
      <w:r>
        <w:rPr>
          <w:rFonts w:ascii="宋体" w:hAnsi="宋体" w:cs="宋体" w:eastAsia="宋体" w:hint="default"/>
        </w:rPr>
        <w:t>4</w:t>
      </w:r>
      <w:r>
        <w:rPr/>
        <w:t>、董事会提名委员会履职情况</w:t>
      </w:r>
      <w:r>
        <w:rPr>
          <w:rFonts w:ascii="宋体" w:hAnsi="宋体" w:cs="宋体" w:eastAsia="宋体" w:hint="default"/>
          <w:w w:val="100"/>
        </w:rPr>
        <w:t> </w:t>
      </w:r>
      <w:r>
        <w:rPr>
          <w:spacing w:val="-7"/>
        </w:rPr>
        <w:t>提名委员会根据《公司法》、《上市公司治理准则》、《公司章程》、《董事会提名委员会工作细则》</w:t>
      </w:r>
    </w:p>
    <w:p>
      <w:pPr>
        <w:pStyle w:val="Heading5"/>
        <w:spacing w:line="408" w:lineRule="auto"/>
        <w:ind w:right="982" w:firstLine="0"/>
        <w:jc w:val="left"/>
        <w:rPr>
          <w:rFonts w:ascii="宋体" w:hAnsi="宋体" w:cs="宋体" w:eastAsia="宋体" w:hint="default"/>
        </w:rPr>
      </w:pPr>
      <w:r>
        <w:rPr>
          <w:spacing w:val="-2"/>
        </w:rPr>
        <w:t>及其他有关法律法规的规定，积极参与提名委员会的日常工作。报告期内，提名委员会认真履行了相关职</w:t>
      </w:r>
      <w:r>
        <w:rPr>
          <w:spacing w:val="-42"/>
        </w:rPr>
        <w:t> </w:t>
      </w:r>
      <w:r>
        <w:rPr>
          <w:spacing w:val="-42"/>
        </w:rPr>
      </w:r>
      <w:r>
        <w:rPr/>
        <w:t>责，对高级管理人员的人选、选择标准和程序进行审核并提出建议。</w:t>
      </w:r>
      <w:r>
        <w:rPr>
          <w:rFonts w:ascii="宋体" w:hAnsi="宋体" w:cs="宋体" w:eastAsia="宋体" w:hint="default"/>
        </w:rPr>
        <w:t> </w:t>
      </w:r>
    </w:p>
    <w:p>
      <w:pPr>
        <w:spacing w:line="240" w:lineRule="auto" w:before="8"/>
        <w:rPr>
          <w:rFonts w:ascii="宋体" w:hAnsi="宋体" w:cs="宋体" w:eastAsia="宋体" w:hint="default"/>
          <w:sz w:val="18"/>
          <w:szCs w:val="18"/>
        </w:rPr>
      </w:pPr>
    </w:p>
    <w:p>
      <w:pPr>
        <w:pStyle w:val="Heading2"/>
        <w:spacing w:line="240" w:lineRule="auto"/>
        <w:ind w:right="0"/>
        <w:jc w:val="both"/>
        <w:rPr>
          <w:b w:val="0"/>
          <w:bCs w:val="0"/>
        </w:rPr>
      </w:pPr>
      <w:r>
        <w:rPr/>
        <w:t>七、监事会工作情况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both"/>
      </w:pPr>
      <w:r>
        <w:rPr/>
        <w:t>监事会在报告期内的监督活动中发现公司是否存在风险</w:t>
      </w:r>
    </w:p>
    <w:p>
      <w:pPr>
        <w:pStyle w:val="BodyText"/>
        <w:spacing w:line="340" w:lineRule="auto" w:before="117"/>
        <w:ind w:right="7694"/>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否 监事会对报告期内的监督事项无异议。</w:t>
      </w:r>
    </w:p>
    <w:p>
      <w:pPr>
        <w:spacing w:line="240" w:lineRule="auto" w:before="4"/>
        <w:rPr>
          <w:rFonts w:ascii="宋体" w:hAnsi="宋体" w:cs="宋体" w:eastAsia="宋体" w:hint="default"/>
          <w:sz w:val="19"/>
          <w:szCs w:val="19"/>
        </w:rPr>
      </w:pPr>
    </w:p>
    <w:p>
      <w:pPr>
        <w:pStyle w:val="Heading2"/>
        <w:spacing w:line="240" w:lineRule="auto"/>
        <w:ind w:right="0"/>
        <w:jc w:val="both"/>
        <w:rPr>
          <w:b w:val="0"/>
          <w:bCs w:val="0"/>
        </w:rPr>
      </w:pPr>
      <w:r>
        <w:rPr/>
        <w:t>八、高级管理人员的考评及激励情况</w:t>
      </w:r>
      <w:r>
        <w:rPr>
          <w:b w:val="0"/>
          <w:bCs w:val="0"/>
        </w:rPr>
      </w:r>
    </w:p>
    <w:p>
      <w:pPr>
        <w:spacing w:line="240" w:lineRule="auto" w:before="11"/>
        <w:rPr>
          <w:rFonts w:ascii="宋体" w:hAnsi="宋体" w:cs="宋体" w:eastAsia="宋体" w:hint="default"/>
          <w:b/>
          <w:bCs/>
          <w:sz w:val="30"/>
          <w:szCs w:val="30"/>
        </w:rPr>
      </w:pPr>
    </w:p>
    <w:p>
      <w:pPr>
        <w:pStyle w:val="Heading5"/>
        <w:spacing w:line="408" w:lineRule="auto" w:before="0"/>
        <w:ind w:right="982"/>
        <w:jc w:val="left"/>
        <w:rPr>
          <w:rFonts w:ascii="宋体" w:hAnsi="宋体" w:cs="宋体" w:eastAsia="宋体" w:hint="default"/>
        </w:rPr>
      </w:pPr>
      <w:r>
        <w:rPr>
          <w:spacing w:val="-7"/>
        </w:rPr>
        <w:t>公司高级管理人员均依据《公司章程》，履行本岗位职责。公司董事会、薪酬与考核委员会根据董事、</w:t>
      </w:r>
      <w:r>
        <w:rPr>
          <w:w w:val="100"/>
        </w:rPr>
        <w:t> </w:t>
      </w:r>
      <w:r>
        <w:rPr/>
        <w:t>监事及高级管理人员职责履行情况及绩效情况，开展个人考核评测，并依据考评结果提出薪酬调整方案，</w:t>
      </w:r>
      <w:r>
        <w:rPr>
          <w:spacing w:val="-24"/>
        </w:rPr>
        <w:t> </w:t>
      </w:r>
      <w:r>
        <w:rPr>
          <w:spacing w:val="-24"/>
        </w:rPr>
      </w:r>
      <w:r>
        <w:rPr/>
        <w:t>提交董事会、股东大会审议及实施。</w:t>
      </w:r>
      <w:r>
        <w:rPr>
          <w:rFonts w:ascii="宋体" w:hAnsi="宋体" w:cs="宋体" w:eastAsia="宋体" w:hint="default"/>
        </w:rPr>
        <w:t> </w:t>
      </w:r>
    </w:p>
    <w:p>
      <w:pPr>
        <w:spacing w:line="240" w:lineRule="auto" w:before="8"/>
        <w:rPr>
          <w:rFonts w:ascii="宋体" w:hAnsi="宋体" w:cs="宋体" w:eastAsia="宋体" w:hint="default"/>
          <w:sz w:val="18"/>
          <w:szCs w:val="18"/>
        </w:rPr>
      </w:pPr>
    </w:p>
    <w:p>
      <w:pPr>
        <w:pStyle w:val="Heading2"/>
        <w:spacing w:line="240" w:lineRule="auto"/>
        <w:ind w:right="0"/>
        <w:jc w:val="both"/>
        <w:rPr>
          <w:b w:val="0"/>
          <w:bCs w:val="0"/>
        </w:rPr>
      </w:pPr>
      <w:r>
        <w:rPr/>
        <w:t>九、内部控制评价报告</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0"/>
        <w:jc w:val="both"/>
        <w:rPr>
          <w:b w:val="0"/>
          <w:bCs w:val="0"/>
        </w:rPr>
      </w:pPr>
      <w:r>
        <w:rPr>
          <w:rFonts w:ascii="Times New Roman" w:hAnsi="Times New Roman" w:cs="Times New Roman" w:eastAsia="Times New Roman" w:hint="default"/>
        </w:rPr>
        <w:t>1</w:t>
      </w:r>
      <w:r>
        <w:rPr/>
        <w:t>、报告期内发现的内部控制重大缺陷的具体情况</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0"/>
        <w:jc w:val="both"/>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spacing w:after="0" w:line="240" w:lineRule="auto"/>
        <w:jc w:val="both"/>
        <w:sectPr>
          <w:pgSz w:w="11910" w:h="16840"/>
          <w:pgMar w:header="745" w:footer="979" w:top="1060" w:bottom="1160" w:left="980" w:right="0"/>
        </w:sectPr>
      </w:pPr>
    </w:p>
    <w:p>
      <w:pPr>
        <w:spacing w:line="240" w:lineRule="auto" w:before="10"/>
        <w:rPr>
          <w:rFonts w:ascii="宋体" w:hAnsi="宋体" w:cs="宋体" w:eastAsia="宋体" w:hint="default"/>
          <w:sz w:val="24"/>
          <w:szCs w:val="24"/>
        </w:rPr>
      </w:pPr>
      <w:r>
        <w:rPr/>
        <w:pict>
          <v:shape style="position:absolute;margin-left:57pt;margin-top:102.739983pt;width:478.7pt;height:665pt;mso-position-horizontal-relative:page;mso-position-vertical-relative:page;z-index:150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823"/>
                    <w:gridCol w:w="3695"/>
                    <w:gridCol w:w="3040"/>
                  </w:tblGrid>
                  <w:tr>
                    <w:trPr>
                      <w:trHeight w:val="401" w:hRule="exact"/>
                    </w:trPr>
                    <w:tc>
                      <w:tcPr>
                        <w:tcW w:w="28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内部控制评价报告全文披露日期</w:t>
                        </w:r>
                      </w:p>
                    </w:tc>
                    <w:tc>
                      <w:tcPr>
                        <w:tcW w:w="6735"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1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 </w:t>
                        </w:r>
                        <w:r>
                          <w:rPr>
                            <w:rFonts w:ascii="宋体" w:hAnsi="宋体" w:cs="宋体" w:eastAsia="宋体" w:hint="default"/>
                            <w:sz w:val="18"/>
                            <w:szCs w:val="18"/>
                          </w:rPr>
                          <w:t>日</w:t>
                        </w:r>
                      </w:p>
                    </w:tc>
                  </w:tr>
                  <w:tr>
                    <w:trPr>
                      <w:trHeight w:val="161" w:hRule="exact"/>
                    </w:trPr>
                    <w:tc>
                      <w:tcPr>
                        <w:tcW w:w="2823" w:type="dxa"/>
                        <w:tcBorders>
                          <w:top w:val="single" w:sz="4" w:space="0" w:color="000000"/>
                          <w:left w:val="single" w:sz="4" w:space="0" w:color="000000"/>
                          <w:bottom w:val="nil" w:sz="6" w:space="0" w:color="auto"/>
                          <w:right w:val="single" w:sz="4" w:space="0" w:color="000000"/>
                        </w:tcBorders>
                        <w:shd w:val="clear" w:color="auto" w:fill="D2D2D2"/>
                      </w:tcPr>
                      <w:p>
                        <w:pPr/>
                      </w:p>
                    </w:tc>
                    <w:tc>
                      <w:tcPr>
                        <w:tcW w:w="6735" w:type="dxa"/>
                        <w:gridSpan w:val="2"/>
                        <w:vMerge w:val="restart"/>
                        <w:tcBorders>
                          <w:top w:val="single" w:sz="4" w:space="0" w:color="000000"/>
                          <w:left w:val="single" w:sz="10" w:space="0" w:color="D2D2D2"/>
                          <w:right w:val="single" w:sz="4" w:space="0" w:color="000000"/>
                        </w:tcBorders>
                      </w:tcPr>
                      <w:p>
                        <w:pPr>
                          <w:pStyle w:val="TableParagraph"/>
                          <w:spacing w:line="240" w:lineRule="auto" w:before="49"/>
                          <w:ind w:left="16" w:right="0"/>
                          <w:jc w:val="left"/>
                          <w:rPr>
                            <w:rFonts w:ascii="宋体" w:hAnsi="宋体" w:cs="宋体" w:eastAsia="宋体" w:hint="default"/>
                            <w:sz w:val="18"/>
                            <w:szCs w:val="18"/>
                          </w:rPr>
                        </w:pPr>
                        <w:r>
                          <w:rPr>
                            <w:rFonts w:ascii="宋体" w:hAnsi="宋体" w:cs="宋体" w:eastAsia="宋体" w:hint="default"/>
                            <w:sz w:val="18"/>
                            <w:szCs w:val="18"/>
                          </w:rPr>
                          <w:t>详见</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日刊登在巨潮资讯网（</w:t>
                        </w:r>
                        <w:hyperlink r:id="rId13">
                          <w:r>
                            <w:rPr>
                              <w:rFonts w:ascii="Times New Roman" w:hAnsi="Times New Roman" w:cs="Times New Roman" w:eastAsia="Times New Roman" w:hint="default"/>
                              <w:sz w:val="18"/>
                              <w:szCs w:val="18"/>
                            </w:rPr>
                            <w:t>www.cninfo.com.cn</w:t>
                          </w:r>
                        </w:hyperlink>
                        <w:r>
                          <w:rPr>
                            <w:rFonts w:ascii="宋体" w:hAnsi="宋体" w:cs="宋体" w:eastAsia="宋体" w:hint="default"/>
                            <w:sz w:val="18"/>
                            <w:szCs w:val="18"/>
                          </w:rPr>
                          <w:t>）上的《北京四维图新</w:t>
                        </w:r>
                      </w:p>
                      <w:p>
                        <w:pPr>
                          <w:pStyle w:val="TableParagraph"/>
                          <w:spacing w:line="240" w:lineRule="auto" w:before="63"/>
                          <w:ind w:left="16" w:right="0"/>
                          <w:jc w:val="left"/>
                          <w:rPr>
                            <w:rFonts w:ascii="宋体" w:hAnsi="宋体" w:cs="宋体" w:eastAsia="宋体" w:hint="default"/>
                            <w:sz w:val="18"/>
                            <w:szCs w:val="18"/>
                          </w:rPr>
                        </w:pPr>
                        <w:r>
                          <w:rPr>
                            <w:rFonts w:ascii="宋体" w:hAnsi="宋体" w:cs="宋体" w:eastAsia="宋体" w:hint="default"/>
                            <w:sz w:val="18"/>
                            <w:szCs w:val="18"/>
                          </w:rPr>
                          <w:t>科技股份有限公司</w:t>
                        </w:r>
                        <w:r>
                          <w:rPr>
                            <w:rFonts w:ascii="宋体" w:hAnsi="宋体" w:cs="宋体" w:eastAsia="宋体" w:hint="default"/>
                            <w:spacing w:val="-45"/>
                            <w:sz w:val="18"/>
                            <w:szCs w:val="18"/>
                          </w:rPr>
                          <w:t> </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r>
                          <w:rPr>
                            <w:rFonts w:ascii="宋体" w:hAnsi="宋体" w:cs="宋体" w:eastAsia="宋体" w:hint="default"/>
                            <w:spacing w:val="-3"/>
                            <w:sz w:val="18"/>
                            <w:szCs w:val="18"/>
                          </w:rPr>
                          <w:t>内</w:t>
                        </w:r>
                        <w:r>
                          <w:rPr>
                            <w:rFonts w:ascii="宋体" w:hAnsi="宋体" w:cs="宋体" w:eastAsia="宋体" w:hint="default"/>
                            <w:sz w:val="18"/>
                            <w:szCs w:val="18"/>
                          </w:rPr>
                          <w:t>部控制自我评价报告</w:t>
                        </w:r>
                        <w:r>
                          <w:rPr>
                            <w:rFonts w:ascii="宋体" w:hAnsi="宋体" w:cs="宋体" w:eastAsia="宋体" w:hint="default"/>
                            <w:spacing w:val="-92"/>
                            <w:sz w:val="18"/>
                            <w:szCs w:val="18"/>
                          </w:rPr>
                          <w:t>》</w:t>
                        </w:r>
                        <w:r>
                          <w:rPr>
                            <w:rFonts w:ascii="宋体" w:hAnsi="宋体" w:cs="宋体" w:eastAsia="宋体" w:hint="default"/>
                            <w:sz w:val="18"/>
                            <w:szCs w:val="18"/>
                          </w:rPr>
                          <w:t>。</w:t>
                        </w:r>
                      </w:p>
                    </w:tc>
                  </w:tr>
                  <w:tr>
                    <w:trPr>
                      <w:trHeight w:val="394" w:hRule="exact"/>
                    </w:trPr>
                    <w:tc>
                      <w:tcPr>
                        <w:tcW w:w="282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内部控制评价报告全文披露索引</w:t>
                        </w:r>
                      </w:p>
                    </w:tc>
                    <w:tc>
                      <w:tcPr>
                        <w:tcW w:w="6735" w:type="dxa"/>
                        <w:gridSpan w:val="2"/>
                        <w:vMerge/>
                        <w:tcBorders>
                          <w:left w:val="single" w:sz="10" w:space="0" w:color="D2D2D2"/>
                          <w:right w:val="single" w:sz="4" w:space="0" w:color="000000"/>
                        </w:tcBorders>
                      </w:tcPr>
                      <w:p>
                        <w:pPr/>
                      </w:p>
                    </w:tc>
                  </w:tr>
                  <w:tr>
                    <w:trPr>
                      <w:trHeight w:val="161" w:hRule="exact"/>
                    </w:trPr>
                    <w:tc>
                      <w:tcPr>
                        <w:tcW w:w="2823" w:type="dxa"/>
                        <w:tcBorders>
                          <w:top w:val="nil" w:sz="6" w:space="0" w:color="auto"/>
                          <w:left w:val="single" w:sz="4" w:space="0" w:color="000000"/>
                          <w:bottom w:val="single" w:sz="4" w:space="0" w:color="000000"/>
                          <w:right w:val="single" w:sz="4" w:space="0" w:color="000000"/>
                        </w:tcBorders>
                        <w:shd w:val="clear" w:color="auto" w:fill="D2D2D2"/>
                      </w:tcPr>
                      <w:p>
                        <w:pPr/>
                      </w:p>
                    </w:tc>
                    <w:tc>
                      <w:tcPr>
                        <w:tcW w:w="6735" w:type="dxa"/>
                        <w:gridSpan w:val="2"/>
                        <w:vMerge/>
                        <w:tcBorders>
                          <w:left w:val="single" w:sz="10" w:space="0" w:color="D2D2D2"/>
                          <w:bottom w:val="single" w:sz="4" w:space="0" w:color="000000"/>
                          <w:right w:val="single" w:sz="4" w:space="0" w:color="000000"/>
                        </w:tcBorders>
                      </w:tcPr>
                      <w:p>
                        <w:pPr/>
                      </w:p>
                    </w:tc>
                  </w:tr>
                  <w:tr>
                    <w:trPr>
                      <w:trHeight w:val="713" w:hRule="exact"/>
                    </w:trPr>
                    <w:tc>
                      <w:tcPr>
                        <w:tcW w:w="28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12" w:right="99"/>
                          <w:jc w:val="left"/>
                          <w:rPr>
                            <w:rFonts w:ascii="宋体" w:hAnsi="宋体" w:cs="宋体" w:eastAsia="宋体" w:hint="default"/>
                            <w:sz w:val="18"/>
                            <w:szCs w:val="18"/>
                          </w:rPr>
                        </w:pPr>
                        <w:r>
                          <w:rPr>
                            <w:rFonts w:ascii="宋体" w:hAnsi="宋体" w:cs="宋体" w:eastAsia="宋体" w:hint="default"/>
                            <w:sz w:val="18"/>
                            <w:szCs w:val="18"/>
                          </w:rPr>
                          <w:t>纳入评价范围单位资产总额占公司 合并财务报表资产总额的比例</w:t>
                        </w:r>
                      </w:p>
                    </w:tc>
                    <w:tc>
                      <w:tcPr>
                        <w:tcW w:w="6735"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100%</w:t>
                        </w:r>
                      </w:p>
                    </w:tc>
                  </w:tr>
                  <w:tr>
                    <w:trPr>
                      <w:trHeight w:val="715" w:hRule="exact"/>
                    </w:trPr>
                    <w:tc>
                      <w:tcPr>
                        <w:tcW w:w="28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99"/>
                          <w:jc w:val="left"/>
                          <w:rPr>
                            <w:rFonts w:ascii="宋体" w:hAnsi="宋体" w:cs="宋体" w:eastAsia="宋体" w:hint="default"/>
                            <w:sz w:val="18"/>
                            <w:szCs w:val="18"/>
                          </w:rPr>
                        </w:pPr>
                        <w:r>
                          <w:rPr>
                            <w:rFonts w:ascii="宋体" w:hAnsi="宋体" w:cs="宋体" w:eastAsia="宋体" w:hint="default"/>
                            <w:sz w:val="18"/>
                            <w:szCs w:val="18"/>
                          </w:rPr>
                          <w:t>纳入评价范围单位营业收入占公司 合并财务报表营业收入的比例</w:t>
                        </w:r>
                      </w:p>
                    </w:tc>
                    <w:tc>
                      <w:tcPr>
                        <w:tcW w:w="6735"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100%</w:t>
                        </w:r>
                      </w:p>
                    </w:tc>
                  </w:tr>
                  <w:tr>
                    <w:trPr>
                      <w:trHeight w:val="396" w:hRule="exact"/>
                    </w:trPr>
                    <w:tc>
                      <w:tcPr>
                        <w:tcW w:w="9559"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2"/>
                          <w:jc w:val="center"/>
                          <w:rPr>
                            <w:rFonts w:ascii="宋体" w:hAnsi="宋体" w:cs="宋体" w:eastAsia="宋体" w:hint="default"/>
                            <w:sz w:val="18"/>
                            <w:szCs w:val="18"/>
                          </w:rPr>
                        </w:pPr>
                        <w:r>
                          <w:rPr>
                            <w:rFonts w:ascii="宋体" w:hAnsi="宋体" w:cs="宋体" w:eastAsia="宋体" w:hint="default"/>
                            <w:sz w:val="18"/>
                            <w:szCs w:val="18"/>
                          </w:rPr>
                          <w:t>缺陷认定标准</w:t>
                        </w:r>
                      </w:p>
                    </w:tc>
                  </w:tr>
                  <w:tr>
                    <w:trPr>
                      <w:trHeight w:val="409" w:hRule="exact"/>
                    </w:trPr>
                    <w:tc>
                      <w:tcPr>
                        <w:tcW w:w="28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7"/>
                          <w:jc w:val="center"/>
                          <w:rPr>
                            <w:rFonts w:ascii="宋体" w:hAnsi="宋体" w:cs="宋体" w:eastAsia="宋体" w:hint="default"/>
                            <w:sz w:val="18"/>
                            <w:szCs w:val="18"/>
                          </w:rPr>
                        </w:pPr>
                        <w:r>
                          <w:rPr>
                            <w:rFonts w:ascii="宋体" w:hAnsi="宋体" w:cs="宋体" w:eastAsia="宋体" w:hint="default"/>
                            <w:sz w:val="18"/>
                            <w:szCs w:val="18"/>
                          </w:rPr>
                          <w:t>类别</w:t>
                        </w:r>
                      </w:p>
                    </w:tc>
                    <w:tc>
                      <w:tcPr>
                        <w:tcW w:w="36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11"/>
                          <w:jc w:val="center"/>
                          <w:rPr>
                            <w:rFonts w:ascii="宋体" w:hAnsi="宋体" w:cs="宋体" w:eastAsia="宋体" w:hint="default"/>
                            <w:sz w:val="18"/>
                            <w:szCs w:val="18"/>
                          </w:rPr>
                        </w:pPr>
                        <w:r>
                          <w:rPr>
                            <w:rFonts w:ascii="宋体" w:hAnsi="宋体" w:cs="宋体" w:eastAsia="宋体" w:hint="default"/>
                            <w:sz w:val="18"/>
                            <w:szCs w:val="18"/>
                          </w:rPr>
                          <w:t>财务报告</w:t>
                        </w:r>
                      </w:p>
                    </w:tc>
                    <w:tc>
                      <w:tcPr>
                        <w:tcW w:w="30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right="9"/>
                          <w:jc w:val="center"/>
                          <w:rPr>
                            <w:rFonts w:ascii="宋体" w:hAnsi="宋体" w:cs="宋体" w:eastAsia="宋体" w:hint="default"/>
                            <w:sz w:val="18"/>
                            <w:szCs w:val="18"/>
                          </w:rPr>
                        </w:pPr>
                        <w:r>
                          <w:rPr>
                            <w:rFonts w:ascii="宋体" w:hAnsi="宋体" w:cs="宋体" w:eastAsia="宋体" w:hint="default"/>
                            <w:sz w:val="18"/>
                            <w:szCs w:val="18"/>
                          </w:rPr>
                          <w:t>非财务报告</w:t>
                        </w:r>
                      </w:p>
                    </w:tc>
                  </w:tr>
                  <w:tr>
                    <w:trPr>
                      <w:trHeight w:val="2813" w:hRule="exact"/>
                    </w:trPr>
                    <w:tc>
                      <w:tcPr>
                        <w:tcW w:w="2823" w:type="dxa"/>
                        <w:tcBorders>
                          <w:top w:val="single" w:sz="4" w:space="0" w:color="000000"/>
                          <w:left w:val="single" w:sz="4" w:space="0" w:color="000000"/>
                          <w:bottom w:val="nil" w:sz="6" w:space="0" w:color="auto"/>
                          <w:right w:val="single" w:sz="4" w:space="0" w:color="000000"/>
                        </w:tcBorders>
                        <w:shd w:val="clear" w:color="auto" w:fill="D2D2D2"/>
                      </w:tcPr>
                      <w:p>
                        <w:pPr/>
                      </w:p>
                    </w:tc>
                    <w:tc>
                      <w:tcPr>
                        <w:tcW w:w="3695" w:type="dxa"/>
                        <w:vMerge w:val="restart"/>
                        <w:tcBorders>
                          <w:top w:val="single" w:sz="4" w:space="0" w:color="000000"/>
                          <w:left w:val="single" w:sz="10" w:space="0" w:color="D2D2D2"/>
                          <w:right w:val="single" w:sz="14" w:space="0" w:color="FFFFFF"/>
                        </w:tcBorders>
                      </w:tcPr>
                      <w:p>
                        <w:pPr>
                          <w:pStyle w:val="TableParagraph"/>
                          <w:spacing w:line="240" w:lineRule="auto"/>
                          <w:ind w:right="0"/>
                          <w:jc w:val="left"/>
                          <w:rPr>
                            <w:rFonts w:ascii="宋体" w:hAnsi="宋体" w:cs="宋体" w:eastAsia="宋体" w:hint="default"/>
                            <w:sz w:val="18"/>
                            <w:szCs w:val="18"/>
                          </w:rPr>
                        </w:pPr>
                      </w:p>
                      <w:p>
                        <w:pPr>
                          <w:pStyle w:val="TableParagraph"/>
                          <w:spacing w:line="314" w:lineRule="auto" w:before="125"/>
                          <w:ind w:left="16" w:right="46"/>
                          <w:jc w:val="left"/>
                          <w:rPr>
                            <w:rFonts w:ascii="宋体" w:hAnsi="宋体" w:cs="宋体" w:eastAsia="宋体" w:hint="default"/>
                            <w:sz w:val="18"/>
                            <w:szCs w:val="18"/>
                          </w:rPr>
                        </w:pPr>
                        <w:r>
                          <w:rPr>
                            <w:rFonts w:ascii="宋体" w:hAnsi="宋体" w:cs="宋体" w:eastAsia="宋体" w:hint="default"/>
                            <w:sz w:val="18"/>
                            <w:szCs w:val="18"/>
                          </w:rPr>
                          <w:t>重大缺陷：一项内部控制缺陷单独或连同其他 缺陷具备合理可能性导致不能及时防止或发现 并纠正财务报告中的重大错报。 出现下列情形的，认定为存在财务报告内部控 </w:t>
                        </w:r>
                        <w:r>
                          <w:rPr>
                            <w:rFonts w:ascii="宋体" w:hAnsi="宋体" w:cs="宋体" w:eastAsia="宋体" w:hint="default"/>
                            <w:spacing w:val="-5"/>
                            <w:sz w:val="18"/>
                            <w:szCs w:val="18"/>
                          </w:rPr>
                          <w:t>制重大缺陷：（</w:t>
                        </w:r>
                        <w:r>
                          <w:rPr>
                            <w:rFonts w:ascii="Times New Roman" w:hAnsi="Times New Roman" w:cs="Times New Roman" w:eastAsia="Times New Roman" w:hint="default"/>
                            <w:spacing w:val="-5"/>
                            <w:sz w:val="18"/>
                            <w:szCs w:val="18"/>
                          </w:rPr>
                          <w:t>1</w:t>
                        </w:r>
                        <w:r>
                          <w:rPr>
                            <w:rFonts w:ascii="宋体" w:hAnsi="宋体" w:cs="宋体" w:eastAsia="宋体" w:hint="default"/>
                            <w:spacing w:val="-5"/>
                            <w:sz w:val="18"/>
                            <w:szCs w:val="18"/>
                          </w:rPr>
                          <w:t>）董事、监事和高级管理人员</w:t>
                        </w:r>
                        <w:r>
                          <w:rPr>
                            <w:rFonts w:ascii="宋体" w:hAnsi="宋体" w:cs="宋体" w:eastAsia="宋体" w:hint="default"/>
                            <w:spacing w:val="-76"/>
                            <w:sz w:val="18"/>
                            <w:szCs w:val="18"/>
                          </w:rPr>
                          <w:t> </w:t>
                        </w:r>
                        <w:r>
                          <w:rPr>
                            <w:rFonts w:ascii="宋体" w:hAnsi="宋体" w:cs="宋体" w:eastAsia="宋体" w:hint="default"/>
                            <w:sz w:val="18"/>
                            <w:szCs w:val="18"/>
                          </w:rPr>
                          <w:t>舞弊；</w:t>
                        </w:r>
                      </w:p>
                      <w:p>
                        <w:pPr>
                          <w:pStyle w:val="TableParagraph"/>
                          <w:spacing w:line="240" w:lineRule="auto" w:before="20"/>
                          <w:ind w:left="16"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）公司更正已公布的财务报告；</w:t>
                        </w:r>
                      </w:p>
                      <w:p>
                        <w:pPr>
                          <w:pStyle w:val="TableParagraph"/>
                          <w:spacing w:line="300" w:lineRule="auto" w:before="63"/>
                          <w:ind w:left="16" w:right="-37"/>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3</w:t>
                        </w:r>
                        <w:r>
                          <w:rPr>
                            <w:rFonts w:ascii="宋体" w:hAnsi="宋体" w:cs="宋体" w:eastAsia="宋体" w:hint="default"/>
                            <w:spacing w:val="-4"/>
                            <w:sz w:val="18"/>
                            <w:szCs w:val="18"/>
                          </w:rPr>
                          <w:t>）注册会计师发现当期财务报告存在重大错</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pacing w:val="-5"/>
                            <w:sz w:val="18"/>
                            <w:szCs w:val="18"/>
                          </w:rPr>
                          <w:t>报，而内部控制在运行过程中未能发现该错报；</w:t>
                        </w:r>
                        <w:r>
                          <w:rPr>
                            <w:rFonts w:ascii="宋体" w:hAnsi="宋体" w:cs="宋体" w:eastAsia="宋体" w:hint="default"/>
                            <w:sz w:val="18"/>
                            <w:szCs w:val="18"/>
                          </w:rPr>
                        </w:r>
                      </w:p>
                      <w:p>
                        <w:pPr>
                          <w:pStyle w:val="TableParagraph"/>
                          <w:spacing w:line="300" w:lineRule="auto" w:before="32"/>
                          <w:ind w:left="16" w:right="21"/>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4</w:t>
                        </w:r>
                        <w:r>
                          <w:rPr>
                            <w:rFonts w:ascii="宋体" w:hAnsi="宋体" w:cs="宋体" w:eastAsia="宋体" w:hint="default"/>
                            <w:spacing w:val="-4"/>
                            <w:sz w:val="18"/>
                            <w:szCs w:val="18"/>
                          </w:rPr>
                          <w:t>）公司审计委员会和内部审计机构对内部控</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制的监督无效；</w:t>
                        </w:r>
                      </w:p>
                      <w:p>
                        <w:pPr>
                          <w:pStyle w:val="TableParagraph"/>
                          <w:spacing w:line="314" w:lineRule="auto" w:before="31"/>
                          <w:ind w:left="16" w:right="46"/>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z w:val="18"/>
                            <w:szCs w:val="18"/>
                          </w:rPr>
                          <w:t>）其他可能影响报表使用者正确判断的缺 陷。 重要缺陷：内部控制缺陷单独或连同其他缺陷 具备合理可能性导致不能及时防止或发现并纠 正财务报告中虽然未达到和超过重要性水平、 但仍应引起董事会和管理层重视的错报。</w:t>
                        </w:r>
                      </w:p>
                    </w:tc>
                    <w:tc>
                      <w:tcPr>
                        <w:tcW w:w="3040" w:type="dxa"/>
                        <w:vMerge w:val="restart"/>
                        <w:tcBorders>
                          <w:top w:val="single" w:sz="4" w:space="0" w:color="000000"/>
                          <w:left w:val="single" w:sz="14" w:space="0" w:color="FFFFFF"/>
                          <w:right w:val="single" w:sz="4" w:space="0" w:color="000000"/>
                        </w:tcBorders>
                      </w:tcPr>
                      <w:p>
                        <w:pPr>
                          <w:pStyle w:val="TableParagraph"/>
                          <w:spacing w:line="316" w:lineRule="auto" w:before="49"/>
                          <w:ind w:left="-1" w:right="20"/>
                          <w:jc w:val="left"/>
                          <w:rPr>
                            <w:rFonts w:ascii="宋体" w:hAnsi="宋体" w:cs="宋体" w:eastAsia="宋体" w:hint="default"/>
                            <w:sz w:val="18"/>
                            <w:szCs w:val="18"/>
                          </w:rPr>
                        </w:pPr>
                        <w:r>
                          <w:rPr>
                            <w:rFonts w:ascii="宋体" w:hAnsi="宋体" w:cs="宋体" w:eastAsia="宋体" w:hint="default"/>
                            <w:spacing w:val="-4"/>
                            <w:sz w:val="18"/>
                            <w:szCs w:val="18"/>
                          </w:rPr>
                          <w:t>重大缺陷：缺陷发生的可能性高，会严</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4"/>
                            <w:sz w:val="18"/>
                            <w:szCs w:val="18"/>
                          </w:rPr>
                          <w:t>重降低工作效率或效果、或严重加大效</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4"/>
                            <w:sz w:val="18"/>
                            <w:szCs w:val="18"/>
                          </w:rPr>
                          <w:t>果的不确定性、或使之严重偏离预期目</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标。 </w:t>
                        </w:r>
                        <w:r>
                          <w:rPr>
                            <w:rFonts w:ascii="宋体" w:hAnsi="宋体" w:cs="宋体" w:eastAsia="宋体" w:hint="default"/>
                            <w:spacing w:val="-4"/>
                            <w:sz w:val="18"/>
                            <w:szCs w:val="18"/>
                          </w:rPr>
                          <w:t>出现下列情形的，认定为存在非财务报</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告内部控制重大缺陷：</w:t>
                        </w:r>
                      </w:p>
                      <w:p>
                        <w:pPr>
                          <w:pStyle w:val="TableParagraph"/>
                          <w:spacing w:line="300" w:lineRule="auto" w:before="19"/>
                          <w:ind w:left="-1" w:right="44"/>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）违反国家法律、法规或规范性文 件；</w:t>
                        </w:r>
                      </w:p>
                      <w:p>
                        <w:pPr>
                          <w:pStyle w:val="TableParagraph"/>
                          <w:spacing w:line="300" w:lineRule="auto" w:before="31"/>
                          <w:ind w:left="-1" w:right="111"/>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）缺乏决策程序或决策程序不科学</w:t>
                        </w:r>
                        <w:r>
                          <w:rPr>
                            <w:rFonts w:ascii="宋体" w:hAnsi="宋体" w:cs="宋体" w:eastAsia="宋体" w:hint="default"/>
                            <w:sz w:val="18"/>
                            <w:szCs w:val="18"/>
                          </w:rPr>
                          <w:t> 导致重大失误；</w:t>
                        </w:r>
                      </w:p>
                      <w:p>
                        <w:pPr>
                          <w:pStyle w:val="TableParagraph"/>
                          <w:spacing w:line="312" w:lineRule="auto" w:before="32"/>
                          <w:ind w:left="-1" w:right="19"/>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）重要业务缺乏制度控制或制度系 </w:t>
                        </w:r>
                        <w:r>
                          <w:rPr>
                            <w:rFonts w:ascii="宋体" w:hAnsi="宋体" w:cs="宋体" w:eastAsia="宋体" w:hint="default"/>
                            <w:spacing w:val="-9"/>
                            <w:sz w:val="18"/>
                            <w:szCs w:val="18"/>
                          </w:rPr>
                          <w:t>统性失败；（</w:t>
                        </w:r>
                        <w:r>
                          <w:rPr>
                            <w:rFonts w:ascii="Times New Roman" w:hAnsi="Times New Roman" w:cs="Times New Roman" w:eastAsia="Times New Roman" w:hint="default"/>
                            <w:spacing w:val="-9"/>
                            <w:sz w:val="18"/>
                            <w:szCs w:val="18"/>
                          </w:rPr>
                          <w:t>4</w:t>
                        </w:r>
                        <w:r>
                          <w:rPr>
                            <w:rFonts w:ascii="宋体" w:hAnsi="宋体" w:cs="宋体" w:eastAsia="宋体" w:hint="default"/>
                            <w:spacing w:val="-9"/>
                            <w:sz w:val="18"/>
                            <w:szCs w:val="18"/>
                          </w:rPr>
                          <w:t>）在中央媒体或全国性媒</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9"/>
                            <w:sz w:val="18"/>
                            <w:szCs w:val="18"/>
                          </w:rPr>
                          <w:t>体上负面新闻频现；（</w:t>
                        </w:r>
                        <w:r>
                          <w:rPr>
                            <w:rFonts w:ascii="Times New Roman" w:hAnsi="Times New Roman" w:cs="Times New Roman" w:eastAsia="Times New Roman" w:hint="default"/>
                            <w:spacing w:val="-9"/>
                            <w:sz w:val="18"/>
                            <w:szCs w:val="18"/>
                          </w:rPr>
                          <w:t>5</w:t>
                        </w:r>
                        <w:r>
                          <w:rPr>
                            <w:rFonts w:ascii="宋体" w:hAnsi="宋体" w:cs="宋体" w:eastAsia="宋体" w:hint="default"/>
                            <w:spacing w:val="-9"/>
                            <w:sz w:val="18"/>
                            <w:szCs w:val="18"/>
                          </w:rPr>
                          <w:t>）其他对公司影</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响重大的情形。 </w:t>
                        </w:r>
                        <w:r>
                          <w:rPr>
                            <w:rFonts w:ascii="宋体" w:hAnsi="宋体" w:cs="宋体" w:eastAsia="宋体" w:hint="default"/>
                            <w:spacing w:val="-4"/>
                            <w:sz w:val="18"/>
                            <w:szCs w:val="18"/>
                          </w:rPr>
                          <w:t>重要缺陷：单独缺陷或连同其他缺陷组</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4"/>
                            <w:sz w:val="18"/>
                            <w:szCs w:val="18"/>
                          </w:rPr>
                          <w:t>合，其严重程度低于重大缺陷，但仍有</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可能导致公司偏离控制目标。一般缺 </w:t>
                        </w:r>
                        <w:r>
                          <w:rPr>
                            <w:rFonts w:ascii="宋体" w:hAnsi="宋体" w:cs="宋体" w:eastAsia="宋体" w:hint="default"/>
                            <w:spacing w:val="-4"/>
                            <w:sz w:val="18"/>
                            <w:szCs w:val="18"/>
                          </w:rPr>
                          <w:t>陷：不构成重大缺陷和重要缺陷的内部</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控制缺陷。</w:t>
                        </w:r>
                      </w:p>
                    </w:tc>
                  </w:tr>
                  <w:tr>
                    <w:trPr>
                      <w:trHeight w:val="391" w:hRule="exact"/>
                    </w:trPr>
                    <w:tc>
                      <w:tcPr>
                        <w:tcW w:w="282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定性标准</w:t>
                        </w:r>
                      </w:p>
                    </w:tc>
                    <w:tc>
                      <w:tcPr>
                        <w:tcW w:w="3695" w:type="dxa"/>
                        <w:vMerge/>
                        <w:tcBorders>
                          <w:left w:val="single" w:sz="10" w:space="0" w:color="D2D2D2"/>
                          <w:right w:val="single" w:sz="14" w:space="0" w:color="FFFFFF"/>
                        </w:tcBorders>
                      </w:tcPr>
                      <w:p>
                        <w:pPr/>
                      </w:p>
                    </w:tc>
                    <w:tc>
                      <w:tcPr>
                        <w:tcW w:w="3040" w:type="dxa"/>
                        <w:vMerge/>
                        <w:tcBorders>
                          <w:left w:val="single" w:sz="14" w:space="0" w:color="FFFFFF"/>
                          <w:right w:val="single" w:sz="4" w:space="0" w:color="000000"/>
                        </w:tcBorders>
                      </w:tcPr>
                      <w:p>
                        <w:pPr/>
                      </w:p>
                    </w:tc>
                  </w:tr>
                  <w:tr>
                    <w:trPr>
                      <w:trHeight w:val="2813" w:hRule="exact"/>
                    </w:trPr>
                    <w:tc>
                      <w:tcPr>
                        <w:tcW w:w="2823" w:type="dxa"/>
                        <w:tcBorders>
                          <w:top w:val="nil" w:sz="6" w:space="0" w:color="auto"/>
                          <w:left w:val="single" w:sz="4" w:space="0" w:color="000000"/>
                          <w:bottom w:val="single" w:sz="4" w:space="0" w:color="000000"/>
                          <w:right w:val="single" w:sz="4" w:space="0" w:color="000000"/>
                        </w:tcBorders>
                        <w:shd w:val="clear" w:color="auto" w:fill="D2D2D2"/>
                      </w:tcPr>
                      <w:p>
                        <w:pPr/>
                      </w:p>
                    </w:tc>
                    <w:tc>
                      <w:tcPr>
                        <w:tcW w:w="3695" w:type="dxa"/>
                        <w:vMerge/>
                        <w:tcBorders>
                          <w:left w:val="single" w:sz="10" w:space="0" w:color="D2D2D2"/>
                          <w:bottom w:val="single" w:sz="4" w:space="0" w:color="000000"/>
                          <w:right w:val="single" w:sz="14" w:space="0" w:color="FFFFFF"/>
                        </w:tcBorders>
                      </w:tcPr>
                      <w:p>
                        <w:pPr/>
                      </w:p>
                    </w:tc>
                    <w:tc>
                      <w:tcPr>
                        <w:tcW w:w="3040" w:type="dxa"/>
                        <w:vMerge/>
                        <w:tcBorders>
                          <w:left w:val="single" w:sz="14" w:space="0" w:color="FFFFFF"/>
                          <w:bottom w:val="single" w:sz="4" w:space="0" w:color="000000"/>
                          <w:right w:val="single" w:sz="4" w:space="0" w:color="000000"/>
                        </w:tcBorders>
                      </w:tcPr>
                      <w:p>
                        <w:pPr/>
                      </w:p>
                    </w:tc>
                  </w:tr>
                  <w:tr>
                    <w:trPr>
                      <w:trHeight w:val="1565" w:hRule="exact"/>
                    </w:trPr>
                    <w:tc>
                      <w:tcPr>
                        <w:tcW w:w="2823" w:type="dxa"/>
                        <w:tcBorders>
                          <w:top w:val="single" w:sz="4" w:space="0" w:color="000000"/>
                          <w:left w:val="single" w:sz="4" w:space="0" w:color="000000"/>
                          <w:bottom w:val="nil" w:sz="6" w:space="0" w:color="auto"/>
                          <w:right w:val="single" w:sz="4" w:space="0" w:color="000000"/>
                        </w:tcBorders>
                        <w:shd w:val="clear" w:color="auto" w:fill="D2D2D2"/>
                      </w:tcPr>
                      <w:p>
                        <w:pPr/>
                      </w:p>
                    </w:tc>
                    <w:tc>
                      <w:tcPr>
                        <w:tcW w:w="3695" w:type="dxa"/>
                        <w:vMerge w:val="restart"/>
                        <w:tcBorders>
                          <w:top w:val="single" w:sz="4" w:space="0" w:color="000000"/>
                          <w:left w:val="single" w:sz="10" w:space="0" w:color="D2D2D2"/>
                          <w:right w:val="single" w:sz="4" w:space="0" w:color="000000"/>
                        </w:tcBorders>
                      </w:tcPr>
                      <w:p>
                        <w:pPr>
                          <w:pStyle w:val="TableParagraph"/>
                          <w:spacing w:line="309" w:lineRule="auto" w:before="49"/>
                          <w:ind w:left="16" w:right="33"/>
                          <w:jc w:val="left"/>
                          <w:rPr>
                            <w:rFonts w:ascii="宋体" w:hAnsi="宋体" w:cs="宋体" w:eastAsia="宋体" w:hint="default"/>
                            <w:sz w:val="18"/>
                            <w:szCs w:val="18"/>
                          </w:rPr>
                        </w:pPr>
                        <w:r>
                          <w:rPr>
                            <w:rFonts w:ascii="宋体" w:hAnsi="宋体" w:cs="宋体" w:eastAsia="宋体" w:hint="default"/>
                            <w:sz w:val="18"/>
                            <w:szCs w:val="18"/>
                          </w:rPr>
                          <w:t>重大缺陷：该缺陷造成财务报告错报金额与利 润表相关大于或等于合并财务报表营业收入的 </w:t>
                        </w: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；其他金额大于或等于合并财务报表资产总</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额的</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 重要缺陷：该缺陷造成财务报告错报金额与利 润表相关大于或等于合并财务报表营业收入的 </w:t>
                        </w:r>
                        <w:r>
                          <w:rPr>
                            <w:rFonts w:ascii="Times New Roman" w:hAnsi="Times New Roman" w:cs="Times New Roman" w:eastAsia="Times New Roman" w:hint="default"/>
                            <w:sz w:val="18"/>
                            <w:szCs w:val="18"/>
                          </w:rPr>
                          <w:t>1%</w:t>
                        </w:r>
                        <w:r>
                          <w:rPr>
                            <w:rFonts w:ascii="宋体" w:hAnsi="宋体" w:cs="宋体" w:eastAsia="宋体" w:hint="default"/>
                            <w:sz w:val="18"/>
                            <w:szCs w:val="18"/>
                          </w:rPr>
                          <w:t>，但小于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；其他金额大于或等于合并财 务报表资产总额的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宋体" w:hAnsi="宋体" w:cs="宋体" w:eastAsia="宋体" w:hint="default"/>
                            <w:sz w:val="18"/>
                            <w:szCs w:val="18"/>
                          </w:rPr>
                          <w:t>但小于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 一般缺陷：该缺陷造成财务报告错报金额与利 润表相关小于合并财务报表营业收入的</w:t>
                        </w:r>
                        <w:r>
                          <w:rPr>
                            <w:rFonts w:ascii="宋体" w:hAnsi="宋体" w:cs="宋体" w:eastAsia="宋体" w:hint="default"/>
                            <w:spacing w:val="-44"/>
                            <w:sz w:val="18"/>
                            <w:szCs w:val="18"/>
                          </w:rPr>
                          <w:t> </w:t>
                        </w:r>
                        <w:r>
                          <w:rPr>
                            <w:rFonts w:ascii="Times New Roman" w:hAnsi="Times New Roman" w:cs="Times New Roman" w:eastAsia="Times New Roman" w:hint="default"/>
                            <w:spacing w:val="-41"/>
                            <w:sz w:val="18"/>
                            <w:szCs w:val="18"/>
                          </w:rPr>
                          <w:t>1%</w:t>
                        </w:r>
                        <w:r>
                          <w:rPr>
                            <w:rFonts w:ascii="宋体" w:hAnsi="宋体" w:cs="宋体" w:eastAsia="宋体" w:hint="default"/>
                            <w:spacing w:val="-41"/>
                            <w:sz w:val="18"/>
                            <w:szCs w:val="18"/>
                          </w:rPr>
                          <w:t>；其</w:t>
                        </w:r>
                        <w:r>
                          <w:rPr>
                            <w:rFonts w:ascii="宋体" w:hAnsi="宋体" w:cs="宋体" w:eastAsia="宋体" w:hint="default"/>
                            <w:spacing w:val="-88"/>
                            <w:sz w:val="18"/>
                            <w:szCs w:val="18"/>
                          </w:rPr>
                          <w:t> </w:t>
                        </w:r>
                        <w:r>
                          <w:rPr>
                            <w:rFonts w:ascii="宋体" w:hAnsi="宋体" w:cs="宋体" w:eastAsia="宋体" w:hint="default"/>
                            <w:sz w:val="18"/>
                            <w:szCs w:val="18"/>
                          </w:rPr>
                          <w:t>他金额小于合并财务报表资产总额的</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r>
                          <w:rPr>
                            <w:rFonts w:ascii="宋体" w:hAnsi="宋体" w:cs="宋体" w:eastAsia="宋体" w:hint="default"/>
                            <w:sz w:val="18"/>
                            <w:szCs w:val="18"/>
                          </w:rPr>
                          <w:t>。</w:t>
                        </w:r>
                      </w:p>
                    </w:tc>
                    <w:tc>
                      <w:tcPr>
                        <w:tcW w:w="304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309" w:lineRule="auto"/>
                          <w:ind w:left="13" w:right="20"/>
                          <w:jc w:val="left"/>
                          <w:rPr>
                            <w:rFonts w:ascii="宋体" w:hAnsi="宋体" w:cs="宋体" w:eastAsia="宋体" w:hint="default"/>
                            <w:sz w:val="18"/>
                            <w:szCs w:val="18"/>
                          </w:rPr>
                        </w:pPr>
                        <w:r>
                          <w:rPr>
                            <w:rFonts w:ascii="宋体" w:hAnsi="宋体" w:cs="宋体" w:eastAsia="宋体" w:hint="default"/>
                            <w:spacing w:val="-4"/>
                            <w:sz w:val="18"/>
                            <w:szCs w:val="18"/>
                          </w:rPr>
                          <w:t>重大缺陷：该缺陷造成财产损失大于或</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等于合并财务报表营业收入的</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 </w:t>
                        </w:r>
                        <w:r>
                          <w:rPr>
                            <w:rFonts w:ascii="宋体" w:hAnsi="宋体" w:cs="宋体" w:eastAsia="宋体" w:hint="default"/>
                            <w:spacing w:val="-4"/>
                            <w:sz w:val="18"/>
                            <w:szCs w:val="18"/>
                          </w:rPr>
                          <w:t>重要缺陷：该缺陷造成财产损失大于或</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等于合并财务报表营业收入的</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，但 小于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 </w:t>
                        </w:r>
                        <w:r>
                          <w:rPr>
                            <w:rFonts w:ascii="宋体" w:hAnsi="宋体" w:cs="宋体" w:eastAsia="宋体" w:hint="default"/>
                            <w:spacing w:val="-4"/>
                            <w:sz w:val="18"/>
                            <w:szCs w:val="18"/>
                          </w:rPr>
                          <w:t>一般缺陷：该缺陷造成财产损失小于合</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并财务报表营业收入的</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p>
                    </w:tc>
                  </w:tr>
                  <w:tr>
                    <w:trPr>
                      <w:trHeight w:val="391" w:hRule="exact"/>
                    </w:trPr>
                    <w:tc>
                      <w:tcPr>
                        <w:tcW w:w="282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定量标准</w:t>
                        </w:r>
                      </w:p>
                    </w:tc>
                    <w:tc>
                      <w:tcPr>
                        <w:tcW w:w="3695" w:type="dxa"/>
                        <w:vMerge/>
                        <w:tcBorders>
                          <w:left w:val="single" w:sz="10" w:space="0" w:color="D2D2D2"/>
                          <w:right w:val="single" w:sz="4" w:space="0" w:color="000000"/>
                        </w:tcBorders>
                      </w:tcPr>
                      <w:p>
                        <w:pPr/>
                      </w:p>
                    </w:tc>
                    <w:tc>
                      <w:tcPr>
                        <w:tcW w:w="3040" w:type="dxa"/>
                        <w:vMerge/>
                        <w:tcBorders>
                          <w:left w:val="single" w:sz="4" w:space="0" w:color="000000"/>
                          <w:right w:val="single" w:sz="4" w:space="0" w:color="000000"/>
                        </w:tcBorders>
                      </w:tcPr>
                      <w:p>
                        <w:pPr/>
                      </w:p>
                    </w:tc>
                  </w:tr>
                  <w:tr>
                    <w:trPr>
                      <w:trHeight w:val="1565" w:hRule="exact"/>
                    </w:trPr>
                    <w:tc>
                      <w:tcPr>
                        <w:tcW w:w="2823" w:type="dxa"/>
                        <w:tcBorders>
                          <w:top w:val="nil" w:sz="6" w:space="0" w:color="auto"/>
                          <w:left w:val="single" w:sz="4" w:space="0" w:color="000000"/>
                          <w:bottom w:val="single" w:sz="4" w:space="0" w:color="000000"/>
                          <w:right w:val="single" w:sz="4" w:space="0" w:color="000000"/>
                        </w:tcBorders>
                        <w:shd w:val="clear" w:color="auto" w:fill="D2D2D2"/>
                      </w:tcPr>
                      <w:p>
                        <w:pPr/>
                      </w:p>
                    </w:tc>
                    <w:tc>
                      <w:tcPr>
                        <w:tcW w:w="3695" w:type="dxa"/>
                        <w:vMerge/>
                        <w:tcBorders>
                          <w:left w:val="single" w:sz="10" w:space="0" w:color="D2D2D2"/>
                          <w:bottom w:val="single" w:sz="4" w:space="0" w:color="000000"/>
                          <w:right w:val="single" w:sz="4" w:space="0" w:color="000000"/>
                        </w:tcBorders>
                      </w:tcPr>
                      <w:p>
                        <w:pPr/>
                      </w:p>
                    </w:tc>
                    <w:tc>
                      <w:tcPr>
                        <w:tcW w:w="3040" w:type="dxa"/>
                        <w:vMerge/>
                        <w:tcBorders>
                          <w:left w:val="single" w:sz="4" w:space="0" w:color="000000"/>
                          <w:bottom w:val="single" w:sz="4" w:space="0" w:color="000000"/>
                          <w:right w:val="single" w:sz="4" w:space="0" w:color="000000"/>
                        </w:tcBorders>
                      </w:tcPr>
                      <w:p>
                        <w:pPr/>
                      </w:p>
                    </w:tc>
                  </w:tr>
                  <w:tr>
                    <w:trPr>
                      <w:trHeight w:val="403" w:hRule="exact"/>
                    </w:trPr>
                    <w:tc>
                      <w:tcPr>
                        <w:tcW w:w="28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财务报告重大缺陷数量（个）</w:t>
                        </w:r>
                      </w:p>
                    </w:tc>
                    <w:tc>
                      <w:tcPr>
                        <w:tcW w:w="6735"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z w:val="18"/>
                          </w:rPr>
                          <w:t>0</w:t>
                        </w:r>
                      </w:p>
                    </w:tc>
                  </w:tr>
                </w:tbl>
                <w:p>
                  <w:pPr/>
                </w:p>
              </w:txbxContent>
            </v:textbox>
            <w10:wrap type="none"/>
          </v:shape>
        </w:pict>
      </w:r>
    </w:p>
    <w:p>
      <w:pPr>
        <w:pStyle w:val="Heading4"/>
        <w:spacing w:line="240" w:lineRule="auto" w:before="36"/>
        <w:ind w:right="982"/>
        <w:jc w:val="left"/>
        <w:rPr>
          <w:b w:val="0"/>
          <w:bCs w:val="0"/>
        </w:rPr>
      </w:pPr>
      <w:r>
        <w:rPr>
          <w:rFonts w:ascii="Times New Roman" w:hAnsi="Times New Roman" w:cs="Times New Roman" w:eastAsia="Times New Roman" w:hint="default"/>
        </w:rPr>
        <w:t>2</w:t>
      </w:r>
      <w:r>
        <w:rPr/>
        <w:t>、内控自我评价报告</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6"/>
          <w:szCs w:val="16"/>
        </w:rPr>
      </w:pPr>
    </w:p>
    <w:p>
      <w:pPr>
        <w:pStyle w:val="BodyText"/>
        <w:spacing w:line="240" w:lineRule="auto"/>
        <w:ind w:left="0" w:right="1138"/>
        <w:jc w:val="right"/>
      </w:pPr>
      <w:r>
        <w:rPr/>
        <w:t>，</w:t>
      </w:r>
    </w:p>
    <w:p>
      <w:pPr>
        <w:spacing w:line="240" w:lineRule="auto" w:before="3"/>
        <w:rPr>
          <w:rFonts w:ascii="宋体" w:hAnsi="宋体" w:cs="宋体" w:eastAsia="宋体" w:hint="default"/>
          <w:sz w:val="5"/>
          <w:szCs w:val="5"/>
        </w:rPr>
      </w:pPr>
    </w:p>
    <w:p>
      <w:pPr>
        <w:spacing w:line="312" w:lineRule="exact"/>
        <w:ind w:left="6701" w:right="0" w:firstLine="0"/>
        <w:rPr>
          <w:rFonts w:ascii="宋体" w:hAnsi="宋体" w:cs="宋体" w:eastAsia="宋体" w:hint="default"/>
          <w:sz w:val="20"/>
          <w:szCs w:val="20"/>
        </w:rPr>
      </w:pPr>
      <w:r>
        <w:rPr>
          <w:rFonts w:ascii="宋体" w:hAnsi="宋体" w:cs="宋体" w:eastAsia="宋体" w:hint="default"/>
          <w:position w:val="-5"/>
          <w:sz w:val="20"/>
          <w:szCs w:val="20"/>
        </w:rPr>
        <w:pict>
          <v:group style="width:149.7pt;height:15.6pt;mso-position-horizontal-relative:char;mso-position-vertical-relative:line" coordorigin="0,0" coordsize="2994,312">
            <v:group style="position:absolute;left:0;top:0;width:2994;height:312" coordorigin="0,0" coordsize="2994,312">
              <v:shape style="position:absolute;left:0;top:0;width:2994;height:312" coordorigin="0,0" coordsize="2994,312" path="m0,312l2993,312,2993,0,0,0,0,312xe" filled="true" fillcolor="#ffffff" stroked="false">
                <v:path arrowok="t"/>
                <v:fill type="solid"/>
              </v:shape>
            </v:group>
          </v:group>
        </w:pict>
      </w:r>
      <w:r>
        <w:rPr>
          <w:rFonts w:ascii="宋体" w:hAnsi="宋体" w:cs="宋体" w:eastAsia="宋体" w:hint="default"/>
          <w:position w:val="-5"/>
          <w:sz w:val="20"/>
          <w:szCs w:val="20"/>
        </w:rPr>
      </w:r>
    </w:p>
    <w:p>
      <w:pPr>
        <w:spacing w:after="0" w:line="312" w:lineRule="exact"/>
        <w:rPr>
          <w:rFonts w:ascii="宋体" w:hAnsi="宋体" w:cs="宋体" w:eastAsia="宋体" w:hint="default"/>
          <w:sz w:val="20"/>
          <w:szCs w:val="20"/>
        </w:rPr>
        <w:sectPr>
          <w:footerReference w:type="default" r:id="rId52"/>
          <w:pgSz w:w="11910" w:h="16840"/>
          <w:pgMar w:footer="979" w:header="745" w:top="1060" w:bottom="1160" w:left="980" w:right="0"/>
          <w:pgNumType w:start="11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2823"/>
        <w:gridCol w:w="6746"/>
      </w:tblGrid>
      <w:tr>
        <w:trPr>
          <w:trHeight w:val="401" w:hRule="exact"/>
        </w:trPr>
        <w:tc>
          <w:tcPr>
            <w:tcW w:w="28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非财务报告重大缺陷数量（个）</w:t>
            </w:r>
          </w:p>
        </w:tc>
        <w:tc>
          <w:tcPr>
            <w:tcW w:w="67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28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财务报告重要缺陷数量（个）</w:t>
            </w:r>
          </w:p>
        </w:tc>
        <w:tc>
          <w:tcPr>
            <w:tcW w:w="67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28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非财务报告重要缺陷数量（个）</w:t>
            </w:r>
          </w:p>
        </w:tc>
        <w:tc>
          <w:tcPr>
            <w:tcW w:w="67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bl>
    <w:p>
      <w:pPr>
        <w:spacing w:line="240" w:lineRule="auto" w:before="1"/>
        <w:rPr>
          <w:rFonts w:ascii="宋体" w:hAnsi="宋体" w:cs="宋体" w:eastAsia="宋体" w:hint="default"/>
          <w:sz w:val="18"/>
          <w:szCs w:val="18"/>
        </w:rPr>
      </w:pPr>
    </w:p>
    <w:p>
      <w:pPr>
        <w:pStyle w:val="Heading2"/>
        <w:spacing w:line="240" w:lineRule="auto" w:before="26"/>
        <w:ind w:right="982"/>
        <w:jc w:val="left"/>
        <w:rPr>
          <w:b w:val="0"/>
          <w:bCs w:val="0"/>
        </w:rPr>
      </w:pPr>
      <w:r>
        <w:rPr/>
        <w:t>十、内部控制审计报告或鉴证报告</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t>内部控制鉴证报告</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661"/>
        <w:gridCol w:w="6909"/>
      </w:tblGrid>
      <w:tr>
        <w:trPr>
          <w:trHeight w:val="401" w:hRule="exact"/>
        </w:trPr>
        <w:tc>
          <w:tcPr>
            <w:tcW w:w="957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内部控制鉴证报告中的审议意见段</w:t>
            </w:r>
          </w:p>
        </w:tc>
      </w:tr>
      <w:tr>
        <w:trPr>
          <w:trHeight w:val="403" w:hRule="exact"/>
        </w:trPr>
        <w:tc>
          <w:tcPr>
            <w:tcW w:w="957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无保留意见</w:t>
            </w:r>
          </w:p>
        </w:tc>
      </w:tr>
      <w:tr>
        <w:trPr>
          <w:trHeight w:val="401"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内控鉴证报告披露情况</w:t>
            </w:r>
          </w:p>
        </w:tc>
        <w:tc>
          <w:tcPr>
            <w:tcW w:w="6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披露</w:t>
            </w:r>
          </w:p>
        </w:tc>
      </w:tr>
      <w:tr>
        <w:trPr>
          <w:trHeight w:val="404"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内部控制鉴证报告全文披露日期</w:t>
            </w:r>
          </w:p>
        </w:tc>
        <w:tc>
          <w:tcPr>
            <w:tcW w:w="6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 </w:t>
            </w:r>
            <w:r>
              <w:rPr>
                <w:rFonts w:ascii="宋体" w:hAnsi="宋体" w:cs="宋体" w:eastAsia="宋体" w:hint="default"/>
                <w:sz w:val="18"/>
                <w:szCs w:val="18"/>
              </w:rPr>
              <w:t>日</w:t>
            </w:r>
          </w:p>
        </w:tc>
      </w:tr>
      <w:tr>
        <w:trPr>
          <w:trHeight w:val="713"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内部控制鉴证报告全文披露索引</w:t>
            </w:r>
          </w:p>
        </w:tc>
        <w:tc>
          <w:tcPr>
            <w:tcW w:w="6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详见</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日刊登在巨潮资讯网（</w:t>
            </w:r>
            <w:hyperlink r:id="rId13">
              <w:r>
                <w:rPr>
                  <w:rFonts w:ascii="Times New Roman" w:hAnsi="Times New Roman" w:cs="Times New Roman" w:eastAsia="Times New Roman" w:hint="default"/>
                  <w:sz w:val="18"/>
                  <w:szCs w:val="18"/>
                </w:rPr>
                <w:t>www.cninfo.com.cn</w:t>
              </w:r>
            </w:hyperlink>
            <w:r>
              <w:rPr>
                <w:rFonts w:ascii="宋体" w:hAnsi="宋体" w:cs="宋体" w:eastAsia="宋体" w:hint="default"/>
                <w:sz w:val="18"/>
                <w:szCs w:val="18"/>
              </w:rPr>
              <w:t>）上的《北京四维图新科</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技股份有限公司</w:t>
            </w:r>
            <w:r>
              <w:rPr>
                <w:rFonts w:ascii="宋体" w:hAnsi="宋体" w:cs="宋体" w:eastAsia="宋体" w:hint="default"/>
                <w:spacing w:val="-44"/>
                <w:sz w:val="18"/>
                <w:szCs w:val="18"/>
              </w:rPr>
              <w:t> </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pacing w:val="-2"/>
                <w:sz w:val="18"/>
                <w:szCs w:val="18"/>
              </w:rPr>
              <w:t>1</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pacing w:val="1"/>
                <w:sz w:val="18"/>
                <w:szCs w:val="18"/>
              </w:rPr>
              <w:t>3</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日内部控制鉴证报告</w:t>
            </w:r>
            <w:r>
              <w:rPr>
                <w:rFonts w:ascii="宋体" w:hAnsi="宋体" w:cs="宋体" w:eastAsia="宋体" w:hint="default"/>
                <w:spacing w:val="-92"/>
                <w:sz w:val="18"/>
                <w:szCs w:val="18"/>
              </w:rPr>
              <w:t>》</w:t>
            </w:r>
            <w:r>
              <w:rPr>
                <w:rFonts w:ascii="宋体" w:hAnsi="宋体" w:cs="宋体" w:eastAsia="宋体" w:hint="default"/>
                <w:sz w:val="18"/>
                <w:szCs w:val="18"/>
              </w:rPr>
              <w:t>。</w:t>
            </w:r>
          </w:p>
        </w:tc>
      </w:tr>
      <w:tr>
        <w:trPr>
          <w:trHeight w:val="403"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内控鉴证报告意见类型</w:t>
            </w:r>
          </w:p>
        </w:tc>
        <w:tc>
          <w:tcPr>
            <w:tcW w:w="6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无保留意见</w:t>
            </w:r>
          </w:p>
        </w:tc>
      </w:tr>
      <w:tr>
        <w:trPr>
          <w:trHeight w:val="403"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非财务报告是否存在重大缺陷</w:t>
            </w:r>
          </w:p>
        </w:tc>
        <w:tc>
          <w:tcPr>
            <w:tcW w:w="6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pStyle w:val="BodyText"/>
        <w:spacing w:line="240" w:lineRule="auto" w:before="49"/>
        <w:ind w:right="982"/>
        <w:jc w:val="left"/>
      </w:pPr>
      <w:r>
        <w:rPr/>
        <w:t>会计师事务所是否出具非标准意见的内部控制鉴证报告</w:t>
      </w:r>
    </w:p>
    <w:p>
      <w:pPr>
        <w:pStyle w:val="BodyText"/>
        <w:spacing w:line="340" w:lineRule="auto" w:before="115"/>
        <w:ind w:right="4634"/>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否 会计师事务所出具的内部控制鉴证报告与董事会的自我评价报告意见是否一致</w:t>
      </w:r>
    </w:p>
    <w:p>
      <w:pPr>
        <w:pStyle w:val="BodyText"/>
        <w:spacing w:line="240" w:lineRule="auto" w:before="39"/>
        <w:ind w:right="982"/>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否</w:t>
      </w:r>
    </w:p>
    <w:p>
      <w:pPr>
        <w:spacing w:after="0" w:line="240" w:lineRule="auto"/>
        <w:jc w:val="left"/>
        <w:sectPr>
          <w:pgSz w:w="11910" w:h="16840"/>
          <w:pgMar w:header="745" w:footer="979" w:top="1060" w:bottom="1160" w:left="980" w:right="0"/>
        </w:sectPr>
      </w:pPr>
    </w:p>
    <w:p>
      <w:pPr>
        <w:spacing w:line="240" w:lineRule="auto" w:before="0"/>
        <w:rPr>
          <w:rFonts w:ascii="宋体" w:hAnsi="宋体" w:cs="宋体" w:eastAsia="宋体" w:hint="default"/>
          <w:sz w:val="20"/>
          <w:szCs w:val="20"/>
        </w:rPr>
      </w:pPr>
      <w:r>
        <w:rPr/>
        <w:pict>
          <v:shape style="position:absolute;margin-left:74.639999pt;margin-top:314.809998pt;width:95.2pt;height:39pt;mso-position-horizontal-relative:page;mso-position-vertical-relative:page;z-index:-1325128" type="#_x0000_t202" filled="false" stroked="false">
            <v:textbox inset="0,0,0,0">
              <w:txbxContent>
                <w:p>
                  <w:pPr>
                    <w:spacing w:line="240" w:lineRule="auto" w:before="0"/>
                    <w:rPr>
                      <w:rFonts w:ascii="宋体" w:hAnsi="宋体" w:cs="宋体" w:eastAsia="宋体" w:hint="default"/>
                      <w:b/>
                      <w:bCs/>
                      <w:sz w:val="18"/>
                      <w:szCs w:val="18"/>
                    </w:rPr>
                  </w:pPr>
                </w:p>
                <w:p>
                  <w:pPr>
                    <w:spacing w:line="240" w:lineRule="auto" w:before="4"/>
                    <w:rPr>
                      <w:rFonts w:ascii="宋体" w:hAnsi="宋体" w:cs="宋体" w:eastAsia="宋体" w:hint="default"/>
                      <w:b/>
                      <w:bCs/>
                      <w:sz w:val="15"/>
                      <w:szCs w:val="15"/>
                    </w:rPr>
                  </w:pPr>
                </w:p>
                <w:p>
                  <w:pPr>
                    <w:pStyle w:val="BodyText"/>
                    <w:spacing w:line="240" w:lineRule="auto"/>
                    <w:ind w:left="0" w:right="0"/>
                    <w:jc w:val="left"/>
                  </w:pPr>
                  <w:r>
                    <w:rPr/>
                    <w:t>（第一期）</w:t>
                  </w:r>
                </w:p>
              </w:txbxContent>
            </v:textbox>
            <w10:wrap type="none"/>
          </v:shape>
        </w:pict>
      </w:r>
      <w:r>
        <w:rPr/>
        <w:pict>
          <v:group style="position:absolute;margin-left:116.779999pt;margin-top:314.809998pt;width:53.05pt;height:39pt;mso-position-horizontal-relative:page;mso-position-vertical-relative:page;z-index:-1325104" coordorigin="2336,6296" coordsize="1061,780">
            <v:shape style="position:absolute;left:2336;top:6296;width:1061;height:780" coordorigin="2336,6296" coordsize="1061,780" path="m2336,7076l3396,7076,3396,6296,2336,6296,2336,7076xe" filled="true" fillcolor="#ffffff" stroked="false">
              <v:path arrowok="t"/>
              <v:fill type="solid"/>
            </v:shape>
            <w10:wrap type="none"/>
          </v:group>
        </w:pict>
      </w:r>
      <w:r>
        <w:rPr/>
        <w:pict>
          <v:group style="position:absolute;margin-left:216.649994pt;margin-top:739.055969pt;width:318.55pt;height:27pt;mso-position-horizontal-relative:page;mso-position-vertical-relative:page;z-index:-1325080" coordorigin="4333,14781" coordsize="6371,540">
            <v:group style="position:absolute;left:4345;top:14793;width:2;height:394" coordorigin="4345,14793" coordsize="2,394">
              <v:shape style="position:absolute;left:4345;top:14793;width:2;height:394" coordorigin="4345,14793" coordsize="0,394" path="m4345,14793l4345,15187e" filled="false" stroked="true" strokeweight="1.2pt" strokecolor="#ffffff">
                <v:path arrowok="t"/>
              </v:shape>
            </v:group>
            <v:group style="position:absolute;left:4333;top:15187;width:6371;height:135" coordorigin="4333,15187" coordsize="6371,135">
              <v:shape style="position:absolute;left:4333;top:15187;width:6371;height:135" coordorigin="4333,15187" coordsize="6371,135" path="m4333,15321l10704,15321,10704,15187,4333,15187,4333,15321xe" filled="true" fillcolor="#ffffff" stroked="false">
                <v:path arrowok="t"/>
                <v:fill type="solid"/>
              </v:shape>
            </v:group>
            <v:group style="position:absolute;left:4357;top:14793;width:6325;height:394" coordorigin="4357,14793" coordsize="6325,394">
              <v:shape style="position:absolute;left:4357;top:14793;width:6325;height:394" coordorigin="4357,14793" coordsize="6325,394" path="m4357,15187l10682,15187,10682,14793,4357,14793,4357,15187xe" filled="true" fillcolor="#ffffff" stroked="false">
                <v:path arrowok="t"/>
                <v:fill type="solid"/>
              </v:shape>
            </v:group>
            <w10:wrap type="none"/>
          </v:group>
        </w:pic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left="3125" w:right="982"/>
        <w:jc w:val="left"/>
        <w:rPr>
          <w:b w:val="0"/>
          <w:bCs w:val="0"/>
        </w:rPr>
      </w:pPr>
      <w:bookmarkStart w:name="_bookmark9" w:id="10"/>
      <w:bookmarkEnd w:id="10"/>
      <w:r>
        <w:rPr>
          <w:b w:val="0"/>
          <w:bCs w:val="0"/>
        </w:rPr>
      </w:r>
      <w:r>
        <w:rPr/>
        <w:t>第十节</w:t>
      </w:r>
      <w:r>
        <w:rPr>
          <w:spacing w:val="-6"/>
        </w:rPr>
        <w:t> </w:t>
      </w:r>
      <w:r>
        <w:rPr/>
        <w:t>公司债券相关情况</w:t>
      </w:r>
      <w:r>
        <w:rPr>
          <w:b w:val="0"/>
          <w:bCs w:val="0"/>
        </w:rPr>
      </w:r>
    </w:p>
    <w:p>
      <w:pPr>
        <w:spacing w:line="240" w:lineRule="auto" w:before="9"/>
        <w:rPr>
          <w:rFonts w:ascii="宋体" w:hAnsi="宋体" w:cs="宋体" w:eastAsia="宋体" w:hint="default"/>
          <w:b/>
          <w:bCs/>
          <w:sz w:val="42"/>
          <w:szCs w:val="42"/>
        </w:rPr>
      </w:pPr>
    </w:p>
    <w:p>
      <w:pPr>
        <w:pStyle w:val="BodyText"/>
        <w:spacing w:line="357" w:lineRule="auto"/>
        <w:ind w:right="2114"/>
        <w:jc w:val="left"/>
      </w:pPr>
      <w:r>
        <w:rPr/>
        <w:t>公司是否存在公开发行并在证券交易所上市，且在年度报告批准报出日未到期或到期未能全额兑付的公司债券 是</w:t>
      </w:r>
    </w:p>
    <w:p>
      <w:pPr>
        <w:spacing w:line="240" w:lineRule="auto" w:before="7"/>
        <w:rPr>
          <w:rFonts w:ascii="宋体" w:hAnsi="宋体" w:cs="宋体" w:eastAsia="宋体" w:hint="default"/>
          <w:sz w:val="18"/>
          <w:szCs w:val="18"/>
        </w:rPr>
      </w:pPr>
    </w:p>
    <w:p>
      <w:pPr>
        <w:pStyle w:val="Heading2"/>
        <w:spacing w:line="240" w:lineRule="auto"/>
        <w:ind w:right="982"/>
        <w:jc w:val="left"/>
        <w:rPr>
          <w:b w:val="0"/>
          <w:bCs w:val="0"/>
        </w:rPr>
      </w:pPr>
      <w:r>
        <w:rPr/>
        <w:t>一、公司债券基本信息</w:t>
      </w:r>
      <w:r>
        <w:rPr>
          <w:b w:val="0"/>
          <w:bCs w:val="0"/>
        </w:rPr>
      </w:r>
    </w:p>
    <w:p>
      <w:pPr>
        <w:spacing w:line="240" w:lineRule="auto" w:before="11"/>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1197"/>
        <w:gridCol w:w="1070"/>
        <w:gridCol w:w="1136"/>
        <w:gridCol w:w="1133"/>
        <w:gridCol w:w="1136"/>
        <w:gridCol w:w="1133"/>
        <w:gridCol w:w="994"/>
        <w:gridCol w:w="1772"/>
      </w:tblGrid>
      <w:tr>
        <w:trPr>
          <w:trHeight w:val="713"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2" w:right="0"/>
              <w:jc w:val="left"/>
              <w:rPr>
                <w:rFonts w:ascii="宋体" w:hAnsi="宋体" w:cs="宋体" w:eastAsia="宋体" w:hint="default"/>
                <w:sz w:val="18"/>
                <w:szCs w:val="18"/>
              </w:rPr>
            </w:pPr>
            <w:r>
              <w:rPr>
                <w:rFonts w:ascii="宋体" w:hAnsi="宋体" w:cs="宋体" w:eastAsia="宋体" w:hint="default"/>
                <w:sz w:val="18"/>
                <w:szCs w:val="18"/>
              </w:rPr>
              <w:t>债券名称</w:t>
            </w:r>
          </w:p>
        </w:tc>
        <w:tc>
          <w:tcPr>
            <w:tcW w:w="1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70" w:right="0"/>
              <w:jc w:val="left"/>
              <w:rPr>
                <w:rFonts w:ascii="宋体" w:hAnsi="宋体" w:cs="宋体" w:eastAsia="宋体" w:hint="default"/>
                <w:sz w:val="18"/>
                <w:szCs w:val="18"/>
              </w:rPr>
            </w:pPr>
            <w:r>
              <w:rPr>
                <w:rFonts w:ascii="宋体" w:hAnsi="宋体" w:cs="宋体" w:eastAsia="宋体" w:hint="default"/>
                <w:sz w:val="18"/>
                <w:szCs w:val="18"/>
              </w:rPr>
              <w:t>债券简称</w:t>
            </w:r>
          </w:p>
        </w:tc>
        <w:tc>
          <w:tcPr>
            <w:tcW w:w="11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债券代码</w:t>
            </w:r>
          </w:p>
        </w:tc>
        <w:tc>
          <w:tcPr>
            <w:tcW w:w="11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92" w:right="0"/>
              <w:jc w:val="left"/>
              <w:rPr>
                <w:rFonts w:ascii="宋体" w:hAnsi="宋体" w:cs="宋体" w:eastAsia="宋体" w:hint="default"/>
                <w:sz w:val="18"/>
                <w:szCs w:val="18"/>
              </w:rPr>
            </w:pPr>
            <w:r>
              <w:rPr>
                <w:rFonts w:ascii="宋体" w:hAnsi="宋体" w:cs="宋体" w:eastAsia="宋体" w:hint="default"/>
                <w:sz w:val="18"/>
                <w:szCs w:val="18"/>
              </w:rPr>
              <w:t>发行日</w:t>
            </w:r>
          </w:p>
        </w:tc>
        <w:tc>
          <w:tcPr>
            <w:tcW w:w="11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92" w:right="0"/>
              <w:jc w:val="left"/>
              <w:rPr>
                <w:rFonts w:ascii="宋体" w:hAnsi="宋体" w:cs="宋体" w:eastAsia="宋体" w:hint="default"/>
                <w:sz w:val="18"/>
                <w:szCs w:val="18"/>
              </w:rPr>
            </w:pPr>
            <w:r>
              <w:rPr>
                <w:rFonts w:ascii="宋体" w:hAnsi="宋体" w:cs="宋体" w:eastAsia="宋体" w:hint="default"/>
                <w:sz w:val="18"/>
                <w:szCs w:val="18"/>
              </w:rPr>
              <w:t>到期日</w:t>
            </w:r>
          </w:p>
        </w:tc>
        <w:tc>
          <w:tcPr>
            <w:tcW w:w="11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381" w:right="19" w:hanging="358"/>
              <w:jc w:val="left"/>
              <w:rPr>
                <w:rFonts w:ascii="宋体" w:hAnsi="宋体" w:cs="宋体" w:eastAsia="宋体" w:hint="default"/>
                <w:sz w:val="18"/>
                <w:szCs w:val="18"/>
              </w:rPr>
            </w:pPr>
            <w:r>
              <w:rPr>
                <w:rFonts w:ascii="宋体" w:hAnsi="宋体" w:cs="宋体" w:eastAsia="宋体" w:hint="default"/>
                <w:sz w:val="18"/>
                <w:szCs w:val="18"/>
              </w:rPr>
              <w:t>债券余额（万 元）</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311" w:right="0"/>
              <w:jc w:val="left"/>
              <w:rPr>
                <w:rFonts w:ascii="宋体" w:hAnsi="宋体" w:cs="宋体" w:eastAsia="宋体" w:hint="default"/>
                <w:sz w:val="18"/>
                <w:szCs w:val="18"/>
              </w:rPr>
            </w:pPr>
            <w:r>
              <w:rPr>
                <w:rFonts w:ascii="宋体" w:hAnsi="宋体" w:cs="宋体" w:eastAsia="宋体" w:hint="default"/>
                <w:sz w:val="18"/>
                <w:szCs w:val="18"/>
              </w:rPr>
              <w:t>利率</w:t>
            </w:r>
          </w:p>
        </w:tc>
        <w:tc>
          <w:tcPr>
            <w:tcW w:w="17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341" w:right="0"/>
              <w:jc w:val="left"/>
              <w:rPr>
                <w:rFonts w:ascii="宋体" w:hAnsi="宋体" w:cs="宋体" w:eastAsia="宋体" w:hint="default"/>
                <w:sz w:val="18"/>
                <w:szCs w:val="18"/>
              </w:rPr>
            </w:pPr>
            <w:r>
              <w:rPr>
                <w:rFonts w:ascii="宋体" w:hAnsi="宋体" w:cs="宋体" w:eastAsia="宋体" w:hint="default"/>
                <w:sz w:val="18"/>
                <w:szCs w:val="18"/>
              </w:rPr>
              <w:t>还本付息方式</w:t>
            </w:r>
          </w:p>
        </w:tc>
      </w:tr>
      <w:tr>
        <w:trPr>
          <w:trHeight w:val="1964" w:hRule="exact"/>
        </w:trPr>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2" w:right="19"/>
              <w:jc w:val="left"/>
              <w:rPr>
                <w:rFonts w:ascii="宋体" w:hAnsi="宋体" w:cs="宋体" w:eastAsia="宋体" w:hint="default"/>
                <w:sz w:val="18"/>
                <w:szCs w:val="18"/>
              </w:rPr>
            </w:pPr>
            <w:r>
              <w:rPr>
                <w:rFonts w:ascii="宋体" w:hAnsi="宋体" w:cs="宋体" w:eastAsia="宋体" w:hint="default"/>
                <w:sz w:val="18"/>
                <w:szCs w:val="18"/>
              </w:rPr>
              <w:t>北京四维图新 科技股份有限 公司</w:t>
            </w:r>
            <w:r>
              <w:rPr>
                <w:rFonts w:ascii="宋体" w:hAnsi="宋体" w:cs="宋体" w:eastAsia="宋体" w:hint="default"/>
                <w:spacing w:val="-61"/>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年面 向合格投资者 公开发行公司 债券</w:t>
            </w:r>
          </w:p>
        </w:tc>
        <w:tc>
          <w:tcPr>
            <w:tcW w:w="1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3"/>
              <w:ind w:left="1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17 </w:t>
            </w:r>
            <w:r>
              <w:rPr>
                <w:rFonts w:ascii="宋体" w:hAnsi="宋体" w:cs="宋体" w:eastAsia="宋体" w:hint="default"/>
                <w:sz w:val="18"/>
                <w:szCs w:val="18"/>
              </w:rPr>
              <w:t>四维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01</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112618</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left="696" w:right="0"/>
              <w:jc w:val="left"/>
              <w:rPr>
                <w:rFonts w:ascii="Times New Roman" w:hAnsi="Times New Roman" w:cs="Times New Roman" w:eastAsia="Times New Roman" w:hint="default"/>
                <w:sz w:val="18"/>
                <w:szCs w:val="18"/>
              </w:rPr>
            </w:pPr>
            <w:r>
              <w:rPr>
                <w:rFonts w:ascii="Times New Roman"/>
                <w:sz w:val="18"/>
              </w:rPr>
              <w:t>5,000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left="494" w:right="0"/>
              <w:jc w:val="left"/>
              <w:rPr>
                <w:rFonts w:ascii="Times New Roman" w:hAnsi="Times New Roman" w:cs="Times New Roman" w:eastAsia="Times New Roman" w:hint="default"/>
                <w:sz w:val="18"/>
                <w:szCs w:val="18"/>
              </w:rPr>
            </w:pPr>
            <w:r>
              <w:rPr>
                <w:rFonts w:ascii="Times New Roman"/>
                <w:sz w:val="18"/>
              </w:rPr>
              <w:t>6.00%</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23" w:right="20"/>
              <w:jc w:val="left"/>
              <w:rPr>
                <w:rFonts w:ascii="宋体" w:hAnsi="宋体" w:cs="宋体" w:eastAsia="宋体" w:hint="default"/>
                <w:sz w:val="18"/>
                <w:szCs w:val="18"/>
              </w:rPr>
            </w:pPr>
            <w:r>
              <w:rPr>
                <w:rFonts w:ascii="宋体" w:hAnsi="宋体" w:cs="宋体" w:eastAsia="宋体" w:hint="default"/>
                <w:spacing w:val="-9"/>
                <w:sz w:val="18"/>
                <w:szCs w:val="18"/>
              </w:rPr>
              <w:t>单利按年计息，不计复</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利。利息每年支付一 </w:t>
            </w:r>
            <w:r>
              <w:rPr>
                <w:rFonts w:ascii="宋体" w:hAnsi="宋体" w:cs="宋体" w:eastAsia="宋体" w:hint="default"/>
                <w:spacing w:val="-9"/>
                <w:sz w:val="18"/>
                <w:szCs w:val="18"/>
              </w:rPr>
              <w:t>次，到期一次还本，最</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后一期利息随本金的 兑付一起支付。</w:t>
            </w:r>
          </w:p>
        </w:tc>
      </w:tr>
      <w:tr>
        <w:trPr>
          <w:trHeight w:val="713" w:hRule="exact"/>
        </w:trPr>
        <w:tc>
          <w:tcPr>
            <w:tcW w:w="226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72"/>
              <w:jc w:val="left"/>
              <w:rPr>
                <w:rFonts w:ascii="宋体" w:hAnsi="宋体" w:cs="宋体" w:eastAsia="宋体" w:hint="default"/>
                <w:sz w:val="18"/>
                <w:szCs w:val="18"/>
              </w:rPr>
            </w:pPr>
            <w:r>
              <w:rPr>
                <w:rFonts w:ascii="宋体" w:hAnsi="宋体" w:cs="宋体" w:eastAsia="宋体" w:hint="default"/>
                <w:sz w:val="18"/>
                <w:szCs w:val="18"/>
              </w:rPr>
              <w:t>公司债券上市或转让的交易 场所</w:t>
            </w:r>
          </w:p>
        </w:tc>
        <w:tc>
          <w:tcPr>
            <w:tcW w:w="7302"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深圳证券交易所</w:t>
            </w:r>
          </w:p>
        </w:tc>
      </w:tr>
      <w:tr>
        <w:trPr>
          <w:trHeight w:val="403" w:hRule="exact"/>
        </w:trPr>
        <w:tc>
          <w:tcPr>
            <w:tcW w:w="226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投资者适当性安排</w:t>
            </w:r>
          </w:p>
        </w:tc>
        <w:tc>
          <w:tcPr>
            <w:tcW w:w="7302"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仅面向合格机构投资者公开发行</w:t>
            </w:r>
          </w:p>
        </w:tc>
      </w:tr>
      <w:tr>
        <w:trPr>
          <w:trHeight w:val="1649" w:hRule="exact"/>
        </w:trPr>
        <w:tc>
          <w:tcPr>
            <w:tcW w:w="226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316" w:lineRule="auto"/>
              <w:ind w:left="22" w:right="72"/>
              <w:jc w:val="left"/>
              <w:rPr>
                <w:rFonts w:ascii="宋体" w:hAnsi="宋体" w:cs="宋体" w:eastAsia="宋体" w:hint="default"/>
                <w:sz w:val="18"/>
                <w:szCs w:val="18"/>
              </w:rPr>
            </w:pPr>
            <w:r>
              <w:rPr>
                <w:rFonts w:ascii="宋体" w:hAnsi="宋体" w:cs="宋体" w:eastAsia="宋体" w:hint="default"/>
                <w:sz w:val="18"/>
                <w:szCs w:val="18"/>
              </w:rPr>
              <w:t>报告期内公司债券的付息兑 付情况</w:t>
            </w:r>
          </w:p>
        </w:tc>
        <w:tc>
          <w:tcPr>
            <w:tcW w:w="7302"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 </w:t>
            </w:r>
            <w:r>
              <w:rPr>
                <w:rFonts w:ascii="Times New Roman" w:hAnsi="Times New Roman" w:cs="Times New Roman" w:eastAsia="Times New Roman" w:hint="default"/>
                <w:spacing w:val="-5"/>
                <w:sz w:val="18"/>
                <w:szCs w:val="18"/>
              </w:rPr>
              <w:t>11 </w:t>
            </w:r>
            <w:r>
              <w:rPr>
                <w:rFonts w:ascii="宋体" w:hAnsi="宋体" w:cs="宋体" w:eastAsia="宋体" w:hint="default"/>
                <w:sz w:val="18"/>
                <w:szCs w:val="18"/>
              </w:rPr>
              <w:t>月 </w:t>
            </w:r>
            <w:r>
              <w:rPr>
                <w:rFonts w:ascii="Times New Roman" w:hAnsi="Times New Roman" w:cs="Times New Roman" w:eastAsia="Times New Roman" w:hint="default"/>
                <w:sz w:val="18"/>
                <w:szCs w:val="18"/>
              </w:rPr>
              <w:t>21 </w:t>
            </w:r>
            <w:r>
              <w:rPr>
                <w:rFonts w:ascii="宋体" w:hAnsi="宋体" w:cs="宋体" w:eastAsia="宋体" w:hint="default"/>
                <w:spacing w:val="-9"/>
                <w:sz w:val="18"/>
                <w:szCs w:val="18"/>
              </w:rPr>
              <w:t>日，公司披露《</w:t>
            </w:r>
            <w:r>
              <w:rPr>
                <w:rFonts w:ascii="Times New Roman" w:hAnsi="Times New Roman" w:cs="Times New Roman" w:eastAsia="Times New Roman" w:hint="default"/>
                <w:spacing w:val="-9"/>
                <w:sz w:val="18"/>
                <w:szCs w:val="18"/>
              </w:rPr>
              <w:t>2017  </w:t>
            </w:r>
            <w:r>
              <w:rPr>
                <w:rFonts w:ascii="宋体" w:hAnsi="宋体" w:cs="宋体" w:eastAsia="宋体" w:hint="default"/>
                <w:spacing w:val="-4"/>
                <w:sz w:val="18"/>
                <w:szCs w:val="18"/>
              </w:rPr>
              <w:t>年面向合格投资者公开发行公司债券（第一期）</w:t>
            </w:r>
            <w:r>
              <w:rPr>
                <w:rFonts w:ascii="Times New Roman" w:hAnsi="Times New Roman" w:cs="Times New Roman" w:eastAsia="Times New Roman" w:hint="default"/>
                <w:spacing w:val="-4"/>
                <w:sz w:val="18"/>
                <w:szCs w:val="18"/>
              </w:rPr>
              <w:t>2018</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付息公告</w:t>
            </w:r>
            <w:r>
              <w:rPr>
                <w:rFonts w:ascii="宋体" w:hAnsi="宋体" w:cs="宋体" w:eastAsia="宋体" w:hint="default"/>
                <w:spacing w:val="-92"/>
                <w:sz w:val="18"/>
                <w:szCs w:val="18"/>
              </w:rPr>
              <w:t>》</w:t>
            </w:r>
            <w:r>
              <w:rPr>
                <w:rFonts w:ascii="宋体" w:hAnsi="宋体" w:cs="宋体" w:eastAsia="宋体" w:hint="default"/>
                <w:sz w:val="18"/>
                <w:szCs w:val="18"/>
              </w:rPr>
              <w:t>，本次付息的债券</w:t>
            </w:r>
            <w:r>
              <w:rPr>
                <w:rFonts w:ascii="宋体" w:hAnsi="宋体" w:cs="宋体" w:eastAsia="宋体" w:hint="default"/>
                <w:spacing w:val="2"/>
                <w:sz w:val="18"/>
                <w:szCs w:val="18"/>
              </w:rPr>
              <w:t>登</w:t>
            </w:r>
            <w:r>
              <w:rPr>
                <w:rFonts w:ascii="宋体" w:hAnsi="宋体" w:cs="宋体" w:eastAsia="宋体" w:hint="default"/>
                <w:sz w:val="18"/>
                <w:szCs w:val="18"/>
              </w:rPr>
              <w:t>记日为</w:t>
            </w:r>
            <w:r>
              <w:rPr>
                <w:rFonts w:ascii="宋体" w:hAnsi="宋体" w:cs="宋体" w:eastAsia="宋体" w:hint="default"/>
                <w:spacing w:val="2"/>
                <w:sz w:val="18"/>
                <w:szCs w:val="18"/>
              </w:rPr>
              <w:t> </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8  </w:t>
            </w:r>
            <w:r>
              <w:rPr>
                <w:rFonts w:ascii="宋体" w:hAnsi="宋体" w:cs="宋体" w:eastAsia="宋体" w:hint="default"/>
                <w:sz w:val="18"/>
                <w:szCs w:val="18"/>
              </w:rPr>
              <w:t>年</w:t>
            </w:r>
            <w:r>
              <w:rPr>
                <w:rFonts w:ascii="宋体" w:hAnsi="宋体" w:cs="宋体" w:eastAsia="宋体" w:hint="default"/>
                <w:spacing w:val="-2"/>
                <w:sz w:val="18"/>
                <w:szCs w:val="18"/>
              </w:rPr>
              <w:t> </w:t>
            </w:r>
            <w:r>
              <w:rPr>
                <w:rFonts w:ascii="Times New Roman" w:hAnsi="Times New Roman" w:cs="Times New Roman" w:eastAsia="Times New Roman" w:hint="default"/>
                <w:spacing w:val="-6"/>
                <w:sz w:val="18"/>
                <w:szCs w:val="18"/>
              </w:rPr>
              <w:t>1</w:t>
            </w:r>
            <w:r>
              <w:rPr>
                <w:rFonts w:ascii="Times New Roman" w:hAnsi="Times New Roman" w:cs="Times New Roman" w:eastAsia="Times New Roman" w:hint="default"/>
                <w:sz w:val="18"/>
                <w:szCs w:val="18"/>
              </w:rPr>
              <w:t>1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2"/>
                <w:sz w:val="18"/>
                <w:szCs w:val="18"/>
              </w:rPr>
              <w:t> </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z w:val="18"/>
                <w:szCs w:val="18"/>
              </w:rPr>
              <w:t>2  </w:t>
            </w:r>
            <w:r>
              <w:rPr>
                <w:rFonts w:ascii="宋体" w:hAnsi="宋体" w:cs="宋体" w:eastAsia="宋体" w:hint="default"/>
                <w:spacing w:val="-3"/>
                <w:sz w:val="18"/>
                <w:szCs w:val="18"/>
              </w:rPr>
              <w:t>日</w:t>
            </w:r>
            <w:r>
              <w:rPr>
                <w:rFonts w:ascii="宋体" w:hAnsi="宋体" w:cs="宋体" w:eastAsia="宋体" w:hint="default"/>
                <w:sz w:val="18"/>
                <w:szCs w:val="18"/>
              </w:rPr>
              <w:t>，付息日为</w:t>
            </w:r>
            <w:r>
              <w:rPr>
                <w:rFonts w:ascii="宋体" w:hAnsi="宋体" w:cs="宋体" w:eastAsia="宋体" w:hint="default"/>
                <w:spacing w:val="-45"/>
                <w:sz w:val="18"/>
                <w:szCs w:val="18"/>
              </w:rPr>
              <w:t> </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8  </w:t>
            </w:r>
            <w:r>
              <w:rPr>
                <w:rFonts w:ascii="宋体" w:hAnsi="宋体" w:cs="宋体" w:eastAsia="宋体" w:hint="default"/>
                <w:sz w:val="18"/>
                <w:szCs w:val="18"/>
              </w:rPr>
              <w:t>年</w:t>
            </w:r>
            <w:r>
              <w:rPr>
                <w:rFonts w:ascii="宋体" w:hAnsi="宋体" w:cs="宋体" w:eastAsia="宋体" w:hint="default"/>
                <w:spacing w:val="1"/>
                <w:sz w:val="18"/>
                <w:szCs w:val="18"/>
              </w:rPr>
              <w:t> </w:t>
            </w:r>
            <w:r>
              <w:rPr>
                <w:rFonts w:ascii="Times New Roman" w:hAnsi="Times New Roman" w:cs="Times New Roman" w:eastAsia="Times New Roman" w:hint="default"/>
                <w:spacing w:val="-9"/>
                <w:sz w:val="18"/>
                <w:szCs w:val="18"/>
              </w:rPr>
              <w:t>1</w:t>
            </w:r>
            <w:r>
              <w:rPr>
                <w:rFonts w:ascii="Times New Roman" w:hAnsi="Times New Roman" w:cs="Times New Roman" w:eastAsia="Times New Roman" w:hint="default"/>
                <w:sz w:val="18"/>
                <w:szCs w:val="18"/>
              </w:rPr>
              <w:t>1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2"/>
                <w:sz w:val="18"/>
                <w:szCs w:val="18"/>
              </w:rPr>
              <w:t> </w:t>
            </w:r>
            <w:r>
              <w:rPr>
                <w:rFonts w:ascii="Times New Roman" w:hAnsi="Times New Roman" w:cs="Times New Roman" w:eastAsia="Times New Roman" w:hint="default"/>
                <w:spacing w:val="-2"/>
                <w:sz w:val="18"/>
                <w:szCs w:val="18"/>
              </w:rPr>
              <w:t>23</w:t>
            </w:r>
            <w:r>
              <w:rPr>
                <w:rFonts w:ascii="Times New Roman" w:hAnsi="Times New Roman" w:cs="Times New Roman" w:eastAsia="Times New Roman" w:hint="default"/>
                <w:sz w:val="18"/>
                <w:szCs w:val="18"/>
              </w:rPr>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日，每</w:t>
            </w:r>
            <w:r>
              <w:rPr>
                <w:rFonts w:ascii="宋体" w:hAnsi="宋体" w:cs="宋体" w:eastAsia="宋体" w:hint="default"/>
                <w:spacing w:val="1"/>
                <w:sz w:val="18"/>
                <w:szCs w:val="18"/>
              </w:rPr>
              <w:t> </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0  </w:t>
            </w:r>
            <w:r>
              <w:rPr>
                <w:rFonts w:ascii="宋体" w:hAnsi="宋体" w:cs="宋体" w:eastAsia="宋体" w:hint="default"/>
                <w:sz w:val="18"/>
                <w:szCs w:val="18"/>
              </w:rPr>
              <w:t>张</w:t>
            </w:r>
            <w:r>
              <w:rPr>
                <w:rFonts w:ascii="Times New Roman" w:hAnsi="Times New Roman" w:cs="Times New Roman" w:eastAsia="Times New Roman" w:hint="default"/>
                <w:spacing w:val="-1"/>
                <w:w w:val="100"/>
                <w:sz w:val="18"/>
                <w:szCs w:val="18"/>
              </w:rPr>
              <w:t>“</w:t>
            </w:r>
            <w:r>
              <w:rPr>
                <w:rFonts w:ascii="Times New Roman" w:hAnsi="Times New Roman" w:cs="Times New Roman" w:eastAsia="Times New Roman" w:hint="default"/>
                <w:spacing w:val="-2"/>
                <w:sz w:val="18"/>
                <w:szCs w:val="18"/>
              </w:rPr>
              <w:t>1</w:t>
            </w:r>
            <w:r>
              <w:rPr>
                <w:rFonts w:ascii="Times New Roman" w:hAnsi="Times New Roman" w:cs="Times New Roman" w:eastAsia="Times New Roman" w:hint="default"/>
                <w:sz w:val="18"/>
                <w:szCs w:val="18"/>
              </w:rPr>
              <w:t>7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四维</w:t>
            </w:r>
            <w:r>
              <w:rPr>
                <w:rFonts w:ascii="宋体" w:hAnsi="宋体" w:cs="宋体" w:eastAsia="宋体" w:hint="default"/>
                <w:spacing w:val="-2"/>
                <w:sz w:val="18"/>
                <w:szCs w:val="18"/>
              </w:rPr>
              <w:t> </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pacing w:val="-1"/>
                <w:w w:val="100"/>
                <w:sz w:val="18"/>
                <w:szCs w:val="18"/>
              </w:rPr>
              <w:t>”</w:t>
            </w:r>
            <w:r>
              <w:rPr>
                <w:rFonts w:ascii="宋体" w:hAnsi="宋体" w:cs="宋体" w:eastAsia="宋体" w:hint="default"/>
                <w:sz w:val="18"/>
                <w:szCs w:val="18"/>
              </w:rPr>
              <w:t>面值人民币</w:t>
            </w:r>
            <w:r>
              <w:rPr>
                <w:rFonts w:ascii="宋体" w:hAnsi="宋体" w:cs="宋体" w:eastAsia="宋体" w:hint="default"/>
                <w:spacing w:val="1"/>
                <w:sz w:val="18"/>
                <w:szCs w:val="18"/>
              </w:rPr>
              <w:t> </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pacing w:val="1"/>
                <w:sz w:val="18"/>
                <w:szCs w:val="18"/>
              </w:rPr>
              <w:t>0</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z w:val="18"/>
                <w:szCs w:val="18"/>
              </w:rPr>
              <w:t>0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元派发利息</w:t>
            </w:r>
            <w:r>
              <w:rPr>
                <w:rFonts w:ascii="宋体" w:hAnsi="宋体" w:cs="宋体" w:eastAsia="宋体" w:hint="default"/>
                <w:spacing w:val="-3"/>
                <w:sz w:val="18"/>
                <w:szCs w:val="18"/>
              </w:rPr>
              <w:t>人</w:t>
            </w:r>
            <w:r>
              <w:rPr>
                <w:rFonts w:ascii="宋体" w:hAnsi="宋体" w:cs="宋体" w:eastAsia="宋体" w:hint="default"/>
                <w:sz w:val="18"/>
                <w:szCs w:val="18"/>
              </w:rPr>
              <w:t>民币</w:t>
            </w:r>
            <w:r>
              <w:rPr>
                <w:rFonts w:ascii="宋体" w:hAnsi="宋体" w:cs="宋体" w:eastAsia="宋体" w:hint="default"/>
                <w:spacing w:val="1"/>
                <w:sz w:val="18"/>
                <w:szCs w:val="18"/>
              </w:rPr>
              <w:t> </w:t>
            </w:r>
            <w:r>
              <w:rPr>
                <w:rFonts w:ascii="Times New Roman" w:hAnsi="Times New Roman" w:cs="Times New Roman" w:eastAsia="Times New Roman" w:hint="default"/>
                <w:spacing w:val="1"/>
                <w:sz w:val="18"/>
                <w:szCs w:val="18"/>
              </w:rPr>
              <w:t>6</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z w:val="18"/>
                <w:szCs w:val="18"/>
              </w:rPr>
              <w:t>0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元（含税</w:t>
            </w:r>
            <w:r>
              <w:rPr>
                <w:rFonts w:ascii="宋体" w:hAnsi="宋体" w:cs="宋体" w:eastAsia="宋体" w:hint="default"/>
                <w:spacing w:val="-92"/>
                <w:sz w:val="18"/>
                <w:szCs w:val="18"/>
              </w:rPr>
              <w:t>）</w:t>
            </w:r>
            <w:r>
              <w:rPr>
                <w:rFonts w:ascii="宋体" w:hAnsi="宋体" w:cs="宋体" w:eastAsia="宋体" w:hint="default"/>
                <w:sz w:val="18"/>
                <w:szCs w:val="18"/>
              </w:rPr>
              <w:t>。扣</w:t>
            </w:r>
            <w:r>
              <w:rPr>
                <w:rFonts w:ascii="宋体" w:hAnsi="宋体" w:cs="宋体" w:eastAsia="宋体" w:hint="default"/>
                <w:spacing w:val="-3"/>
                <w:sz w:val="18"/>
                <w:szCs w:val="18"/>
              </w:rPr>
              <w:t>税</w:t>
            </w:r>
            <w:r>
              <w:rPr>
                <w:rFonts w:ascii="宋体" w:hAnsi="宋体" w:cs="宋体" w:eastAsia="宋体" w:hint="default"/>
                <w:sz w:val="18"/>
                <w:szCs w:val="18"/>
              </w:rPr>
              <w:t>后</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个人、证券投资基金债券持有人取得的实际每 </w:t>
            </w:r>
            <w:r>
              <w:rPr>
                <w:rFonts w:ascii="Times New Roman" w:hAnsi="Times New Roman" w:cs="Times New Roman" w:eastAsia="Times New Roman" w:hint="default"/>
                <w:sz w:val="18"/>
                <w:szCs w:val="18"/>
              </w:rPr>
              <w:t>10  </w:t>
            </w:r>
            <w:r>
              <w:rPr>
                <w:rFonts w:ascii="宋体" w:hAnsi="宋体" w:cs="宋体" w:eastAsia="宋体" w:hint="default"/>
                <w:sz w:val="18"/>
                <w:szCs w:val="18"/>
              </w:rPr>
              <w:t>张派发利息为人民币 </w:t>
            </w:r>
            <w:r>
              <w:rPr>
                <w:rFonts w:ascii="Times New Roman" w:hAnsi="Times New Roman" w:cs="Times New Roman" w:eastAsia="Times New Roman" w:hint="default"/>
                <w:sz w:val="18"/>
                <w:szCs w:val="18"/>
              </w:rPr>
              <w:t>48.00</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元，扣税后非</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居民企业（包含 </w:t>
            </w:r>
            <w:r>
              <w:rPr>
                <w:rFonts w:ascii="Times New Roman" w:hAnsi="Times New Roman" w:cs="Times New Roman" w:eastAsia="Times New Roman" w:hint="default"/>
                <w:sz w:val="18"/>
                <w:szCs w:val="18"/>
              </w:rPr>
              <w:t>QFII</w:t>
            </w:r>
            <w:r>
              <w:rPr>
                <w:rFonts w:ascii="宋体" w:hAnsi="宋体" w:cs="宋体" w:eastAsia="宋体" w:hint="default"/>
                <w:sz w:val="18"/>
                <w:szCs w:val="18"/>
              </w:rPr>
              <w:t>、</w:t>
            </w:r>
            <w:r>
              <w:rPr>
                <w:rFonts w:ascii="Times New Roman" w:hAnsi="Times New Roman" w:cs="Times New Roman" w:eastAsia="Times New Roman" w:hint="default"/>
                <w:sz w:val="18"/>
                <w:szCs w:val="18"/>
              </w:rPr>
              <w:t>RQFII</w:t>
            </w:r>
            <w:r>
              <w:rPr>
                <w:rFonts w:ascii="宋体" w:hAnsi="宋体" w:cs="宋体" w:eastAsia="宋体" w:hint="default"/>
                <w:sz w:val="18"/>
                <w:szCs w:val="18"/>
              </w:rPr>
              <w:t>）取得的实际每 </w:t>
            </w:r>
            <w:r>
              <w:rPr>
                <w:rFonts w:ascii="Times New Roman" w:hAnsi="Times New Roman" w:cs="Times New Roman" w:eastAsia="Times New Roman" w:hint="default"/>
                <w:sz w:val="18"/>
                <w:szCs w:val="18"/>
              </w:rPr>
              <w:t>10  </w:t>
            </w:r>
            <w:r>
              <w:rPr>
                <w:rFonts w:ascii="宋体" w:hAnsi="宋体" w:cs="宋体" w:eastAsia="宋体" w:hint="default"/>
                <w:sz w:val="18"/>
                <w:szCs w:val="18"/>
              </w:rPr>
              <w:t>张派发利息为人民币 </w:t>
            </w:r>
            <w:r>
              <w:rPr>
                <w:rFonts w:ascii="Times New Roman" w:hAnsi="Times New Roman" w:cs="Times New Roman" w:eastAsia="Times New Roman" w:hint="default"/>
                <w:sz w:val="18"/>
                <w:szCs w:val="18"/>
              </w:rPr>
              <w:t>54.00</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元。</w:t>
            </w:r>
          </w:p>
        </w:tc>
      </w:tr>
      <w:tr>
        <w:trPr>
          <w:trHeight w:val="1339" w:hRule="exact"/>
        </w:trPr>
        <w:tc>
          <w:tcPr>
            <w:tcW w:w="226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14"/>
              <w:jc w:val="both"/>
              <w:rPr>
                <w:rFonts w:ascii="宋体" w:hAnsi="宋体" w:cs="宋体" w:eastAsia="宋体" w:hint="default"/>
                <w:sz w:val="18"/>
                <w:szCs w:val="18"/>
              </w:rPr>
            </w:pPr>
            <w:r>
              <w:rPr>
                <w:rFonts w:ascii="宋体" w:hAnsi="宋体" w:cs="宋体" w:eastAsia="宋体" w:hint="default"/>
                <w:sz w:val="18"/>
                <w:szCs w:val="18"/>
              </w:rPr>
              <w:t>公司债券附发行人或投资者 选择权条款、可交换条款等 特殊条款的，报告期内相关 </w:t>
            </w:r>
            <w:r>
              <w:rPr>
                <w:rFonts w:ascii="宋体" w:hAnsi="宋体" w:cs="宋体" w:eastAsia="宋体" w:hint="default"/>
                <w:spacing w:val="-8"/>
                <w:sz w:val="18"/>
                <w:szCs w:val="18"/>
              </w:rPr>
              <w:t>条款的执行情况（如适用）。</w:t>
            </w:r>
          </w:p>
        </w:tc>
        <w:tc>
          <w:tcPr>
            <w:tcW w:w="7302"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300" w:lineRule="auto" w:before="125"/>
              <w:ind w:left="23" w:right="22"/>
              <w:jc w:val="left"/>
              <w:rPr>
                <w:rFonts w:ascii="宋体" w:hAnsi="宋体" w:cs="宋体" w:eastAsia="宋体" w:hint="default"/>
                <w:sz w:val="18"/>
                <w:szCs w:val="18"/>
              </w:rPr>
            </w:pPr>
            <w:r>
              <w:rPr>
                <w:rFonts w:ascii="宋体" w:hAnsi="宋体" w:cs="宋体" w:eastAsia="宋体" w:hint="default"/>
                <w:sz w:val="18"/>
                <w:szCs w:val="18"/>
              </w:rPr>
              <w:t>本次债券的期限为 </w:t>
            </w:r>
            <w:r>
              <w:rPr>
                <w:rFonts w:ascii="Times New Roman" w:hAnsi="Times New Roman" w:cs="Times New Roman" w:eastAsia="Times New Roman" w:hint="default"/>
                <w:sz w:val="18"/>
                <w:szCs w:val="18"/>
              </w:rPr>
              <w:t>3 </w:t>
            </w:r>
            <w:r>
              <w:rPr>
                <w:rFonts w:ascii="宋体" w:hAnsi="宋体" w:cs="宋体" w:eastAsia="宋体" w:hint="default"/>
                <w:spacing w:val="-6"/>
                <w:sz w:val="18"/>
                <w:szCs w:val="18"/>
              </w:rPr>
              <w:t>年，附第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年末发行人调整票面利率选择权及投资者回售选择权。截至 报告期末，公司调整票面利率选择权和投资者回售选择权行使时间尚未到。</w:t>
            </w:r>
          </w:p>
        </w:tc>
      </w:tr>
    </w:tbl>
    <w:p>
      <w:pPr>
        <w:spacing w:line="240" w:lineRule="auto" w:before="1"/>
        <w:rPr>
          <w:rFonts w:ascii="宋体" w:hAnsi="宋体" w:cs="宋体" w:eastAsia="宋体" w:hint="default"/>
          <w:b/>
          <w:bCs/>
          <w:sz w:val="18"/>
          <w:szCs w:val="18"/>
        </w:rPr>
      </w:pPr>
    </w:p>
    <w:p>
      <w:pPr>
        <w:pStyle w:val="Heading2"/>
        <w:spacing w:line="240" w:lineRule="auto" w:before="26"/>
        <w:ind w:right="982"/>
        <w:jc w:val="left"/>
        <w:rPr>
          <w:b w:val="0"/>
          <w:bCs w:val="0"/>
        </w:rPr>
      </w:pPr>
      <w:r>
        <w:rPr/>
        <w:t>二、债券受托管理人和资信评级机构信息</w:t>
      </w:r>
      <w:r>
        <w:rPr>
          <w:b w:val="0"/>
          <w:bCs w:val="0"/>
        </w:rPr>
      </w:r>
    </w:p>
    <w:p>
      <w:pPr>
        <w:spacing w:line="240" w:lineRule="auto" w:before="11"/>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1203"/>
        <w:gridCol w:w="1195"/>
        <w:gridCol w:w="787"/>
        <w:gridCol w:w="412"/>
        <w:gridCol w:w="1195"/>
        <w:gridCol w:w="1196"/>
        <w:gridCol w:w="1195"/>
        <w:gridCol w:w="1196"/>
        <w:gridCol w:w="1198"/>
      </w:tblGrid>
      <w:tr>
        <w:trPr>
          <w:trHeight w:val="397" w:hRule="exact"/>
        </w:trPr>
        <w:tc>
          <w:tcPr>
            <w:tcW w:w="9576"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债券受托管理人：</w:t>
            </w:r>
          </w:p>
        </w:tc>
      </w:tr>
      <w:tr>
        <w:trPr>
          <w:trHeight w:val="322" w:hRule="exact"/>
        </w:trPr>
        <w:tc>
          <w:tcPr>
            <w:tcW w:w="1203" w:type="dxa"/>
            <w:tcBorders>
              <w:top w:val="single" w:sz="4" w:space="0" w:color="000000"/>
              <w:left w:val="single" w:sz="4" w:space="0" w:color="000000"/>
              <w:bottom w:val="nil" w:sz="6" w:space="0" w:color="auto"/>
              <w:right w:val="single" w:sz="4" w:space="0" w:color="000000"/>
            </w:tcBorders>
            <w:shd w:val="clear" w:color="auto" w:fill="D2D2D2"/>
          </w:tcPr>
          <w:p>
            <w:pPr/>
          </w:p>
        </w:tc>
        <w:tc>
          <w:tcPr>
            <w:tcW w:w="1195" w:type="dxa"/>
            <w:vMerge w:val="restart"/>
            <w:tcBorders>
              <w:top w:val="single" w:sz="4" w:space="0" w:color="000000"/>
              <w:left w:val="single" w:sz="9" w:space="0" w:color="D2D2D2"/>
              <w:right w:val="single" w:sz="9" w:space="0" w:color="D2D2D2"/>
            </w:tcBorders>
          </w:tcPr>
          <w:p>
            <w:pPr>
              <w:pStyle w:val="TableParagraph"/>
              <w:spacing w:line="240" w:lineRule="auto" w:before="0"/>
              <w:ind w:right="0"/>
              <w:jc w:val="left"/>
              <w:rPr>
                <w:rFonts w:ascii="宋体" w:hAnsi="宋体" w:cs="宋体" w:eastAsia="宋体" w:hint="default"/>
                <w:b/>
                <w:bCs/>
                <w:sz w:val="16"/>
                <w:szCs w:val="16"/>
              </w:rPr>
            </w:pPr>
          </w:p>
          <w:p>
            <w:pPr>
              <w:pStyle w:val="TableParagraph"/>
              <w:spacing w:line="316" w:lineRule="auto"/>
              <w:ind w:left="18" w:right="73"/>
              <w:jc w:val="left"/>
              <w:rPr>
                <w:rFonts w:ascii="宋体" w:hAnsi="宋体" w:cs="宋体" w:eastAsia="宋体" w:hint="default"/>
                <w:sz w:val="18"/>
                <w:szCs w:val="18"/>
              </w:rPr>
            </w:pPr>
            <w:r>
              <w:rPr>
                <w:rFonts w:ascii="宋体" w:hAnsi="宋体" w:cs="宋体" w:eastAsia="宋体" w:hint="default"/>
                <w:sz w:val="18"/>
                <w:szCs w:val="18"/>
              </w:rPr>
              <w:t>中信建投证券 股份有限公司</w:t>
            </w:r>
          </w:p>
        </w:tc>
        <w:tc>
          <w:tcPr>
            <w:tcW w:w="1198"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1195" w:type="dxa"/>
            <w:vMerge w:val="restart"/>
            <w:tcBorders>
              <w:top w:val="single" w:sz="4" w:space="0" w:color="000000"/>
              <w:left w:val="single" w:sz="10" w:space="0" w:color="D2D2D2"/>
              <w:right w:val="single" w:sz="10" w:space="0" w:color="D2D2D2"/>
            </w:tcBorders>
          </w:tcPr>
          <w:p>
            <w:pPr>
              <w:pStyle w:val="TableParagraph"/>
              <w:spacing w:line="309" w:lineRule="auto" w:before="53"/>
              <w:ind w:left="16" w:right="25"/>
              <w:jc w:val="both"/>
              <w:rPr>
                <w:rFonts w:ascii="宋体" w:hAnsi="宋体" w:cs="宋体" w:eastAsia="宋体" w:hint="default"/>
                <w:sz w:val="18"/>
                <w:szCs w:val="18"/>
              </w:rPr>
            </w:pPr>
            <w:r>
              <w:rPr>
                <w:rFonts w:ascii="宋体" w:hAnsi="宋体" w:cs="宋体" w:eastAsia="宋体" w:hint="default"/>
                <w:sz w:val="18"/>
                <w:szCs w:val="18"/>
              </w:rPr>
              <w:t>北京市朝阳区 安立路</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号楼</w:t>
            </w:r>
          </w:p>
        </w:tc>
        <w:tc>
          <w:tcPr>
            <w:tcW w:w="1196" w:type="dxa"/>
            <w:tcBorders>
              <w:top w:val="single" w:sz="4" w:space="0" w:color="000000"/>
              <w:left w:val="single" w:sz="4" w:space="0" w:color="000000"/>
              <w:bottom w:val="nil" w:sz="6" w:space="0" w:color="auto"/>
              <w:right w:val="single" w:sz="4" w:space="0" w:color="000000"/>
            </w:tcBorders>
            <w:shd w:val="clear" w:color="auto" w:fill="D2D2D2"/>
          </w:tcPr>
          <w:p>
            <w:pPr/>
          </w:p>
        </w:tc>
        <w:tc>
          <w:tcPr>
            <w:tcW w:w="1195" w:type="dxa"/>
            <w:vMerge w:val="restart"/>
            <w:tcBorders>
              <w:top w:val="single" w:sz="4" w:space="0" w:color="000000"/>
              <w:left w:val="single" w:sz="9" w:space="0" w:color="D2D2D2"/>
              <w:right w:val="single" w:sz="9" w:space="0" w:color="D2D2D2"/>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18" w:right="0"/>
              <w:jc w:val="left"/>
              <w:rPr>
                <w:rFonts w:ascii="宋体" w:hAnsi="宋体" w:cs="宋体" w:eastAsia="宋体" w:hint="default"/>
                <w:sz w:val="18"/>
                <w:szCs w:val="18"/>
              </w:rPr>
            </w:pPr>
            <w:r>
              <w:rPr>
                <w:rFonts w:ascii="宋体" w:hAnsi="宋体" w:cs="宋体" w:eastAsia="宋体" w:hint="default"/>
                <w:sz w:val="18"/>
                <w:szCs w:val="18"/>
              </w:rPr>
              <w:t>朱林、顾中杰</w:t>
            </w:r>
          </w:p>
        </w:tc>
        <w:tc>
          <w:tcPr>
            <w:tcW w:w="1196" w:type="dxa"/>
            <w:tcBorders>
              <w:top w:val="single" w:sz="4" w:space="0" w:color="000000"/>
              <w:left w:val="single" w:sz="4" w:space="0" w:color="000000"/>
              <w:bottom w:val="nil" w:sz="6" w:space="0" w:color="auto"/>
              <w:right w:val="single" w:sz="4" w:space="0" w:color="000000"/>
            </w:tcBorders>
            <w:shd w:val="clear" w:color="auto" w:fill="D2D2D2"/>
          </w:tcPr>
          <w:p>
            <w:pPr/>
          </w:p>
        </w:tc>
        <w:tc>
          <w:tcPr>
            <w:tcW w:w="1198" w:type="dxa"/>
            <w:vMerge w:val="restart"/>
            <w:tcBorders>
              <w:top w:val="single" w:sz="4" w:space="0" w:color="000000"/>
              <w:left w:val="single" w:sz="10" w:space="0" w:color="D2D2D2"/>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left="19" w:right="0"/>
              <w:jc w:val="left"/>
              <w:rPr>
                <w:rFonts w:ascii="Times New Roman" w:hAnsi="Times New Roman" w:cs="Times New Roman" w:eastAsia="Times New Roman" w:hint="default"/>
                <w:sz w:val="18"/>
                <w:szCs w:val="18"/>
              </w:rPr>
            </w:pPr>
            <w:r>
              <w:rPr>
                <w:rFonts w:ascii="Times New Roman"/>
                <w:sz w:val="18"/>
              </w:rPr>
              <w:t>021-68801573</w:t>
            </w:r>
          </w:p>
        </w:tc>
      </w:tr>
      <w:tr>
        <w:trPr>
          <w:trHeight w:val="391" w:hRule="exact"/>
        </w:trPr>
        <w:tc>
          <w:tcPr>
            <w:tcW w:w="120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名称</w:t>
            </w:r>
          </w:p>
        </w:tc>
        <w:tc>
          <w:tcPr>
            <w:tcW w:w="1195" w:type="dxa"/>
            <w:vMerge/>
            <w:tcBorders>
              <w:left w:val="single" w:sz="9" w:space="0" w:color="D2D2D2"/>
              <w:right w:val="single" w:sz="9" w:space="0" w:color="D2D2D2"/>
            </w:tcBorders>
          </w:tcPr>
          <w:p>
            <w:pPr/>
          </w:p>
        </w:tc>
        <w:tc>
          <w:tcPr>
            <w:tcW w:w="1198" w:type="dxa"/>
            <w:gridSpan w:val="2"/>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办公地址</w:t>
            </w:r>
          </w:p>
        </w:tc>
        <w:tc>
          <w:tcPr>
            <w:tcW w:w="1195" w:type="dxa"/>
            <w:vMerge/>
            <w:tcBorders>
              <w:left w:val="single" w:sz="10" w:space="0" w:color="D2D2D2"/>
              <w:right w:val="single" w:sz="10" w:space="0" w:color="D2D2D2"/>
            </w:tcBorders>
          </w:tcPr>
          <w:p>
            <w:pPr/>
          </w:p>
        </w:tc>
        <w:tc>
          <w:tcPr>
            <w:tcW w:w="119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联系人</w:t>
            </w:r>
          </w:p>
        </w:tc>
        <w:tc>
          <w:tcPr>
            <w:tcW w:w="1195" w:type="dxa"/>
            <w:vMerge/>
            <w:tcBorders>
              <w:left w:val="single" w:sz="9" w:space="0" w:color="D2D2D2"/>
              <w:right w:val="single" w:sz="9" w:space="0" w:color="D2D2D2"/>
            </w:tcBorders>
          </w:tcPr>
          <w:p>
            <w:pPr/>
          </w:p>
        </w:tc>
        <w:tc>
          <w:tcPr>
            <w:tcW w:w="119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联系人电话</w:t>
            </w:r>
          </w:p>
        </w:tc>
        <w:tc>
          <w:tcPr>
            <w:tcW w:w="1198" w:type="dxa"/>
            <w:vMerge/>
            <w:tcBorders>
              <w:left w:val="single" w:sz="10" w:space="0" w:color="D2D2D2"/>
              <w:right w:val="single" w:sz="4" w:space="0" w:color="000000"/>
            </w:tcBorders>
          </w:tcPr>
          <w:p>
            <w:pPr/>
          </w:p>
        </w:tc>
      </w:tr>
      <w:tr>
        <w:trPr>
          <w:trHeight w:val="324" w:hRule="exact"/>
        </w:trPr>
        <w:tc>
          <w:tcPr>
            <w:tcW w:w="1203" w:type="dxa"/>
            <w:tcBorders>
              <w:top w:val="nil" w:sz="6" w:space="0" w:color="auto"/>
              <w:left w:val="single" w:sz="4" w:space="0" w:color="000000"/>
              <w:bottom w:val="single" w:sz="4" w:space="0" w:color="000000"/>
              <w:right w:val="single" w:sz="4" w:space="0" w:color="000000"/>
            </w:tcBorders>
            <w:shd w:val="clear" w:color="auto" w:fill="D2D2D2"/>
          </w:tcPr>
          <w:p>
            <w:pPr/>
          </w:p>
        </w:tc>
        <w:tc>
          <w:tcPr>
            <w:tcW w:w="1195" w:type="dxa"/>
            <w:vMerge/>
            <w:tcBorders>
              <w:left w:val="single" w:sz="9" w:space="0" w:color="D2D2D2"/>
              <w:bottom w:val="single" w:sz="4" w:space="0" w:color="000000"/>
              <w:right w:val="single" w:sz="9" w:space="0" w:color="D2D2D2"/>
            </w:tcBorders>
          </w:tcPr>
          <w:p>
            <w:pPr/>
          </w:p>
        </w:tc>
        <w:tc>
          <w:tcPr>
            <w:tcW w:w="1198"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1195" w:type="dxa"/>
            <w:vMerge/>
            <w:tcBorders>
              <w:left w:val="single" w:sz="10" w:space="0" w:color="D2D2D2"/>
              <w:bottom w:val="single" w:sz="4" w:space="0" w:color="000000"/>
              <w:right w:val="single" w:sz="10" w:space="0" w:color="D2D2D2"/>
            </w:tcBorders>
          </w:tcPr>
          <w:p>
            <w:pPr/>
          </w:p>
        </w:tc>
        <w:tc>
          <w:tcPr>
            <w:tcW w:w="1196" w:type="dxa"/>
            <w:tcBorders>
              <w:top w:val="nil" w:sz="6" w:space="0" w:color="auto"/>
              <w:left w:val="single" w:sz="4" w:space="0" w:color="000000"/>
              <w:bottom w:val="single" w:sz="4" w:space="0" w:color="000000"/>
              <w:right w:val="single" w:sz="4" w:space="0" w:color="000000"/>
            </w:tcBorders>
            <w:shd w:val="clear" w:color="auto" w:fill="D2D2D2"/>
          </w:tcPr>
          <w:p>
            <w:pPr/>
          </w:p>
        </w:tc>
        <w:tc>
          <w:tcPr>
            <w:tcW w:w="1195" w:type="dxa"/>
            <w:vMerge/>
            <w:tcBorders>
              <w:left w:val="single" w:sz="9" w:space="0" w:color="D2D2D2"/>
              <w:bottom w:val="single" w:sz="4" w:space="0" w:color="000000"/>
              <w:right w:val="single" w:sz="9" w:space="0" w:color="D2D2D2"/>
            </w:tcBorders>
          </w:tcPr>
          <w:p>
            <w:pPr/>
          </w:p>
        </w:tc>
        <w:tc>
          <w:tcPr>
            <w:tcW w:w="1196" w:type="dxa"/>
            <w:tcBorders>
              <w:top w:val="nil" w:sz="6" w:space="0" w:color="auto"/>
              <w:left w:val="single" w:sz="4" w:space="0" w:color="000000"/>
              <w:bottom w:val="single" w:sz="4" w:space="0" w:color="000000"/>
              <w:right w:val="single" w:sz="4" w:space="0" w:color="000000"/>
            </w:tcBorders>
            <w:shd w:val="clear" w:color="auto" w:fill="D2D2D2"/>
          </w:tcPr>
          <w:p>
            <w:pPr/>
          </w:p>
        </w:tc>
        <w:tc>
          <w:tcPr>
            <w:tcW w:w="1198" w:type="dxa"/>
            <w:vMerge/>
            <w:tcBorders>
              <w:left w:val="single" w:sz="10" w:space="0" w:color="D2D2D2"/>
              <w:bottom w:val="single" w:sz="4" w:space="0" w:color="000000"/>
              <w:right w:val="single" w:sz="4" w:space="0" w:color="000000"/>
            </w:tcBorders>
          </w:tcPr>
          <w:p>
            <w:pPr/>
          </w:p>
        </w:tc>
      </w:tr>
      <w:tr>
        <w:trPr>
          <w:trHeight w:val="391" w:hRule="exact"/>
        </w:trPr>
        <w:tc>
          <w:tcPr>
            <w:tcW w:w="9576"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24" w:right="0"/>
              <w:jc w:val="left"/>
              <w:rPr>
                <w:rFonts w:ascii="宋体" w:hAnsi="宋体" w:cs="宋体" w:eastAsia="宋体" w:hint="default"/>
                <w:sz w:val="18"/>
                <w:szCs w:val="18"/>
              </w:rPr>
            </w:pPr>
            <w:r>
              <w:rPr>
                <w:rFonts w:ascii="宋体" w:hAnsi="宋体" w:cs="宋体" w:eastAsia="宋体" w:hint="default"/>
                <w:sz w:val="18"/>
                <w:szCs w:val="18"/>
              </w:rPr>
              <w:t>报告期内对公司债券进行跟踪评级的资信评级机构：</w:t>
            </w:r>
          </w:p>
        </w:tc>
      </w:tr>
      <w:tr>
        <w:trPr>
          <w:trHeight w:val="166" w:hRule="exact"/>
        </w:trPr>
        <w:tc>
          <w:tcPr>
            <w:tcW w:w="1203" w:type="dxa"/>
            <w:tcBorders>
              <w:top w:val="single" w:sz="4" w:space="0" w:color="000000"/>
              <w:left w:val="single" w:sz="4" w:space="0" w:color="000000"/>
              <w:bottom w:val="nil" w:sz="6" w:space="0" w:color="auto"/>
              <w:right w:val="single" w:sz="4" w:space="0" w:color="000000"/>
            </w:tcBorders>
            <w:shd w:val="clear" w:color="auto" w:fill="D2D2D2"/>
          </w:tcPr>
          <w:p>
            <w:pPr/>
          </w:p>
        </w:tc>
        <w:tc>
          <w:tcPr>
            <w:tcW w:w="3589" w:type="dxa"/>
            <w:gridSpan w:val="4"/>
            <w:vMerge w:val="restart"/>
            <w:tcBorders>
              <w:top w:val="single" w:sz="4" w:space="0" w:color="000000"/>
              <w:left w:val="single" w:sz="9" w:space="0" w:color="D2D2D2"/>
              <w:right w:val="single" w:sz="10" w:space="0" w:color="D2D2D2"/>
            </w:tcBorders>
          </w:tcPr>
          <w:p>
            <w:pPr>
              <w:pStyle w:val="TableParagraph"/>
              <w:spacing w:line="240" w:lineRule="auto" w:before="0"/>
              <w:ind w:right="0"/>
              <w:jc w:val="left"/>
              <w:rPr>
                <w:rFonts w:ascii="宋体" w:hAnsi="宋体" w:cs="宋体" w:eastAsia="宋体" w:hint="default"/>
                <w:b/>
                <w:bCs/>
                <w:sz w:val="16"/>
                <w:szCs w:val="16"/>
              </w:rPr>
            </w:pPr>
          </w:p>
          <w:p>
            <w:pPr>
              <w:pStyle w:val="TableParagraph"/>
              <w:spacing w:line="240" w:lineRule="auto"/>
              <w:ind w:left="18" w:right="0"/>
              <w:jc w:val="left"/>
              <w:rPr>
                <w:rFonts w:ascii="宋体" w:hAnsi="宋体" w:cs="宋体" w:eastAsia="宋体" w:hint="default"/>
                <w:sz w:val="18"/>
                <w:szCs w:val="18"/>
              </w:rPr>
            </w:pPr>
            <w:r>
              <w:rPr>
                <w:rFonts w:ascii="宋体" w:hAnsi="宋体" w:cs="宋体" w:eastAsia="宋体" w:hint="default"/>
                <w:sz w:val="18"/>
                <w:szCs w:val="18"/>
              </w:rPr>
              <w:t>联合信用评级有限公司</w:t>
            </w:r>
          </w:p>
        </w:tc>
        <w:tc>
          <w:tcPr>
            <w:tcW w:w="1196" w:type="dxa"/>
            <w:tcBorders>
              <w:top w:val="single" w:sz="4" w:space="0" w:color="000000"/>
              <w:left w:val="single" w:sz="4" w:space="0" w:color="000000"/>
              <w:bottom w:val="nil" w:sz="6" w:space="0" w:color="auto"/>
              <w:right w:val="single" w:sz="4" w:space="0" w:color="000000"/>
            </w:tcBorders>
            <w:shd w:val="clear" w:color="auto" w:fill="D2D2D2"/>
          </w:tcPr>
          <w:p>
            <w:pPr/>
          </w:p>
        </w:tc>
        <w:tc>
          <w:tcPr>
            <w:tcW w:w="3589" w:type="dxa"/>
            <w:gridSpan w:val="3"/>
            <w:vMerge w:val="restart"/>
            <w:tcBorders>
              <w:top w:val="single" w:sz="4" w:space="0" w:color="000000"/>
              <w:left w:val="single" w:sz="9" w:space="0" w:color="D2D2D2"/>
              <w:right w:val="single" w:sz="4" w:space="0" w:color="000000"/>
            </w:tcBorders>
          </w:tcPr>
          <w:p>
            <w:pPr>
              <w:pStyle w:val="TableParagraph"/>
              <w:spacing w:line="240" w:lineRule="auto" w:before="53"/>
              <w:ind w:left="18" w:right="0"/>
              <w:jc w:val="left"/>
              <w:rPr>
                <w:rFonts w:ascii="宋体" w:hAnsi="宋体" w:cs="宋体" w:eastAsia="宋体" w:hint="default"/>
                <w:sz w:val="18"/>
                <w:szCs w:val="18"/>
              </w:rPr>
            </w:pPr>
            <w:r>
              <w:rPr>
                <w:rFonts w:ascii="宋体" w:hAnsi="宋体" w:cs="宋体" w:eastAsia="宋体" w:hint="default"/>
                <w:sz w:val="18"/>
                <w:szCs w:val="18"/>
              </w:rPr>
              <w:t>天津市南开区水上公园北道 </w:t>
            </w:r>
            <w:r>
              <w:rPr>
                <w:rFonts w:ascii="Times New Roman" w:hAnsi="Times New Roman" w:cs="Times New Roman" w:eastAsia="Times New Roman" w:hint="default"/>
                <w:sz w:val="18"/>
                <w:szCs w:val="18"/>
              </w:rPr>
              <w:t>38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号爱俪园公</w:t>
            </w:r>
          </w:p>
          <w:p>
            <w:pPr>
              <w:pStyle w:val="TableParagraph"/>
              <w:spacing w:line="240" w:lineRule="auto" w:before="63"/>
              <w:ind w:left="1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寓 </w:t>
            </w:r>
            <w:r>
              <w:rPr>
                <w:rFonts w:ascii="Times New Roman" w:hAnsi="Times New Roman" w:cs="Times New Roman" w:eastAsia="Times New Roman" w:hint="default"/>
                <w:sz w:val="18"/>
                <w:szCs w:val="18"/>
              </w:rPr>
              <w:t>508</w:t>
            </w:r>
          </w:p>
        </w:tc>
      </w:tr>
      <w:tr>
        <w:trPr>
          <w:trHeight w:val="391" w:hRule="exact"/>
        </w:trPr>
        <w:tc>
          <w:tcPr>
            <w:tcW w:w="120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名称</w:t>
            </w:r>
          </w:p>
        </w:tc>
        <w:tc>
          <w:tcPr>
            <w:tcW w:w="3589" w:type="dxa"/>
            <w:gridSpan w:val="4"/>
            <w:vMerge/>
            <w:tcBorders>
              <w:left w:val="single" w:sz="9" w:space="0" w:color="D2D2D2"/>
              <w:right w:val="single" w:sz="10" w:space="0" w:color="D2D2D2"/>
            </w:tcBorders>
          </w:tcPr>
          <w:p>
            <w:pPr/>
          </w:p>
        </w:tc>
        <w:tc>
          <w:tcPr>
            <w:tcW w:w="119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办公地址</w:t>
            </w:r>
          </w:p>
        </w:tc>
        <w:tc>
          <w:tcPr>
            <w:tcW w:w="3589" w:type="dxa"/>
            <w:gridSpan w:val="3"/>
            <w:vMerge/>
            <w:tcBorders>
              <w:left w:val="single" w:sz="9" w:space="0" w:color="D2D2D2"/>
              <w:right w:val="single" w:sz="4" w:space="0" w:color="000000"/>
            </w:tcBorders>
          </w:tcPr>
          <w:p>
            <w:pPr/>
          </w:p>
        </w:tc>
      </w:tr>
      <w:tr>
        <w:trPr>
          <w:trHeight w:val="161" w:hRule="exact"/>
        </w:trPr>
        <w:tc>
          <w:tcPr>
            <w:tcW w:w="1203" w:type="dxa"/>
            <w:tcBorders>
              <w:top w:val="nil" w:sz="6" w:space="0" w:color="auto"/>
              <w:left w:val="single" w:sz="4" w:space="0" w:color="000000"/>
              <w:bottom w:val="single" w:sz="4" w:space="0" w:color="000000"/>
              <w:right w:val="single" w:sz="4" w:space="0" w:color="000000"/>
            </w:tcBorders>
            <w:shd w:val="clear" w:color="auto" w:fill="D2D2D2"/>
          </w:tcPr>
          <w:p>
            <w:pPr/>
          </w:p>
        </w:tc>
        <w:tc>
          <w:tcPr>
            <w:tcW w:w="3589" w:type="dxa"/>
            <w:gridSpan w:val="4"/>
            <w:vMerge/>
            <w:tcBorders>
              <w:left w:val="single" w:sz="9" w:space="0" w:color="D2D2D2"/>
              <w:bottom w:val="single" w:sz="4" w:space="0" w:color="000000"/>
              <w:right w:val="single" w:sz="10" w:space="0" w:color="D2D2D2"/>
            </w:tcBorders>
          </w:tcPr>
          <w:p>
            <w:pPr/>
          </w:p>
        </w:tc>
        <w:tc>
          <w:tcPr>
            <w:tcW w:w="1196" w:type="dxa"/>
            <w:tcBorders>
              <w:top w:val="nil" w:sz="6" w:space="0" w:color="auto"/>
              <w:left w:val="single" w:sz="4" w:space="0" w:color="000000"/>
              <w:bottom w:val="single" w:sz="4" w:space="0" w:color="000000"/>
              <w:right w:val="single" w:sz="4" w:space="0" w:color="000000"/>
            </w:tcBorders>
            <w:shd w:val="clear" w:color="auto" w:fill="D2D2D2"/>
          </w:tcPr>
          <w:p>
            <w:pPr/>
          </w:p>
        </w:tc>
        <w:tc>
          <w:tcPr>
            <w:tcW w:w="3589" w:type="dxa"/>
            <w:gridSpan w:val="3"/>
            <w:vMerge/>
            <w:tcBorders>
              <w:left w:val="single" w:sz="9" w:space="0" w:color="D2D2D2"/>
              <w:bottom w:val="single" w:sz="4" w:space="0" w:color="000000"/>
              <w:right w:val="single" w:sz="4" w:space="0" w:color="000000"/>
            </w:tcBorders>
          </w:tcPr>
          <w:p>
            <w:pPr/>
          </w:p>
        </w:tc>
      </w:tr>
      <w:tr>
        <w:trPr>
          <w:trHeight w:val="674" w:hRule="exact"/>
        </w:trPr>
        <w:tc>
          <w:tcPr>
            <w:tcW w:w="3185"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4" w:right="90"/>
              <w:jc w:val="left"/>
              <w:rPr>
                <w:rFonts w:ascii="宋体" w:hAnsi="宋体" w:cs="宋体" w:eastAsia="宋体" w:hint="default"/>
                <w:sz w:val="18"/>
                <w:szCs w:val="18"/>
              </w:rPr>
            </w:pPr>
            <w:r>
              <w:rPr>
                <w:rFonts w:ascii="宋体" w:hAnsi="宋体" w:cs="宋体" w:eastAsia="宋体" w:hint="default"/>
                <w:sz w:val="18"/>
                <w:szCs w:val="18"/>
              </w:rPr>
              <w:t>报告期内公司聘请的债券受托管理人、 资信评级机构发生变更的，变更的原因</w:t>
            </w:r>
          </w:p>
        </w:tc>
        <w:tc>
          <w:tcPr>
            <w:tcW w:w="1607" w:type="dxa"/>
            <w:gridSpan w:val="2"/>
            <w:tcBorders>
              <w:top w:val="single" w:sz="4" w:space="0" w:color="000000"/>
              <w:left w:val="single" w:sz="9" w:space="0" w:color="D2D2D2"/>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05" w:lineRule="exact"/>
              <w:ind w:left="28" w:right="0"/>
              <w:jc w:val="left"/>
              <w:rPr>
                <w:rFonts w:ascii="宋体" w:hAnsi="宋体" w:cs="宋体" w:eastAsia="宋体" w:hint="default"/>
                <w:sz w:val="18"/>
                <w:szCs w:val="18"/>
              </w:rPr>
            </w:pPr>
            <w:r>
              <w:rPr>
                <w:rFonts w:ascii="宋体" w:hAnsi="宋体" w:cs="宋体" w:eastAsia="宋体" w:hint="default"/>
                <w:sz w:val="18"/>
                <w:szCs w:val="18"/>
              </w:rPr>
              <w:t>不适</w:t>
            </w:r>
          </w:p>
          <w:p>
            <w:pPr>
              <w:pStyle w:val="TableParagraph"/>
              <w:spacing w:line="205" w:lineRule="exact"/>
              <w:ind w:left="-119"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388" w:right="0"/>
              <w:jc w:val="left"/>
              <w:rPr>
                <w:rFonts w:ascii="宋体" w:hAnsi="宋体" w:cs="宋体" w:eastAsia="宋体" w:hint="default"/>
                <w:sz w:val="18"/>
                <w:szCs w:val="18"/>
              </w:rPr>
            </w:pPr>
            <w:r>
              <w:rPr>
                <w:rFonts w:ascii="宋体" w:hAnsi="宋体" w:cs="宋体" w:eastAsia="宋体" w:hint="default"/>
                <w:sz w:val="18"/>
                <w:szCs w:val="18"/>
              </w:rPr>
              <w:t>用</w:t>
            </w:r>
          </w:p>
        </w:tc>
        <w:tc>
          <w:tcPr>
            <w:tcW w:w="1196" w:type="dxa"/>
            <w:tcBorders>
              <w:top w:val="single" w:sz="4" w:space="0" w:color="000000"/>
              <w:left w:val="nil" w:sz="6" w:space="0" w:color="auto"/>
              <w:bottom w:val="single" w:sz="4" w:space="0" w:color="000000"/>
              <w:right w:val="nil" w:sz="6" w:space="0" w:color="auto"/>
            </w:tcBorders>
          </w:tcPr>
          <w:p>
            <w:pPr/>
          </w:p>
        </w:tc>
        <w:tc>
          <w:tcPr>
            <w:tcW w:w="1195" w:type="dxa"/>
            <w:tcBorders>
              <w:top w:val="single" w:sz="4" w:space="0" w:color="000000"/>
              <w:left w:val="nil" w:sz="6" w:space="0" w:color="auto"/>
              <w:bottom w:val="single" w:sz="4" w:space="0" w:color="000000"/>
              <w:right w:val="nil" w:sz="6" w:space="0" w:color="auto"/>
            </w:tcBorders>
          </w:tcPr>
          <w:p>
            <w:pPr/>
          </w:p>
        </w:tc>
        <w:tc>
          <w:tcPr>
            <w:tcW w:w="1196" w:type="dxa"/>
            <w:tcBorders>
              <w:top w:val="single" w:sz="4" w:space="0" w:color="000000"/>
              <w:left w:val="nil" w:sz="6" w:space="0" w:color="auto"/>
              <w:bottom w:val="single" w:sz="4" w:space="0" w:color="000000"/>
              <w:right w:val="nil" w:sz="6" w:space="0" w:color="auto"/>
            </w:tcBorders>
          </w:tcPr>
          <w:p>
            <w:pPr/>
          </w:p>
        </w:tc>
        <w:tc>
          <w:tcPr>
            <w:tcW w:w="1198" w:type="dxa"/>
            <w:tcBorders>
              <w:top w:val="single" w:sz="4" w:space="0" w:color="000000"/>
              <w:left w:val="nil" w:sz="6" w:space="0" w:color="auto"/>
              <w:bottom w:val="single" w:sz="4" w:space="0" w:color="000000"/>
              <w:right w:val="single" w:sz="4" w:space="0" w:color="000000"/>
            </w:tcBorders>
          </w:tcPr>
          <w:p>
            <w:pPr/>
          </w:p>
        </w:tc>
      </w:tr>
    </w:tbl>
    <w:p>
      <w:pPr>
        <w:spacing w:after="0"/>
        <w:sectPr>
          <w:pgSz w:w="11910" w:h="16840"/>
          <w:pgMar w:header="745" w:footer="979" w:top="1060" w:bottom="1160" w:left="980" w:right="0"/>
        </w:sectPr>
      </w:pPr>
    </w:p>
    <w:p>
      <w:pPr>
        <w:spacing w:line="240" w:lineRule="auto" w:before="2"/>
        <w:rPr>
          <w:rFonts w:ascii="宋体" w:hAnsi="宋体" w:cs="宋体" w:eastAsia="宋体" w:hint="default"/>
          <w:b/>
          <w:bCs/>
          <w:sz w:val="28"/>
          <w:szCs w:val="28"/>
        </w:rPr>
      </w:pPr>
    </w:p>
    <w:p>
      <w:pPr>
        <w:spacing w:line="694" w:lineRule="exact"/>
        <w:ind w:left="148" w:right="0" w:firstLine="0"/>
        <w:rPr>
          <w:rFonts w:ascii="宋体" w:hAnsi="宋体" w:cs="宋体" w:eastAsia="宋体" w:hint="default"/>
          <w:sz w:val="20"/>
          <w:szCs w:val="20"/>
        </w:rPr>
      </w:pPr>
      <w:r>
        <w:rPr>
          <w:rFonts w:ascii="宋体" w:hAnsi="宋体" w:cs="宋体" w:eastAsia="宋体" w:hint="default"/>
          <w:position w:val="-13"/>
          <w:sz w:val="20"/>
          <w:szCs w:val="20"/>
        </w:rPr>
        <w:pict>
          <v:group style="width:479.3pt;height:34.7pt;mso-position-horizontal-relative:char;mso-position-vertical-relative:line" coordorigin="0,0" coordsize="9586,694">
            <v:group style="position:absolute;left:23;top:14;width:2;height:666" coordorigin="23,14" coordsize="2,666">
              <v:shape style="position:absolute;left:23;top:14;width:2;height:666" coordorigin="23,14" coordsize="0,666" path="m23,14l23,680e" filled="false" stroked="true" strokeweight="1.08pt" strokecolor="#d2d2d2">
                <v:path arrowok="t"/>
              </v:shape>
            </v:group>
            <v:group style="position:absolute;left:3185;top:14;width:2;height:666" coordorigin="3185,14" coordsize="2,666">
              <v:shape style="position:absolute;left:3185;top:14;width:2;height:666" coordorigin="3185,14" coordsize="0,666" path="m3185,14l3185,680e" filled="false" stroked="true" strokeweight="1.08pt" strokecolor="#d2d2d2">
                <v:path arrowok="t"/>
              </v:shape>
            </v:group>
            <v:group style="position:absolute;left:34;top:14;width:3141;height:313" coordorigin="34,14" coordsize="3141,313">
              <v:shape style="position:absolute;left:34;top:14;width:3141;height:313" coordorigin="34,14" coordsize="3141,313" path="m34,327l3174,327,3174,14,34,14,34,327xe" filled="true" fillcolor="#d2d2d2" stroked="false">
                <v:path arrowok="t"/>
                <v:fill type="solid"/>
              </v:shape>
            </v:group>
            <v:group style="position:absolute;left:34;top:327;width:3141;height:353" coordorigin="34,327" coordsize="3141,353">
              <v:shape style="position:absolute;left:34;top:327;width:3141;height:353" coordorigin="34,327" coordsize="3141,353" path="m34,680l3174,680,3174,327,34,327,34,680xe" filled="true" fillcolor="#d2d2d2" stroked="false">
                <v:path arrowok="t"/>
                <v:fill type="solid"/>
              </v:shape>
            </v:group>
            <v:group style="position:absolute;left:10;top:10;width:3186;height:2" coordorigin="10,10" coordsize="3186,2">
              <v:shape style="position:absolute;left:10;top:10;width:3186;height:2" coordorigin="10,10" coordsize="3186,0" path="m10,10l3195,10e" filled="false" stroked="true" strokeweight=".48pt" strokecolor="#000000">
                <v:path arrowok="t"/>
              </v:shape>
            </v:group>
            <v:group style="position:absolute;left:3205;top:10;width:6371;height:2" coordorigin="3205,10" coordsize="6371,2">
              <v:shape style="position:absolute;left:3205;top:10;width:6371;height:2" coordorigin="3205,10" coordsize="6371,0" path="m3205,10l9576,10e" filled="false" stroked="true" strokeweight=".48pt" strokecolor="#000000">
                <v:path arrowok="t"/>
              </v:shape>
            </v:group>
            <v:group style="position:absolute;left:5;top:5;width:2;height:685" coordorigin="5,5" coordsize="2,685">
              <v:shape style="position:absolute;left:5;top:5;width:2;height:685" coordorigin="5,5" coordsize="0,685" path="m5,5l5,689e" filled="false" stroked="true" strokeweight=".48pt" strokecolor="#000000">
                <v:path arrowok="t"/>
              </v:shape>
            </v:group>
            <v:group style="position:absolute;left:10;top:684;width:3186;height:2" coordorigin="10,684" coordsize="3186,2">
              <v:shape style="position:absolute;left:10;top:684;width:3186;height:2" coordorigin="10,684" coordsize="3186,0" path="m10,684l3195,684e" filled="false" stroked="true" strokeweight=".48pt" strokecolor="#000000">
                <v:path arrowok="t"/>
              </v:shape>
            </v:group>
            <v:group style="position:absolute;left:3200;top:5;width:2;height:685" coordorigin="3200,5" coordsize="2,685">
              <v:shape style="position:absolute;left:3200;top:5;width:2;height:685" coordorigin="3200,5" coordsize="0,685" path="m3200,5l3200,689e" filled="false" stroked="true" strokeweight=".48pt" strokecolor="#000000">
                <v:path arrowok="t"/>
              </v:shape>
            </v:group>
            <v:group style="position:absolute;left:3205;top:684;width:6371;height:2" coordorigin="3205,684" coordsize="6371,2">
              <v:shape style="position:absolute;left:3205;top:684;width:6371;height:2" coordorigin="3205,684" coordsize="6371,0" path="m3205,684l9576,684e" filled="false" stroked="true" strokeweight=".48pt" strokecolor="#000000">
                <v:path arrowok="t"/>
              </v:shape>
            </v:group>
            <v:group style="position:absolute;left:9580;top:5;width:2;height:685" coordorigin="9580,5" coordsize="2,685">
              <v:shape style="position:absolute;left:9580;top:5;width:2;height:685" coordorigin="9580,5" coordsize="0,685" path="m9580,5l9580,689e" filled="false" stroked="true" strokeweight=".47998pt" strokecolor="#000000">
                <v:path arrowok="t"/>
              </v:shape>
              <v:shape style="position:absolute;left:6;top:10;width:3195;height:675" type="#_x0000_t202" filled="false" stroked="false">
                <v:textbox inset="0,0,0,0">
                  <w:txbxContent>
                    <w:p>
                      <w:pPr>
                        <w:spacing w:line="319" w:lineRule="auto" w:before="13"/>
                        <w:ind w:left="27" w:right="25" w:firstLine="0"/>
                        <w:jc w:val="left"/>
                        <w:rPr>
                          <w:rFonts w:ascii="宋体" w:hAnsi="宋体" w:cs="宋体" w:eastAsia="宋体" w:hint="default"/>
                          <w:sz w:val="18"/>
                          <w:szCs w:val="18"/>
                        </w:rPr>
                      </w:pPr>
                      <w:r>
                        <w:rPr>
                          <w:rFonts w:ascii="宋体" w:hAnsi="宋体" w:cs="宋体" w:eastAsia="宋体" w:hint="default"/>
                          <w:spacing w:val="-6"/>
                          <w:sz w:val="18"/>
                          <w:szCs w:val="18"/>
                        </w:rPr>
                        <w:t>履行的程序、对投资者利益的影响等（如</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适用）</w:t>
                      </w:r>
                    </w:p>
                  </w:txbxContent>
                </v:textbox>
                <w10:wrap type="none"/>
              </v:shape>
            </v:group>
          </v:group>
        </w:pict>
      </w:r>
      <w:r>
        <w:rPr>
          <w:rFonts w:ascii="宋体" w:hAnsi="宋体" w:cs="宋体" w:eastAsia="宋体" w:hint="default"/>
          <w:position w:val="-13"/>
          <w:sz w:val="20"/>
          <w:szCs w:val="20"/>
        </w:rPr>
      </w:r>
    </w:p>
    <w:p>
      <w:pPr>
        <w:spacing w:line="240" w:lineRule="auto" w:before="9"/>
        <w:rPr>
          <w:rFonts w:ascii="宋体" w:hAnsi="宋体" w:cs="宋体" w:eastAsia="宋体" w:hint="default"/>
          <w:b/>
          <w:bCs/>
          <w:sz w:val="17"/>
          <w:szCs w:val="17"/>
        </w:rPr>
      </w:pPr>
    </w:p>
    <w:p>
      <w:pPr>
        <w:pStyle w:val="Heading2"/>
        <w:spacing w:line="240" w:lineRule="auto" w:before="26"/>
        <w:ind w:right="982"/>
        <w:jc w:val="left"/>
        <w:rPr>
          <w:b w:val="0"/>
          <w:bCs w:val="0"/>
        </w:rPr>
      </w:pPr>
      <w:r>
        <w:rPr/>
        <w:t>三、公司债券募集资金使用情况</w:t>
      </w:r>
      <w:r>
        <w:rPr>
          <w:b w:val="0"/>
          <w:bCs w:val="0"/>
        </w:rPr>
      </w:r>
    </w:p>
    <w:p>
      <w:pPr>
        <w:spacing w:line="240" w:lineRule="auto" w:before="12"/>
        <w:rPr>
          <w:rFonts w:ascii="宋体" w:hAnsi="宋体" w:cs="宋体" w:eastAsia="宋体" w:hint="default"/>
          <w:b/>
          <w:bCs/>
          <w:sz w:val="26"/>
          <w:szCs w:val="26"/>
        </w:rPr>
      </w:pPr>
    </w:p>
    <w:p>
      <w:pPr>
        <w:pStyle w:val="BodyText"/>
        <w:spacing w:line="240" w:lineRule="auto" w:before="44"/>
        <w:ind w:left="0" w:right="1136"/>
        <w:jc w:val="right"/>
      </w:pPr>
      <w:r>
        <w:rPr/>
        <w:pict>
          <v:shape style="position:absolute;margin-left:56.459999pt;margin-top:-.728303pt;width:479.2pt;height:268.150pt;mso-position-horizontal-relative:page;mso-position-vertical-relative:paragraph;z-index:164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976"/>
                    <w:gridCol w:w="6594"/>
                  </w:tblGrid>
                  <w:tr>
                    <w:trPr>
                      <w:trHeight w:val="3209" w:hRule="exact"/>
                    </w:trPr>
                    <w:tc>
                      <w:tcPr>
                        <w:tcW w:w="29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4" w:lineRule="auto" w:before="119"/>
                          <w:ind w:left="22" w:right="61"/>
                          <w:jc w:val="left"/>
                          <w:rPr>
                            <w:rFonts w:ascii="宋体" w:hAnsi="宋体" w:cs="宋体" w:eastAsia="宋体" w:hint="default"/>
                            <w:sz w:val="18"/>
                            <w:szCs w:val="18"/>
                          </w:rPr>
                        </w:pPr>
                        <w:r>
                          <w:rPr>
                            <w:rFonts w:ascii="宋体" w:hAnsi="宋体" w:cs="宋体" w:eastAsia="宋体" w:hint="default"/>
                            <w:sz w:val="18"/>
                            <w:szCs w:val="18"/>
                          </w:rPr>
                          <w:t>公司债券募集资金使用情况及履行的 程序</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7 </w:t>
                        </w:r>
                        <w:r>
                          <w:rPr>
                            <w:rFonts w:ascii="宋体" w:hAnsi="宋体" w:cs="宋体" w:eastAsia="宋体" w:hint="default"/>
                            <w:sz w:val="18"/>
                            <w:szCs w:val="18"/>
                          </w:rPr>
                          <w:t>日，经中国证券监督管理委员会</w:t>
                        </w:r>
                        <w:r>
                          <w:rPr>
                            <w:rFonts w:ascii="Times New Roman" w:hAnsi="Times New Roman" w:cs="Times New Roman" w:eastAsia="Times New Roman" w:hint="default"/>
                            <w:sz w:val="18"/>
                            <w:szCs w:val="18"/>
                          </w:rPr>
                          <w:t>“</w:t>
                        </w:r>
                        <w:r>
                          <w:rPr>
                            <w:rFonts w:ascii="宋体" w:hAnsi="宋体" w:cs="宋体" w:eastAsia="宋体" w:hint="default"/>
                            <w:sz w:val="18"/>
                            <w:szCs w:val="18"/>
                          </w:rPr>
                          <w:t>证监许可</w:t>
                        </w:r>
                        <w:r>
                          <w:rPr>
                            <w:rFonts w:ascii="宋体" w:hAnsi="宋体" w:cs="宋体" w:eastAsia="宋体" w:hint="default"/>
                            <w:spacing w:val="-1"/>
                            <w:sz w:val="18"/>
                            <w:szCs w:val="18"/>
                          </w:rPr>
                          <w:t> </w:t>
                        </w:r>
                        <w:r>
                          <w:rPr>
                            <w:rFonts w:ascii="Times New Roman" w:hAnsi="Times New Roman" w:cs="Times New Roman" w:eastAsia="Times New Roman" w:hint="default"/>
                            <w:sz w:val="18"/>
                            <w:szCs w:val="18"/>
                          </w:rPr>
                          <w:t>[2016]3158</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号文核准</w:t>
                        </w:r>
                      </w:p>
                      <w:p>
                        <w:pPr>
                          <w:pStyle w:val="TableParagraph"/>
                          <w:spacing w:line="240" w:lineRule="auto" w:before="60"/>
                          <w:ind w:left="26" w:right="0"/>
                          <w:jc w:val="both"/>
                          <w:rPr>
                            <w:rFonts w:ascii="宋体" w:hAnsi="宋体" w:cs="宋体" w:eastAsia="宋体" w:hint="default"/>
                            <w:sz w:val="18"/>
                            <w:szCs w:val="18"/>
                          </w:rPr>
                        </w:pPr>
                        <w:r>
                          <w:rPr>
                            <w:rFonts w:ascii="宋体" w:hAnsi="宋体" w:cs="宋体" w:eastAsia="宋体" w:hint="default"/>
                            <w:sz w:val="18"/>
                            <w:szCs w:val="18"/>
                          </w:rPr>
                          <w:t>公司获准面向合格投资者公开发行面值不超过 </w:t>
                        </w:r>
                        <w:r>
                          <w:rPr>
                            <w:rFonts w:ascii="Times New Roman" w:hAnsi="Times New Roman" w:cs="Times New Roman" w:eastAsia="Times New Roman" w:hint="default"/>
                            <w:sz w:val="18"/>
                            <w:szCs w:val="18"/>
                          </w:rPr>
                          <w:t>12  </w:t>
                        </w:r>
                        <w:r>
                          <w:rPr>
                            <w:rFonts w:ascii="宋体" w:hAnsi="宋体" w:cs="宋体" w:eastAsia="宋体" w:hint="default"/>
                            <w:sz w:val="18"/>
                            <w:szCs w:val="18"/>
                          </w:rPr>
                          <w:t>亿元（含</w:t>
                        </w:r>
                        <w:r>
                          <w:rPr>
                            <w:rFonts w:ascii="宋体" w:hAnsi="宋体" w:cs="宋体" w:eastAsia="宋体" w:hint="default"/>
                            <w:spacing w:val="-3"/>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亿元）的公司债券。</w:t>
                        </w:r>
                      </w:p>
                      <w:p>
                        <w:pPr>
                          <w:pStyle w:val="TableParagraph"/>
                          <w:spacing w:line="240" w:lineRule="auto" w:before="63"/>
                          <w:ind w:left="26" w:right="0"/>
                          <w:jc w:val="both"/>
                          <w:rPr>
                            <w:rFonts w:ascii="宋体" w:hAnsi="宋体" w:cs="宋体" w:eastAsia="宋体" w:hint="default"/>
                            <w:sz w:val="18"/>
                            <w:szCs w:val="18"/>
                          </w:rPr>
                        </w:pPr>
                        <w:r>
                          <w:rPr>
                            <w:rFonts w:ascii="宋体" w:hAnsi="宋体" w:cs="宋体" w:eastAsia="宋体" w:hint="default"/>
                            <w:sz w:val="18"/>
                            <w:szCs w:val="18"/>
                          </w:rPr>
                          <w:t>本次债券采取分期发行的方式，其中首期发行债券发行规模为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5,000.00 </w:t>
                        </w:r>
                        <w:r>
                          <w:rPr>
                            <w:rFonts w:ascii="宋体" w:hAnsi="宋体" w:cs="宋体" w:eastAsia="宋体" w:hint="default"/>
                            <w:sz w:val="18"/>
                            <w:szCs w:val="18"/>
                          </w:rPr>
                          <w:t>万元，首期</w:t>
                        </w:r>
                      </w:p>
                      <w:p>
                        <w:pPr>
                          <w:pStyle w:val="TableParagraph"/>
                          <w:spacing w:line="240" w:lineRule="auto" w:before="63"/>
                          <w:ind w:left="26" w:right="0"/>
                          <w:jc w:val="both"/>
                          <w:rPr>
                            <w:rFonts w:ascii="宋体" w:hAnsi="宋体" w:cs="宋体" w:eastAsia="宋体" w:hint="default"/>
                            <w:sz w:val="18"/>
                            <w:szCs w:val="18"/>
                          </w:rPr>
                        </w:pPr>
                        <w:r>
                          <w:rPr>
                            <w:rFonts w:ascii="宋体" w:hAnsi="宋体" w:cs="宋体" w:eastAsia="宋体" w:hint="default"/>
                            <w:sz w:val="18"/>
                            <w:szCs w:val="18"/>
                          </w:rPr>
                          <w:t>自中国证监会核准发行之日起 </w:t>
                        </w:r>
                        <w:r>
                          <w:rPr>
                            <w:rFonts w:ascii="Times New Roman" w:hAnsi="Times New Roman" w:cs="Times New Roman" w:eastAsia="Times New Roman" w:hint="default"/>
                            <w:sz w:val="18"/>
                            <w:szCs w:val="18"/>
                          </w:rPr>
                          <w:t>12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个月内完成，其余各期债券发行，自中国证监会</w:t>
                        </w:r>
                      </w:p>
                      <w:p>
                        <w:pPr>
                          <w:pStyle w:val="TableParagraph"/>
                          <w:spacing w:line="240" w:lineRule="auto" w:before="63"/>
                          <w:ind w:left="26" w:right="0"/>
                          <w:jc w:val="both"/>
                          <w:rPr>
                            <w:rFonts w:ascii="宋体" w:hAnsi="宋体" w:cs="宋体" w:eastAsia="宋体" w:hint="default"/>
                            <w:sz w:val="18"/>
                            <w:szCs w:val="18"/>
                          </w:rPr>
                        </w:pPr>
                        <w:r>
                          <w:rPr>
                            <w:rFonts w:ascii="宋体" w:hAnsi="宋体" w:cs="宋体" w:eastAsia="宋体" w:hint="default"/>
                            <w:sz w:val="18"/>
                            <w:szCs w:val="18"/>
                          </w:rPr>
                          <w:t>核准发行之日起 </w:t>
                        </w:r>
                        <w:r>
                          <w:rPr>
                            <w:rFonts w:ascii="Times New Roman" w:hAnsi="Times New Roman" w:cs="Times New Roman" w:eastAsia="Times New Roman" w:hint="default"/>
                            <w:sz w:val="18"/>
                            <w:szCs w:val="18"/>
                          </w:rPr>
                          <w:t>24  </w:t>
                        </w:r>
                        <w:r>
                          <w:rPr>
                            <w:rFonts w:ascii="宋体" w:hAnsi="宋体" w:cs="宋体" w:eastAsia="宋体" w:hint="default"/>
                            <w:sz w:val="18"/>
                            <w:szCs w:val="18"/>
                          </w:rPr>
                          <w:t>个月内完成。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 </w:t>
                        </w:r>
                        <w:r>
                          <w:rPr>
                            <w:rFonts w:ascii="Times New Roman" w:hAnsi="Times New Roman" w:cs="Times New Roman" w:eastAsia="Times New Roman" w:hint="default"/>
                            <w:spacing w:val="-3"/>
                            <w:sz w:val="18"/>
                            <w:szCs w:val="18"/>
                          </w:rPr>
                          <w:t>11  </w:t>
                        </w:r>
                        <w:r>
                          <w:rPr>
                            <w:rFonts w:ascii="宋体" w:hAnsi="宋体" w:cs="宋体" w:eastAsia="宋体" w:hint="default"/>
                            <w:sz w:val="18"/>
                            <w:szCs w:val="18"/>
                          </w:rPr>
                          <w:t>月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日，公司公开发行公司债券</w:t>
                        </w:r>
                      </w:p>
                      <w:p>
                        <w:pPr>
                          <w:pStyle w:val="TableParagraph"/>
                          <w:spacing w:line="240" w:lineRule="auto" w:before="63"/>
                          <w:ind w:left="26" w:right="0"/>
                          <w:jc w:val="both"/>
                          <w:rPr>
                            <w:rFonts w:ascii="Times New Roman" w:hAnsi="Times New Roman" w:cs="Times New Roman" w:eastAsia="Times New Roman" w:hint="default"/>
                            <w:sz w:val="18"/>
                            <w:szCs w:val="18"/>
                          </w:rPr>
                        </w:pPr>
                        <w:r>
                          <w:rPr>
                            <w:rFonts w:ascii="宋体" w:hAnsi="宋体" w:cs="宋体" w:eastAsia="宋体" w:hint="default"/>
                            <w:sz w:val="18"/>
                            <w:szCs w:val="18"/>
                          </w:rPr>
                          <w:t>（第一期</w:t>
                        </w:r>
                        <w:r>
                          <w:rPr>
                            <w:rFonts w:ascii="宋体" w:hAnsi="宋体" w:cs="宋体" w:eastAsia="宋体" w:hint="default"/>
                            <w:spacing w:val="-92"/>
                            <w:sz w:val="18"/>
                            <w:szCs w:val="18"/>
                          </w:rPr>
                          <w:t>）</w:t>
                        </w:r>
                        <w:r>
                          <w:rPr>
                            <w:rFonts w:ascii="宋体" w:hAnsi="宋体" w:cs="宋体" w:eastAsia="宋体" w:hint="default"/>
                            <w:spacing w:val="-27"/>
                            <w:sz w:val="18"/>
                            <w:szCs w:val="18"/>
                          </w:rPr>
                          <w:t>，</w:t>
                        </w:r>
                        <w:r>
                          <w:rPr>
                            <w:rFonts w:ascii="宋体" w:hAnsi="宋体" w:cs="宋体" w:eastAsia="宋体" w:hint="default"/>
                            <w:sz w:val="18"/>
                            <w:szCs w:val="18"/>
                          </w:rPr>
                          <w:t>募集资金总额</w:t>
                        </w:r>
                        <w:r>
                          <w:rPr>
                            <w:rFonts w:ascii="宋体" w:hAnsi="宋体" w:cs="宋体" w:eastAsia="宋体" w:hint="default"/>
                            <w:spacing w:val="-45"/>
                            <w:sz w:val="18"/>
                            <w:szCs w:val="18"/>
                          </w:rPr>
                          <w:t> </w:t>
                        </w:r>
                        <w:r>
                          <w:rPr>
                            <w:rFonts w:ascii="Times New Roman" w:hAnsi="Times New Roman" w:cs="Times New Roman" w:eastAsia="Times New Roman" w:hint="default"/>
                            <w:spacing w:val="1"/>
                            <w:sz w:val="18"/>
                            <w:szCs w:val="18"/>
                          </w:rPr>
                          <w:t>5</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
                            <w:sz w:val="18"/>
                            <w:szCs w:val="18"/>
                          </w:rPr>
                          <w:t>00</w:t>
                        </w:r>
                        <w:r>
                          <w:rPr>
                            <w:rFonts w:ascii="Times New Roman" w:hAnsi="Times New Roman" w:cs="Times New Roman" w:eastAsia="Times New Roman" w:hint="default"/>
                            <w:spacing w:val="1"/>
                            <w:sz w:val="18"/>
                            <w:szCs w:val="18"/>
                          </w:rPr>
                          <w:t>0</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z w:val="18"/>
                            <w:szCs w:val="18"/>
                          </w:rPr>
                          <w:t>0 </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万元</w:t>
                        </w:r>
                        <w:r>
                          <w:rPr>
                            <w:rFonts w:ascii="宋体" w:hAnsi="宋体" w:cs="宋体" w:eastAsia="宋体" w:hint="default"/>
                            <w:spacing w:val="-27"/>
                            <w:sz w:val="18"/>
                            <w:szCs w:val="18"/>
                          </w:rPr>
                          <w:t>，</w:t>
                        </w:r>
                        <w:r>
                          <w:rPr>
                            <w:rFonts w:ascii="宋体" w:hAnsi="宋体" w:cs="宋体" w:eastAsia="宋体" w:hint="default"/>
                            <w:sz w:val="18"/>
                            <w:szCs w:val="18"/>
                          </w:rPr>
                          <w:t>扣除发行费用后</w:t>
                        </w:r>
                        <w:r>
                          <w:rPr>
                            <w:rFonts w:ascii="宋体" w:hAnsi="宋体" w:cs="宋体" w:eastAsia="宋体" w:hint="default"/>
                            <w:spacing w:val="-29"/>
                            <w:sz w:val="18"/>
                            <w:szCs w:val="18"/>
                          </w:rPr>
                          <w:t>，</w:t>
                        </w:r>
                        <w:r>
                          <w:rPr>
                            <w:rFonts w:ascii="宋体" w:hAnsi="宋体" w:cs="宋体" w:eastAsia="宋体" w:hint="default"/>
                            <w:sz w:val="18"/>
                            <w:szCs w:val="18"/>
                          </w:rPr>
                          <w:t>募集资金净额</w:t>
                        </w:r>
                        <w:r>
                          <w:rPr>
                            <w:rFonts w:ascii="宋体" w:hAnsi="宋体" w:cs="宋体" w:eastAsia="宋体" w:hint="default"/>
                            <w:spacing w:val="1"/>
                            <w:sz w:val="18"/>
                            <w:szCs w:val="18"/>
                          </w:rPr>
                          <w:t> </w:t>
                        </w:r>
                        <w:r>
                          <w:rPr>
                            <w:rFonts w:ascii="Times New Roman" w:hAnsi="Times New Roman" w:cs="Times New Roman" w:eastAsia="Times New Roman" w:hint="default"/>
                            <w:spacing w:val="1"/>
                            <w:sz w:val="18"/>
                            <w:szCs w:val="18"/>
                          </w:rPr>
                          <w:t>5</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pacing w:val="1"/>
                            <w:sz w:val="18"/>
                            <w:szCs w:val="18"/>
                          </w:rPr>
                          <w:t>0</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0</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z w:val="18"/>
                            <w:szCs w:val="18"/>
                          </w:rPr>
                          <w:t>0</w:t>
                        </w:r>
                      </w:p>
                      <w:p>
                        <w:pPr>
                          <w:pStyle w:val="TableParagraph"/>
                          <w:spacing w:line="300" w:lineRule="auto" w:before="63"/>
                          <w:ind w:left="26" w:right="16"/>
                          <w:jc w:val="both"/>
                          <w:rPr>
                            <w:rFonts w:ascii="Times New Roman" w:hAnsi="Times New Roman" w:cs="Times New Roman" w:eastAsia="Times New Roman" w:hint="default"/>
                            <w:sz w:val="18"/>
                            <w:szCs w:val="18"/>
                          </w:rPr>
                        </w:pPr>
                        <w:r>
                          <w:rPr>
                            <w:rFonts w:ascii="宋体" w:hAnsi="宋体" w:cs="宋体" w:eastAsia="宋体" w:hint="default"/>
                            <w:spacing w:val="-3"/>
                            <w:sz w:val="18"/>
                            <w:szCs w:val="18"/>
                          </w:rPr>
                          <w:t>万元，已于</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日汇入本公司在相关银行开设的募集资金账户中。</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年度公司以债券募集资金补充公司流动资金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2,985.10 </w:t>
                        </w:r>
                        <w:r>
                          <w:rPr>
                            <w:rFonts w:ascii="宋体" w:hAnsi="宋体" w:cs="宋体" w:eastAsia="宋体" w:hint="default"/>
                            <w:sz w:val="18"/>
                            <w:szCs w:val="18"/>
                          </w:rPr>
                          <w:t>万元，</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年度公司以债券募 集资金补充公司流动资金</w:t>
                        </w:r>
                        <w:r>
                          <w:rPr>
                            <w:rFonts w:ascii="宋体" w:hAnsi="宋体" w:cs="宋体" w:eastAsia="宋体" w:hint="default"/>
                            <w:spacing w:val="-44"/>
                            <w:sz w:val="18"/>
                            <w:szCs w:val="18"/>
                          </w:rPr>
                          <w:t> </w:t>
                        </w:r>
                        <w:r>
                          <w:rPr>
                            <w:rFonts w:ascii="Times New Roman" w:hAnsi="Times New Roman" w:cs="Times New Roman" w:eastAsia="Times New Roman" w:hint="default"/>
                            <w:spacing w:val="-1"/>
                            <w:sz w:val="18"/>
                            <w:szCs w:val="18"/>
                          </w:rPr>
                          <w:t>2,014.90</w:t>
                        </w:r>
                        <w:r>
                          <w:rPr>
                            <w:rFonts w:ascii="Times New Roman" w:hAnsi="Times New Roman" w:cs="Times New Roman" w:eastAsia="Times New Roman" w:hint="default"/>
                            <w:spacing w:val="4"/>
                            <w:sz w:val="18"/>
                            <w:szCs w:val="18"/>
                          </w:rPr>
                          <w:t> </w:t>
                        </w:r>
                        <w:r>
                          <w:rPr>
                            <w:rFonts w:ascii="宋体" w:hAnsi="宋体" w:cs="宋体" w:eastAsia="宋体" w:hint="default"/>
                            <w:spacing w:val="-8"/>
                            <w:sz w:val="18"/>
                            <w:szCs w:val="18"/>
                          </w:rPr>
                          <w:t>万元，募集资金累计投入</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5,000.00</w:t>
                        </w:r>
                        <w:r>
                          <w:rPr>
                            <w:rFonts w:ascii="Times New Roman" w:hAnsi="Times New Roman" w:cs="Times New Roman" w:eastAsia="Times New Roman" w:hint="default"/>
                            <w:spacing w:val="4"/>
                            <w:sz w:val="18"/>
                            <w:szCs w:val="18"/>
                          </w:rPr>
                          <w:t> </w:t>
                        </w:r>
                        <w:r>
                          <w:rPr>
                            <w:rFonts w:ascii="宋体" w:hAnsi="宋体" w:cs="宋体" w:eastAsia="宋体" w:hint="default"/>
                            <w:spacing w:val="-18"/>
                            <w:sz w:val="18"/>
                            <w:szCs w:val="18"/>
                          </w:rPr>
                          <w:t>万元。截至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p>
                      <w:p>
                        <w:pPr>
                          <w:pStyle w:val="TableParagraph"/>
                          <w:spacing w:line="240" w:lineRule="auto" w:before="13"/>
                          <w:ind w:left="26" w:right="0"/>
                          <w:jc w:val="both"/>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日，募集资金净额结余</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tc>
                  </w:tr>
                  <w:tr>
                    <w:trPr>
                      <w:trHeight w:val="403" w:hRule="exact"/>
                    </w:trPr>
                    <w:tc>
                      <w:tcPr>
                        <w:tcW w:w="29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年末余额（万元）</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1025" w:hRule="exact"/>
                    </w:trPr>
                    <w:tc>
                      <w:tcPr>
                        <w:tcW w:w="29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2" w:right="0"/>
                          <w:jc w:val="left"/>
                          <w:rPr>
                            <w:rFonts w:ascii="宋体" w:hAnsi="宋体" w:cs="宋体" w:eastAsia="宋体" w:hint="default"/>
                            <w:sz w:val="18"/>
                            <w:szCs w:val="18"/>
                          </w:rPr>
                        </w:pPr>
                        <w:r>
                          <w:rPr>
                            <w:rFonts w:ascii="宋体" w:hAnsi="宋体" w:cs="宋体" w:eastAsia="宋体" w:hint="default"/>
                            <w:sz w:val="18"/>
                            <w:szCs w:val="18"/>
                          </w:rPr>
                          <w:t>募集资金专项账户运作情况</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6" w:right="20"/>
                          <w:jc w:val="both"/>
                          <w:rPr>
                            <w:rFonts w:ascii="宋体" w:hAnsi="宋体" w:cs="宋体" w:eastAsia="宋体" w:hint="default"/>
                            <w:sz w:val="18"/>
                            <w:szCs w:val="18"/>
                          </w:rPr>
                        </w:pPr>
                        <w:r>
                          <w:rPr>
                            <w:rFonts w:ascii="宋体" w:hAnsi="宋体" w:cs="宋体" w:eastAsia="宋体" w:hint="default"/>
                            <w:sz w:val="18"/>
                            <w:szCs w:val="18"/>
                          </w:rPr>
                          <w:t>报告期内，募集资金专项账户运作良好。</w:t>
                        </w:r>
                        <w:r>
                          <w:rPr>
                            <w:rFonts w:ascii="宋体" w:hAnsi="宋体" w:cs="宋体" w:eastAsia="宋体" w:hint="default"/>
                            <w:spacing w:val="-33"/>
                            <w:sz w:val="18"/>
                            <w:szCs w:val="18"/>
                          </w:rPr>
                          <w:t> </w:t>
                        </w:r>
                        <w:r>
                          <w:rPr>
                            <w:rFonts w:ascii="宋体" w:hAnsi="宋体" w:cs="宋体" w:eastAsia="宋体" w:hint="default"/>
                            <w:sz w:val="18"/>
                            <w:szCs w:val="18"/>
                          </w:rPr>
                          <w:t>公司将严格遵循公司的资金管理制度及相</w:t>
                        </w:r>
                        <w:r>
                          <w:rPr>
                            <w:rFonts w:ascii="宋体" w:hAnsi="宋体" w:cs="宋体" w:eastAsia="宋体" w:hint="default"/>
                            <w:sz w:val="18"/>
                            <w:szCs w:val="18"/>
                          </w:rPr>
                          <w:t> 关法律法规，履行募集资金使用的相关程序，遵照募集说明书承诺的用途、使用计 划及其他约定。</w:t>
                        </w:r>
                      </w:p>
                    </w:tc>
                  </w:tr>
                  <w:tr>
                    <w:trPr>
                      <w:trHeight w:val="715" w:hRule="exact"/>
                    </w:trPr>
                    <w:tc>
                      <w:tcPr>
                        <w:tcW w:w="29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61"/>
                          <w:jc w:val="left"/>
                          <w:rPr>
                            <w:rFonts w:ascii="宋体" w:hAnsi="宋体" w:cs="宋体" w:eastAsia="宋体" w:hint="default"/>
                            <w:sz w:val="18"/>
                            <w:szCs w:val="18"/>
                          </w:rPr>
                        </w:pPr>
                        <w:r>
                          <w:rPr>
                            <w:rFonts w:ascii="宋体" w:hAnsi="宋体" w:cs="宋体" w:eastAsia="宋体" w:hint="default"/>
                            <w:sz w:val="18"/>
                            <w:szCs w:val="18"/>
                          </w:rPr>
                          <w:t>募集资金使用是否与募集说明书承诺 的用途、使用计划及其他约定一致</w:t>
                        </w:r>
                      </w:p>
                    </w:tc>
                    <w:tc>
                      <w:tcPr>
                        <w:tcW w:w="6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是</w:t>
                        </w:r>
                      </w:p>
                    </w:tc>
                  </w:tr>
                </w:tbl>
                <w:p>
                  <w:pPr/>
                </w:p>
              </w:txbxContent>
            </v:textbox>
            <w10:wrap type="none"/>
          </v:shape>
        </w:pict>
      </w: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5"/>
          <w:szCs w:val="25"/>
        </w:rPr>
      </w:pPr>
    </w:p>
    <w:p>
      <w:pPr>
        <w:pStyle w:val="Heading2"/>
        <w:spacing w:line="240" w:lineRule="auto" w:before="26"/>
        <w:ind w:right="982"/>
        <w:jc w:val="left"/>
        <w:rPr>
          <w:b w:val="0"/>
          <w:bCs w:val="0"/>
        </w:rPr>
      </w:pPr>
      <w:r>
        <w:rPr/>
        <w:t>四、公司债券信息评级情况</w:t>
      </w:r>
      <w:r>
        <w:rPr>
          <w:b w:val="0"/>
          <w:bCs w:val="0"/>
        </w:rPr>
      </w:r>
    </w:p>
    <w:p>
      <w:pPr>
        <w:spacing w:line="240" w:lineRule="auto" w:before="4"/>
        <w:rPr>
          <w:rFonts w:ascii="宋体" w:hAnsi="宋体" w:cs="宋体" w:eastAsia="宋体" w:hint="default"/>
          <w:b/>
          <w:bCs/>
          <w:sz w:val="26"/>
          <w:szCs w:val="26"/>
        </w:rPr>
      </w:pPr>
    </w:p>
    <w:p>
      <w:pPr>
        <w:pStyle w:val="BodyText"/>
        <w:spacing w:line="300" w:lineRule="auto"/>
        <w:ind w:right="1131" w:firstLine="307"/>
        <w:jc w:val="right"/>
      </w:pPr>
      <w:r>
        <w:rPr>
          <w:rFonts w:ascii="Times New Roman" w:hAnsi="Times New Roman" w:cs="Times New Roman" w:eastAsia="Times New Roman" w:hint="default"/>
        </w:rPr>
        <w:t>2017</w:t>
      </w:r>
      <w:r>
        <w:rPr>
          <w:rFonts w:ascii="Times New Roman" w:hAnsi="Times New Roman" w:cs="Times New Roman" w:eastAsia="Times New Roman" w:hint="default"/>
          <w:spacing w:val="4"/>
        </w:rPr>
        <w:t> </w:t>
      </w:r>
      <w:r>
        <w:rPr/>
        <w:t>年</w:t>
      </w:r>
      <w:r>
        <w:rPr>
          <w:spacing w:val="-44"/>
        </w:rPr>
        <w:t> </w:t>
      </w:r>
      <w:r>
        <w:rPr>
          <w:rFonts w:ascii="Times New Roman" w:hAnsi="Times New Roman" w:cs="Times New Roman" w:eastAsia="Times New Roman" w:hint="default"/>
        </w:rPr>
        <w:t>11</w:t>
      </w:r>
      <w:r>
        <w:rPr>
          <w:rFonts w:ascii="Times New Roman" w:hAnsi="Times New Roman" w:cs="Times New Roman" w:eastAsia="Times New Roman" w:hint="default"/>
          <w:spacing w:val="4"/>
        </w:rPr>
        <w:t> </w:t>
      </w:r>
      <w:r>
        <w:rPr/>
        <w:t>月</w:t>
      </w:r>
      <w:r>
        <w:rPr>
          <w:rFonts w:ascii="Times New Roman" w:hAnsi="Times New Roman" w:cs="Times New Roman" w:eastAsia="Times New Roman" w:hint="default"/>
        </w:rPr>
        <w:t>14</w:t>
      </w:r>
      <w:r>
        <w:rPr/>
        <w:t>日，公司披露联合信用评级有限公司出具的《北京四维图新科技股份有限公司</w:t>
      </w:r>
      <w:r>
        <w:rPr>
          <w:rFonts w:ascii="Times New Roman" w:hAnsi="Times New Roman" w:cs="Times New Roman" w:eastAsia="Times New Roman" w:hint="default"/>
        </w:rPr>
        <w:t>2017</w:t>
      </w:r>
      <w:r>
        <w:rPr/>
        <w:t>年面向合格投资者公 </w:t>
      </w:r>
      <w:r>
        <w:rPr>
          <w:spacing w:val="-4"/>
        </w:rPr>
        <w:t>开发行公司债券（第一期）信用评级报告》，公司的主体信用等级为 </w:t>
      </w:r>
      <w:r>
        <w:rPr>
          <w:rFonts w:ascii="Times New Roman" w:hAnsi="Times New Roman" w:cs="Times New Roman" w:eastAsia="Times New Roman" w:hint="default"/>
          <w:spacing w:val="-3"/>
        </w:rPr>
        <w:t>AA</w:t>
      </w:r>
      <w:r>
        <w:rPr>
          <w:spacing w:val="-3"/>
        </w:rPr>
        <w:t>，评级展望为</w:t>
      </w:r>
      <w:r>
        <w:rPr>
          <w:rFonts w:ascii="Times New Roman" w:hAnsi="Times New Roman" w:cs="Times New Roman" w:eastAsia="Times New Roman" w:hint="default"/>
          <w:spacing w:val="-3"/>
        </w:rPr>
        <w:t>“</w:t>
      </w:r>
      <w:r>
        <w:rPr>
          <w:spacing w:val="-3"/>
        </w:rPr>
        <w:t>稳定</w:t>
      </w:r>
      <w:r>
        <w:rPr>
          <w:rFonts w:ascii="Times New Roman" w:hAnsi="Times New Roman" w:cs="Times New Roman" w:eastAsia="Times New Roman" w:hint="default"/>
          <w:spacing w:val="-3"/>
        </w:rPr>
        <w:t>”</w:t>
      </w:r>
      <w:r>
        <w:rPr>
          <w:spacing w:val="-3"/>
        </w:rPr>
        <w:t>，本期债券信用等级为</w:t>
      </w:r>
      <w:r>
        <w:rPr>
          <w:spacing w:val="7"/>
        </w:rPr>
        <w:t> </w:t>
      </w:r>
      <w:r>
        <w:rPr>
          <w:rFonts w:ascii="Times New Roman" w:hAnsi="Times New Roman" w:cs="Times New Roman" w:eastAsia="Times New Roman" w:hint="default"/>
        </w:rPr>
        <w:t>AAA</w:t>
      </w:r>
      <w:r>
        <w:rPr/>
        <w:t>。 </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6</w:t>
      </w:r>
      <w:r>
        <w:rPr>
          <w:spacing w:val="-2"/>
        </w:rPr>
        <w:t>月</w:t>
      </w:r>
      <w:r>
        <w:rPr>
          <w:rFonts w:ascii="Times New Roman" w:hAnsi="Times New Roman" w:cs="Times New Roman" w:eastAsia="Times New Roman" w:hint="default"/>
          <w:spacing w:val="-2"/>
        </w:rPr>
        <w:t>20</w:t>
      </w:r>
      <w:r>
        <w:rPr>
          <w:spacing w:val="-2"/>
        </w:rPr>
        <w:t>日，公司披露联合信用评级有限公司出具的《北京四维图新科技股份有限公司债券</w:t>
      </w:r>
      <w:r>
        <w:rPr>
          <w:rFonts w:ascii="Times New Roman" w:hAnsi="Times New Roman" w:cs="Times New Roman" w:eastAsia="Times New Roman" w:hint="default"/>
          <w:spacing w:val="-2"/>
        </w:rPr>
        <w:t>2018</w:t>
      </w:r>
      <w:r>
        <w:rPr>
          <w:spacing w:val="-2"/>
        </w:rPr>
        <w:t>年跟踪评级报告》，</w:t>
      </w:r>
    </w:p>
    <w:p>
      <w:pPr>
        <w:pStyle w:val="BodyText"/>
        <w:spacing w:line="240" w:lineRule="auto" w:before="13"/>
        <w:ind w:right="982"/>
        <w:jc w:val="left"/>
      </w:pPr>
      <w:r>
        <w:rPr/>
        <w:t>公司的主体信用等级为 </w:t>
      </w:r>
      <w:r>
        <w:rPr>
          <w:rFonts w:ascii="Times New Roman" w:hAnsi="Times New Roman" w:cs="Times New Roman" w:eastAsia="Times New Roman" w:hint="default"/>
        </w:rPr>
        <w:t>AA</w:t>
      </w:r>
      <w:r>
        <w:rPr/>
        <w:t>，评级展望为</w:t>
      </w:r>
      <w:r>
        <w:rPr>
          <w:rFonts w:ascii="Times New Roman" w:hAnsi="Times New Roman" w:cs="Times New Roman" w:eastAsia="Times New Roman" w:hint="default"/>
        </w:rPr>
        <w:t>“</w:t>
      </w:r>
      <w:r>
        <w:rPr/>
        <w:t>稳定</w:t>
      </w:r>
      <w:r>
        <w:rPr>
          <w:rFonts w:ascii="Times New Roman" w:hAnsi="Times New Roman" w:cs="Times New Roman" w:eastAsia="Times New Roman" w:hint="default"/>
        </w:rPr>
        <w:t>”</w:t>
      </w:r>
      <w:r>
        <w:rPr/>
        <w:t>，本期债券信用等级为</w:t>
      </w:r>
      <w:r>
        <w:rPr>
          <w:spacing w:val="-40"/>
        </w:rPr>
        <w:t> </w:t>
      </w:r>
      <w:r>
        <w:rPr>
          <w:rFonts w:ascii="Times New Roman" w:hAnsi="Times New Roman" w:cs="Times New Roman" w:eastAsia="Times New Roman" w:hint="default"/>
        </w:rPr>
        <w:t>AAA</w:t>
      </w:r>
      <w:r>
        <w:rPr/>
        <w:t>，与上一次评级相比评级结果未发生变化。</w:t>
      </w:r>
    </w:p>
    <w:p>
      <w:pPr>
        <w:spacing w:line="240" w:lineRule="auto" w:before="3"/>
        <w:rPr>
          <w:rFonts w:ascii="宋体" w:hAnsi="宋体" w:cs="宋体" w:eastAsia="宋体" w:hint="default"/>
          <w:sz w:val="24"/>
          <w:szCs w:val="24"/>
        </w:rPr>
      </w:pPr>
    </w:p>
    <w:p>
      <w:pPr>
        <w:pStyle w:val="Heading2"/>
        <w:spacing w:line="240" w:lineRule="auto"/>
        <w:ind w:right="982"/>
        <w:jc w:val="left"/>
        <w:rPr>
          <w:b w:val="0"/>
          <w:bCs w:val="0"/>
        </w:rPr>
      </w:pPr>
      <w:r>
        <w:rPr/>
        <w:t>五、</w:t>
      </w:r>
      <w:r>
        <w:rPr>
          <w:spacing w:val="-4"/>
        </w:rPr>
        <w:t> </w:t>
      </w:r>
      <w:r>
        <w:rPr/>
        <w:t>公司债券增信机制、偿债计划及其他偿债保障措施</w:t>
      </w:r>
      <w:r>
        <w:rPr>
          <w:b w:val="0"/>
          <w:bCs w:val="0"/>
        </w:rPr>
      </w:r>
    </w:p>
    <w:p>
      <w:pPr>
        <w:spacing w:line="240" w:lineRule="auto" w:before="6"/>
        <w:rPr>
          <w:rFonts w:ascii="宋体" w:hAnsi="宋体" w:cs="宋体" w:eastAsia="宋体" w:hint="default"/>
          <w:b/>
          <w:bCs/>
          <w:sz w:val="26"/>
          <w:szCs w:val="26"/>
        </w:rPr>
      </w:pPr>
    </w:p>
    <w:p>
      <w:pPr>
        <w:pStyle w:val="BodyText"/>
        <w:spacing w:line="357" w:lineRule="auto"/>
        <w:ind w:left="513" w:right="982"/>
        <w:jc w:val="left"/>
      </w:pPr>
      <w:r>
        <w:rPr/>
        <w:t>报告期内债券增信机制、偿债计划及其他偿债保障措施未发生变更。 </w:t>
      </w:r>
      <w:r>
        <w:rPr>
          <w:spacing w:val="-2"/>
        </w:rPr>
        <w:t>增信机制：本期公司债券采用担保方式发行，由深圳高新投提供无条件的不可撤销的连带责任保证，担保范围包括本期</w:t>
      </w:r>
    </w:p>
    <w:p>
      <w:pPr>
        <w:pStyle w:val="BodyText"/>
        <w:spacing w:line="360" w:lineRule="auto"/>
        <w:ind w:left="513" w:right="982" w:hanging="361"/>
        <w:jc w:val="left"/>
        <w:rPr>
          <w:rFonts w:ascii="Times New Roman" w:hAnsi="Times New Roman" w:cs="Times New Roman" w:eastAsia="Times New Roman" w:hint="default"/>
        </w:rPr>
      </w:pPr>
      <w:r>
        <w:rPr/>
        <w:t>债券的全部本金及利息、违约金、损害赔偿金和实现债权的全部费用。 </w:t>
      </w:r>
      <w:r>
        <w:rPr>
          <w:spacing w:val="-5"/>
        </w:rPr>
        <w:t>偿债计划：本期公司债券的起息日为</w:t>
      </w:r>
      <w:r>
        <w:rPr>
          <w:rFonts w:ascii="Times New Roman" w:hAnsi="Times New Roman" w:cs="Times New Roman" w:eastAsia="Times New Roman" w:hint="default"/>
          <w:spacing w:val="-5"/>
        </w:rPr>
        <w:t>2017</w:t>
      </w:r>
      <w:r>
        <w:rPr>
          <w:spacing w:val="-5"/>
        </w:rPr>
        <w:t>年</w:t>
      </w:r>
      <w:r>
        <w:rPr>
          <w:rFonts w:ascii="Times New Roman" w:hAnsi="Times New Roman" w:cs="Times New Roman" w:eastAsia="Times New Roman" w:hint="default"/>
          <w:spacing w:val="-5"/>
        </w:rPr>
        <w:t>11</w:t>
      </w:r>
      <w:r>
        <w:rPr>
          <w:spacing w:val="-5"/>
        </w:rPr>
        <w:t>月</w:t>
      </w:r>
      <w:r>
        <w:rPr>
          <w:rFonts w:ascii="Times New Roman" w:hAnsi="Times New Roman" w:cs="Times New Roman" w:eastAsia="Times New Roman" w:hint="default"/>
          <w:spacing w:val="-5"/>
        </w:rPr>
        <w:t>23</w:t>
      </w:r>
      <w:r>
        <w:rPr>
          <w:spacing w:val="-5"/>
        </w:rPr>
        <w:t>日，债券利息将于起息日之后在存续期内每年支付一次，</w:t>
      </w:r>
      <w:r>
        <w:rPr>
          <w:rFonts w:ascii="Times New Roman" w:hAnsi="Times New Roman" w:cs="Times New Roman" w:eastAsia="Times New Roman" w:hint="default"/>
          <w:spacing w:val="-5"/>
        </w:rPr>
        <w:t>2018</w:t>
      </w:r>
      <w:r>
        <w:rPr>
          <w:spacing w:val="-5"/>
        </w:rPr>
        <w:t>年至</w:t>
      </w:r>
      <w:r>
        <w:rPr>
          <w:rFonts w:ascii="Times New Roman" w:hAnsi="Times New Roman" w:cs="Times New Roman" w:eastAsia="Times New Roman" w:hint="default"/>
          <w:spacing w:val="-5"/>
        </w:rPr>
        <w:t>2020</w:t>
      </w:r>
    </w:p>
    <w:p>
      <w:pPr>
        <w:pStyle w:val="BodyText"/>
        <w:spacing w:line="212" w:lineRule="exact"/>
        <w:ind w:right="982"/>
        <w:jc w:val="left"/>
      </w:pPr>
      <w:r>
        <w:rPr/>
        <w:t>年间每年的</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23</w:t>
      </w:r>
      <w:r>
        <w:rPr/>
        <w:t>日为本期债券上一计息年度的付息日（遇法定节假日或休息日，则顺延至其后的第</w:t>
      </w:r>
      <w:r>
        <w:rPr>
          <w:rFonts w:ascii="Times New Roman" w:hAnsi="Times New Roman" w:cs="Times New Roman" w:eastAsia="Times New Roman" w:hint="default"/>
        </w:rPr>
        <w:t>1</w:t>
      </w:r>
      <w:r>
        <w:rPr/>
        <w:t>个工作日，下同）。</w:t>
      </w:r>
    </w:p>
    <w:p>
      <w:pPr>
        <w:pStyle w:val="BodyText"/>
        <w:spacing w:line="340" w:lineRule="auto" w:before="63"/>
        <w:ind w:left="513" w:right="1033" w:hanging="361"/>
        <w:jc w:val="left"/>
      </w:pPr>
      <w:r>
        <w:rPr/>
        <w:t>本期债券到期日为</w:t>
      </w:r>
      <w:r>
        <w:rPr>
          <w:rFonts w:ascii="Times New Roman" w:hAnsi="Times New Roman" w:cs="Times New Roman" w:eastAsia="Times New Roman" w:hint="default"/>
        </w:rPr>
        <w:t>2020</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23</w:t>
      </w:r>
      <w:r>
        <w:rPr/>
        <w:t>日，到期支付本金及最后一期利息。 偿债保障措施：为了充分、有效地维护债券持有人的利益，公司为本期债券的按时、足额偿付制定了一系列工作计划，</w:t>
      </w:r>
    </w:p>
    <w:p>
      <w:pPr>
        <w:pStyle w:val="BodyText"/>
        <w:spacing w:line="307" w:lineRule="auto" w:before="1"/>
        <w:ind w:right="1034"/>
        <w:jc w:val="left"/>
      </w:pPr>
      <w:r>
        <w:rPr/>
        <w:t>包括制定《债券持有人会议规则》、充分发挥债券受托管理人的作用、设立专门的偿付工作小组、严格履行信息披露义务。</w:t>
      </w:r>
      <w:r>
        <w:rPr>
          <w:spacing w:val="-86"/>
        </w:rPr>
        <w:t> </w:t>
      </w:r>
      <w:r>
        <w:rPr>
          <w:spacing w:val="-86"/>
        </w:rPr>
      </w:r>
      <w:r>
        <w:rPr/>
        <w:t>此外，在出现预计不能按期偿还债券本息或者到期未能按期偿付债券本息时，发行人将至少采取如下措施：（</w:t>
      </w:r>
      <w:r>
        <w:rPr>
          <w:rFonts w:ascii="Times New Roman" w:hAnsi="Times New Roman" w:cs="Times New Roman" w:eastAsia="Times New Roman" w:hint="default"/>
        </w:rPr>
        <w:t>1</w:t>
      </w:r>
      <w:r>
        <w:rPr/>
        <w:t>）不向股东</w:t>
      </w:r>
      <w:r>
        <w:rPr>
          <w:spacing w:val="-87"/>
        </w:rPr>
        <w:t> </w:t>
      </w:r>
      <w:r>
        <w:rPr/>
        <w:t>分配利润；（</w:t>
      </w:r>
      <w:r>
        <w:rPr>
          <w:rFonts w:ascii="Times New Roman" w:hAnsi="Times New Roman" w:cs="Times New Roman" w:eastAsia="Times New Roman" w:hint="default"/>
        </w:rPr>
        <w:t>2</w:t>
      </w:r>
      <w:r>
        <w:rPr/>
        <w:t>）暂缓重大对外投资、收购兼并等资本性支出项目的实施；（</w:t>
      </w:r>
      <w:r>
        <w:rPr>
          <w:rFonts w:ascii="Times New Roman" w:hAnsi="Times New Roman" w:cs="Times New Roman" w:eastAsia="Times New Roman" w:hint="default"/>
        </w:rPr>
        <w:t>3</w:t>
      </w:r>
      <w:r>
        <w:rPr/>
        <w:t>）调减或停发董事和高级管理人员的薪酬</w:t>
      </w:r>
      <w:r>
        <w:rPr>
          <w:rFonts w:ascii="Times New Roman" w:hAnsi="Times New Roman" w:cs="Times New Roman" w:eastAsia="Times New Roman" w:hint="default"/>
        </w:rPr>
        <w:t>/</w:t>
      </w:r>
      <w:r>
        <w:rPr/>
        <w:t>工 资和奖金；（</w:t>
      </w:r>
      <w:r>
        <w:rPr>
          <w:rFonts w:ascii="Times New Roman" w:hAnsi="Times New Roman" w:cs="Times New Roman" w:eastAsia="Times New Roman" w:hint="default"/>
        </w:rPr>
        <w:t>4</w:t>
      </w:r>
      <w:r>
        <w:rPr/>
        <w:t>）主要责任人不得调离。</w:t>
      </w:r>
    </w:p>
    <w:p>
      <w:pPr>
        <w:spacing w:after="0" w:line="307" w:lineRule="auto"/>
        <w:jc w:val="left"/>
        <w:sectPr>
          <w:pgSz w:w="11910" w:h="16840"/>
          <w:pgMar w:header="745" w:footer="979" w:top="1060" w:bottom="116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982"/>
        <w:jc w:val="left"/>
        <w:rPr>
          <w:b w:val="0"/>
          <w:bCs w:val="0"/>
        </w:rPr>
      </w:pPr>
      <w:r>
        <w:rPr/>
        <w:t>六、报告期内债券持有人会议的召开情况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513" w:right="982"/>
        <w:jc w:val="left"/>
      </w:pPr>
      <w:r>
        <w:rPr>
          <w:rFonts w:ascii="Times New Roman" w:hAnsi="Times New Roman" w:cs="Times New Roman" w:eastAsia="Times New Roman" w:hint="default"/>
        </w:rPr>
        <w:t>2018 </w:t>
      </w:r>
      <w:r>
        <w:rPr/>
        <w:t>年 </w:t>
      </w:r>
      <w:r>
        <w:rPr>
          <w:rFonts w:ascii="Times New Roman" w:hAnsi="Times New Roman" w:cs="Times New Roman" w:eastAsia="Times New Roman" w:hint="default"/>
        </w:rPr>
        <w:t>11 </w:t>
      </w:r>
      <w:r>
        <w:rPr/>
        <w:t>月 </w:t>
      </w:r>
      <w:r>
        <w:rPr>
          <w:rFonts w:ascii="Times New Roman" w:hAnsi="Times New Roman" w:cs="Times New Roman" w:eastAsia="Times New Roman" w:hint="default"/>
        </w:rPr>
        <w:t>9 </w:t>
      </w:r>
      <w:r>
        <w:rPr/>
        <w:t>日在北京市海淀区永丰路与北清路交汇处东南角四维图新大厦 </w:t>
      </w:r>
      <w:r>
        <w:rPr>
          <w:rFonts w:ascii="Times New Roman" w:hAnsi="Times New Roman" w:cs="Times New Roman" w:eastAsia="Times New Roman" w:hint="default"/>
        </w:rPr>
        <w:t>A </w:t>
      </w:r>
      <w:r>
        <w:rPr/>
        <w:t>座 </w:t>
      </w:r>
      <w:r>
        <w:rPr>
          <w:rFonts w:ascii="Times New Roman" w:hAnsi="Times New Roman" w:cs="Times New Roman" w:eastAsia="Times New Roman" w:hint="default"/>
        </w:rPr>
        <w:t>1303 </w:t>
      </w:r>
      <w:r>
        <w:rPr/>
        <w:t>会议室召开了关于</w:t>
      </w:r>
      <w:r>
        <w:rPr>
          <w:rFonts w:ascii="Times New Roman" w:hAnsi="Times New Roman" w:cs="Times New Roman" w:eastAsia="Times New Roman" w:hint="default"/>
        </w:rPr>
        <w:t>“17 </w:t>
      </w:r>
      <w:r>
        <w:rPr>
          <w:rFonts w:ascii="Times New Roman" w:hAnsi="Times New Roman" w:cs="Times New Roman" w:eastAsia="Times New Roman" w:hint="default"/>
          <w:spacing w:val="44"/>
        </w:rPr>
        <w:t> </w:t>
      </w:r>
      <w:r>
        <w:rPr/>
        <w:t>四</w:t>
      </w:r>
    </w:p>
    <w:p>
      <w:pPr>
        <w:pStyle w:val="BodyText"/>
        <w:spacing w:line="300" w:lineRule="auto" w:before="63"/>
        <w:ind w:right="1174"/>
        <w:jc w:val="left"/>
      </w:pPr>
      <w:r>
        <w:rPr/>
        <w:t>维 </w:t>
      </w:r>
      <w:r>
        <w:rPr>
          <w:rFonts w:ascii="Times New Roman" w:hAnsi="Times New Roman" w:cs="Times New Roman" w:eastAsia="Times New Roman" w:hint="default"/>
        </w:rPr>
        <w:t>01”2018</w:t>
      </w:r>
      <w:r>
        <w:rPr>
          <w:rFonts w:ascii="Times New Roman" w:hAnsi="Times New Roman" w:cs="Times New Roman" w:eastAsia="Times New Roman" w:hint="default"/>
          <w:spacing w:val="5"/>
        </w:rPr>
        <w:t> </w:t>
      </w:r>
      <w:r>
        <w:rPr/>
        <w:t>年第一次债券持有人会议，未审议通过《关于不要求北京四维图新科技股份有限公司就以集中竞价以及法律法 规许可的其他方式回购公司股份暨拟减少注册资本事项提前清偿或提供额外担保的议案》。</w:t>
      </w:r>
    </w:p>
    <w:p>
      <w:pPr>
        <w:spacing w:line="240" w:lineRule="auto" w:before="11"/>
        <w:rPr>
          <w:rFonts w:ascii="宋体" w:hAnsi="宋体" w:cs="宋体" w:eastAsia="宋体" w:hint="default"/>
          <w:sz w:val="21"/>
          <w:szCs w:val="21"/>
        </w:rPr>
      </w:pPr>
    </w:p>
    <w:p>
      <w:pPr>
        <w:pStyle w:val="Heading2"/>
        <w:spacing w:line="240" w:lineRule="auto"/>
        <w:ind w:right="982"/>
        <w:jc w:val="left"/>
        <w:rPr>
          <w:b w:val="0"/>
          <w:bCs w:val="0"/>
        </w:rPr>
      </w:pPr>
      <w:r>
        <w:rPr/>
        <w:t>七、报告期内债券受托管理人履行职责的情况</w:t>
      </w:r>
      <w:r>
        <w:rPr>
          <w:b w:val="0"/>
          <w:bCs w:val="0"/>
        </w:rPr>
      </w:r>
    </w:p>
    <w:p>
      <w:pPr>
        <w:spacing w:line="240" w:lineRule="auto" w:before="4"/>
        <w:rPr>
          <w:rFonts w:ascii="宋体" w:hAnsi="宋体" w:cs="宋体" w:eastAsia="宋体" w:hint="default"/>
          <w:b/>
          <w:bCs/>
          <w:sz w:val="26"/>
          <w:szCs w:val="26"/>
        </w:rPr>
      </w:pPr>
    </w:p>
    <w:p>
      <w:pPr>
        <w:pStyle w:val="BodyText"/>
        <w:spacing w:line="316" w:lineRule="auto"/>
        <w:ind w:right="1034" w:firstLine="360"/>
        <w:jc w:val="left"/>
      </w:pPr>
      <w:r>
        <w:rPr/>
        <w:t>本期债券受托管理人为中信建投证券股份有限公司，在本期债券存续期内，中信建投证券对公司和保证人的资信状况、 </w:t>
      </w:r>
      <w:r>
        <w:rPr>
          <w:spacing w:val="-2"/>
        </w:rPr>
        <w:t>偿债能力等进行了持续关注。同时严格按照相关法律、法规的规定以及《债券受托管理协议》的约定积极履行受托管理人相</w:t>
      </w:r>
      <w:r>
        <w:rPr>
          <w:spacing w:val="-65"/>
        </w:rPr>
        <w:t> </w:t>
      </w:r>
      <w:r>
        <w:rPr>
          <w:spacing w:val="-65"/>
        </w:rPr>
      </w:r>
      <w:r>
        <w:rPr/>
        <w:t>关职责，在履行受托管理人相关职责时，与公司不存在利益冲突情形。</w:t>
      </w:r>
    </w:p>
    <w:p>
      <w:pPr>
        <w:pStyle w:val="BodyText"/>
        <w:spacing w:line="300" w:lineRule="auto" w:before="59"/>
        <w:ind w:right="1124" w:firstLine="360"/>
        <w:jc w:val="left"/>
      </w:pPr>
      <w:r>
        <w:rPr>
          <w:rFonts w:ascii="Times New Roman" w:hAnsi="Times New Roman" w:cs="Times New Roman" w:eastAsia="Times New Roman" w:hint="default"/>
        </w:rPr>
        <w:t>2018</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29</w:t>
      </w:r>
      <w:r>
        <w:rPr/>
        <w:t>日，公司披露《公司债券受托管理事务报告（</w:t>
      </w:r>
      <w:r>
        <w:rPr>
          <w:rFonts w:ascii="Times New Roman" w:hAnsi="Times New Roman" w:cs="Times New Roman" w:eastAsia="Times New Roman" w:hint="default"/>
        </w:rPr>
        <w:t>2017</w:t>
      </w:r>
      <w:r>
        <w:rPr/>
        <w:t>年度）》；</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10</w:t>
      </w:r>
      <w:r>
        <w:rPr/>
        <w:t>月</w:t>
      </w:r>
      <w:r>
        <w:rPr>
          <w:rFonts w:ascii="Times New Roman" w:hAnsi="Times New Roman" w:cs="Times New Roman" w:eastAsia="Times New Roman" w:hint="default"/>
        </w:rPr>
        <w:t>25</w:t>
      </w:r>
      <w:r>
        <w:rPr/>
        <w:t>日，公司披露《公司债券临时 受托管理事务报告》，详见巨潮资讯网</w:t>
      </w:r>
      <w:hyperlink r:id="rId13">
        <w:r>
          <w:rPr>
            <w:rFonts w:ascii="Times New Roman" w:hAnsi="Times New Roman" w:cs="Times New Roman" w:eastAsia="Times New Roman" w:hint="default"/>
          </w:rPr>
          <w:t>www.cninfo.com.cn</w:t>
        </w:r>
      </w:hyperlink>
      <w:r>
        <w:rPr/>
        <w:t>。</w:t>
      </w:r>
    </w:p>
    <w:p>
      <w:pPr>
        <w:spacing w:line="240" w:lineRule="auto" w:before="3"/>
        <w:rPr>
          <w:rFonts w:ascii="宋体" w:hAnsi="宋体" w:cs="宋体" w:eastAsia="宋体" w:hint="default"/>
          <w:sz w:val="20"/>
          <w:szCs w:val="20"/>
        </w:rPr>
      </w:pPr>
    </w:p>
    <w:p>
      <w:pPr>
        <w:pStyle w:val="Heading2"/>
        <w:spacing w:line="240" w:lineRule="auto"/>
        <w:ind w:right="982"/>
        <w:jc w:val="left"/>
        <w:rPr>
          <w:b w:val="0"/>
          <w:bCs w:val="0"/>
        </w:rPr>
      </w:pPr>
      <w:r>
        <w:rPr/>
        <w:t>八、截至报告期末公司近</w:t>
      </w:r>
      <w:r>
        <w:rPr>
          <w:spacing w:val="-60"/>
        </w:rPr>
        <w:t> </w:t>
      </w:r>
      <w:r>
        <w:rPr>
          <w:rFonts w:ascii="Times New Roman" w:hAnsi="Times New Roman" w:cs="Times New Roman" w:eastAsia="Times New Roman" w:hint="default"/>
        </w:rPr>
        <w:t>2</w:t>
      </w:r>
      <w:r>
        <w:rPr>
          <w:rFonts w:ascii="Times New Roman" w:hAnsi="Times New Roman" w:cs="Times New Roman" w:eastAsia="Times New Roman" w:hint="default"/>
          <w:spacing w:val="-2"/>
        </w:rPr>
        <w:t> </w:t>
      </w:r>
      <w:r>
        <w:rPr/>
        <w:t>年的主要会计数据和财务指标</w:t>
      </w:r>
      <w:r>
        <w:rPr>
          <w:b w:val="0"/>
          <w:bCs w:val="0"/>
        </w:rPr>
      </w:r>
    </w:p>
    <w:p>
      <w:pPr>
        <w:spacing w:line="240" w:lineRule="auto" w:before="1"/>
        <w:rPr>
          <w:rFonts w:ascii="宋体" w:hAnsi="宋体" w:cs="宋体" w:eastAsia="宋体" w:hint="default"/>
          <w:b/>
          <w:bCs/>
          <w:sz w:val="25"/>
          <w:szCs w:val="25"/>
        </w:rPr>
      </w:pPr>
    </w:p>
    <w:p>
      <w:pPr>
        <w:pStyle w:val="BodyText"/>
        <w:spacing w:line="240" w:lineRule="auto"/>
        <w:ind w:left="0" w:right="1131"/>
        <w:jc w:val="right"/>
      </w:pPr>
      <w:r>
        <w:rPr/>
        <w:t>单位：万元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369"/>
        <w:gridCol w:w="2403"/>
        <w:gridCol w:w="2393"/>
        <w:gridCol w:w="2393"/>
      </w:tblGrid>
      <w:tr>
        <w:trPr>
          <w:trHeight w:val="401"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4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41" w:right="0"/>
              <w:jc w:val="left"/>
              <w:rPr>
                <w:rFonts w:ascii="宋体" w:hAnsi="宋体" w:cs="宋体" w:eastAsia="宋体" w:hint="default"/>
                <w:sz w:val="18"/>
                <w:szCs w:val="18"/>
              </w:rPr>
            </w:pPr>
            <w:r>
              <w:rPr>
                <w:rFonts w:ascii="宋体" w:hAnsi="宋体" w:cs="宋体" w:eastAsia="宋体" w:hint="default"/>
                <w:sz w:val="18"/>
                <w:szCs w:val="18"/>
              </w:rPr>
              <w:t>同期变动率</w:t>
            </w:r>
          </w:p>
        </w:tc>
      </w:tr>
      <w:tr>
        <w:trPr>
          <w:trHeight w:val="403"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息税折旧摊销前利润</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90,145.56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57,421.91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z w:val="18"/>
              </w:rPr>
              <w:t>56.99%</w:t>
            </w:r>
          </w:p>
        </w:tc>
      </w:tr>
      <w:tr>
        <w:trPr>
          <w:trHeight w:val="401"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流动比率</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198.47%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159.58%</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38.89%</w:t>
            </w:r>
          </w:p>
        </w:tc>
      </w:tr>
      <w:tr>
        <w:trPr>
          <w:trHeight w:val="403"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资产负债率</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19.67%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z w:val="18"/>
              </w:rPr>
              <w:t>29.85%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z w:val="18"/>
              </w:rPr>
              <w:t>-10.18%</w:t>
            </w:r>
          </w:p>
        </w:tc>
      </w:tr>
      <w:tr>
        <w:trPr>
          <w:trHeight w:val="401"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速动比率</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194.00%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156.76%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37.24%</w:t>
            </w:r>
          </w:p>
        </w:tc>
      </w:tr>
      <w:tr>
        <w:trPr>
          <w:trHeight w:val="403"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EBITDA</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全部债务比</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859.08%</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1030.45%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w w:val="95"/>
                <w:sz w:val="18"/>
              </w:rPr>
              <w:t>-171.37%</w:t>
            </w:r>
            <w:r>
              <w:rPr>
                <w:rFonts w:ascii="Times New Roman"/>
                <w:sz w:val="18"/>
              </w:rPr>
            </w:r>
          </w:p>
        </w:tc>
      </w:tr>
      <w:tr>
        <w:trPr>
          <w:trHeight w:val="401"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利息保障倍数</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27.39</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841.57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-96.75%</w:t>
            </w:r>
          </w:p>
        </w:tc>
      </w:tr>
      <w:tr>
        <w:trPr>
          <w:trHeight w:val="403"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现金利息保障倍数</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z w:val="18"/>
              </w:rPr>
              <w:t>20.31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w w:val="95"/>
                <w:sz w:val="18"/>
              </w:rPr>
              <w:t>1,218.65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z w:val="18"/>
              </w:rPr>
              <w:t>-98.33%</w:t>
            </w:r>
          </w:p>
        </w:tc>
      </w:tr>
      <w:tr>
        <w:trPr>
          <w:trHeight w:val="401"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EBITDA</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利息保障倍数</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46.89</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1,791.37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-97.38%</w:t>
            </w:r>
          </w:p>
        </w:tc>
      </w:tr>
      <w:tr>
        <w:trPr>
          <w:trHeight w:val="403"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贷款偿还率</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0.00%</w:t>
            </w:r>
          </w:p>
        </w:tc>
      </w:tr>
      <w:tr>
        <w:trPr>
          <w:trHeight w:val="403"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利息偿付率</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r>
    </w:tbl>
    <w:p>
      <w:pPr>
        <w:pStyle w:val="BodyText"/>
        <w:spacing w:line="240" w:lineRule="auto" w:before="49"/>
        <w:ind w:right="982"/>
        <w:jc w:val="left"/>
      </w:pPr>
      <w:r>
        <w:rPr/>
        <w:t>上述会计数据和财务指标同比变动超过</w:t>
      </w:r>
      <w:r>
        <w:rPr>
          <w:spacing w:val="-44"/>
        </w:rPr>
        <w:t> </w:t>
      </w:r>
      <w:r>
        <w:rPr>
          <w:rFonts w:ascii="Times New Roman" w:hAnsi="Times New Roman" w:cs="Times New Roman" w:eastAsia="Times New Roman" w:hint="default"/>
        </w:rPr>
        <w:t>30%</w:t>
      </w:r>
      <w:r>
        <w:rPr/>
        <w:t>的主要原因</w:t>
      </w:r>
    </w:p>
    <w:p>
      <w:pPr>
        <w:pStyle w:val="BodyText"/>
        <w:spacing w:line="240" w:lineRule="auto" w:before="101"/>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240" w:lineRule="auto" w:before="104"/>
        <w:ind w:right="982"/>
        <w:jc w:val="left"/>
      </w:pPr>
      <w:r>
        <w:rPr>
          <w:rFonts w:ascii="Times New Roman" w:hAnsi="Times New Roman" w:cs="Times New Roman" w:eastAsia="Times New Roman" w:hint="default"/>
        </w:rPr>
        <w:t>1</w:t>
      </w:r>
      <w:r>
        <w:rPr/>
        <w:t>、息税折旧摊销前利润较上期增加</w:t>
      </w:r>
      <w:r>
        <w:rPr>
          <w:rFonts w:ascii="Times New Roman" w:hAnsi="Times New Roman" w:cs="Times New Roman" w:eastAsia="Times New Roman" w:hint="default"/>
        </w:rPr>
        <w:t>56.99%</w:t>
      </w:r>
      <w:r>
        <w:rPr/>
        <w:t>，主要是由于本期利润总额大幅增长所致；</w:t>
      </w:r>
    </w:p>
    <w:p>
      <w:pPr>
        <w:pStyle w:val="BodyText"/>
        <w:spacing w:line="240" w:lineRule="auto" w:before="63"/>
        <w:ind w:right="982"/>
        <w:jc w:val="left"/>
      </w:pPr>
      <w:r>
        <w:rPr>
          <w:rFonts w:ascii="Times New Roman" w:hAnsi="Times New Roman" w:cs="Times New Roman" w:eastAsia="Times New Roman" w:hint="default"/>
        </w:rPr>
        <w:t>2</w:t>
      </w:r>
      <w:r>
        <w:rPr/>
        <w:t>、流动比率较上期增加</w:t>
      </w:r>
      <w:r>
        <w:rPr>
          <w:rFonts w:ascii="Times New Roman" w:hAnsi="Times New Roman" w:cs="Times New Roman" w:eastAsia="Times New Roman" w:hint="default"/>
        </w:rPr>
        <w:t>38.89%</w:t>
      </w:r>
      <w:r>
        <w:rPr/>
        <w:t>，主要是由于本期应付股权转让款减少致流动负债减少所致；</w:t>
      </w:r>
    </w:p>
    <w:p>
      <w:pPr>
        <w:pStyle w:val="BodyText"/>
        <w:spacing w:line="240" w:lineRule="auto" w:before="63"/>
        <w:ind w:right="982"/>
        <w:jc w:val="left"/>
      </w:pPr>
      <w:r>
        <w:rPr>
          <w:rFonts w:ascii="Times New Roman" w:hAnsi="Times New Roman" w:cs="Times New Roman" w:eastAsia="Times New Roman" w:hint="default"/>
        </w:rPr>
        <w:t>3</w:t>
      </w:r>
      <w:r>
        <w:rPr/>
        <w:t>、速动比率较上期增加</w:t>
      </w:r>
      <w:r>
        <w:rPr>
          <w:rFonts w:ascii="Times New Roman" w:hAnsi="Times New Roman" w:cs="Times New Roman" w:eastAsia="Times New Roman" w:hint="default"/>
        </w:rPr>
        <w:t>37.24%</w:t>
      </w:r>
      <w:r>
        <w:rPr/>
        <w:t>，主要是由于本期应付股权转让款减少致流动负债减少所致；</w:t>
      </w:r>
    </w:p>
    <w:p>
      <w:pPr>
        <w:pStyle w:val="BodyText"/>
        <w:spacing w:line="240" w:lineRule="auto" w:before="63"/>
        <w:ind w:right="982"/>
        <w:jc w:val="left"/>
      </w:pPr>
      <w:r>
        <w:rPr>
          <w:rFonts w:ascii="Times New Roman" w:hAnsi="Times New Roman" w:cs="Times New Roman" w:eastAsia="Times New Roman" w:hint="default"/>
        </w:rPr>
        <w:t>4</w:t>
      </w:r>
      <w:r>
        <w:rPr/>
        <w:t>、</w:t>
      </w:r>
      <w:r>
        <w:rPr>
          <w:rFonts w:ascii="Times New Roman" w:hAnsi="Times New Roman" w:cs="Times New Roman" w:eastAsia="Times New Roman" w:hint="default"/>
        </w:rPr>
        <w:t>EBITDA</w:t>
      </w:r>
      <w:r>
        <w:rPr/>
        <w:t>全部债务比较上期减少</w:t>
      </w:r>
      <w:r>
        <w:rPr>
          <w:rFonts w:ascii="Times New Roman" w:hAnsi="Times New Roman" w:cs="Times New Roman" w:eastAsia="Times New Roman" w:hint="default"/>
        </w:rPr>
        <w:t>171.37%</w:t>
      </w:r>
      <w:r>
        <w:rPr/>
        <w:t>，主要是由于根据协议，确认应支付的股权转让对价致短期债务增加所致；</w:t>
      </w:r>
    </w:p>
    <w:p>
      <w:pPr>
        <w:pStyle w:val="BodyText"/>
        <w:spacing w:line="240" w:lineRule="auto" w:before="63"/>
        <w:ind w:right="982"/>
        <w:jc w:val="left"/>
      </w:pPr>
      <w:r>
        <w:rPr>
          <w:rFonts w:ascii="Times New Roman" w:hAnsi="Times New Roman" w:cs="Times New Roman" w:eastAsia="Times New Roman" w:hint="default"/>
        </w:rPr>
        <w:t>5</w:t>
      </w:r>
      <w:r>
        <w:rPr/>
        <w:t>、利息保障倍数较上期减少</w:t>
      </w:r>
      <w:r>
        <w:rPr>
          <w:rFonts w:ascii="Times New Roman" w:hAnsi="Times New Roman" w:cs="Times New Roman" w:eastAsia="Times New Roman" w:hint="default"/>
        </w:rPr>
        <w:t>96.75%</w:t>
      </w:r>
      <w:r>
        <w:rPr/>
        <w:t>，主要是由于本期现金利息支出大幅增加所致；</w:t>
      </w:r>
    </w:p>
    <w:p>
      <w:pPr>
        <w:pStyle w:val="BodyText"/>
        <w:spacing w:line="240" w:lineRule="auto" w:before="63"/>
        <w:ind w:right="982"/>
        <w:jc w:val="left"/>
      </w:pPr>
      <w:r>
        <w:rPr>
          <w:rFonts w:ascii="Times New Roman" w:hAnsi="Times New Roman" w:cs="Times New Roman" w:eastAsia="Times New Roman" w:hint="default"/>
        </w:rPr>
        <w:t>6</w:t>
      </w:r>
      <w:r>
        <w:rPr/>
        <w:t>、现金利息保障倍数较上期减少</w:t>
      </w:r>
      <w:r>
        <w:rPr>
          <w:rFonts w:ascii="Times New Roman" w:hAnsi="Times New Roman" w:cs="Times New Roman" w:eastAsia="Times New Roman" w:hint="default"/>
        </w:rPr>
        <w:t>98.33%</w:t>
      </w:r>
      <w:r>
        <w:rPr/>
        <w:t>，主要是由于本期现金利息支出大幅增加所致；</w:t>
      </w:r>
    </w:p>
    <w:p>
      <w:pPr>
        <w:pStyle w:val="BodyText"/>
        <w:spacing w:line="240" w:lineRule="auto" w:before="63"/>
        <w:ind w:right="982"/>
        <w:jc w:val="left"/>
      </w:pPr>
      <w:r>
        <w:rPr>
          <w:rFonts w:ascii="Times New Roman" w:hAnsi="Times New Roman" w:cs="Times New Roman" w:eastAsia="Times New Roman" w:hint="default"/>
        </w:rPr>
        <w:t>7</w:t>
      </w:r>
      <w:r>
        <w:rPr/>
        <w:t>、</w:t>
      </w:r>
      <w:r>
        <w:rPr>
          <w:rFonts w:ascii="Times New Roman" w:hAnsi="Times New Roman" w:cs="Times New Roman" w:eastAsia="Times New Roman" w:hint="default"/>
        </w:rPr>
        <w:t>EBITDA</w:t>
      </w:r>
      <w:r>
        <w:rPr/>
        <w:t>利息保障倍数较上期减少</w:t>
      </w:r>
      <w:r>
        <w:rPr>
          <w:rFonts w:ascii="Times New Roman" w:hAnsi="Times New Roman" w:cs="Times New Roman" w:eastAsia="Times New Roman" w:hint="default"/>
        </w:rPr>
        <w:t>97.38%</w:t>
      </w:r>
      <w:r>
        <w:rPr/>
        <w:t>，主要是由于本期现金利息支出大幅增加所致。</w:t>
      </w:r>
    </w:p>
    <w:p>
      <w:pPr>
        <w:spacing w:line="240" w:lineRule="auto" w:before="3"/>
        <w:rPr>
          <w:rFonts w:ascii="宋体" w:hAnsi="宋体" w:cs="宋体" w:eastAsia="宋体" w:hint="default"/>
          <w:sz w:val="24"/>
          <w:szCs w:val="24"/>
        </w:rPr>
      </w:pPr>
    </w:p>
    <w:p>
      <w:pPr>
        <w:pStyle w:val="Heading2"/>
        <w:spacing w:line="240" w:lineRule="auto"/>
        <w:ind w:right="982"/>
        <w:jc w:val="left"/>
        <w:rPr>
          <w:b w:val="0"/>
          <w:bCs w:val="0"/>
        </w:rPr>
      </w:pPr>
      <w:r>
        <w:rPr/>
        <w:t>九、报告期内对其他债券和债务融资工具的付息兑付情况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t>无</w:t>
      </w:r>
    </w:p>
    <w:p>
      <w:pPr>
        <w:spacing w:after="0" w:line="240" w:lineRule="auto"/>
        <w:jc w:val="left"/>
        <w:sectPr>
          <w:pgSz w:w="11910" w:h="16840"/>
          <w:pgMar w:header="745" w:footer="979" w:top="1060" w:bottom="116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982"/>
        <w:jc w:val="left"/>
        <w:rPr>
          <w:b w:val="0"/>
          <w:bCs w:val="0"/>
        </w:rPr>
      </w:pPr>
      <w:r>
        <w:rPr/>
        <w:t>十、报告期内获得的银行授信情况、使用情况以及偿还银行贷款的情况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982"/>
        <w:jc w:val="left"/>
      </w:pPr>
      <w:r>
        <w:rPr/>
        <w:t>本报告期内，公司获得银行授信额度为</w:t>
      </w:r>
      <w:r>
        <w:rPr>
          <w:rFonts w:ascii="宋体" w:hAnsi="宋体" w:cs="宋体" w:eastAsia="宋体" w:hint="default"/>
        </w:rPr>
        <w:t>25.9</w:t>
      </w:r>
      <w:r>
        <w:rPr/>
        <w:t>亿，已使用授信额度</w:t>
      </w:r>
      <w:r>
        <w:rPr>
          <w:rFonts w:ascii="宋体" w:hAnsi="宋体" w:cs="宋体" w:eastAsia="宋体" w:hint="default"/>
        </w:rPr>
        <w:t>0</w:t>
      </w:r>
      <w:r>
        <w:rPr/>
        <w:t>元。</w:t>
      </w:r>
    </w:p>
    <w:p>
      <w:pPr>
        <w:spacing w:line="240" w:lineRule="auto" w:before="3"/>
        <w:rPr>
          <w:rFonts w:ascii="宋体" w:hAnsi="宋体" w:cs="宋体" w:eastAsia="宋体" w:hint="default"/>
          <w:sz w:val="25"/>
          <w:szCs w:val="25"/>
        </w:rPr>
      </w:pPr>
    </w:p>
    <w:p>
      <w:pPr>
        <w:pStyle w:val="Heading2"/>
        <w:spacing w:line="240" w:lineRule="auto"/>
        <w:ind w:right="982"/>
        <w:jc w:val="left"/>
        <w:rPr>
          <w:b w:val="0"/>
          <w:bCs w:val="0"/>
        </w:rPr>
      </w:pPr>
      <w:r>
        <w:rPr/>
        <w:t>十一、报告期内执行公司债券募集说明书相关约定或承诺的情况</w:t>
      </w:r>
      <w:r>
        <w:rPr>
          <w:b w:val="0"/>
          <w:bCs w:val="0"/>
        </w:rPr>
      </w:r>
    </w:p>
    <w:p>
      <w:pPr>
        <w:spacing w:line="240" w:lineRule="auto" w:before="4"/>
        <w:rPr>
          <w:rFonts w:ascii="宋体" w:hAnsi="宋体" w:cs="宋体" w:eastAsia="宋体" w:hint="default"/>
          <w:b/>
          <w:bCs/>
          <w:sz w:val="26"/>
          <w:szCs w:val="26"/>
        </w:rPr>
      </w:pPr>
    </w:p>
    <w:p>
      <w:pPr>
        <w:pStyle w:val="BodyText"/>
        <w:spacing w:line="316" w:lineRule="auto"/>
        <w:ind w:right="982" w:firstLine="360"/>
        <w:jc w:val="left"/>
      </w:pPr>
      <w:r>
        <w:rPr>
          <w:spacing w:val="-2"/>
        </w:rPr>
        <w:t>报告期内，公司严格执行公司债券募集说明书的各项约定和承诺，并按照募集说明书的约定使用募集资金，未发生因执</w:t>
      </w:r>
      <w:r>
        <w:rPr/>
        <w:t> 行公司债券募集说明书相关约定或承诺不力而影响债券投资者利益的情况。</w:t>
      </w:r>
    </w:p>
    <w:p>
      <w:pPr>
        <w:spacing w:line="240" w:lineRule="auto" w:before="11"/>
        <w:rPr>
          <w:rFonts w:ascii="宋体" w:hAnsi="宋体" w:cs="宋体" w:eastAsia="宋体" w:hint="default"/>
          <w:sz w:val="20"/>
          <w:szCs w:val="20"/>
        </w:rPr>
      </w:pPr>
    </w:p>
    <w:p>
      <w:pPr>
        <w:pStyle w:val="Heading2"/>
        <w:spacing w:line="240" w:lineRule="auto"/>
        <w:ind w:right="982"/>
        <w:jc w:val="left"/>
        <w:rPr>
          <w:b w:val="0"/>
          <w:bCs w:val="0"/>
        </w:rPr>
      </w:pPr>
      <w:r>
        <w:rPr/>
        <w:t>十二、报告期内发生的重大事项</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left="513" w:right="982"/>
        <w:jc w:val="left"/>
      </w:pPr>
      <w:r>
        <w:rPr/>
        <w:t>报告期内，公司未发生可能影响偿债能力或债券价值的重大事项。</w:t>
      </w:r>
    </w:p>
    <w:p>
      <w:pPr>
        <w:spacing w:line="240" w:lineRule="auto" w:before="1"/>
        <w:rPr>
          <w:rFonts w:ascii="宋体" w:hAnsi="宋体" w:cs="宋体" w:eastAsia="宋体" w:hint="default"/>
          <w:sz w:val="25"/>
          <w:szCs w:val="25"/>
        </w:rPr>
      </w:pPr>
    </w:p>
    <w:p>
      <w:pPr>
        <w:pStyle w:val="Heading2"/>
        <w:spacing w:line="240" w:lineRule="auto"/>
        <w:ind w:right="982"/>
        <w:jc w:val="left"/>
        <w:rPr>
          <w:b w:val="0"/>
          <w:bCs w:val="0"/>
        </w:rPr>
      </w:pPr>
      <w:r>
        <w:rPr/>
        <w:t>十三、公司债券是否存在保证人</w:t>
      </w:r>
      <w:r>
        <w:rPr>
          <w:b w:val="0"/>
          <w:bCs w:val="0"/>
        </w:rPr>
      </w:r>
    </w:p>
    <w:p>
      <w:pPr>
        <w:spacing w:line="240" w:lineRule="auto" w:before="6"/>
        <w:rPr>
          <w:rFonts w:ascii="宋体" w:hAnsi="宋体" w:cs="宋体" w:eastAsia="宋体" w:hint="default"/>
          <w:b/>
          <w:bCs/>
          <w:sz w:val="26"/>
          <w:szCs w:val="26"/>
        </w:rPr>
      </w:pPr>
    </w:p>
    <w:p>
      <w:pPr>
        <w:pStyle w:val="BodyText"/>
        <w:spacing w:line="340" w:lineRule="auto"/>
        <w:ind w:right="7514"/>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2"/>
        </w:rPr>
        <w:t> </w:t>
      </w:r>
      <w:r>
        <w:rPr/>
        <w:t>否 公司债券的保证人是否为法人或其他组织</w:t>
      </w:r>
    </w:p>
    <w:p>
      <w:pPr>
        <w:pStyle w:val="BodyText"/>
        <w:spacing w:line="240" w:lineRule="auto" w:before="39"/>
        <w:ind w:right="982"/>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否</w:t>
      </w:r>
    </w:p>
    <w:p>
      <w:pPr>
        <w:pStyle w:val="BodyText"/>
        <w:spacing w:line="300" w:lineRule="auto" w:before="103"/>
        <w:ind w:right="1123"/>
        <w:jc w:val="left"/>
      </w:pPr>
      <w:r>
        <w:rPr/>
        <w:t>是否在每个会计年度结束之日起</w:t>
      </w:r>
      <w:r>
        <w:rPr>
          <w:spacing w:val="-31"/>
        </w:rPr>
        <w:t> </w:t>
      </w:r>
      <w:r>
        <w:rPr>
          <w:rFonts w:ascii="Times New Roman" w:hAnsi="Times New Roman" w:cs="Times New Roman" w:eastAsia="Times New Roman" w:hint="default"/>
        </w:rPr>
        <w:t>4</w:t>
      </w:r>
      <w:r>
        <w:rPr>
          <w:rFonts w:ascii="Times New Roman" w:hAnsi="Times New Roman" w:cs="Times New Roman" w:eastAsia="Times New Roman" w:hint="default"/>
          <w:spacing w:val="14"/>
        </w:rPr>
        <w:t> </w:t>
      </w:r>
      <w:r>
        <w:rPr>
          <w:spacing w:val="-3"/>
        </w:rPr>
        <w:t>个月内单独披露保证人报告期财务报表，包括资产负债表、利润表、现金流量表、所有者</w:t>
      </w:r>
      <w:r>
        <w:rPr>
          <w:spacing w:val="-88"/>
        </w:rPr>
        <w:t> </w:t>
      </w:r>
      <w:r>
        <w:rPr>
          <w:spacing w:val="-88"/>
        </w:rPr>
      </w:r>
      <w:r>
        <w:rPr/>
        <w:t>权益（股东权益）变动表和财务报表附注</w:t>
      </w:r>
    </w:p>
    <w:p>
      <w:pPr>
        <w:pStyle w:val="BodyText"/>
        <w:spacing w:line="240" w:lineRule="auto" w:before="72"/>
        <w:ind w:right="982"/>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否</w:t>
      </w:r>
    </w:p>
    <w:p>
      <w:pPr>
        <w:spacing w:after="0" w:line="240" w:lineRule="auto"/>
        <w:jc w:val="left"/>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left="3607" w:right="982"/>
        <w:jc w:val="left"/>
        <w:rPr>
          <w:b w:val="0"/>
          <w:bCs w:val="0"/>
        </w:rPr>
      </w:pPr>
      <w:bookmarkStart w:name="_bookmark10" w:id="11"/>
      <w:bookmarkEnd w:id="11"/>
      <w:r>
        <w:rPr>
          <w:b w:val="0"/>
          <w:bCs w:val="0"/>
        </w:rPr>
      </w:r>
      <w:r>
        <w:rPr/>
        <w:t>第十一节</w:t>
      </w:r>
      <w:r>
        <w:rPr>
          <w:spacing w:val="-6"/>
        </w:rPr>
        <w:t> </w:t>
      </w:r>
      <w:r>
        <w:rPr/>
        <w:t>财务报告</w:t>
      </w:r>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7"/>
          <w:szCs w:val="17"/>
        </w:rPr>
      </w:pPr>
    </w:p>
    <w:p>
      <w:pPr>
        <w:pStyle w:val="Heading2"/>
        <w:spacing w:line="240" w:lineRule="auto" w:before="26"/>
        <w:ind w:right="982"/>
        <w:jc w:val="left"/>
        <w:rPr>
          <w:b w:val="0"/>
          <w:bCs w:val="0"/>
        </w:rPr>
      </w:pPr>
      <w:r>
        <w:rPr/>
        <w:t>一、审计报告</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4783"/>
        <w:gridCol w:w="4787"/>
      </w:tblGrid>
      <w:tr>
        <w:trPr>
          <w:trHeight w:val="403"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审计意见类型</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标准的无保留意见</w:t>
            </w:r>
          </w:p>
        </w:tc>
      </w:tr>
      <w:tr>
        <w:trPr>
          <w:trHeight w:val="401"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审计报告签署日期</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 </w:t>
            </w:r>
            <w:r>
              <w:rPr>
                <w:rFonts w:ascii="宋体" w:hAnsi="宋体" w:cs="宋体" w:eastAsia="宋体" w:hint="default"/>
                <w:sz w:val="18"/>
                <w:szCs w:val="18"/>
              </w:rPr>
              <w:t>日</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审计机构名称</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信永中和会计师事务所（特殊普通合伙）</w:t>
            </w:r>
          </w:p>
        </w:tc>
      </w:tr>
      <w:tr>
        <w:trPr>
          <w:trHeight w:val="401"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审计报告文号</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XYZH/2019BJA70188</w:t>
            </w:r>
          </w:p>
        </w:tc>
      </w:tr>
      <w:tr>
        <w:trPr>
          <w:trHeight w:val="404"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注册会计师姓名</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季晟、李宏志</w:t>
            </w:r>
          </w:p>
        </w:tc>
      </w:tr>
    </w:tbl>
    <w:p>
      <w:pPr>
        <w:spacing w:line="240" w:lineRule="auto" w:before="10"/>
        <w:rPr>
          <w:rFonts w:ascii="宋体" w:hAnsi="宋体" w:cs="宋体" w:eastAsia="宋体" w:hint="default"/>
          <w:b/>
          <w:bCs/>
          <w:sz w:val="18"/>
          <w:szCs w:val="18"/>
        </w:rPr>
      </w:pPr>
    </w:p>
    <w:p>
      <w:pPr>
        <w:pStyle w:val="Heading2"/>
        <w:spacing w:line="240" w:lineRule="auto" w:before="26"/>
        <w:ind w:left="53" w:right="1031"/>
        <w:jc w:val="center"/>
        <w:rPr>
          <w:b w:val="0"/>
          <w:bCs w:val="0"/>
        </w:rPr>
      </w:pPr>
      <w:r>
        <w:rPr/>
        <w:t>审计报告</w:t>
      </w:r>
      <w:r>
        <w:rPr>
          <w:b w:val="0"/>
          <w:bCs w:val="0"/>
        </w:rPr>
      </w:r>
    </w:p>
    <w:p>
      <w:pPr>
        <w:spacing w:line="240" w:lineRule="auto" w:before="1"/>
        <w:rPr>
          <w:rFonts w:ascii="宋体" w:hAnsi="宋体" w:cs="宋体" w:eastAsia="宋体" w:hint="default"/>
          <w:b/>
          <w:bCs/>
          <w:sz w:val="23"/>
          <w:szCs w:val="23"/>
        </w:rPr>
      </w:pPr>
    </w:p>
    <w:p>
      <w:pPr>
        <w:pStyle w:val="Heading4"/>
        <w:spacing w:line="544" w:lineRule="auto" w:before="36"/>
        <w:ind w:left="330" w:right="6749" w:hanging="179"/>
        <w:jc w:val="left"/>
        <w:rPr>
          <w:b w:val="0"/>
          <w:bCs w:val="0"/>
        </w:rPr>
      </w:pPr>
      <w:r>
        <w:rPr/>
        <w:t>北京四维图新科技股份有限公司全体股东：</w:t>
      </w:r>
      <w:r>
        <w:rPr>
          <w:w w:val="100"/>
        </w:rPr>
        <w:t> </w:t>
      </w:r>
      <w:r>
        <w:rPr/>
        <w:t>一、审计意见</w:t>
      </w:r>
      <w:r>
        <w:rPr>
          <w:b w:val="0"/>
          <w:bCs w:val="0"/>
        </w:rPr>
      </w:r>
    </w:p>
    <w:p>
      <w:pPr>
        <w:pStyle w:val="BodyText"/>
        <w:spacing w:line="300" w:lineRule="auto" w:before="103"/>
        <w:ind w:right="1131" w:firstLine="439"/>
        <w:jc w:val="both"/>
      </w:pPr>
      <w:r>
        <w:rPr/>
        <w:t>我们审计了北京四维图新科技股份有限公司（以下简称四维图新）财务报表，包括</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日的合并及母公司资 </w:t>
      </w:r>
      <w:r>
        <w:rPr>
          <w:spacing w:val="-2"/>
        </w:rPr>
        <w:t>产负债表，</w:t>
      </w:r>
      <w:r>
        <w:rPr>
          <w:rFonts w:ascii="Times New Roman" w:hAnsi="Times New Roman" w:cs="Times New Roman" w:eastAsia="Times New Roman" w:hint="default"/>
          <w:spacing w:val="-2"/>
        </w:rPr>
        <w:t>2018</w:t>
      </w:r>
      <w:r>
        <w:rPr>
          <w:spacing w:val="-2"/>
        </w:rPr>
        <w:t>年度的合并及母公司利润表、合并及母公司现金流量表、合并及母公司股东权益变动表，以及相关财务报表</w:t>
      </w:r>
      <w:r>
        <w:rPr>
          <w:spacing w:val="-62"/>
        </w:rPr>
        <w:t> </w:t>
      </w:r>
      <w:r>
        <w:rPr>
          <w:spacing w:val="-62"/>
        </w:rPr>
      </w:r>
      <w:r>
        <w:rPr/>
        <w:t>附注。</w:t>
      </w:r>
    </w:p>
    <w:p>
      <w:pPr>
        <w:spacing w:line="240" w:lineRule="auto" w:before="4"/>
        <w:rPr>
          <w:rFonts w:ascii="宋体" w:hAnsi="宋体" w:cs="宋体" w:eastAsia="宋体" w:hint="default"/>
          <w:sz w:val="26"/>
          <w:szCs w:val="26"/>
        </w:rPr>
      </w:pPr>
    </w:p>
    <w:p>
      <w:pPr>
        <w:pStyle w:val="BodyText"/>
        <w:spacing w:line="300" w:lineRule="auto"/>
        <w:ind w:right="1131" w:firstLine="439"/>
        <w:jc w:val="both"/>
      </w:pPr>
      <w:r>
        <w:rPr/>
        <w:t>我们认为，后附的财务报表在所有重大方面按照企业会计准则的规定编制，公允反映了四维图新</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日的合 并及母公司财务状况以及</w:t>
      </w:r>
      <w:r>
        <w:rPr>
          <w:rFonts w:ascii="Times New Roman" w:hAnsi="Times New Roman" w:cs="Times New Roman" w:eastAsia="Times New Roman" w:hint="default"/>
        </w:rPr>
        <w:t>2018</w:t>
      </w:r>
      <w:r>
        <w:rPr/>
        <w:t>年度的合并及母公司经营成果和现金流量。</w:t>
      </w:r>
    </w:p>
    <w:p>
      <w:pPr>
        <w:spacing w:line="240" w:lineRule="auto" w:before="3"/>
        <w:rPr>
          <w:rFonts w:ascii="宋体" w:hAnsi="宋体" w:cs="宋体" w:eastAsia="宋体" w:hint="default"/>
          <w:sz w:val="23"/>
          <w:szCs w:val="23"/>
        </w:rPr>
      </w:pPr>
    </w:p>
    <w:p>
      <w:pPr>
        <w:pStyle w:val="Heading4"/>
        <w:spacing w:line="240" w:lineRule="auto"/>
        <w:ind w:left="318" w:right="982"/>
        <w:jc w:val="left"/>
        <w:rPr>
          <w:b w:val="0"/>
          <w:bCs w:val="0"/>
        </w:rPr>
      </w:pPr>
      <w:r>
        <w:rPr/>
        <w:t>二、形成审计意见的基础</w:t>
      </w:r>
      <w:r>
        <w:rPr>
          <w:b w:val="0"/>
          <w:bCs w:val="0"/>
        </w:rPr>
      </w:r>
    </w:p>
    <w:p>
      <w:pPr>
        <w:spacing w:line="240" w:lineRule="auto" w:before="3"/>
        <w:rPr>
          <w:rFonts w:ascii="宋体" w:hAnsi="宋体" w:cs="宋体" w:eastAsia="宋体" w:hint="default"/>
          <w:b/>
          <w:bCs/>
          <w:sz w:val="28"/>
          <w:szCs w:val="28"/>
        </w:rPr>
      </w:pPr>
    </w:p>
    <w:p>
      <w:pPr>
        <w:pStyle w:val="BodyText"/>
        <w:spacing w:line="309" w:lineRule="auto"/>
        <w:ind w:right="1130" w:firstLine="439"/>
        <w:jc w:val="both"/>
      </w:pPr>
      <w:r>
        <w:rPr/>
        <w:t>我们按照中国注册会计师审计准则的规定执行了审计工作。审计报告的</w:t>
      </w:r>
      <w:r>
        <w:rPr>
          <w:rFonts w:ascii="Times New Roman" w:hAnsi="Times New Roman" w:cs="Times New Roman" w:eastAsia="Times New Roman" w:hint="default"/>
        </w:rPr>
        <w:t>“</w:t>
      </w:r>
      <w:r>
        <w:rPr/>
        <w:t>注册会计师对财务报表审计的责任</w:t>
      </w:r>
      <w:r>
        <w:rPr>
          <w:rFonts w:ascii="Times New Roman" w:hAnsi="Times New Roman" w:cs="Times New Roman" w:eastAsia="Times New Roman" w:hint="default"/>
        </w:rPr>
        <w:t>”</w:t>
      </w:r>
      <w:r>
        <w:rPr/>
        <w:t>部分进一 </w:t>
      </w:r>
      <w:r>
        <w:rPr>
          <w:spacing w:val="-2"/>
        </w:rPr>
        <w:t>步阐述了我们在这些准则下的责任。按照中国注册会计师职业道德守则，我们独立于四维图新，并履行了职业道德方面的其</w:t>
      </w:r>
      <w:r>
        <w:rPr>
          <w:spacing w:val="-63"/>
        </w:rPr>
        <w:t> </w:t>
      </w:r>
      <w:r>
        <w:rPr>
          <w:spacing w:val="-63"/>
        </w:rPr>
      </w:r>
      <w:r>
        <w:rPr/>
        <w:t>他责任。我们相信，我们获取的审计证据是充分、适当的，为发表审计意见提供了基础。</w:t>
      </w:r>
    </w:p>
    <w:p>
      <w:pPr>
        <w:spacing w:line="240" w:lineRule="auto" w:before="2"/>
        <w:rPr>
          <w:rFonts w:ascii="宋体" w:hAnsi="宋体" w:cs="宋体" w:eastAsia="宋体" w:hint="default"/>
          <w:sz w:val="24"/>
          <w:szCs w:val="24"/>
        </w:rPr>
      </w:pPr>
    </w:p>
    <w:p>
      <w:pPr>
        <w:pStyle w:val="Heading4"/>
        <w:spacing w:line="240" w:lineRule="auto"/>
        <w:ind w:left="330" w:right="982"/>
        <w:jc w:val="left"/>
        <w:rPr>
          <w:b w:val="0"/>
          <w:bCs w:val="0"/>
        </w:rPr>
      </w:pPr>
      <w:r>
        <w:rPr/>
        <w:t>三、关键审计事项</w:t>
      </w:r>
      <w:r>
        <w:rPr>
          <w:b w:val="0"/>
          <w:bCs w:val="0"/>
        </w:rPr>
      </w:r>
    </w:p>
    <w:p>
      <w:pPr>
        <w:spacing w:line="240" w:lineRule="auto" w:before="4"/>
        <w:rPr>
          <w:rFonts w:ascii="宋体" w:hAnsi="宋体" w:cs="宋体" w:eastAsia="宋体" w:hint="default"/>
          <w:b/>
          <w:bCs/>
          <w:sz w:val="28"/>
          <w:szCs w:val="28"/>
        </w:rPr>
      </w:pPr>
    </w:p>
    <w:p>
      <w:pPr>
        <w:pStyle w:val="BodyText"/>
        <w:spacing w:line="316" w:lineRule="auto"/>
        <w:ind w:right="1136" w:firstLine="439"/>
        <w:jc w:val="both"/>
      </w:pPr>
      <w:r>
        <w:rPr/>
        <w:t>关键审计事项是我们根据职业判断，认为对本期财务报表审计最为重要的事项。这些事项的应对以对财务报表整体进 行审计并形成审计意见为背景，我们不对这些事项单独发表意见。</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8"/>
          <w:szCs w:val="28"/>
        </w:rPr>
      </w:pPr>
    </w:p>
    <w:p>
      <w:pPr>
        <w:pStyle w:val="BodyText"/>
        <w:spacing w:line="240" w:lineRule="auto" w:before="44"/>
        <w:ind w:left="0" w:right="1079"/>
        <w:jc w:val="right"/>
      </w:pPr>
      <w:r>
        <w:rPr/>
        <w:pict>
          <v:shape style="position:absolute;margin-left:56.279999pt;margin-top:-96.484314pt;width:483.1pt;height:115.2pt;mso-position-horizontal-relative:page;mso-position-vertical-relative:paragraph;z-index:167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820"/>
                    <w:gridCol w:w="4820"/>
                  </w:tblGrid>
                  <w:tr>
                    <w:trPr>
                      <w:trHeight w:val="502" w:hRule="exact"/>
                    </w:trPr>
                    <w:tc>
                      <w:tcPr>
                        <w:tcW w:w="964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81"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1</w:t>
                        </w:r>
                        <w:r>
                          <w:rPr>
                            <w:rFonts w:ascii="宋体" w:hAnsi="宋体" w:cs="宋体" w:eastAsia="宋体" w:hint="default"/>
                            <w:b/>
                            <w:bCs/>
                            <w:sz w:val="18"/>
                            <w:szCs w:val="18"/>
                          </w:rPr>
                          <w:t>、收购杰发科技有限公司业绩补偿事项</w:t>
                        </w:r>
                        <w:r>
                          <w:rPr>
                            <w:rFonts w:ascii="宋体" w:hAnsi="宋体" w:cs="宋体" w:eastAsia="宋体" w:hint="default"/>
                            <w:sz w:val="18"/>
                            <w:szCs w:val="18"/>
                          </w:rPr>
                        </w:r>
                      </w:p>
                    </w:tc>
                  </w:tr>
                  <w:tr>
                    <w:trPr>
                      <w:trHeight w:val="504" w:hRule="exact"/>
                    </w:trPr>
                    <w:tc>
                      <w:tcPr>
                        <w:tcW w:w="48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b/>
                            <w:bCs/>
                            <w:sz w:val="18"/>
                            <w:szCs w:val="18"/>
                          </w:rPr>
                          <w:t>关键审计事项</w:t>
                        </w:r>
                        <w:r>
                          <w:rPr>
                            <w:rFonts w:ascii="宋体" w:hAnsi="宋体" w:cs="宋体" w:eastAsia="宋体" w:hint="default"/>
                            <w:sz w:val="18"/>
                            <w:szCs w:val="18"/>
                          </w:rPr>
                        </w:r>
                      </w:p>
                    </w:tc>
                    <w:tc>
                      <w:tcPr>
                        <w:tcW w:w="48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b/>
                            <w:bCs/>
                            <w:sz w:val="18"/>
                            <w:szCs w:val="18"/>
                          </w:rPr>
                          <w:t>审计中的应对</w:t>
                        </w:r>
                        <w:r>
                          <w:rPr>
                            <w:rFonts w:ascii="宋体" w:hAnsi="宋体" w:cs="宋体" w:eastAsia="宋体" w:hint="default"/>
                            <w:sz w:val="18"/>
                            <w:szCs w:val="18"/>
                          </w:rPr>
                        </w:r>
                      </w:p>
                    </w:tc>
                  </w:tr>
                  <w:tr>
                    <w:trPr>
                      <w:trHeight w:val="1284" w:hRule="exact"/>
                    </w:trPr>
                    <w:tc>
                      <w:tcPr>
                        <w:tcW w:w="48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300" w:lineRule="auto"/>
                          <w:ind w:left="4" w:right="38" w:firstLine="439"/>
                          <w:jc w:val="left"/>
                          <w:rPr>
                            <w:rFonts w:ascii="宋体" w:hAnsi="宋体" w:cs="宋体" w:eastAsia="宋体" w:hint="default"/>
                            <w:sz w:val="18"/>
                            <w:szCs w:val="18"/>
                          </w:rPr>
                        </w:pPr>
                        <w:r>
                          <w:rPr>
                            <w:rFonts w:ascii="宋体" w:hAnsi="宋体" w:cs="宋体" w:eastAsia="宋体" w:hint="default"/>
                            <w:sz w:val="18"/>
                            <w:szCs w:val="18"/>
                          </w:rPr>
                          <w:t>如四维图新合并财务报表附注七、</w:t>
                        </w:r>
                        <w:r>
                          <w:rPr>
                            <w:rFonts w:ascii="Times New Roman" w:hAnsi="Times New Roman" w:cs="Times New Roman" w:eastAsia="Times New Roman" w:hint="default"/>
                            <w:sz w:val="18"/>
                            <w:szCs w:val="18"/>
                          </w:rPr>
                          <w:t>60</w:t>
                        </w:r>
                        <w:r>
                          <w:rPr>
                            <w:rFonts w:ascii="宋体" w:hAnsi="宋体" w:cs="宋体" w:eastAsia="宋体" w:hint="default"/>
                            <w:sz w:val="18"/>
                            <w:szCs w:val="18"/>
                          </w:rPr>
                          <w:t>及十六、</w:t>
                        </w:r>
                        <w:r>
                          <w:rPr>
                            <w:rFonts w:ascii="Times New Roman" w:hAnsi="Times New Roman" w:cs="Times New Roman" w:eastAsia="Times New Roman" w:hint="default"/>
                            <w:sz w:val="18"/>
                            <w:szCs w:val="18"/>
                          </w:rPr>
                          <w:t>7</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）所 述，根据交易双方</w:t>
                        </w:r>
                        <w:r>
                          <w:rPr>
                            <w:rFonts w:ascii="Times New Roman" w:hAnsi="Times New Roman" w:cs="Times New Roman" w:eastAsia="Times New Roman" w:hint="default"/>
                            <w:sz w:val="18"/>
                            <w:szCs w:val="18"/>
                          </w:rPr>
                          <w:t>2016</w:t>
                        </w:r>
                        <w:r>
                          <w:rPr>
                            <w:rFonts w:ascii="宋体" w:hAnsi="宋体" w:cs="宋体" w:eastAsia="宋体" w:hint="default"/>
                            <w:sz w:val="18"/>
                            <w:szCs w:val="18"/>
                          </w:rPr>
                          <w:t>年签署的《资产购买协议》，收购杰 发科技的对价会因杰发科技</w:t>
                        </w:r>
                        <w:r>
                          <w:rPr>
                            <w:rFonts w:ascii="Times New Roman" w:hAnsi="Times New Roman" w:cs="Times New Roman" w:eastAsia="Times New Roman" w:hint="default"/>
                            <w:sz w:val="18"/>
                            <w:szCs w:val="18"/>
                          </w:rPr>
                          <w:t>2016</w:t>
                        </w:r>
                        <w:r>
                          <w:rPr>
                            <w:rFonts w:ascii="宋体" w:hAnsi="宋体" w:cs="宋体" w:eastAsia="宋体" w:hint="default"/>
                            <w:sz w:val="18"/>
                            <w:szCs w:val="18"/>
                          </w:rPr>
                          <w:t>至</w:t>
                        </w:r>
                        <w:r>
                          <w:rPr>
                            <w:rFonts w:ascii="Times New Roman" w:hAnsi="Times New Roman" w:cs="Times New Roman" w:eastAsia="Times New Roman" w:hint="default"/>
                            <w:sz w:val="18"/>
                            <w:szCs w:val="18"/>
                          </w:rPr>
                          <w:t>2018</w:t>
                        </w:r>
                        <w:r>
                          <w:rPr>
                            <w:rFonts w:ascii="宋体" w:hAnsi="宋体" w:cs="宋体" w:eastAsia="宋体" w:hint="default"/>
                            <w:sz w:val="18"/>
                            <w:szCs w:val="18"/>
                          </w:rPr>
                          <w:t>年税后净利润的实现</w:t>
                        </w:r>
                      </w:p>
                    </w:tc>
                    <w:tc>
                      <w:tcPr>
                        <w:tcW w:w="48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4" w:right="0"/>
                          <w:jc w:val="left"/>
                          <w:rPr>
                            <w:rFonts w:ascii="宋体" w:hAnsi="宋体" w:cs="宋体" w:eastAsia="宋体" w:hint="default"/>
                            <w:sz w:val="18"/>
                            <w:szCs w:val="18"/>
                          </w:rPr>
                        </w:pPr>
                        <w:r>
                          <w:rPr>
                            <w:rFonts w:ascii="宋体" w:hAnsi="宋体" w:cs="宋体" w:eastAsia="宋体" w:hint="default"/>
                            <w:sz w:val="18"/>
                            <w:szCs w:val="18"/>
                          </w:rPr>
                          <w:t>我们执行的主要审计程序如下：</w:t>
                        </w:r>
                      </w:p>
                      <w:p>
                        <w:pPr>
                          <w:pStyle w:val="TableParagraph"/>
                          <w:spacing w:line="240" w:lineRule="auto" w:before="10"/>
                          <w:ind w:right="0"/>
                          <w:jc w:val="left"/>
                          <w:rPr>
                            <w:rFonts w:ascii="宋体" w:hAnsi="宋体" w:cs="宋体" w:eastAsia="宋体" w:hint="default"/>
                            <w:sz w:val="17"/>
                            <w:szCs w:val="17"/>
                          </w:rPr>
                        </w:pPr>
                      </w:p>
                      <w:p>
                        <w:pPr>
                          <w:pStyle w:val="TableParagraph"/>
                          <w:spacing w:line="300" w:lineRule="auto"/>
                          <w:ind w:left="4" w:right="4"/>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）与管理层沟通，了解收购和取得控制的过程，并检查相</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关的协议、决策决议、付款记录、法定权利文件变更记录等</w:t>
                        </w:r>
                      </w:p>
                    </w:tc>
                  </w:tr>
                </w:tbl>
                <w:p>
                  <w:pPr/>
                </w:p>
              </w:txbxContent>
            </v:textbox>
            <w10:wrap type="none"/>
          </v:shape>
        </w:pict>
      </w:r>
      <w:r>
        <w:rPr/>
        <w:t>；</w:t>
      </w:r>
    </w:p>
    <w:p>
      <w:pPr>
        <w:spacing w:after="0" w:line="240" w:lineRule="auto"/>
        <w:jc w:val="right"/>
        <w:sectPr>
          <w:pgSz w:w="11910" w:h="16840"/>
          <w:pgMar w:header="745" w:footer="979" w:top="1060" w:bottom="1160" w:left="980" w:right="0"/>
        </w:sectPr>
      </w:pPr>
    </w:p>
    <w:p>
      <w:pPr>
        <w:spacing w:line="240" w:lineRule="auto" w:before="0"/>
        <w:rPr>
          <w:rFonts w:ascii="宋体" w:hAnsi="宋体" w:cs="宋体" w:eastAsia="宋体" w:hint="default"/>
          <w:sz w:val="20"/>
          <w:szCs w:val="20"/>
        </w:rPr>
      </w:pPr>
      <w:r>
        <w:rPr/>
        <w:pict>
          <v:shape style="position:absolute;margin-left:56.279999pt;margin-top:71.999985pt;width:483.1pt;height:691.7pt;mso-position-horizontal-relative:page;mso-position-vertical-relative:page;z-index:169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820"/>
                    <w:gridCol w:w="4820"/>
                  </w:tblGrid>
                  <w:tr>
                    <w:trPr>
                      <w:trHeight w:val="6433" w:hRule="exact"/>
                    </w:trPr>
                    <w:tc>
                      <w:tcPr>
                        <w:tcW w:w="48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情况进行调整。</w:t>
                        </w:r>
                      </w:p>
                      <w:p>
                        <w:pPr>
                          <w:pStyle w:val="TableParagraph"/>
                          <w:spacing w:line="240" w:lineRule="auto" w:before="10"/>
                          <w:ind w:right="0"/>
                          <w:jc w:val="left"/>
                          <w:rPr>
                            <w:rFonts w:ascii="宋体" w:hAnsi="宋体" w:cs="宋体" w:eastAsia="宋体" w:hint="default"/>
                            <w:sz w:val="17"/>
                            <w:szCs w:val="17"/>
                          </w:rPr>
                        </w:pPr>
                      </w:p>
                      <w:p>
                        <w:pPr>
                          <w:pStyle w:val="TableParagraph"/>
                          <w:spacing w:line="309" w:lineRule="auto"/>
                          <w:ind w:left="4" w:right="39" w:firstLine="439"/>
                          <w:jc w:val="left"/>
                          <w:rPr>
                            <w:rFonts w:ascii="宋体" w:hAnsi="宋体" w:cs="宋体" w:eastAsia="宋体" w:hint="default"/>
                            <w:sz w:val="18"/>
                            <w:szCs w:val="18"/>
                          </w:rPr>
                        </w:pPr>
                        <w:r>
                          <w:rPr>
                            <w:rFonts w:ascii="宋体" w:hAnsi="宋体" w:cs="宋体" w:eastAsia="宋体" w:hint="default"/>
                            <w:sz w:val="18"/>
                            <w:szCs w:val="18"/>
                          </w:rPr>
                          <w:t>根据上述协议约定，杰发科技原有股东承诺：杰发科技 </w:t>
                        </w:r>
                        <w:r>
                          <w:rPr>
                            <w:rFonts w:ascii="Times New Roman" w:hAnsi="Times New Roman" w:cs="Times New Roman" w:eastAsia="Times New Roman" w:hint="default"/>
                            <w:sz w:val="18"/>
                            <w:szCs w:val="18"/>
                          </w:rPr>
                          <w:t>2016</w:t>
                        </w:r>
                        <w:r>
                          <w:rPr>
                            <w:rFonts w:ascii="宋体" w:hAnsi="宋体" w:cs="宋体" w:eastAsia="宋体" w:hint="default"/>
                            <w:sz w:val="18"/>
                            <w:szCs w:val="18"/>
                          </w:rPr>
                          <w:t>年至</w:t>
                        </w:r>
                        <w:r>
                          <w:rPr>
                            <w:rFonts w:ascii="Times New Roman" w:hAnsi="Times New Roman" w:cs="Times New Roman" w:eastAsia="Times New Roman" w:hint="default"/>
                            <w:sz w:val="18"/>
                            <w:szCs w:val="18"/>
                          </w:rPr>
                          <w:t>2018</w:t>
                        </w:r>
                        <w:r>
                          <w:rPr>
                            <w:rFonts w:ascii="宋体" w:hAnsi="宋体" w:cs="宋体" w:eastAsia="宋体" w:hint="default"/>
                            <w:sz w:val="18"/>
                            <w:szCs w:val="18"/>
                          </w:rPr>
                          <w:t>年（下称</w:t>
                        </w:r>
                        <w:r>
                          <w:rPr>
                            <w:rFonts w:ascii="Times New Roman" w:hAnsi="Times New Roman" w:cs="Times New Roman" w:eastAsia="Times New Roman" w:hint="default"/>
                            <w:sz w:val="18"/>
                            <w:szCs w:val="18"/>
                          </w:rPr>
                          <w:t>“</w:t>
                        </w:r>
                        <w:r>
                          <w:rPr>
                            <w:rFonts w:ascii="宋体" w:hAnsi="宋体" w:cs="宋体" w:eastAsia="宋体" w:hint="default"/>
                            <w:sz w:val="18"/>
                            <w:szCs w:val="18"/>
                          </w:rPr>
                          <w:t>业绩承诺期间</w:t>
                        </w:r>
                        <w:r>
                          <w:rPr>
                            <w:rFonts w:ascii="Times New Roman" w:hAnsi="Times New Roman" w:cs="Times New Roman" w:eastAsia="Times New Roman" w:hint="default"/>
                            <w:sz w:val="18"/>
                            <w:szCs w:val="18"/>
                          </w:rPr>
                          <w:t>”</w:t>
                        </w:r>
                        <w:r>
                          <w:rPr>
                            <w:rFonts w:ascii="宋体" w:hAnsi="宋体" w:cs="宋体" w:eastAsia="宋体" w:hint="default"/>
                            <w:sz w:val="18"/>
                            <w:szCs w:val="18"/>
                          </w:rPr>
                          <w:t>）实现的年度税后净 利润分别为：</w:t>
                        </w:r>
                        <w:r>
                          <w:rPr>
                            <w:rFonts w:ascii="Times New Roman" w:hAnsi="Times New Roman" w:cs="Times New Roman" w:eastAsia="Times New Roman" w:hint="default"/>
                            <w:sz w:val="18"/>
                            <w:szCs w:val="18"/>
                          </w:rPr>
                          <w:t>18,665.07</w:t>
                        </w:r>
                        <w:r>
                          <w:rPr>
                            <w:rFonts w:ascii="宋体" w:hAnsi="宋体" w:cs="宋体" w:eastAsia="宋体" w:hint="default"/>
                            <w:sz w:val="18"/>
                            <w:szCs w:val="18"/>
                          </w:rPr>
                          <w:t>万元、</w:t>
                        </w:r>
                        <w:r>
                          <w:rPr>
                            <w:rFonts w:ascii="Times New Roman" w:hAnsi="Times New Roman" w:cs="Times New Roman" w:eastAsia="Times New Roman" w:hint="default"/>
                            <w:sz w:val="18"/>
                            <w:szCs w:val="18"/>
                          </w:rPr>
                          <w:t>22,798.51</w:t>
                        </w:r>
                        <w:r>
                          <w:rPr>
                            <w:rFonts w:ascii="宋体" w:hAnsi="宋体" w:cs="宋体" w:eastAsia="宋体" w:hint="default"/>
                            <w:sz w:val="18"/>
                            <w:szCs w:val="18"/>
                          </w:rPr>
                          <w:t>万元和</w:t>
                        </w:r>
                        <w:r>
                          <w:rPr>
                            <w:rFonts w:ascii="Times New Roman" w:hAnsi="Times New Roman" w:cs="Times New Roman" w:eastAsia="Times New Roman" w:hint="default"/>
                            <w:sz w:val="18"/>
                            <w:szCs w:val="18"/>
                          </w:rPr>
                          <w:t>30,290.37</w:t>
                        </w:r>
                        <w:r>
                          <w:rPr>
                            <w:rFonts w:ascii="宋体" w:hAnsi="宋体" w:cs="宋体" w:eastAsia="宋体" w:hint="default"/>
                            <w:sz w:val="18"/>
                            <w:szCs w:val="18"/>
                          </w:rPr>
                          <w:t>万元</w:t>
                        </w:r>
                      </w:p>
                      <w:p>
                        <w:pPr>
                          <w:pStyle w:val="TableParagraph"/>
                          <w:spacing w:line="304" w:lineRule="auto" w:before="5"/>
                          <w:ind w:left="4" w:right="38"/>
                          <w:jc w:val="left"/>
                          <w:rPr>
                            <w:rFonts w:ascii="宋体" w:hAnsi="宋体" w:cs="宋体" w:eastAsia="宋体" w:hint="default"/>
                            <w:sz w:val="18"/>
                            <w:szCs w:val="18"/>
                          </w:rPr>
                        </w:pPr>
                        <w:r>
                          <w:rPr>
                            <w:rFonts w:ascii="宋体" w:hAnsi="宋体" w:cs="宋体" w:eastAsia="宋体" w:hint="default"/>
                            <w:sz w:val="18"/>
                            <w:szCs w:val="18"/>
                          </w:rPr>
                          <w:t>，三年合计税后净利润为</w:t>
                        </w:r>
                        <w:r>
                          <w:rPr>
                            <w:rFonts w:ascii="Times New Roman" w:hAnsi="Times New Roman" w:cs="Times New Roman" w:eastAsia="Times New Roman" w:hint="default"/>
                            <w:sz w:val="18"/>
                            <w:szCs w:val="18"/>
                          </w:rPr>
                          <w:t>71,753.94</w:t>
                        </w:r>
                        <w:r>
                          <w:rPr>
                            <w:rFonts w:ascii="宋体" w:hAnsi="宋体" w:cs="宋体" w:eastAsia="宋体" w:hint="default"/>
                            <w:sz w:val="18"/>
                            <w:szCs w:val="18"/>
                          </w:rPr>
                          <w:t>万元（下称</w:t>
                        </w:r>
                        <w:r>
                          <w:rPr>
                            <w:rFonts w:ascii="Times New Roman" w:hAnsi="Times New Roman" w:cs="Times New Roman" w:eastAsia="Times New Roman" w:hint="default"/>
                            <w:sz w:val="18"/>
                            <w:szCs w:val="18"/>
                          </w:rPr>
                          <w:t>“</w:t>
                        </w:r>
                        <w:r>
                          <w:rPr>
                            <w:rFonts w:ascii="宋体" w:hAnsi="宋体" w:cs="宋体" w:eastAsia="宋体" w:hint="default"/>
                            <w:sz w:val="18"/>
                            <w:szCs w:val="18"/>
                          </w:rPr>
                          <w:t>三年预测累计 税后净利润</w:t>
                        </w:r>
                        <w:r>
                          <w:rPr>
                            <w:rFonts w:ascii="Times New Roman" w:hAnsi="Times New Roman" w:cs="Times New Roman" w:eastAsia="Times New Roman" w:hint="default"/>
                            <w:sz w:val="18"/>
                            <w:szCs w:val="18"/>
                          </w:rPr>
                          <w:t>”</w:t>
                        </w:r>
                        <w:r>
                          <w:rPr>
                            <w:rFonts w:ascii="宋体" w:hAnsi="宋体" w:cs="宋体" w:eastAsia="宋体" w:hint="default"/>
                            <w:sz w:val="18"/>
                            <w:szCs w:val="18"/>
                          </w:rPr>
                          <w:t>），若实际盈利情况未及上述数据的，则杰发科 技原有股东以</w:t>
                        </w:r>
                        <w:r>
                          <w:rPr>
                            <w:rFonts w:ascii="Times New Roman" w:hAnsi="Times New Roman" w:cs="Times New Roman" w:eastAsia="Times New Roman" w:hint="default"/>
                            <w:sz w:val="18"/>
                            <w:szCs w:val="18"/>
                          </w:rPr>
                          <w:t>64,585.00</w:t>
                        </w:r>
                        <w:r>
                          <w:rPr>
                            <w:rFonts w:ascii="宋体" w:hAnsi="宋体" w:cs="宋体" w:eastAsia="宋体" w:hint="default"/>
                            <w:sz w:val="18"/>
                            <w:szCs w:val="18"/>
                          </w:rPr>
                          <w:t>万元为限进行补偿；若业绩承诺期间 内杰发科技三年预测累计税后净利润超过</w:t>
                        </w:r>
                        <w:r>
                          <w:rPr>
                            <w:rFonts w:ascii="Times New Roman" w:hAnsi="Times New Roman" w:cs="Times New Roman" w:eastAsia="Times New Roman" w:hint="default"/>
                            <w:sz w:val="18"/>
                            <w:szCs w:val="18"/>
                          </w:rPr>
                          <w:t>71,753.94</w:t>
                        </w:r>
                        <w:r>
                          <w:rPr>
                            <w:rFonts w:ascii="宋体" w:hAnsi="宋体" w:cs="宋体" w:eastAsia="宋体" w:hint="default"/>
                            <w:sz w:val="18"/>
                            <w:szCs w:val="18"/>
                          </w:rPr>
                          <w:t>万元的， 则公司应当根据超额业绩情况对本次交易的对价进行调整（ 即追加支付一笔现金对价），公司应实际支付的股权转让对 价总额将调整为：交易基准对价</w:t>
                        </w:r>
                        <w:r>
                          <w:rPr>
                            <w:rFonts w:ascii="Times New Roman" w:hAnsi="Times New Roman" w:cs="Times New Roman" w:eastAsia="Times New Roman" w:hint="default"/>
                            <w:sz w:val="18"/>
                            <w:szCs w:val="18"/>
                          </w:rPr>
                          <w:t>387,510.00</w:t>
                        </w:r>
                        <w:r>
                          <w:rPr>
                            <w:rFonts w:ascii="宋体" w:hAnsi="宋体" w:cs="宋体" w:eastAsia="宋体" w:hint="default"/>
                            <w:sz w:val="18"/>
                            <w:szCs w:val="18"/>
                          </w:rPr>
                          <w:t>万元</w:t>
                        </w:r>
                        <w:r>
                          <w:rPr>
                            <w:rFonts w:ascii="Times New Roman" w:hAnsi="Times New Roman" w:cs="Times New Roman" w:eastAsia="Times New Roman" w:hint="default"/>
                            <w:sz w:val="18"/>
                            <w:szCs w:val="18"/>
                          </w:rPr>
                          <w:t>×</w:t>
                        </w:r>
                        <w:r>
                          <w:rPr>
                            <w:rFonts w:ascii="宋体" w:hAnsi="宋体" w:cs="宋体" w:eastAsia="宋体" w:hint="default"/>
                            <w:sz w:val="18"/>
                            <w:szCs w:val="18"/>
                          </w:rPr>
                          <w:t>三年实现累 计税后净利润</w:t>
                        </w:r>
                        <w:r>
                          <w:rPr>
                            <w:rFonts w:ascii="Times New Roman" w:hAnsi="Times New Roman" w:cs="Times New Roman" w:eastAsia="Times New Roman" w:hint="default"/>
                            <w:sz w:val="18"/>
                            <w:szCs w:val="18"/>
                          </w:rPr>
                          <w:t>/</w:t>
                        </w:r>
                        <w:r>
                          <w:rPr>
                            <w:rFonts w:ascii="宋体" w:hAnsi="宋体" w:cs="宋体" w:eastAsia="宋体" w:hint="default"/>
                            <w:sz w:val="18"/>
                            <w:szCs w:val="18"/>
                          </w:rPr>
                          <w:t>三年预测累计税后净利润。</w:t>
                        </w:r>
                      </w:p>
                      <w:p>
                        <w:pPr>
                          <w:pStyle w:val="TableParagraph"/>
                          <w:spacing w:line="240" w:lineRule="auto" w:before="8"/>
                          <w:ind w:right="0"/>
                          <w:jc w:val="left"/>
                          <w:rPr>
                            <w:rFonts w:ascii="宋体" w:hAnsi="宋体" w:cs="宋体" w:eastAsia="宋体" w:hint="default"/>
                            <w:sz w:val="12"/>
                            <w:szCs w:val="12"/>
                          </w:rPr>
                        </w:pPr>
                      </w:p>
                      <w:p>
                        <w:pPr>
                          <w:pStyle w:val="TableParagraph"/>
                          <w:spacing w:line="300" w:lineRule="auto"/>
                          <w:ind w:left="4" w:right="38" w:firstLine="439"/>
                          <w:jc w:val="left"/>
                          <w:rPr>
                            <w:rFonts w:ascii="Times New Roman" w:hAnsi="Times New Roman" w:cs="Times New Roman" w:eastAsia="Times New Roman" w:hint="default"/>
                            <w:sz w:val="18"/>
                            <w:szCs w:val="18"/>
                          </w:rPr>
                        </w:pPr>
                        <w:r>
                          <w:rPr>
                            <w:rFonts w:ascii="宋体" w:hAnsi="宋体" w:cs="宋体" w:eastAsia="宋体" w:hint="default"/>
                            <w:sz w:val="18"/>
                            <w:szCs w:val="18"/>
                          </w:rPr>
                          <w:t>杰发科技</w:t>
                        </w:r>
                        <w:r>
                          <w:rPr>
                            <w:rFonts w:ascii="Times New Roman" w:hAnsi="Times New Roman" w:cs="Times New Roman" w:eastAsia="Times New Roman" w:hint="default"/>
                            <w:sz w:val="18"/>
                            <w:szCs w:val="18"/>
                          </w:rPr>
                          <w:t>2016</w:t>
                        </w:r>
                        <w:r>
                          <w:rPr>
                            <w:rFonts w:ascii="宋体" w:hAnsi="宋体" w:cs="宋体" w:eastAsia="宋体" w:hint="default"/>
                            <w:sz w:val="18"/>
                            <w:szCs w:val="18"/>
                          </w:rPr>
                          <w:t>年至</w:t>
                        </w:r>
                        <w:r>
                          <w:rPr>
                            <w:rFonts w:ascii="Times New Roman" w:hAnsi="Times New Roman" w:cs="Times New Roman" w:eastAsia="Times New Roman" w:hint="default"/>
                            <w:sz w:val="18"/>
                            <w:szCs w:val="18"/>
                          </w:rPr>
                          <w:t>2018</w:t>
                        </w:r>
                        <w:r>
                          <w:rPr>
                            <w:rFonts w:ascii="宋体" w:hAnsi="宋体" w:cs="宋体" w:eastAsia="宋体" w:hint="default"/>
                            <w:sz w:val="18"/>
                            <w:szCs w:val="18"/>
                          </w:rPr>
                          <w:t>年实现净利润分别为</w:t>
                        </w:r>
                        <w:r>
                          <w:rPr>
                            <w:rFonts w:ascii="Times New Roman" w:hAnsi="Times New Roman" w:cs="Times New Roman" w:eastAsia="Times New Roman" w:hint="default"/>
                            <w:sz w:val="18"/>
                            <w:szCs w:val="18"/>
                          </w:rPr>
                          <w:t>19,626.05</w:t>
                        </w:r>
                        <w:r>
                          <w:rPr>
                            <w:rFonts w:ascii="宋体" w:hAnsi="宋体" w:cs="宋体" w:eastAsia="宋体" w:hint="default"/>
                            <w:sz w:val="18"/>
                            <w:szCs w:val="18"/>
                          </w:rPr>
                          <w:t>万 元、</w:t>
                        </w:r>
                        <w:r>
                          <w:rPr>
                            <w:rFonts w:ascii="Times New Roman" w:hAnsi="Times New Roman" w:cs="Times New Roman" w:eastAsia="Times New Roman" w:hint="default"/>
                            <w:sz w:val="18"/>
                            <w:szCs w:val="18"/>
                          </w:rPr>
                          <w:t>20,816.95</w:t>
                        </w:r>
                        <w:r>
                          <w:rPr>
                            <w:rFonts w:ascii="宋体" w:hAnsi="宋体" w:cs="宋体" w:eastAsia="宋体" w:hint="default"/>
                            <w:sz w:val="18"/>
                            <w:szCs w:val="18"/>
                          </w:rPr>
                          <w:t>万元、</w:t>
                        </w:r>
                        <w:r>
                          <w:rPr>
                            <w:rFonts w:ascii="Times New Roman" w:hAnsi="Times New Roman" w:cs="Times New Roman" w:eastAsia="Times New Roman" w:hint="default"/>
                            <w:sz w:val="18"/>
                            <w:szCs w:val="18"/>
                          </w:rPr>
                          <w:t>19,906.12</w:t>
                        </w:r>
                        <w:r>
                          <w:rPr>
                            <w:rFonts w:ascii="宋体" w:hAnsi="宋体" w:cs="宋体" w:eastAsia="宋体" w:hint="default"/>
                            <w:sz w:val="18"/>
                            <w:szCs w:val="18"/>
                          </w:rPr>
                          <w:t>万元，三年合计实现净利润为 </w:t>
                        </w:r>
                        <w:r>
                          <w:rPr>
                            <w:rFonts w:ascii="Times New Roman" w:hAnsi="Times New Roman" w:cs="Times New Roman" w:eastAsia="Times New Roman" w:hint="default"/>
                            <w:sz w:val="18"/>
                            <w:szCs w:val="18"/>
                          </w:rPr>
                          <w:t>60,349.12</w:t>
                        </w:r>
                        <w:r>
                          <w:rPr>
                            <w:rFonts w:ascii="宋体" w:hAnsi="宋体" w:cs="宋体" w:eastAsia="宋体" w:hint="default"/>
                            <w:sz w:val="18"/>
                            <w:szCs w:val="18"/>
                          </w:rPr>
                          <w:t>万元，四维图新按协议计算原股东应补偿金额为</w:t>
                        </w:r>
                        <w:r>
                          <w:rPr>
                            <w:rFonts w:ascii="Times New Roman" w:hAnsi="Times New Roman" w:cs="Times New Roman" w:eastAsia="Times New Roman" w:hint="default"/>
                            <w:sz w:val="18"/>
                            <w:szCs w:val="18"/>
                          </w:rPr>
                          <w:t>61,</w:t>
                        </w:r>
                      </w:p>
                      <w:p>
                        <w:pPr>
                          <w:pStyle w:val="TableParagraph"/>
                          <w:spacing w:line="240" w:lineRule="auto" w:before="13"/>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592.18</w:t>
                        </w:r>
                        <w:r>
                          <w:rPr>
                            <w:rFonts w:ascii="宋体" w:hAnsi="宋体" w:cs="宋体" w:eastAsia="宋体" w:hint="default"/>
                            <w:sz w:val="18"/>
                            <w:szCs w:val="18"/>
                          </w:rPr>
                          <w:t>万元，并计入当期损益。</w:t>
                        </w:r>
                      </w:p>
                      <w:p>
                        <w:pPr>
                          <w:pStyle w:val="TableParagraph"/>
                          <w:spacing w:line="240" w:lineRule="auto" w:before="9"/>
                          <w:ind w:right="0"/>
                          <w:jc w:val="left"/>
                          <w:rPr>
                            <w:rFonts w:ascii="宋体" w:hAnsi="宋体" w:cs="宋体" w:eastAsia="宋体" w:hint="default"/>
                            <w:sz w:val="16"/>
                            <w:szCs w:val="16"/>
                          </w:rPr>
                        </w:pPr>
                      </w:p>
                      <w:p>
                        <w:pPr>
                          <w:pStyle w:val="TableParagraph"/>
                          <w:spacing w:line="309" w:lineRule="auto"/>
                          <w:ind w:left="4" w:right="39" w:firstLine="439"/>
                          <w:jc w:val="left"/>
                          <w:rPr>
                            <w:rFonts w:ascii="宋体" w:hAnsi="宋体" w:cs="宋体" w:eastAsia="宋体" w:hint="default"/>
                            <w:sz w:val="18"/>
                            <w:szCs w:val="18"/>
                          </w:rPr>
                        </w:pPr>
                        <w:r>
                          <w:rPr>
                            <w:rFonts w:ascii="宋体" w:hAnsi="宋体" w:cs="宋体" w:eastAsia="宋体" w:hint="default"/>
                            <w:sz w:val="18"/>
                            <w:szCs w:val="18"/>
                          </w:rPr>
                          <w:t>因杰发科技原股东承诺业绩补偿事项金额较大，对四维 图新</w:t>
                        </w:r>
                        <w:r>
                          <w:rPr>
                            <w:rFonts w:ascii="Times New Roman" w:hAnsi="Times New Roman" w:cs="Times New Roman" w:eastAsia="Times New Roman" w:hint="default"/>
                            <w:sz w:val="18"/>
                            <w:szCs w:val="18"/>
                          </w:rPr>
                          <w:t>2018</w:t>
                        </w:r>
                        <w:r>
                          <w:rPr>
                            <w:rFonts w:ascii="宋体" w:hAnsi="宋体" w:cs="宋体" w:eastAsia="宋体" w:hint="default"/>
                            <w:sz w:val="18"/>
                            <w:szCs w:val="18"/>
                          </w:rPr>
                          <w:t>年经营成果有重大影响，我们将杰发科技原股东承 诺业绩补偿事项作为关键审计事项。</w:t>
                        </w:r>
                      </w:p>
                    </w:tc>
                    <w:tc>
                      <w:tcPr>
                        <w:tcW w:w="48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300" w:lineRule="auto"/>
                          <w:ind w:left="4" w:right="2"/>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）复核并重新计算杰发科技原有股东承诺</w:t>
                        </w:r>
                        <w:r>
                          <w:rPr>
                            <w:rFonts w:ascii="Times New Roman" w:hAnsi="Times New Roman" w:cs="Times New Roman" w:eastAsia="Times New Roman" w:hint="default"/>
                            <w:sz w:val="18"/>
                            <w:szCs w:val="18"/>
                          </w:rPr>
                          <w:t>2018</w:t>
                        </w:r>
                        <w:r>
                          <w:rPr>
                            <w:rFonts w:ascii="宋体" w:hAnsi="宋体" w:cs="宋体" w:eastAsia="宋体" w:hint="default"/>
                            <w:sz w:val="18"/>
                            <w:szCs w:val="18"/>
                          </w:rPr>
                          <w:t>年未完成承</w:t>
                        </w:r>
                        <w:r>
                          <w:rPr>
                            <w:rFonts w:ascii="宋体" w:hAnsi="宋体" w:cs="宋体" w:eastAsia="宋体" w:hint="default"/>
                            <w:spacing w:val="-68"/>
                            <w:sz w:val="18"/>
                            <w:szCs w:val="18"/>
                          </w:rPr>
                          <w:t> </w:t>
                        </w:r>
                        <w:r>
                          <w:rPr>
                            <w:rFonts w:ascii="宋体" w:hAnsi="宋体" w:cs="宋体" w:eastAsia="宋体" w:hint="default"/>
                            <w:sz w:val="18"/>
                            <w:szCs w:val="18"/>
                          </w:rPr>
                          <w:t>诺业绩需补偿金额；</w:t>
                        </w:r>
                      </w:p>
                      <w:p>
                        <w:pPr>
                          <w:pStyle w:val="TableParagraph"/>
                          <w:spacing w:line="240" w:lineRule="auto" w:before="4"/>
                          <w:ind w:right="0"/>
                          <w:jc w:val="left"/>
                          <w:rPr>
                            <w:rFonts w:ascii="宋体" w:hAnsi="宋体" w:cs="宋体" w:eastAsia="宋体" w:hint="default"/>
                            <w:sz w:val="14"/>
                            <w:szCs w:val="14"/>
                          </w:rPr>
                        </w:pPr>
                      </w:p>
                      <w:p>
                        <w:pPr>
                          <w:pStyle w:val="TableParagraph"/>
                          <w:spacing w:line="300" w:lineRule="auto"/>
                          <w:ind w:left="4" w:right="2"/>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）检查四维图新对杰发科技原有股东未完成</w:t>
                        </w:r>
                        <w:r>
                          <w:rPr>
                            <w:rFonts w:ascii="Times New Roman" w:hAnsi="Times New Roman" w:cs="Times New Roman" w:eastAsia="Times New Roman" w:hint="default"/>
                            <w:sz w:val="18"/>
                            <w:szCs w:val="18"/>
                          </w:rPr>
                          <w:t>2018</w:t>
                        </w:r>
                        <w:r>
                          <w:rPr>
                            <w:rFonts w:ascii="宋体" w:hAnsi="宋体" w:cs="宋体" w:eastAsia="宋体" w:hint="default"/>
                            <w:sz w:val="18"/>
                            <w:szCs w:val="18"/>
                          </w:rPr>
                          <w:t>年业绩承</w:t>
                        </w:r>
                        <w:r>
                          <w:rPr>
                            <w:rFonts w:ascii="宋体" w:hAnsi="宋体" w:cs="宋体" w:eastAsia="宋体" w:hint="default"/>
                            <w:spacing w:val="-68"/>
                            <w:sz w:val="18"/>
                            <w:szCs w:val="18"/>
                          </w:rPr>
                          <w:t> </w:t>
                        </w:r>
                        <w:r>
                          <w:rPr>
                            <w:rFonts w:ascii="宋体" w:hAnsi="宋体" w:cs="宋体" w:eastAsia="宋体" w:hint="default"/>
                            <w:sz w:val="18"/>
                            <w:szCs w:val="18"/>
                          </w:rPr>
                          <w:t>诺的会计处理是否符合规定；</w:t>
                        </w:r>
                      </w:p>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4" w:right="0"/>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）取得杰发科技原有股东对业绩承诺补偿金额的函证确认</w:t>
                        </w:r>
                      </w:p>
                      <w:p>
                        <w:pPr>
                          <w:pStyle w:val="TableParagraph"/>
                          <w:spacing w:line="240" w:lineRule="auto" w:before="9"/>
                          <w:ind w:right="0"/>
                          <w:jc w:val="left"/>
                          <w:rPr>
                            <w:rFonts w:ascii="宋体" w:hAnsi="宋体" w:cs="宋体" w:eastAsia="宋体" w:hint="default"/>
                            <w:sz w:val="16"/>
                            <w:szCs w:val="16"/>
                          </w:rPr>
                        </w:pPr>
                      </w:p>
                      <w:p>
                        <w:pPr>
                          <w:pStyle w:val="TableParagraph"/>
                          <w:spacing w:line="300" w:lineRule="auto"/>
                          <w:ind w:left="4" w:right="4"/>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z w:val="18"/>
                            <w:szCs w:val="18"/>
                          </w:rPr>
                          <w:t>）评估管理层对杰发科技原有股东业绩承诺补偿事项在财</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务报表反映和附注披露的恰当性。</w:t>
                        </w:r>
                      </w:p>
                    </w:tc>
                  </w:tr>
                  <w:tr>
                    <w:trPr>
                      <w:trHeight w:val="502" w:hRule="exact"/>
                    </w:trPr>
                    <w:tc>
                      <w:tcPr>
                        <w:tcW w:w="964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81"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w:t>
                        </w:r>
                        <w:r>
                          <w:rPr>
                            <w:rFonts w:ascii="宋体" w:hAnsi="宋体" w:cs="宋体" w:eastAsia="宋体" w:hint="default"/>
                            <w:b/>
                            <w:bCs/>
                            <w:sz w:val="18"/>
                            <w:szCs w:val="18"/>
                          </w:rPr>
                          <w:t>、商誉减值测试事项</w:t>
                        </w:r>
                        <w:r>
                          <w:rPr>
                            <w:rFonts w:ascii="宋体" w:hAnsi="宋体" w:cs="宋体" w:eastAsia="宋体" w:hint="default"/>
                            <w:sz w:val="18"/>
                            <w:szCs w:val="18"/>
                          </w:rPr>
                        </w:r>
                      </w:p>
                    </w:tc>
                  </w:tr>
                  <w:tr>
                    <w:trPr>
                      <w:trHeight w:val="504" w:hRule="exact"/>
                    </w:trPr>
                    <w:tc>
                      <w:tcPr>
                        <w:tcW w:w="48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b/>
                            <w:bCs/>
                            <w:sz w:val="18"/>
                            <w:szCs w:val="18"/>
                          </w:rPr>
                          <w:t>关键审计事项</w:t>
                        </w:r>
                        <w:r>
                          <w:rPr>
                            <w:rFonts w:ascii="宋体" w:hAnsi="宋体" w:cs="宋体" w:eastAsia="宋体" w:hint="default"/>
                            <w:sz w:val="18"/>
                            <w:szCs w:val="18"/>
                          </w:rPr>
                        </w:r>
                      </w:p>
                    </w:tc>
                    <w:tc>
                      <w:tcPr>
                        <w:tcW w:w="48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1856"/>
                          <w:jc w:val="right"/>
                          <w:rPr>
                            <w:rFonts w:ascii="宋体" w:hAnsi="宋体" w:cs="宋体" w:eastAsia="宋体" w:hint="default"/>
                            <w:sz w:val="18"/>
                            <w:szCs w:val="18"/>
                          </w:rPr>
                        </w:pPr>
                        <w:r>
                          <w:rPr>
                            <w:rFonts w:ascii="宋体" w:hAnsi="宋体" w:cs="宋体" w:eastAsia="宋体" w:hint="default"/>
                            <w:b/>
                            <w:bCs/>
                            <w:w w:val="95"/>
                            <w:sz w:val="18"/>
                            <w:szCs w:val="18"/>
                          </w:rPr>
                          <w:t>审计中的应对</w:t>
                        </w:r>
                        <w:r>
                          <w:rPr>
                            <w:rFonts w:ascii="宋体" w:hAnsi="宋体" w:cs="宋体" w:eastAsia="宋体" w:hint="default"/>
                            <w:sz w:val="18"/>
                            <w:szCs w:val="18"/>
                          </w:rPr>
                        </w:r>
                      </w:p>
                    </w:tc>
                  </w:tr>
                  <w:tr>
                    <w:trPr>
                      <w:trHeight w:val="4870" w:hRule="exact"/>
                    </w:trPr>
                    <w:tc>
                      <w:tcPr>
                        <w:tcW w:w="48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300" w:lineRule="auto"/>
                          <w:ind w:left="4" w:right="-20" w:firstLine="451"/>
                          <w:jc w:val="left"/>
                          <w:rPr>
                            <w:rFonts w:ascii="宋体" w:hAnsi="宋体" w:cs="宋体" w:eastAsia="宋体" w:hint="default"/>
                            <w:sz w:val="18"/>
                            <w:szCs w:val="18"/>
                          </w:rPr>
                        </w:pPr>
                        <w:r>
                          <w:rPr>
                            <w:rFonts w:ascii="宋体" w:hAnsi="宋体" w:cs="宋体" w:eastAsia="宋体" w:hint="default"/>
                            <w:spacing w:val="-5"/>
                            <w:sz w:val="18"/>
                            <w:szCs w:val="18"/>
                          </w:rPr>
                          <w:t>截至</w:t>
                        </w:r>
                        <w:r>
                          <w:rPr>
                            <w:rFonts w:ascii="Times New Roman" w:hAnsi="Times New Roman" w:cs="Times New Roman" w:eastAsia="Times New Roman" w:hint="default"/>
                            <w:spacing w:val="-5"/>
                            <w:sz w:val="18"/>
                            <w:szCs w:val="18"/>
                          </w:rPr>
                          <w:t>2018</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12</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宋体" w:hAnsi="宋体" w:cs="宋体" w:eastAsia="宋体" w:hint="default"/>
                            <w:spacing w:val="-5"/>
                            <w:sz w:val="18"/>
                            <w:szCs w:val="18"/>
                          </w:rPr>
                          <w:t>日，如四维图新合并财务报表附注五、</w:t>
                        </w:r>
                        <w:r>
                          <w:rPr>
                            <w:rFonts w:ascii="宋体" w:hAnsi="宋体" w:cs="宋体" w:eastAsia="宋体" w:hint="default"/>
                            <w:spacing w:val="-72"/>
                            <w:sz w:val="18"/>
                            <w:szCs w:val="18"/>
                          </w:rPr>
                          <w:t> </w:t>
                        </w:r>
                        <w:r>
                          <w:rPr>
                            <w:rFonts w:ascii="Times New Roman" w:hAnsi="Times New Roman" w:cs="Times New Roman" w:eastAsia="Times New Roman" w:hint="default"/>
                            <w:sz w:val="18"/>
                            <w:szCs w:val="18"/>
                          </w:rPr>
                          <w:t>32</w:t>
                        </w:r>
                        <w:r>
                          <w:rPr>
                            <w:rFonts w:ascii="宋体" w:hAnsi="宋体" w:cs="宋体" w:eastAsia="宋体" w:hint="default"/>
                            <w:sz w:val="18"/>
                            <w:szCs w:val="18"/>
                          </w:rPr>
                          <w:t>及七、</w:t>
                        </w:r>
                        <w:r>
                          <w:rPr>
                            <w:rFonts w:ascii="Times New Roman" w:hAnsi="Times New Roman" w:cs="Times New Roman" w:eastAsia="Times New Roman" w:hint="default"/>
                            <w:sz w:val="18"/>
                            <w:szCs w:val="18"/>
                          </w:rPr>
                          <w:t>22</w:t>
                        </w:r>
                        <w:r>
                          <w:rPr>
                            <w:rFonts w:ascii="宋体" w:hAnsi="宋体" w:cs="宋体" w:eastAsia="宋体" w:hint="default"/>
                            <w:sz w:val="18"/>
                            <w:szCs w:val="18"/>
                          </w:rPr>
                          <w:t>所述，合并财务报表中商誉年末原值为</w:t>
                        </w:r>
                        <w:r>
                          <w:rPr>
                            <w:rFonts w:ascii="Times New Roman" w:hAnsi="Times New Roman" w:cs="Times New Roman" w:eastAsia="Times New Roman" w:hint="default"/>
                            <w:sz w:val="18"/>
                            <w:szCs w:val="18"/>
                          </w:rPr>
                          <w:t>32.25</w:t>
                        </w:r>
                        <w:r>
                          <w:rPr>
                            <w:rFonts w:ascii="宋体" w:hAnsi="宋体" w:cs="宋体" w:eastAsia="宋体" w:hint="default"/>
                            <w:sz w:val="18"/>
                            <w:szCs w:val="18"/>
                          </w:rPr>
                          <w:t>亿元 已计提商誉减值准备</w:t>
                        </w:r>
                        <w:r>
                          <w:rPr>
                            <w:rFonts w:ascii="Times New Roman" w:hAnsi="Times New Roman" w:cs="Times New Roman" w:eastAsia="Times New Roman" w:hint="default"/>
                            <w:sz w:val="18"/>
                            <w:szCs w:val="18"/>
                          </w:rPr>
                          <w:t>9.93</w:t>
                        </w:r>
                        <w:r>
                          <w:rPr>
                            <w:rFonts w:ascii="宋体" w:hAnsi="宋体" w:cs="宋体" w:eastAsia="宋体" w:hint="default"/>
                            <w:sz w:val="18"/>
                            <w:szCs w:val="18"/>
                          </w:rPr>
                          <w:t>亿元（其中</w:t>
                        </w:r>
                        <w:r>
                          <w:rPr>
                            <w:rFonts w:ascii="Times New Roman" w:hAnsi="Times New Roman" w:cs="Times New Roman" w:eastAsia="Times New Roman" w:hint="default"/>
                            <w:sz w:val="18"/>
                            <w:szCs w:val="18"/>
                          </w:rPr>
                          <w:t>2018</w:t>
                        </w:r>
                        <w:r>
                          <w:rPr>
                            <w:rFonts w:ascii="宋体" w:hAnsi="宋体" w:cs="宋体" w:eastAsia="宋体" w:hint="default"/>
                            <w:sz w:val="18"/>
                            <w:szCs w:val="18"/>
                          </w:rPr>
                          <w:t>年计提商誉减值准备 </w:t>
                        </w:r>
                        <w:r>
                          <w:rPr>
                            <w:rFonts w:ascii="Times New Roman" w:hAnsi="Times New Roman" w:cs="Times New Roman" w:eastAsia="Times New Roman" w:hint="default"/>
                            <w:sz w:val="18"/>
                            <w:szCs w:val="18"/>
                          </w:rPr>
                          <w:t>9.25</w:t>
                        </w:r>
                        <w:r>
                          <w:rPr>
                            <w:rFonts w:ascii="宋体" w:hAnsi="宋体" w:cs="宋体" w:eastAsia="宋体" w:hint="default"/>
                            <w:sz w:val="18"/>
                            <w:szCs w:val="18"/>
                          </w:rPr>
                          <w:t>亿元）。</w:t>
                        </w:r>
                      </w:p>
                      <w:p>
                        <w:pPr>
                          <w:pStyle w:val="TableParagraph"/>
                          <w:spacing w:line="240" w:lineRule="auto" w:before="12"/>
                          <w:ind w:right="0"/>
                          <w:jc w:val="left"/>
                          <w:rPr>
                            <w:rFonts w:ascii="宋体" w:hAnsi="宋体" w:cs="宋体" w:eastAsia="宋体" w:hint="default"/>
                            <w:sz w:val="12"/>
                            <w:szCs w:val="12"/>
                          </w:rPr>
                        </w:pPr>
                      </w:p>
                      <w:p>
                        <w:pPr>
                          <w:pStyle w:val="TableParagraph"/>
                          <w:spacing w:line="319" w:lineRule="auto"/>
                          <w:ind w:left="4" w:right="-4" w:firstLine="451"/>
                          <w:jc w:val="left"/>
                          <w:rPr>
                            <w:rFonts w:ascii="宋体" w:hAnsi="宋体" w:cs="宋体" w:eastAsia="宋体" w:hint="default"/>
                            <w:sz w:val="18"/>
                            <w:szCs w:val="18"/>
                          </w:rPr>
                        </w:pPr>
                        <w:r>
                          <w:rPr>
                            <w:rFonts w:ascii="宋体" w:hAnsi="宋体" w:cs="宋体" w:eastAsia="宋体" w:hint="default"/>
                            <w:sz w:val="18"/>
                            <w:szCs w:val="18"/>
                          </w:rPr>
                          <w:t>管理层每年对商誉进行减值测试。管理层通过比较被分 </w:t>
                        </w:r>
                        <w:r>
                          <w:rPr>
                            <w:rFonts w:ascii="宋体" w:hAnsi="宋体" w:cs="宋体" w:eastAsia="宋体" w:hint="default"/>
                            <w:spacing w:val="4"/>
                            <w:sz w:val="18"/>
                            <w:szCs w:val="18"/>
                          </w:rPr>
                          <w:t>摊商誉的相关资产组的可收回金额与该资产组及商誉的账面</w:t>
                        </w:r>
                        <w:r>
                          <w:rPr>
                            <w:rFonts w:ascii="宋体" w:hAnsi="宋体" w:cs="宋体" w:eastAsia="宋体" w:hint="default"/>
                            <w:spacing w:val="4"/>
                            <w:sz w:val="18"/>
                            <w:szCs w:val="18"/>
                          </w:rPr>
                          <w:t> </w:t>
                        </w:r>
                        <w:r>
                          <w:rPr>
                            <w:rFonts w:ascii="宋体" w:hAnsi="宋体" w:cs="宋体" w:eastAsia="宋体" w:hint="default"/>
                            <w:spacing w:val="-3"/>
                            <w:sz w:val="18"/>
                            <w:szCs w:val="18"/>
                          </w:rPr>
                          <w:t>价值，对商誉进行减值测试。资产组预计可收回金额涉及对资</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pacing w:val="-3"/>
                            <w:sz w:val="18"/>
                            <w:szCs w:val="18"/>
                          </w:rPr>
                          <w:t>产组未来现金流量现值的预测，管理层在预测中需要做出重大</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pacing w:val="-6"/>
                            <w:sz w:val="18"/>
                            <w:szCs w:val="18"/>
                          </w:rPr>
                          <w:t>判断和假设，特别是对于未来市场状况、生产成本、经营费用</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折现率及业绩增长率等因素的盘点和假设。</w:t>
                        </w:r>
                      </w:p>
                      <w:p>
                        <w:pPr>
                          <w:pStyle w:val="TableParagraph"/>
                          <w:spacing w:line="240" w:lineRule="auto" w:before="3"/>
                          <w:ind w:right="0"/>
                          <w:jc w:val="left"/>
                          <w:rPr>
                            <w:rFonts w:ascii="宋体" w:hAnsi="宋体" w:cs="宋体" w:eastAsia="宋体" w:hint="default"/>
                            <w:sz w:val="13"/>
                            <w:szCs w:val="13"/>
                          </w:rPr>
                        </w:pPr>
                      </w:p>
                      <w:p>
                        <w:pPr>
                          <w:pStyle w:val="TableParagraph"/>
                          <w:spacing w:line="312" w:lineRule="auto"/>
                          <w:ind w:left="4" w:right="-4" w:firstLine="451"/>
                          <w:jc w:val="both"/>
                          <w:rPr>
                            <w:rFonts w:ascii="宋体" w:hAnsi="宋体" w:cs="宋体" w:eastAsia="宋体" w:hint="default"/>
                            <w:sz w:val="18"/>
                            <w:szCs w:val="18"/>
                          </w:rPr>
                        </w:pPr>
                        <w:r>
                          <w:rPr>
                            <w:rFonts w:ascii="宋体" w:hAnsi="宋体" w:cs="宋体" w:eastAsia="宋体" w:hint="default"/>
                            <w:sz w:val="18"/>
                            <w:szCs w:val="18"/>
                          </w:rPr>
                          <w:t>由于减值测试过程较为复杂，涉及重大判断，同时商誉 </w:t>
                        </w:r>
                        <w:r>
                          <w:rPr>
                            <w:rFonts w:ascii="宋体" w:hAnsi="宋体" w:cs="宋体" w:eastAsia="宋体" w:hint="default"/>
                            <w:spacing w:val="-3"/>
                            <w:sz w:val="18"/>
                            <w:szCs w:val="18"/>
                          </w:rPr>
                          <w:t>在四维图新资产总额中占比很大，</w:t>
                        </w:r>
                        <w:r>
                          <w:rPr>
                            <w:rFonts w:ascii="Times New Roman" w:hAnsi="Times New Roman" w:cs="Times New Roman" w:eastAsia="Times New Roman" w:hint="default"/>
                            <w:spacing w:val="-3"/>
                            <w:sz w:val="18"/>
                            <w:szCs w:val="18"/>
                          </w:rPr>
                          <w:t>2018</w:t>
                        </w:r>
                        <w:r>
                          <w:rPr>
                            <w:rFonts w:ascii="宋体" w:hAnsi="宋体" w:cs="宋体" w:eastAsia="宋体" w:hint="default"/>
                            <w:spacing w:val="-3"/>
                            <w:sz w:val="18"/>
                            <w:szCs w:val="18"/>
                          </w:rPr>
                          <w:t>年商誉减值准备计提金</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4"/>
                            <w:sz w:val="18"/>
                            <w:szCs w:val="18"/>
                          </w:rPr>
                          <w:t>额较大，因此我们认为商誉减值是我们审计中的关键审计事</w:t>
                        </w:r>
                        <w:r>
                          <w:rPr>
                            <w:rFonts w:ascii="宋体" w:hAnsi="宋体" w:cs="宋体" w:eastAsia="宋体" w:hint="default"/>
                            <w:spacing w:val="4"/>
                            <w:sz w:val="18"/>
                            <w:szCs w:val="18"/>
                          </w:rPr>
                          <w:t> </w:t>
                        </w:r>
                        <w:r>
                          <w:rPr>
                            <w:rFonts w:ascii="宋体" w:hAnsi="宋体" w:cs="宋体" w:eastAsia="宋体" w:hint="default"/>
                            <w:sz w:val="18"/>
                            <w:szCs w:val="18"/>
                          </w:rPr>
                          <w:t>项。</w:t>
                        </w:r>
                      </w:p>
                    </w:tc>
                    <w:tc>
                      <w:tcPr>
                        <w:tcW w:w="48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4" w:right="0"/>
                          <w:jc w:val="both"/>
                          <w:rPr>
                            <w:rFonts w:ascii="宋体" w:hAnsi="宋体" w:cs="宋体" w:eastAsia="宋体" w:hint="default"/>
                            <w:sz w:val="18"/>
                            <w:szCs w:val="18"/>
                          </w:rPr>
                        </w:pPr>
                        <w:r>
                          <w:rPr>
                            <w:rFonts w:ascii="宋体" w:hAnsi="宋体" w:cs="宋体" w:eastAsia="宋体" w:hint="default"/>
                            <w:sz w:val="18"/>
                            <w:szCs w:val="18"/>
                          </w:rPr>
                          <w:t>我们关于商誉减值测试行的程序包括：</w:t>
                        </w:r>
                      </w:p>
                      <w:p>
                        <w:pPr>
                          <w:pStyle w:val="TableParagraph"/>
                          <w:spacing w:line="196" w:lineRule="exact" w:before="76"/>
                          <w:ind w:left="-104"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209" w:lineRule="exact"/>
                          <w:ind w:left="4" w:right="0"/>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）了解四维图新商誉减值测试的控制程序，包括了解四维</w:t>
                        </w:r>
                      </w:p>
                      <w:p>
                        <w:pPr>
                          <w:pStyle w:val="TableParagraph"/>
                          <w:spacing w:line="240" w:lineRule="auto" w:before="63"/>
                          <w:ind w:left="4" w:right="0"/>
                          <w:jc w:val="both"/>
                          <w:rPr>
                            <w:rFonts w:ascii="宋体" w:hAnsi="宋体" w:cs="宋体" w:eastAsia="宋体" w:hint="default"/>
                            <w:sz w:val="18"/>
                            <w:szCs w:val="18"/>
                          </w:rPr>
                        </w:pPr>
                        <w:r>
                          <w:rPr>
                            <w:rFonts w:ascii="宋体" w:hAnsi="宋体" w:cs="宋体" w:eastAsia="宋体" w:hint="default"/>
                            <w:sz w:val="18"/>
                            <w:szCs w:val="18"/>
                          </w:rPr>
                          <w:t>图新划分资产组及其对资产组价值的判定；</w:t>
                        </w:r>
                      </w:p>
                      <w:p>
                        <w:pPr>
                          <w:pStyle w:val="TableParagraph"/>
                          <w:spacing w:line="240" w:lineRule="auto" w:before="10"/>
                          <w:ind w:right="0"/>
                          <w:jc w:val="left"/>
                          <w:rPr>
                            <w:rFonts w:ascii="宋体" w:hAnsi="宋体" w:cs="宋体" w:eastAsia="宋体" w:hint="default"/>
                            <w:sz w:val="17"/>
                            <w:szCs w:val="17"/>
                          </w:rPr>
                        </w:pPr>
                      </w:p>
                      <w:p>
                        <w:pPr>
                          <w:pStyle w:val="TableParagraph"/>
                          <w:spacing w:line="300" w:lineRule="auto"/>
                          <w:ind w:left="4" w:right="4"/>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）与管理层讨论、评估商誉减值的评估方法，包括每个资</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产组的未来盈利预测，现金流折现率等假设的合理性；</w:t>
                        </w:r>
                      </w:p>
                      <w:p>
                        <w:pPr>
                          <w:pStyle w:val="TableParagraph"/>
                          <w:spacing w:line="240" w:lineRule="auto" w:before="4"/>
                          <w:ind w:right="0"/>
                          <w:jc w:val="left"/>
                          <w:rPr>
                            <w:rFonts w:ascii="宋体" w:hAnsi="宋体" w:cs="宋体" w:eastAsia="宋体" w:hint="default"/>
                            <w:sz w:val="14"/>
                            <w:szCs w:val="14"/>
                          </w:rPr>
                        </w:pPr>
                      </w:p>
                      <w:p>
                        <w:pPr>
                          <w:pStyle w:val="TableParagraph"/>
                          <w:spacing w:line="300" w:lineRule="auto"/>
                          <w:ind w:left="4" w:right="4"/>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）评价管理层提供的数据及支持证据，包括每个资产组的</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预算，关注管理层对该等预算合理性的判断依据。</w:t>
                        </w:r>
                      </w:p>
                      <w:p>
                        <w:pPr>
                          <w:pStyle w:val="TableParagraph"/>
                          <w:spacing w:line="196" w:lineRule="exact" w:before="31"/>
                          <w:ind w:left="-107"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210" w:lineRule="exact"/>
                          <w:ind w:left="4" w:right="0"/>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）对存在商誉减值迹象的资产组，利用第三方评估机构的</w:t>
                        </w:r>
                      </w:p>
                      <w:p>
                        <w:pPr>
                          <w:pStyle w:val="TableParagraph"/>
                          <w:spacing w:line="316" w:lineRule="auto" w:before="63"/>
                          <w:ind w:left="4" w:right="1"/>
                          <w:jc w:val="both"/>
                          <w:rPr>
                            <w:rFonts w:ascii="宋体" w:hAnsi="宋体" w:cs="宋体" w:eastAsia="宋体" w:hint="default"/>
                            <w:sz w:val="18"/>
                            <w:szCs w:val="18"/>
                          </w:rPr>
                        </w:pPr>
                        <w:r>
                          <w:rPr>
                            <w:rFonts w:ascii="宋体" w:hAnsi="宋体" w:cs="宋体" w:eastAsia="宋体" w:hint="default"/>
                            <w:spacing w:val="-3"/>
                            <w:sz w:val="18"/>
                            <w:szCs w:val="18"/>
                          </w:rPr>
                          <w:t>工作，就估值过程中使用的评估方法、关键估值假设、参数选</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pacing w:val="-3"/>
                            <w:sz w:val="18"/>
                            <w:szCs w:val="18"/>
                          </w:rPr>
                          <w:t>择、预测未来收入及现金流折现率的合理性进行讨论，评估和</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复核其合理性。</w:t>
                        </w:r>
                      </w:p>
                    </w:tc>
                  </w:tr>
                  <w:tr>
                    <w:trPr>
                      <w:trHeight w:val="504" w:hRule="exact"/>
                    </w:trPr>
                    <w:tc>
                      <w:tcPr>
                        <w:tcW w:w="964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81"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3</w:t>
                        </w:r>
                        <w:r>
                          <w:rPr>
                            <w:rFonts w:ascii="宋体" w:hAnsi="宋体" w:cs="宋体" w:eastAsia="宋体" w:hint="default"/>
                            <w:b/>
                            <w:bCs/>
                            <w:sz w:val="18"/>
                            <w:szCs w:val="18"/>
                          </w:rPr>
                          <w:t>、</w:t>
                        </w:r>
                        <w:r>
                          <w:rPr>
                            <w:rFonts w:ascii="Times New Roman" w:hAnsi="Times New Roman" w:cs="Times New Roman" w:eastAsia="Times New Roman" w:hint="default"/>
                            <w:b/>
                            <w:bCs/>
                            <w:sz w:val="18"/>
                            <w:szCs w:val="18"/>
                          </w:rPr>
                          <w:t>Mapbar Technology</w:t>
                        </w:r>
                        <w:r>
                          <w:rPr>
                            <w:rFonts w:ascii="Times New Roman" w:hAnsi="Times New Roman" w:cs="Times New Roman" w:eastAsia="Times New Roman" w:hint="default"/>
                            <w:b/>
                            <w:bCs/>
                            <w:spacing w:val="-11"/>
                            <w:sz w:val="18"/>
                            <w:szCs w:val="18"/>
                          </w:rPr>
                          <w:t> </w:t>
                        </w:r>
                        <w:r>
                          <w:rPr>
                            <w:rFonts w:ascii="Times New Roman" w:hAnsi="Times New Roman" w:cs="Times New Roman" w:eastAsia="Times New Roman" w:hint="default"/>
                            <w:b/>
                            <w:bCs/>
                            <w:sz w:val="18"/>
                            <w:szCs w:val="18"/>
                          </w:rPr>
                          <w:t>Limited</w:t>
                        </w:r>
                        <w:r>
                          <w:rPr>
                            <w:rFonts w:ascii="宋体" w:hAnsi="宋体" w:cs="宋体" w:eastAsia="宋体" w:hint="default"/>
                            <w:b/>
                            <w:bCs/>
                            <w:sz w:val="18"/>
                            <w:szCs w:val="18"/>
                          </w:rPr>
                          <w:t>本年未纳入合并范围事项</w:t>
                        </w:r>
                        <w:r>
                          <w:rPr>
                            <w:rFonts w:ascii="宋体" w:hAnsi="宋体" w:cs="宋体" w:eastAsia="宋体" w:hint="default"/>
                            <w:sz w:val="18"/>
                            <w:szCs w:val="18"/>
                          </w:rPr>
                        </w:r>
                      </w:p>
                    </w:tc>
                  </w:tr>
                  <w:tr>
                    <w:trPr>
                      <w:trHeight w:val="502" w:hRule="exact"/>
                    </w:trPr>
                    <w:tc>
                      <w:tcPr>
                        <w:tcW w:w="48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b/>
                            <w:bCs/>
                            <w:sz w:val="18"/>
                            <w:szCs w:val="18"/>
                          </w:rPr>
                          <w:t>关键审计事项</w:t>
                        </w:r>
                        <w:r>
                          <w:rPr>
                            <w:rFonts w:ascii="宋体" w:hAnsi="宋体" w:cs="宋体" w:eastAsia="宋体" w:hint="default"/>
                            <w:sz w:val="18"/>
                            <w:szCs w:val="18"/>
                          </w:rPr>
                        </w:r>
                      </w:p>
                    </w:tc>
                    <w:tc>
                      <w:tcPr>
                        <w:tcW w:w="48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1856"/>
                          <w:jc w:val="right"/>
                          <w:rPr>
                            <w:rFonts w:ascii="宋体" w:hAnsi="宋体" w:cs="宋体" w:eastAsia="宋体" w:hint="default"/>
                            <w:sz w:val="18"/>
                            <w:szCs w:val="18"/>
                          </w:rPr>
                        </w:pPr>
                        <w:r>
                          <w:rPr>
                            <w:rFonts w:ascii="宋体" w:hAnsi="宋体" w:cs="宋体" w:eastAsia="宋体" w:hint="default"/>
                            <w:b/>
                            <w:bCs/>
                            <w:w w:val="95"/>
                            <w:sz w:val="18"/>
                            <w:szCs w:val="18"/>
                          </w:rPr>
                          <w:t>审计中的应对</w:t>
                        </w:r>
                        <w:r>
                          <w:rPr>
                            <w:rFonts w:ascii="宋体" w:hAnsi="宋体" w:cs="宋体" w:eastAsia="宋体" w:hint="default"/>
                            <w:sz w:val="18"/>
                            <w:szCs w:val="18"/>
                          </w:rPr>
                        </w:r>
                      </w:p>
                    </w:tc>
                  </w:tr>
                  <w:tr>
                    <w:trPr>
                      <w:trHeight w:val="504" w:hRule="exact"/>
                    </w:trPr>
                    <w:tc>
                      <w:tcPr>
                        <w:tcW w:w="48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456" w:right="-5"/>
                          <w:jc w:val="left"/>
                          <w:rPr>
                            <w:rFonts w:ascii="宋体" w:hAnsi="宋体" w:cs="宋体" w:eastAsia="宋体" w:hint="default"/>
                            <w:sz w:val="18"/>
                            <w:szCs w:val="18"/>
                          </w:rPr>
                        </w:pPr>
                        <w:r>
                          <w:rPr>
                            <w:rFonts w:ascii="宋体" w:hAnsi="宋体" w:cs="宋体" w:eastAsia="宋体" w:hint="default"/>
                            <w:sz w:val="18"/>
                            <w:szCs w:val="18"/>
                          </w:rPr>
                          <w:t>如 四 维 图 新 合 并 财 务 报 表 附 注 七、</w:t>
                        </w:r>
                        <w:r>
                          <w:rPr>
                            <w:rFonts w:ascii="Times New Roman" w:hAnsi="Times New Roman" w:cs="Times New Roman" w:eastAsia="Times New Roman" w:hint="default"/>
                            <w:sz w:val="18"/>
                            <w:szCs w:val="18"/>
                          </w:rPr>
                          <w:t>60 </w:t>
                        </w:r>
                        <w:r>
                          <w:rPr>
                            <w:rFonts w:ascii="Times New Roman" w:hAnsi="Times New Roman" w:cs="Times New Roman" w:eastAsia="Times New Roman" w:hint="default"/>
                            <w:spacing w:val="29"/>
                            <w:sz w:val="18"/>
                            <w:szCs w:val="18"/>
                          </w:rPr>
                          <w:t> </w:t>
                        </w:r>
                        <w:r>
                          <w:rPr>
                            <w:rFonts w:ascii="宋体" w:hAnsi="宋体" w:cs="宋体" w:eastAsia="宋体" w:hint="default"/>
                            <w:sz w:val="18"/>
                            <w:szCs w:val="18"/>
                          </w:rPr>
                          <w:t>及</w:t>
                        </w:r>
                      </w:p>
                    </w:tc>
                    <w:tc>
                      <w:tcPr>
                        <w:tcW w:w="48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4" w:right="0"/>
                          <w:jc w:val="left"/>
                          <w:rPr>
                            <w:rFonts w:ascii="宋体" w:hAnsi="宋体" w:cs="宋体" w:eastAsia="宋体" w:hint="default"/>
                            <w:sz w:val="18"/>
                            <w:szCs w:val="18"/>
                          </w:rPr>
                        </w:pPr>
                        <w:r>
                          <w:rPr>
                            <w:rFonts w:ascii="宋体" w:hAnsi="宋体" w:cs="宋体" w:eastAsia="宋体" w:hint="default"/>
                            <w:sz w:val="18"/>
                            <w:szCs w:val="18"/>
                          </w:rPr>
                          <w:t>我们执行的主要审计程序如下：</w:t>
                        </w:r>
                      </w:p>
                    </w:tc>
                  </w:tr>
                </w:tbl>
                <w:p>
                  <w:pPr/>
                </w:p>
              </w:txbxContent>
            </v:textbox>
            <w10:wrap type="none"/>
          </v:shape>
        </w:pic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8"/>
          <w:szCs w:val="18"/>
        </w:rPr>
      </w:pPr>
    </w:p>
    <w:p>
      <w:pPr>
        <w:pStyle w:val="BodyText"/>
        <w:spacing w:line="240" w:lineRule="auto" w:before="44"/>
        <w:ind w:left="0" w:right="1050"/>
        <w:jc w:val="right"/>
      </w:pPr>
      <w:r>
        <w:rPr/>
        <w:t>；</w:t>
      </w:r>
    </w:p>
    <w:p>
      <w:pPr>
        <w:spacing w:after="0" w:line="240" w:lineRule="auto"/>
        <w:jc w:val="right"/>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5" w:type="dxa"/>
        <w:tblLayout w:type="fixed"/>
        <w:tblCellMar>
          <w:top w:w="0" w:type="dxa"/>
          <w:left w:w="0" w:type="dxa"/>
          <w:bottom w:w="0" w:type="dxa"/>
          <w:right w:w="0" w:type="dxa"/>
        </w:tblCellMar>
        <w:tblLook w:val="01E0"/>
      </w:tblPr>
      <w:tblGrid>
        <w:gridCol w:w="4820"/>
        <w:gridCol w:w="4820"/>
      </w:tblGrid>
      <w:tr>
        <w:trPr>
          <w:trHeight w:val="6277" w:hRule="exact"/>
        </w:trPr>
        <w:tc>
          <w:tcPr>
            <w:tcW w:w="4820"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17"/>
              <w:ind w:left="4" w:right="-3"/>
              <w:jc w:val="both"/>
              <w:rPr>
                <w:rFonts w:ascii="宋体" w:hAnsi="宋体" w:cs="宋体" w:eastAsia="宋体" w:hint="default"/>
                <w:sz w:val="18"/>
                <w:szCs w:val="18"/>
              </w:rPr>
            </w:pPr>
            <w:r>
              <w:rPr>
                <w:rFonts w:ascii="宋体" w:hAnsi="宋体" w:cs="宋体" w:eastAsia="宋体" w:hint="default"/>
                <w:sz w:val="18"/>
                <w:szCs w:val="18"/>
              </w:rPr>
              <w:t>十六、</w:t>
            </w:r>
            <w:r>
              <w:rPr>
                <w:rFonts w:ascii="Times New Roman" w:hAnsi="Times New Roman" w:cs="Times New Roman" w:eastAsia="Times New Roman" w:hint="default"/>
                <w:sz w:val="18"/>
                <w:szCs w:val="18"/>
              </w:rPr>
              <w:t>7</w:t>
            </w: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）所述，四维图新根据</w:t>
            </w: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9</w:t>
            </w:r>
            <w:r>
              <w:rPr>
                <w:rFonts w:ascii="宋体" w:hAnsi="宋体" w:cs="宋体" w:eastAsia="宋体" w:hint="default"/>
                <w:sz w:val="18"/>
                <w:szCs w:val="18"/>
              </w:rPr>
              <w:t>月</w:t>
            </w:r>
            <w:r>
              <w:rPr>
                <w:rFonts w:ascii="Times New Roman" w:hAnsi="Times New Roman" w:cs="Times New Roman" w:eastAsia="Times New Roman" w:hint="default"/>
                <w:sz w:val="18"/>
                <w:szCs w:val="18"/>
              </w:rPr>
              <w:t>27</w:t>
            </w:r>
            <w:r>
              <w:rPr>
                <w:rFonts w:ascii="宋体" w:hAnsi="宋体" w:cs="宋体" w:eastAsia="宋体" w:hint="default"/>
                <w:sz w:val="18"/>
                <w:szCs w:val="18"/>
              </w:rPr>
              <w:t>召开的</w:t>
            </w: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宋体" w:hAnsi="宋体" w:cs="宋体" w:eastAsia="宋体" w:hint="default"/>
                <w:spacing w:val="-67"/>
                <w:sz w:val="18"/>
                <w:szCs w:val="18"/>
              </w:rPr>
              <w:t> </w:t>
            </w:r>
            <w:r>
              <w:rPr>
                <w:rFonts w:ascii="宋体" w:hAnsi="宋体" w:cs="宋体" w:eastAsia="宋体" w:hint="default"/>
                <w:spacing w:val="-4"/>
                <w:sz w:val="18"/>
                <w:szCs w:val="18"/>
              </w:rPr>
              <w:t>第二次临时股东大会决议，同意</w:t>
            </w:r>
            <w:r>
              <w:rPr>
                <w:rFonts w:ascii="Times New Roman" w:hAnsi="Times New Roman" w:cs="Times New Roman" w:eastAsia="Times New Roman" w:hint="default"/>
                <w:spacing w:val="-4"/>
                <w:sz w:val="18"/>
                <w:szCs w:val="18"/>
              </w:rPr>
              <w:t>Mapbar</w:t>
            </w:r>
            <w:r>
              <w:rPr>
                <w:rFonts w:ascii="Times New Roman" w:hAnsi="Times New Roman" w:cs="Times New Roman" w:eastAsia="Times New Roman" w:hint="default"/>
                <w:spacing w:val="-6"/>
                <w:sz w:val="18"/>
                <w:szCs w:val="18"/>
              </w:rPr>
              <w:t> </w:t>
            </w:r>
            <w:r>
              <w:rPr>
                <w:rFonts w:ascii="Times New Roman" w:hAnsi="Times New Roman" w:cs="Times New Roman" w:eastAsia="Times New Roman" w:hint="default"/>
                <w:sz w:val="18"/>
                <w:szCs w:val="18"/>
              </w:rPr>
              <w:t>Technology</w:t>
            </w:r>
            <w:r>
              <w:rPr>
                <w:rFonts w:ascii="Times New Roman" w:hAnsi="Times New Roman" w:cs="Times New Roman" w:eastAsia="Times New Roman" w:hint="default"/>
                <w:spacing w:val="-10"/>
                <w:sz w:val="18"/>
                <w:szCs w:val="18"/>
              </w:rPr>
              <w:t> </w:t>
            </w:r>
            <w:r>
              <w:rPr>
                <w:rFonts w:ascii="Times New Roman" w:hAnsi="Times New Roman" w:cs="Times New Roman" w:eastAsia="Times New Roman" w:hint="default"/>
                <w:spacing w:val="-8"/>
                <w:sz w:val="18"/>
                <w:szCs w:val="18"/>
              </w:rPr>
              <w:t>Limited</w:t>
            </w:r>
            <w:r>
              <w:rPr>
                <w:rFonts w:ascii="宋体" w:hAnsi="宋体" w:cs="宋体" w:eastAsia="宋体" w:hint="default"/>
                <w:spacing w:val="-8"/>
                <w:sz w:val="18"/>
                <w:szCs w:val="18"/>
              </w:rPr>
              <w:t>（以</w:t>
            </w:r>
            <w:r>
              <w:rPr>
                <w:rFonts w:ascii="宋体" w:hAnsi="宋体" w:cs="宋体" w:eastAsia="宋体" w:hint="default"/>
                <w:spacing w:val="-88"/>
                <w:sz w:val="18"/>
                <w:szCs w:val="18"/>
              </w:rPr>
              <w:t> </w:t>
            </w:r>
            <w:r>
              <w:rPr>
                <w:rFonts w:ascii="宋体" w:hAnsi="宋体" w:cs="宋体" w:eastAsia="宋体" w:hint="default"/>
                <w:sz w:val="18"/>
                <w:szCs w:val="18"/>
              </w:rPr>
              <w:t>下简称图吧</w:t>
            </w:r>
            <w:r>
              <w:rPr>
                <w:rFonts w:ascii="Times New Roman" w:hAnsi="Times New Roman" w:cs="Times New Roman" w:eastAsia="Times New Roman" w:hint="default"/>
                <w:sz w:val="18"/>
                <w:szCs w:val="18"/>
              </w:rPr>
              <w:t>BVI</w:t>
            </w:r>
            <w:r>
              <w:rPr>
                <w:rFonts w:ascii="宋体" w:hAnsi="宋体" w:cs="宋体" w:eastAsia="宋体" w:hint="default"/>
                <w:sz w:val="18"/>
                <w:szCs w:val="18"/>
              </w:rPr>
              <w:t>）进行增资扩股，引进投资者</w:t>
            </w:r>
            <w:r>
              <w:rPr>
                <w:rFonts w:ascii="宋体" w:hAnsi="宋体" w:cs="宋体" w:eastAsia="宋体" w:hint="default"/>
                <w:spacing w:val="-2"/>
                <w:sz w:val="18"/>
                <w:szCs w:val="18"/>
              </w:rPr>
              <w:t> </w:t>
            </w:r>
            <w:r>
              <w:rPr>
                <w:rFonts w:ascii="Times New Roman" w:hAnsi="Times New Roman" w:cs="Times New Roman" w:eastAsia="Times New Roman" w:hint="default"/>
                <w:sz w:val="18"/>
                <w:szCs w:val="18"/>
              </w:rPr>
              <w:t>Image</w:t>
            </w:r>
            <w:r>
              <w:rPr>
                <w:rFonts w:ascii="Times New Roman" w:hAnsi="Times New Roman" w:cs="Times New Roman" w:eastAsia="Times New Roman" w:hint="default"/>
                <w:spacing w:val="37"/>
                <w:sz w:val="18"/>
                <w:szCs w:val="18"/>
              </w:rPr>
              <w:t> </w:t>
            </w:r>
            <w:r>
              <w:rPr>
                <w:rFonts w:ascii="Times New Roman" w:hAnsi="Times New Roman" w:cs="Times New Roman" w:eastAsia="Times New Roman" w:hint="default"/>
                <w:sz w:val="18"/>
                <w:szCs w:val="18"/>
              </w:rPr>
              <w:t>Cyber</w:t>
            </w:r>
            <w:r>
              <w:rPr>
                <w:rFonts w:ascii="宋体" w:hAnsi="宋体" w:cs="宋体" w:eastAsia="宋体" w:hint="default"/>
                <w:sz w:val="18"/>
                <w:szCs w:val="18"/>
              </w:rPr>
              <w:t>、</w:t>
            </w:r>
            <w:r>
              <w:rPr>
                <w:rFonts w:ascii="宋体" w:hAnsi="宋体" w:cs="宋体" w:eastAsia="宋体" w:hint="default"/>
                <w:spacing w:val="-87"/>
                <w:sz w:val="18"/>
                <w:szCs w:val="18"/>
              </w:rPr>
              <w:t> </w:t>
            </w:r>
            <w:r>
              <w:rPr>
                <w:rFonts w:ascii="Times New Roman" w:hAnsi="Times New Roman" w:cs="Times New Roman" w:eastAsia="Times New Roman" w:hint="default"/>
                <w:sz w:val="18"/>
                <w:szCs w:val="18"/>
              </w:rPr>
              <w:t>Top</w:t>
            </w:r>
            <w:r>
              <w:rPr>
                <w:rFonts w:ascii="Times New Roman" w:hAnsi="Times New Roman" w:cs="Times New Roman" w:eastAsia="Times New Roman" w:hint="default"/>
                <w:spacing w:val="-8"/>
                <w:sz w:val="18"/>
                <w:szCs w:val="18"/>
              </w:rPr>
              <w:t> </w:t>
            </w:r>
            <w:r>
              <w:rPr>
                <w:rFonts w:ascii="Times New Roman" w:hAnsi="Times New Roman" w:cs="Times New Roman" w:eastAsia="Times New Roman" w:hint="default"/>
                <w:sz w:val="18"/>
                <w:szCs w:val="18"/>
              </w:rPr>
              <w:t>Grove</w:t>
            </w:r>
            <w:r>
              <w:rPr>
                <w:rFonts w:ascii="宋体" w:hAnsi="宋体" w:cs="宋体" w:eastAsia="宋体" w:hint="default"/>
                <w:sz w:val="18"/>
                <w:szCs w:val="18"/>
              </w:rPr>
              <w:t>、蔚来资本、</w:t>
            </w:r>
            <w:r>
              <w:rPr>
                <w:rFonts w:ascii="Times New Roman" w:hAnsi="Times New Roman" w:cs="Times New Roman" w:eastAsia="Times New Roman" w:hint="default"/>
                <w:sz w:val="18"/>
                <w:szCs w:val="18"/>
              </w:rPr>
              <w:t>Advantech</w:t>
            </w:r>
            <w:r>
              <w:rPr>
                <w:rFonts w:ascii="宋体" w:hAnsi="宋体" w:cs="宋体" w:eastAsia="宋体" w:hint="default"/>
                <w:sz w:val="18"/>
                <w:szCs w:val="18"/>
              </w:rPr>
              <w:t>。上述投资者实际增资完成 </w:t>
            </w:r>
            <w:r>
              <w:rPr>
                <w:rFonts w:ascii="宋体" w:hAnsi="宋体" w:cs="宋体" w:eastAsia="宋体" w:hint="default"/>
                <w:spacing w:val="2"/>
                <w:sz w:val="18"/>
                <w:szCs w:val="18"/>
              </w:rPr>
              <w:t>后，四维图新对图吧</w:t>
            </w:r>
            <w:r>
              <w:rPr>
                <w:rFonts w:ascii="Times New Roman" w:hAnsi="Times New Roman" w:cs="Times New Roman" w:eastAsia="Times New Roman" w:hint="default"/>
                <w:spacing w:val="2"/>
                <w:sz w:val="18"/>
                <w:szCs w:val="18"/>
              </w:rPr>
              <w:t>BVI</w:t>
            </w:r>
            <w:r>
              <w:rPr>
                <w:rFonts w:ascii="宋体" w:hAnsi="宋体" w:cs="宋体" w:eastAsia="宋体" w:hint="default"/>
                <w:spacing w:val="2"/>
                <w:sz w:val="18"/>
                <w:szCs w:val="18"/>
              </w:rPr>
              <w:t>的持股比例降为 </w:t>
            </w:r>
            <w:r>
              <w:rPr>
                <w:rFonts w:ascii="Times New Roman" w:hAnsi="Times New Roman" w:cs="Times New Roman" w:eastAsia="Times New Roman" w:hint="default"/>
                <w:sz w:val="18"/>
                <w:szCs w:val="18"/>
              </w:rPr>
              <w:t>46.93%</w:t>
            </w:r>
            <w:r>
              <w:rPr>
                <w:rFonts w:ascii="宋体" w:hAnsi="宋体" w:cs="宋体" w:eastAsia="宋体" w:hint="default"/>
                <w:sz w:val="18"/>
                <w:szCs w:val="18"/>
              </w:rPr>
              <w:t>，同时，图</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吧 </w:t>
            </w:r>
            <w:r>
              <w:rPr>
                <w:rFonts w:ascii="Times New Roman" w:hAnsi="Times New Roman" w:cs="Times New Roman" w:eastAsia="Times New Roman" w:hint="default"/>
                <w:sz w:val="18"/>
                <w:szCs w:val="18"/>
              </w:rPr>
              <w:t>BVI </w:t>
            </w:r>
            <w:r>
              <w:rPr>
                <w:rFonts w:ascii="宋体" w:hAnsi="宋体" w:cs="宋体" w:eastAsia="宋体" w:hint="default"/>
                <w:sz w:val="18"/>
                <w:szCs w:val="18"/>
              </w:rPr>
              <w:t>董事会成员增至</w:t>
            </w:r>
            <w:r>
              <w:rPr>
                <w:rFonts w:ascii="宋体" w:hAnsi="宋体" w:cs="宋体" w:eastAsia="宋体" w:hint="default"/>
                <w:spacing w:val="-53"/>
                <w:sz w:val="18"/>
                <w:szCs w:val="18"/>
              </w:rPr>
              <w:t> </w:t>
            </w:r>
            <w:r>
              <w:rPr>
                <w:rFonts w:ascii="Times New Roman" w:hAnsi="Times New Roman" w:cs="Times New Roman" w:eastAsia="Times New Roman" w:hint="default"/>
                <w:spacing w:val="-3"/>
                <w:sz w:val="18"/>
                <w:szCs w:val="18"/>
              </w:rPr>
              <w:t>7</w:t>
            </w:r>
            <w:r>
              <w:rPr>
                <w:rFonts w:ascii="宋体" w:hAnsi="宋体" w:cs="宋体" w:eastAsia="宋体" w:hint="default"/>
                <w:spacing w:val="-3"/>
                <w:sz w:val="18"/>
                <w:szCs w:val="18"/>
              </w:rPr>
              <w:t>人，其中四维图新提名</w:t>
            </w: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名董事。因</w:t>
            </w:r>
            <w:r>
              <w:rPr>
                <w:rFonts w:ascii="宋体" w:hAnsi="宋体" w:cs="宋体" w:eastAsia="宋体" w:hint="default"/>
                <w:w w:val="99"/>
                <w:sz w:val="18"/>
                <w:szCs w:val="18"/>
              </w:rPr>
              <w:t> </w:t>
            </w:r>
            <w:r>
              <w:rPr>
                <w:rFonts w:ascii="宋体" w:hAnsi="宋体" w:cs="宋体" w:eastAsia="宋体" w:hint="default"/>
                <w:sz w:val="18"/>
                <w:szCs w:val="18"/>
              </w:rPr>
              <w:t>此，四维图新管理层判断其已经丧失对图吧</w:t>
            </w:r>
            <w:r>
              <w:rPr>
                <w:rFonts w:ascii="Times New Roman" w:hAnsi="Times New Roman" w:cs="Times New Roman" w:eastAsia="Times New Roman" w:hint="default"/>
                <w:sz w:val="18"/>
                <w:szCs w:val="18"/>
              </w:rPr>
              <w:t>BVI</w:t>
            </w:r>
            <w:r>
              <w:rPr>
                <w:rFonts w:ascii="宋体" w:hAnsi="宋体" w:cs="宋体" w:eastAsia="宋体" w:hint="default"/>
                <w:sz w:val="18"/>
                <w:szCs w:val="18"/>
              </w:rPr>
              <w:t>的控制权。</w:t>
            </w:r>
          </w:p>
          <w:p>
            <w:pPr>
              <w:pStyle w:val="TableParagraph"/>
              <w:spacing w:line="240" w:lineRule="auto" w:before="12"/>
              <w:ind w:right="0"/>
              <w:jc w:val="left"/>
              <w:rPr>
                <w:rFonts w:ascii="宋体" w:hAnsi="宋体" w:cs="宋体" w:eastAsia="宋体" w:hint="default"/>
                <w:sz w:val="12"/>
                <w:szCs w:val="12"/>
              </w:rPr>
            </w:pPr>
          </w:p>
          <w:p>
            <w:pPr>
              <w:pStyle w:val="TableParagraph"/>
              <w:spacing w:line="309" w:lineRule="auto"/>
              <w:ind w:left="4" w:right="-13" w:firstLine="451"/>
              <w:jc w:val="both"/>
              <w:rPr>
                <w:rFonts w:ascii="宋体" w:hAnsi="宋体" w:cs="宋体" w:eastAsia="宋体" w:hint="default"/>
                <w:sz w:val="18"/>
                <w:szCs w:val="18"/>
              </w:rPr>
            </w:pPr>
            <w:r>
              <w:rPr>
                <w:rFonts w:ascii="宋体" w:hAnsi="宋体" w:cs="宋体" w:eastAsia="宋体" w:hint="default"/>
                <w:spacing w:val="11"/>
                <w:sz w:val="18"/>
                <w:szCs w:val="18"/>
              </w:rPr>
              <w:t>因四维图新本年丧失对图吧</w:t>
            </w:r>
            <w:r>
              <w:rPr>
                <w:rFonts w:ascii="Times New Roman" w:hAnsi="Times New Roman" w:cs="Times New Roman" w:eastAsia="Times New Roman" w:hint="default"/>
                <w:spacing w:val="11"/>
                <w:sz w:val="18"/>
                <w:szCs w:val="18"/>
              </w:rPr>
              <w:t>BVI</w:t>
            </w:r>
            <w:r>
              <w:rPr>
                <w:rFonts w:ascii="宋体" w:hAnsi="宋体" w:cs="宋体" w:eastAsia="宋体" w:hint="default"/>
                <w:spacing w:val="11"/>
                <w:sz w:val="18"/>
                <w:szCs w:val="18"/>
              </w:rPr>
              <w:t>的控制权，导致图吧</w:t>
            </w:r>
            <w:r>
              <w:rPr>
                <w:rFonts w:ascii="宋体" w:hAnsi="宋体" w:cs="宋体" w:eastAsia="宋体" w:hint="default"/>
                <w:spacing w:val="12"/>
                <w:w w:val="99"/>
                <w:sz w:val="18"/>
                <w:szCs w:val="18"/>
              </w:rPr>
              <w:t> </w:t>
            </w:r>
            <w:r>
              <w:rPr>
                <w:rFonts w:ascii="Times New Roman" w:hAnsi="Times New Roman" w:cs="Times New Roman" w:eastAsia="Times New Roman" w:hint="default"/>
                <w:sz w:val="18"/>
                <w:szCs w:val="18"/>
              </w:rPr>
              <w:t>BVI</w:t>
            </w:r>
            <w:r>
              <w:rPr>
                <w:rFonts w:ascii="宋体" w:hAnsi="宋体" w:cs="宋体" w:eastAsia="宋体" w:hint="default"/>
                <w:sz w:val="18"/>
                <w:szCs w:val="18"/>
              </w:rPr>
              <w:t>、北京图吧及其协议控制的境内公司北京四维智联科技有</w:t>
            </w:r>
            <w:r>
              <w:rPr>
                <w:rFonts w:ascii="宋体" w:hAnsi="宋体" w:cs="宋体" w:eastAsia="宋体" w:hint="default"/>
                <w:w w:val="99"/>
                <w:sz w:val="18"/>
                <w:szCs w:val="18"/>
              </w:rPr>
              <w:t> </w:t>
            </w:r>
            <w:r>
              <w:rPr>
                <w:rFonts w:ascii="宋体" w:hAnsi="宋体" w:cs="宋体" w:eastAsia="宋体" w:hint="default"/>
                <w:spacing w:val="-3"/>
                <w:sz w:val="18"/>
                <w:szCs w:val="18"/>
              </w:rPr>
              <w:t>限公司（以下简称四维智联）以及四维智联子公司北京腾瑞万</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pacing w:val="-9"/>
                <w:w w:val="99"/>
                <w:sz w:val="18"/>
                <w:szCs w:val="18"/>
              </w:rPr>
              <w:t>里科技有限公司、北京腾瑞万里信息技术有限公司、和骊安（中</w:t>
            </w:r>
            <w:r>
              <w:rPr>
                <w:rFonts w:ascii="宋体" w:hAnsi="宋体" w:cs="宋体" w:eastAsia="宋体" w:hint="default"/>
                <w:spacing w:val="-78"/>
                <w:w w:val="99"/>
                <w:sz w:val="18"/>
                <w:szCs w:val="18"/>
              </w:rPr>
              <w:t> </w:t>
            </w:r>
            <w:r>
              <w:rPr>
                <w:rFonts w:ascii="宋体" w:hAnsi="宋体" w:cs="宋体" w:eastAsia="宋体" w:hint="default"/>
                <w:spacing w:val="-78"/>
                <w:w w:val="99"/>
                <w:sz w:val="18"/>
                <w:szCs w:val="18"/>
              </w:rPr>
            </w:r>
            <w:r>
              <w:rPr>
                <w:rFonts w:ascii="宋体" w:hAnsi="宋体" w:cs="宋体" w:eastAsia="宋体" w:hint="default"/>
                <w:spacing w:val="-3"/>
                <w:sz w:val="18"/>
                <w:szCs w:val="18"/>
              </w:rPr>
              <w:t>国）汽车信息系统有限公司、上海趣驾信息科技有限公司、大</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pacing w:val="-3"/>
                <w:sz w:val="18"/>
                <w:szCs w:val="18"/>
              </w:rPr>
              <w:t>连车为先科技有限公司不再纳入四维图新本年合并范围。四维</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pacing w:val="6"/>
                <w:sz w:val="18"/>
                <w:szCs w:val="18"/>
              </w:rPr>
              <w:t>图新对图吧</w:t>
            </w:r>
            <w:r>
              <w:rPr>
                <w:rFonts w:ascii="Times New Roman" w:hAnsi="Times New Roman" w:cs="Times New Roman" w:eastAsia="Times New Roman" w:hint="default"/>
                <w:spacing w:val="6"/>
                <w:sz w:val="18"/>
                <w:szCs w:val="18"/>
              </w:rPr>
              <w:t>BVI</w:t>
            </w:r>
            <w:r>
              <w:rPr>
                <w:rFonts w:ascii="宋体" w:hAnsi="宋体" w:cs="宋体" w:eastAsia="宋体" w:hint="default"/>
                <w:spacing w:val="6"/>
                <w:sz w:val="18"/>
                <w:szCs w:val="18"/>
              </w:rPr>
              <w:t>丧失控制权导致四维图新合并报表层面本年</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增加投资收益</w:t>
            </w:r>
            <w:r>
              <w:rPr>
                <w:rFonts w:ascii="Times New Roman" w:hAnsi="Times New Roman" w:cs="Times New Roman" w:eastAsia="Times New Roman" w:hint="default"/>
                <w:sz w:val="18"/>
                <w:szCs w:val="18"/>
              </w:rPr>
              <w:t>107,627.78</w:t>
            </w:r>
            <w:r>
              <w:rPr>
                <w:rFonts w:ascii="宋体" w:hAnsi="宋体" w:cs="宋体" w:eastAsia="宋体" w:hint="default"/>
                <w:sz w:val="18"/>
                <w:szCs w:val="18"/>
              </w:rPr>
              <w:t>万元。</w:t>
            </w:r>
          </w:p>
          <w:p>
            <w:pPr>
              <w:pStyle w:val="TableParagraph"/>
              <w:spacing w:line="307" w:lineRule="auto" w:before="161"/>
              <w:ind w:left="4" w:right="-2" w:firstLine="451"/>
              <w:jc w:val="both"/>
              <w:rPr>
                <w:rFonts w:ascii="宋体" w:hAnsi="宋体" w:cs="宋体" w:eastAsia="宋体" w:hint="default"/>
                <w:sz w:val="18"/>
                <w:szCs w:val="18"/>
              </w:rPr>
            </w:pPr>
            <w:r>
              <w:rPr>
                <w:rFonts w:ascii="宋体" w:hAnsi="宋体" w:cs="宋体" w:eastAsia="宋体" w:hint="default"/>
                <w:spacing w:val="2"/>
                <w:sz w:val="18"/>
                <w:szCs w:val="18"/>
              </w:rPr>
              <w:t>因图吧</w:t>
            </w:r>
            <w:r>
              <w:rPr>
                <w:rFonts w:ascii="Times New Roman" w:hAnsi="Times New Roman" w:cs="Times New Roman" w:eastAsia="Times New Roman" w:hint="default"/>
                <w:spacing w:val="2"/>
                <w:sz w:val="18"/>
                <w:szCs w:val="18"/>
              </w:rPr>
              <w:t>BVI</w:t>
            </w:r>
            <w:r>
              <w:rPr>
                <w:rFonts w:ascii="宋体" w:hAnsi="宋体" w:cs="宋体" w:eastAsia="宋体" w:hint="default"/>
                <w:spacing w:val="2"/>
                <w:sz w:val="18"/>
                <w:szCs w:val="18"/>
              </w:rPr>
              <w:t>增资扩股事项导致四维图新失去对其控制权</w:t>
            </w:r>
            <w:r>
              <w:rPr>
                <w:rFonts w:ascii="宋体" w:hAnsi="宋体" w:cs="宋体" w:eastAsia="宋体" w:hint="default"/>
                <w:sz w:val="18"/>
                <w:szCs w:val="18"/>
              </w:rPr>
              <w:t> </w:t>
            </w:r>
            <w:r>
              <w:rPr>
                <w:rFonts w:ascii="宋体" w:hAnsi="宋体" w:cs="宋体" w:eastAsia="宋体" w:hint="default"/>
                <w:spacing w:val="-3"/>
                <w:sz w:val="18"/>
                <w:szCs w:val="18"/>
              </w:rPr>
              <w:t>需要进行判断。上述判断具有一定的复杂性和主观性，而且结</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pacing w:val="-3"/>
                <w:sz w:val="18"/>
                <w:szCs w:val="18"/>
              </w:rPr>
              <w:t>果与财务报表广泛相关，并对</w:t>
            </w:r>
            <w:r>
              <w:rPr>
                <w:rFonts w:ascii="Times New Roman" w:hAnsi="Times New Roman" w:cs="Times New Roman" w:eastAsia="Times New Roman" w:hint="default"/>
                <w:spacing w:val="-3"/>
                <w:sz w:val="18"/>
                <w:szCs w:val="18"/>
              </w:rPr>
              <w:t>2018</w:t>
            </w:r>
            <w:r>
              <w:rPr>
                <w:rFonts w:ascii="宋体" w:hAnsi="宋体" w:cs="宋体" w:eastAsia="宋体" w:hint="default"/>
                <w:spacing w:val="-3"/>
                <w:sz w:val="18"/>
                <w:szCs w:val="18"/>
              </w:rPr>
              <w:t>年经营成果影响重大，因此</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我们认为该事项属于合并财务报表审计的关键审计事项。</w:t>
            </w:r>
          </w:p>
        </w:tc>
        <w:tc>
          <w:tcPr>
            <w:tcW w:w="48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300" w:lineRule="auto"/>
              <w:ind w:left="4" w:right="3"/>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）查阅图吧</w:t>
            </w:r>
            <w:r>
              <w:rPr>
                <w:rFonts w:ascii="宋体" w:hAnsi="宋体" w:cs="宋体" w:eastAsia="宋体" w:hint="default"/>
                <w:spacing w:val="-17"/>
                <w:sz w:val="18"/>
                <w:szCs w:val="18"/>
              </w:rPr>
              <w:t> </w:t>
            </w:r>
            <w:r>
              <w:rPr>
                <w:rFonts w:ascii="Times New Roman" w:hAnsi="Times New Roman" w:cs="Times New Roman" w:eastAsia="Times New Roman" w:hint="default"/>
                <w:sz w:val="18"/>
                <w:szCs w:val="18"/>
              </w:rPr>
              <w:t>BVI</w:t>
            </w:r>
            <w:r>
              <w:rPr>
                <w:rFonts w:ascii="宋体" w:hAnsi="宋体" w:cs="宋体" w:eastAsia="宋体" w:hint="default"/>
                <w:sz w:val="18"/>
                <w:szCs w:val="18"/>
              </w:rPr>
              <w:t>增资扩股协议及相关内部控制制度，评价</w:t>
            </w:r>
            <w:r>
              <w:rPr>
                <w:rFonts w:ascii="宋体" w:hAnsi="宋体" w:cs="宋体" w:eastAsia="宋体" w:hint="default"/>
                <w:w w:val="99"/>
                <w:sz w:val="18"/>
                <w:szCs w:val="18"/>
              </w:rPr>
              <w:t> </w:t>
            </w:r>
            <w:r>
              <w:rPr>
                <w:rFonts w:ascii="宋体" w:hAnsi="宋体" w:cs="宋体" w:eastAsia="宋体" w:hint="default"/>
                <w:sz w:val="18"/>
                <w:szCs w:val="18"/>
              </w:rPr>
              <w:t>相关内部控制是否健全，相关内控制度执行是否有效；</w:t>
            </w:r>
          </w:p>
          <w:p>
            <w:pPr>
              <w:pStyle w:val="TableParagraph"/>
              <w:spacing w:line="240" w:lineRule="auto" w:before="4"/>
              <w:ind w:right="0"/>
              <w:jc w:val="left"/>
              <w:rPr>
                <w:rFonts w:ascii="宋体" w:hAnsi="宋体" w:cs="宋体" w:eastAsia="宋体" w:hint="default"/>
                <w:sz w:val="14"/>
                <w:szCs w:val="14"/>
              </w:rPr>
            </w:pPr>
          </w:p>
          <w:p>
            <w:pPr>
              <w:pStyle w:val="TableParagraph"/>
              <w:spacing w:line="300" w:lineRule="auto"/>
              <w:ind w:left="4" w:right="3"/>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）询问管理层对图吧</w:t>
            </w:r>
            <w:r>
              <w:rPr>
                <w:rFonts w:ascii="宋体" w:hAnsi="宋体" w:cs="宋体" w:eastAsia="宋体" w:hint="default"/>
                <w:spacing w:val="-17"/>
                <w:sz w:val="18"/>
                <w:szCs w:val="18"/>
              </w:rPr>
              <w:t> </w:t>
            </w:r>
            <w:r>
              <w:rPr>
                <w:rFonts w:ascii="Times New Roman" w:hAnsi="Times New Roman" w:cs="Times New Roman" w:eastAsia="Times New Roman" w:hint="default"/>
                <w:sz w:val="18"/>
                <w:szCs w:val="18"/>
              </w:rPr>
              <w:t>BVI</w:t>
            </w:r>
            <w:r>
              <w:rPr>
                <w:rFonts w:ascii="宋体" w:hAnsi="宋体" w:cs="宋体" w:eastAsia="宋体" w:hint="default"/>
                <w:sz w:val="18"/>
                <w:szCs w:val="18"/>
              </w:rPr>
              <w:t>增资扩股导致其丧失控制权实质</w:t>
            </w:r>
            <w:r>
              <w:rPr>
                <w:rFonts w:ascii="宋体" w:hAnsi="宋体" w:cs="宋体" w:eastAsia="宋体" w:hint="default"/>
                <w:w w:val="99"/>
                <w:sz w:val="18"/>
                <w:szCs w:val="18"/>
              </w:rPr>
              <w:t> </w:t>
            </w:r>
            <w:r>
              <w:rPr>
                <w:rFonts w:ascii="宋体" w:hAnsi="宋体" w:cs="宋体" w:eastAsia="宋体" w:hint="default"/>
                <w:sz w:val="18"/>
                <w:szCs w:val="18"/>
              </w:rPr>
              <w:t>性判断，评价管理层判断的合理性及合规性；</w:t>
            </w:r>
          </w:p>
          <w:p>
            <w:pPr>
              <w:pStyle w:val="TableParagraph"/>
              <w:spacing w:line="240" w:lineRule="auto" w:before="4"/>
              <w:ind w:right="0"/>
              <w:jc w:val="left"/>
              <w:rPr>
                <w:rFonts w:ascii="宋体" w:hAnsi="宋体" w:cs="宋体" w:eastAsia="宋体" w:hint="default"/>
                <w:sz w:val="14"/>
                <w:szCs w:val="14"/>
              </w:rPr>
            </w:pPr>
          </w:p>
          <w:p>
            <w:pPr>
              <w:pStyle w:val="TableParagraph"/>
              <w:spacing w:line="300" w:lineRule="auto"/>
              <w:ind w:left="4" w:right="4"/>
              <w:jc w:val="left"/>
              <w:rPr>
                <w:rFonts w:ascii="宋体" w:hAnsi="宋体" w:cs="宋体" w:eastAsia="宋体" w:hint="default"/>
                <w:sz w:val="18"/>
                <w:szCs w:val="18"/>
              </w:rPr>
            </w:pP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）检查图吧</w:t>
            </w:r>
            <w:r>
              <w:rPr>
                <w:rFonts w:ascii="Times New Roman" w:hAnsi="Times New Roman" w:cs="Times New Roman" w:eastAsia="Times New Roman" w:hint="default"/>
                <w:spacing w:val="2"/>
                <w:sz w:val="18"/>
                <w:szCs w:val="18"/>
              </w:rPr>
              <w:t>BVI</w:t>
            </w:r>
            <w:r>
              <w:rPr>
                <w:rFonts w:ascii="宋体" w:hAnsi="宋体" w:cs="宋体" w:eastAsia="宋体" w:hint="default"/>
                <w:spacing w:val="2"/>
                <w:sz w:val="18"/>
                <w:szCs w:val="18"/>
              </w:rPr>
              <w:t>增资扩股资金实际到位情况，是否与增资</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扩股协议相符；</w:t>
            </w:r>
          </w:p>
          <w:p>
            <w:pPr>
              <w:pStyle w:val="TableParagraph"/>
              <w:spacing w:line="240" w:lineRule="auto" w:before="4"/>
              <w:ind w:right="0"/>
              <w:jc w:val="left"/>
              <w:rPr>
                <w:rFonts w:ascii="宋体" w:hAnsi="宋体" w:cs="宋体" w:eastAsia="宋体" w:hint="default"/>
                <w:sz w:val="14"/>
                <w:szCs w:val="14"/>
              </w:rPr>
            </w:pPr>
          </w:p>
          <w:p>
            <w:pPr>
              <w:pStyle w:val="TableParagraph"/>
              <w:spacing w:line="300" w:lineRule="auto"/>
              <w:ind w:left="4" w:right="2"/>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）检查并测算四维图新丧失图吧</w:t>
            </w:r>
            <w:r>
              <w:rPr>
                <w:rFonts w:ascii="宋体" w:hAnsi="宋体" w:cs="宋体" w:eastAsia="宋体" w:hint="default"/>
                <w:spacing w:val="-15"/>
                <w:sz w:val="18"/>
                <w:szCs w:val="18"/>
              </w:rPr>
              <w:t> </w:t>
            </w:r>
            <w:r>
              <w:rPr>
                <w:rFonts w:ascii="Times New Roman" w:hAnsi="Times New Roman" w:cs="Times New Roman" w:eastAsia="Times New Roman" w:hint="default"/>
                <w:sz w:val="18"/>
                <w:szCs w:val="18"/>
              </w:rPr>
              <w:t>BVI</w:t>
            </w:r>
            <w:r>
              <w:rPr>
                <w:rFonts w:ascii="宋体" w:hAnsi="宋体" w:cs="宋体" w:eastAsia="宋体" w:hint="default"/>
                <w:sz w:val="18"/>
                <w:szCs w:val="18"/>
              </w:rPr>
              <w:t>控制权会计核算的合</w:t>
            </w:r>
            <w:r>
              <w:rPr>
                <w:rFonts w:ascii="宋体" w:hAnsi="宋体" w:cs="宋体" w:eastAsia="宋体" w:hint="default"/>
                <w:w w:val="99"/>
                <w:sz w:val="18"/>
                <w:szCs w:val="18"/>
              </w:rPr>
              <w:t> </w:t>
            </w:r>
            <w:r>
              <w:rPr>
                <w:rFonts w:ascii="宋体" w:hAnsi="宋体" w:cs="宋体" w:eastAsia="宋体" w:hint="default"/>
                <w:sz w:val="18"/>
                <w:szCs w:val="18"/>
              </w:rPr>
              <w:t>规性、准确性。</w:t>
            </w:r>
          </w:p>
        </w:tc>
      </w:tr>
    </w:tbl>
    <w:p>
      <w:pPr>
        <w:spacing w:line="240" w:lineRule="auto" w:before="2"/>
        <w:rPr>
          <w:rFonts w:ascii="宋体" w:hAnsi="宋体" w:cs="宋体" w:eastAsia="宋体" w:hint="default"/>
          <w:sz w:val="20"/>
          <w:szCs w:val="20"/>
        </w:rPr>
      </w:pPr>
    </w:p>
    <w:p>
      <w:pPr>
        <w:pStyle w:val="Heading4"/>
        <w:spacing w:line="240" w:lineRule="auto" w:before="36"/>
        <w:ind w:left="241" w:right="982"/>
        <w:jc w:val="left"/>
        <w:rPr>
          <w:b w:val="0"/>
          <w:bCs w:val="0"/>
        </w:rPr>
      </w:pPr>
      <w:r>
        <w:rPr/>
        <w:t>四、其他信息</w:t>
      </w:r>
      <w:r>
        <w:rPr>
          <w:b w:val="0"/>
          <w:bCs w:val="0"/>
        </w:rPr>
      </w:r>
    </w:p>
    <w:p>
      <w:pPr>
        <w:spacing w:line="240" w:lineRule="auto" w:before="4"/>
        <w:rPr>
          <w:rFonts w:ascii="宋体" w:hAnsi="宋体" w:cs="宋体" w:eastAsia="宋体" w:hint="default"/>
          <w:b/>
          <w:bCs/>
          <w:sz w:val="28"/>
          <w:szCs w:val="28"/>
        </w:rPr>
      </w:pPr>
    </w:p>
    <w:p>
      <w:pPr>
        <w:pStyle w:val="BodyText"/>
        <w:spacing w:line="300" w:lineRule="auto"/>
        <w:ind w:right="982" w:firstLine="439"/>
        <w:jc w:val="left"/>
      </w:pPr>
      <w:r>
        <w:rPr/>
        <w:t>四维图新管理层</w:t>
      </w:r>
      <w:r>
        <w:rPr>
          <w:rFonts w:ascii="Times New Roman" w:hAnsi="Times New Roman" w:cs="Times New Roman" w:eastAsia="Times New Roman" w:hint="default"/>
        </w:rPr>
        <w:t>(</w:t>
      </w:r>
      <w:r>
        <w:rPr/>
        <w:t>以下简称管理层</w:t>
      </w:r>
      <w:r>
        <w:rPr>
          <w:rFonts w:ascii="Times New Roman" w:hAnsi="Times New Roman" w:cs="Times New Roman" w:eastAsia="Times New Roman" w:hint="default"/>
        </w:rPr>
        <w:t>)</w:t>
      </w:r>
      <w:r>
        <w:rPr/>
        <w:t>对其他信息负责。其他信息包括四维图新</w:t>
      </w:r>
      <w:r>
        <w:rPr>
          <w:rFonts w:ascii="Times New Roman" w:hAnsi="Times New Roman" w:cs="Times New Roman" w:eastAsia="Times New Roman" w:hint="default"/>
        </w:rPr>
        <w:t>2018</w:t>
      </w:r>
      <w:r>
        <w:rPr/>
        <w:t>年年度报告中涵盖的信息，但不包括 财务报表和我们的审计报告。</w:t>
      </w:r>
    </w:p>
    <w:p>
      <w:pPr>
        <w:pStyle w:val="BodyText"/>
        <w:spacing w:line="624" w:lineRule="exact" w:before="54"/>
        <w:ind w:left="592" w:right="1134"/>
        <w:jc w:val="left"/>
      </w:pPr>
      <w:r>
        <w:rPr/>
        <w:t>我们对财务报表发表的审计意见不涵盖其他信息，我们也不对其他信息发表任何形式的鉴证结论。 结合我们对财务报表的审计，我们的责任是阅读其他信息，在此过程中，考虑其他信息是否与财务报表或我们在审计</w:t>
      </w:r>
    </w:p>
    <w:p>
      <w:pPr>
        <w:pStyle w:val="BodyText"/>
        <w:spacing w:line="213" w:lineRule="exact"/>
        <w:ind w:right="982"/>
        <w:jc w:val="left"/>
      </w:pPr>
      <w:r>
        <w:rPr/>
        <w:t>过程中了解到的情况存在重大不一致或者似乎存在重大错报。</w:t>
      </w:r>
    </w:p>
    <w:p>
      <w:pPr>
        <w:spacing w:line="240" w:lineRule="auto" w:before="0"/>
        <w:rPr>
          <w:rFonts w:ascii="宋体" w:hAnsi="宋体" w:cs="宋体" w:eastAsia="宋体" w:hint="default"/>
          <w:sz w:val="18"/>
          <w:szCs w:val="18"/>
        </w:rPr>
      </w:pPr>
    </w:p>
    <w:p>
      <w:pPr>
        <w:pStyle w:val="BodyText"/>
        <w:spacing w:line="316" w:lineRule="auto" w:before="153"/>
        <w:ind w:right="1135" w:firstLine="439"/>
        <w:jc w:val="left"/>
      </w:pPr>
      <w:r>
        <w:rPr/>
        <w:t>基于我们已执行的工作，如果我们确定其他信息存在重大错报，我们应当报告该事实。在这方面，我们无任何事项需 要报告。</w:t>
      </w:r>
    </w:p>
    <w:p>
      <w:pPr>
        <w:spacing w:line="240" w:lineRule="auto" w:before="10"/>
        <w:rPr>
          <w:rFonts w:ascii="宋体" w:hAnsi="宋体" w:cs="宋体" w:eastAsia="宋体" w:hint="default"/>
          <w:sz w:val="23"/>
          <w:szCs w:val="23"/>
        </w:rPr>
      </w:pPr>
    </w:p>
    <w:p>
      <w:pPr>
        <w:pStyle w:val="Heading4"/>
        <w:spacing w:line="240" w:lineRule="auto"/>
        <w:ind w:left="241" w:right="982"/>
        <w:jc w:val="left"/>
        <w:rPr>
          <w:b w:val="0"/>
          <w:bCs w:val="0"/>
        </w:rPr>
      </w:pPr>
      <w:r>
        <w:rPr/>
        <w:t>五、管理层和治理层对财务报表的责任</w:t>
      </w:r>
      <w:r>
        <w:rPr>
          <w:b w:val="0"/>
          <w:bCs w:val="0"/>
        </w:rPr>
      </w:r>
    </w:p>
    <w:p>
      <w:pPr>
        <w:spacing w:line="240" w:lineRule="auto" w:before="3"/>
        <w:rPr>
          <w:rFonts w:ascii="宋体" w:hAnsi="宋体" w:cs="宋体" w:eastAsia="宋体" w:hint="default"/>
          <w:b/>
          <w:bCs/>
          <w:sz w:val="28"/>
          <w:szCs w:val="28"/>
        </w:rPr>
      </w:pPr>
    </w:p>
    <w:p>
      <w:pPr>
        <w:pStyle w:val="BodyText"/>
        <w:spacing w:line="316" w:lineRule="auto"/>
        <w:ind w:right="1135" w:firstLine="439"/>
        <w:jc w:val="left"/>
      </w:pPr>
      <w:r>
        <w:rPr/>
        <w:t>管理层负责按照企业会计准则的规定编制财务报表，使其实现公允反映，并设计、执行和维护必要的内部控制，以使 财务报表不存在由于舞弊或错误导致的重大错报。</w:t>
      </w:r>
    </w:p>
    <w:p>
      <w:pPr>
        <w:spacing w:line="240" w:lineRule="auto" w:before="4"/>
        <w:rPr>
          <w:rFonts w:ascii="宋体" w:hAnsi="宋体" w:cs="宋体" w:eastAsia="宋体" w:hint="default"/>
          <w:sz w:val="25"/>
          <w:szCs w:val="25"/>
        </w:rPr>
      </w:pPr>
    </w:p>
    <w:p>
      <w:pPr>
        <w:pStyle w:val="BodyText"/>
        <w:spacing w:line="316" w:lineRule="auto"/>
        <w:ind w:right="1135" w:firstLine="439"/>
        <w:jc w:val="left"/>
      </w:pPr>
      <w:r>
        <w:rPr/>
        <w:t>在编制财务报表时，管理层负责评估四维图新的持续经营能力，披露与持续经营相关的事项（如适用），并运用持续 经营假设，除非管理层计划清算四维图新、终止运营或别无其他现实的选择。</w:t>
      </w:r>
    </w:p>
    <w:p>
      <w:pPr>
        <w:spacing w:line="240" w:lineRule="auto" w:before="4"/>
        <w:rPr>
          <w:rFonts w:ascii="宋体" w:hAnsi="宋体" w:cs="宋体" w:eastAsia="宋体" w:hint="default"/>
          <w:sz w:val="25"/>
          <w:szCs w:val="25"/>
        </w:rPr>
      </w:pPr>
    </w:p>
    <w:p>
      <w:pPr>
        <w:pStyle w:val="BodyText"/>
        <w:spacing w:line="240" w:lineRule="auto"/>
        <w:ind w:left="592" w:right="982"/>
        <w:jc w:val="left"/>
      </w:pPr>
      <w:r>
        <w:rPr/>
        <w:t>治理层负责监督四维图新的财务报告过程。</w:t>
      </w:r>
    </w:p>
    <w:p>
      <w:pPr>
        <w:spacing w:after="0" w:line="240" w:lineRule="auto"/>
        <w:jc w:val="left"/>
        <w:sectPr>
          <w:pgSz w:w="11910" w:h="16840"/>
          <w:pgMar w:header="745" w:footer="979"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6"/>
        <w:ind w:left="241" w:right="982"/>
        <w:jc w:val="left"/>
        <w:rPr>
          <w:b w:val="0"/>
          <w:bCs w:val="0"/>
        </w:rPr>
      </w:pPr>
      <w:r>
        <w:rPr/>
        <w:t>六、注册会计师对财务报表审计的责任</w:t>
      </w:r>
      <w:r>
        <w:rPr>
          <w:b w:val="0"/>
          <w:bCs w:val="0"/>
        </w:rPr>
      </w:r>
    </w:p>
    <w:p>
      <w:pPr>
        <w:spacing w:line="240" w:lineRule="auto" w:before="4"/>
        <w:rPr>
          <w:rFonts w:ascii="宋体" w:hAnsi="宋体" w:cs="宋体" w:eastAsia="宋体" w:hint="default"/>
          <w:b/>
          <w:bCs/>
          <w:sz w:val="28"/>
          <w:szCs w:val="28"/>
        </w:rPr>
      </w:pPr>
    </w:p>
    <w:p>
      <w:pPr>
        <w:pStyle w:val="BodyText"/>
        <w:spacing w:line="316" w:lineRule="auto"/>
        <w:ind w:right="1130" w:firstLine="439"/>
        <w:jc w:val="both"/>
      </w:pPr>
      <w:r>
        <w:rPr/>
        <w:t>我们的目标是对财务报表整体是否不存在由于舞弊或错误导致的重大错报获取合理保证，并出具包含审计意见的审计 </w:t>
      </w:r>
      <w:r>
        <w:rPr>
          <w:spacing w:val="-2"/>
        </w:rPr>
        <w:t>报告。合理保证是高水平的保证，但并不能保证按照审计准则执行的审计在某一重大错报存在时总能发现。错报可能由于舞</w:t>
      </w:r>
      <w:r>
        <w:rPr>
          <w:spacing w:val="-63"/>
        </w:rPr>
        <w:t> </w:t>
      </w:r>
      <w:r>
        <w:rPr>
          <w:spacing w:val="-63"/>
        </w:rPr>
      </w:r>
      <w:r>
        <w:rPr>
          <w:spacing w:val="-2"/>
        </w:rPr>
        <w:t>弊或错误导致，如果合理预期错报单独或汇总起来可能影响财务报表使用者依据财务报表作出的经济决策，则通常认为错报</w:t>
      </w:r>
      <w:r>
        <w:rPr>
          <w:spacing w:val="-64"/>
        </w:rPr>
        <w:t> </w:t>
      </w:r>
      <w:r>
        <w:rPr>
          <w:spacing w:val="-64"/>
        </w:rPr>
      </w:r>
      <w:r>
        <w:rPr/>
        <w:t>是重大的。</w:t>
      </w:r>
    </w:p>
    <w:p>
      <w:pPr>
        <w:spacing w:line="240" w:lineRule="auto" w:before="4"/>
        <w:rPr>
          <w:rFonts w:ascii="宋体" w:hAnsi="宋体" w:cs="宋体" w:eastAsia="宋体" w:hint="default"/>
          <w:sz w:val="25"/>
          <w:szCs w:val="25"/>
        </w:rPr>
      </w:pPr>
    </w:p>
    <w:p>
      <w:pPr>
        <w:pStyle w:val="BodyText"/>
        <w:spacing w:line="240" w:lineRule="auto"/>
        <w:ind w:left="592" w:right="982"/>
        <w:jc w:val="left"/>
      </w:pPr>
      <w:r>
        <w:rPr/>
        <w:t>在按照审计准则执行审计工作的过程中，我们运用职业判断，并保持职业怀疑。同时，我们也执行以下工作：</w:t>
      </w:r>
    </w:p>
    <w:p>
      <w:pPr>
        <w:spacing w:line="240" w:lineRule="auto" w:before="0"/>
        <w:rPr>
          <w:rFonts w:ascii="宋体" w:hAnsi="宋体" w:cs="宋体" w:eastAsia="宋体" w:hint="default"/>
          <w:sz w:val="18"/>
          <w:szCs w:val="18"/>
        </w:rPr>
      </w:pPr>
    </w:p>
    <w:p>
      <w:pPr>
        <w:pStyle w:val="BodyText"/>
        <w:spacing w:line="309" w:lineRule="auto" w:before="153"/>
        <w:ind w:left="513" w:right="1129" w:hanging="361"/>
        <w:jc w:val="both"/>
      </w:pP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识别和评估由于舞弊或错误导致的财务报表重大错报风险，设计和实施审计程序以应对这些风险，并获取充分、适当的 </w:t>
      </w:r>
      <w:r>
        <w:rPr>
          <w:spacing w:val="-2"/>
        </w:rPr>
        <w:t>审计证据，作为发表审计意见的基础。由于舞弊可能涉及串通、伪造、故意遗漏、虚假陈述或凌驾于内部控制之上，未</w:t>
      </w:r>
      <w:r>
        <w:rPr/>
        <w:t> 能发现由于舞弊导致的重大错报的风险高于未能发现由于错误导致的重大错报的风险。</w:t>
      </w:r>
    </w:p>
    <w:p>
      <w:pPr>
        <w:spacing w:line="240" w:lineRule="auto" w:before="10"/>
        <w:rPr>
          <w:rFonts w:ascii="宋体" w:hAnsi="宋体" w:cs="宋体" w:eastAsia="宋体" w:hint="default"/>
          <w:sz w:val="25"/>
          <w:szCs w:val="25"/>
        </w:rPr>
      </w:pPr>
    </w:p>
    <w:p>
      <w:pPr>
        <w:pStyle w:val="BodyText"/>
        <w:tabs>
          <w:tab w:pos="513" w:val="left" w:leader="none"/>
        </w:tabs>
        <w:spacing w:line="240" w:lineRule="auto"/>
        <w:ind w:right="982"/>
        <w:jc w:val="left"/>
      </w:pPr>
      <w:r>
        <w:rPr>
          <w:rFonts w:ascii="Times New Roman" w:hAnsi="Times New Roman" w:cs="Times New Roman" w:eastAsia="Times New Roman" w:hint="default"/>
        </w:rPr>
        <w:t>2.</w:t>
        <w:tab/>
      </w:r>
      <w:r>
        <w:rPr/>
        <w:t>了解与审计相关的内部控制，以设计恰当的审计程序，但目的并非对内部控制的有效性发表意见。</w:t>
      </w:r>
    </w:p>
    <w:p>
      <w:pPr>
        <w:spacing w:line="240" w:lineRule="auto" w:before="0"/>
        <w:rPr>
          <w:rFonts w:ascii="宋体" w:hAnsi="宋体" w:cs="宋体" w:eastAsia="宋体" w:hint="default"/>
          <w:sz w:val="18"/>
          <w:szCs w:val="18"/>
        </w:rPr>
      </w:pPr>
    </w:p>
    <w:p>
      <w:pPr>
        <w:pStyle w:val="BodyText"/>
        <w:tabs>
          <w:tab w:pos="513" w:val="left" w:leader="none"/>
        </w:tabs>
        <w:spacing w:line="240" w:lineRule="auto" w:before="139"/>
        <w:ind w:right="982"/>
        <w:jc w:val="left"/>
      </w:pPr>
      <w:r>
        <w:rPr>
          <w:rFonts w:ascii="Times New Roman" w:hAnsi="Times New Roman" w:cs="Times New Roman" w:eastAsia="Times New Roman" w:hint="default"/>
        </w:rPr>
        <w:t>3.</w:t>
        <w:tab/>
      </w:r>
      <w:r>
        <w:rPr/>
        <w:t>评价管理层选用会计政策的恰当性和作出会计估计及相关披露的合理性。</w:t>
      </w:r>
    </w:p>
    <w:p>
      <w:pPr>
        <w:spacing w:line="240" w:lineRule="auto" w:before="0"/>
        <w:rPr>
          <w:rFonts w:ascii="宋体" w:hAnsi="宋体" w:cs="宋体" w:eastAsia="宋体" w:hint="default"/>
          <w:sz w:val="18"/>
          <w:szCs w:val="18"/>
        </w:rPr>
      </w:pPr>
    </w:p>
    <w:p>
      <w:pPr>
        <w:pStyle w:val="BodyText"/>
        <w:spacing w:line="312" w:lineRule="auto" w:before="139"/>
        <w:ind w:left="513" w:right="1130" w:hanging="361"/>
        <w:jc w:val="both"/>
      </w:pPr>
      <w:r>
        <w:rPr>
          <w:rFonts w:ascii="Times New Roman" w:hAnsi="Times New Roman" w:cs="Times New Roman" w:eastAsia="Times New Roman" w:hint="default"/>
        </w:rPr>
        <w:t>4.</w:t>
      </w:r>
      <w:r>
        <w:rPr>
          <w:rFonts w:ascii="Times New Roman" w:hAnsi="Times New Roman" w:cs="Times New Roman" w:eastAsia="Times New Roman" w:hint="default"/>
          <w:spacing w:val="10"/>
        </w:rPr>
        <w:t> </w:t>
      </w:r>
      <w:r>
        <w:rPr/>
        <w:t>对管理层使用持续经营假设的恰当性得出结论。同时，根据获取的审计证据，就可能导致对四维图新持续经营能力产生 </w:t>
      </w:r>
      <w:r>
        <w:rPr>
          <w:spacing w:val="-2"/>
        </w:rPr>
        <w:t>重大疑虑的事项或情况是否存在重大不确定性得出结论。如果我们得出结论认为存在重大不确定性，审计准则要求我们</w:t>
      </w:r>
      <w:r>
        <w:rPr/>
        <w:t> </w:t>
      </w:r>
      <w:r>
        <w:rPr>
          <w:spacing w:val="-2"/>
        </w:rPr>
        <w:t>在审计报告中提请报表使用者注意财务报表中的相关披露；如果披露不充分，我们应当发表非无保留意见。我们的结论</w:t>
      </w:r>
      <w:r>
        <w:rPr/>
        <w:t> 基于截至审计报告日可获得的信息。然而，未来的事项或情况可能导致四维图新不能持续经营。</w:t>
      </w:r>
    </w:p>
    <w:p>
      <w:pPr>
        <w:spacing w:line="240" w:lineRule="auto" w:before="7"/>
        <w:rPr>
          <w:rFonts w:ascii="宋体" w:hAnsi="宋体" w:cs="宋体" w:eastAsia="宋体" w:hint="default"/>
          <w:sz w:val="25"/>
          <w:szCs w:val="25"/>
        </w:rPr>
      </w:pPr>
    </w:p>
    <w:p>
      <w:pPr>
        <w:pStyle w:val="BodyText"/>
        <w:tabs>
          <w:tab w:pos="513" w:val="left" w:leader="none"/>
        </w:tabs>
        <w:spacing w:line="240" w:lineRule="auto"/>
        <w:ind w:right="982"/>
        <w:jc w:val="left"/>
      </w:pPr>
      <w:r>
        <w:rPr>
          <w:rFonts w:ascii="Times New Roman" w:hAnsi="Times New Roman" w:cs="Times New Roman" w:eastAsia="Times New Roman" w:hint="default"/>
        </w:rPr>
        <w:t>5.</w:t>
        <w:tab/>
      </w:r>
      <w:r>
        <w:rPr/>
        <w:t>评价财务报表的总体列报、结构和内容（包括披露），并评价财务报表是否公允反映相关交易和事项。</w:t>
      </w:r>
    </w:p>
    <w:p>
      <w:pPr>
        <w:spacing w:line="240" w:lineRule="auto" w:before="0"/>
        <w:rPr>
          <w:rFonts w:ascii="宋体" w:hAnsi="宋体" w:cs="宋体" w:eastAsia="宋体" w:hint="default"/>
          <w:sz w:val="18"/>
          <w:szCs w:val="18"/>
        </w:rPr>
      </w:pPr>
    </w:p>
    <w:p>
      <w:pPr>
        <w:pStyle w:val="BodyText"/>
        <w:spacing w:line="300" w:lineRule="auto" w:before="139"/>
        <w:ind w:left="513" w:right="1133" w:hanging="361"/>
        <w:jc w:val="both"/>
      </w:pPr>
      <w:r>
        <w:rPr>
          <w:rFonts w:ascii="Times New Roman" w:hAnsi="Times New Roman" w:cs="Times New Roman" w:eastAsia="Times New Roman" w:hint="default"/>
        </w:rPr>
        <w:t>6.</w:t>
      </w:r>
      <w:r>
        <w:rPr>
          <w:rFonts w:ascii="Times New Roman" w:hAnsi="Times New Roman" w:cs="Times New Roman" w:eastAsia="Times New Roman" w:hint="default"/>
          <w:spacing w:val="9"/>
        </w:rPr>
        <w:t> </w:t>
      </w:r>
      <w:r>
        <w:rPr/>
        <w:t>就四维图新中实体或业务活动的财务信息获取充分、适当的审计证据，以对财务报表发表审计意见。我们负责指导、监 督和执行集团审计，并对审计意见承担全部责任。</w:t>
      </w:r>
    </w:p>
    <w:p>
      <w:pPr>
        <w:spacing w:line="240" w:lineRule="auto" w:before="3"/>
        <w:rPr>
          <w:rFonts w:ascii="宋体" w:hAnsi="宋体" w:cs="宋体" w:eastAsia="宋体" w:hint="default"/>
          <w:sz w:val="26"/>
          <w:szCs w:val="26"/>
        </w:rPr>
      </w:pPr>
    </w:p>
    <w:p>
      <w:pPr>
        <w:pStyle w:val="BodyText"/>
        <w:spacing w:line="316" w:lineRule="auto"/>
        <w:ind w:right="1135" w:firstLine="439"/>
        <w:jc w:val="both"/>
      </w:pPr>
      <w:r>
        <w:rPr/>
        <w:t>我们与治理层就计划的审计范围、时间安排和重大审计发现等事项进行沟通，包括沟通我们在审计中识别出的值得关 注的内部控制缺陷。</w:t>
      </w:r>
    </w:p>
    <w:p>
      <w:pPr>
        <w:spacing w:line="240" w:lineRule="auto" w:before="4"/>
        <w:rPr>
          <w:rFonts w:ascii="宋体" w:hAnsi="宋体" w:cs="宋体" w:eastAsia="宋体" w:hint="default"/>
          <w:sz w:val="25"/>
          <w:szCs w:val="25"/>
        </w:rPr>
      </w:pPr>
    </w:p>
    <w:p>
      <w:pPr>
        <w:pStyle w:val="BodyText"/>
        <w:spacing w:line="316" w:lineRule="auto"/>
        <w:ind w:right="1136" w:firstLine="439"/>
        <w:jc w:val="both"/>
      </w:pPr>
      <w:r>
        <w:rPr/>
        <w:t>我们还就已遵守与独立性相关的职业道德要求向治理层提供声明，并与治理层沟通可能被合理认为影响我们独立性的 所有关系和其他事项，以及相关的防范措施（如适用）。</w:t>
      </w:r>
    </w:p>
    <w:p>
      <w:pPr>
        <w:spacing w:line="240" w:lineRule="auto" w:before="4"/>
        <w:rPr>
          <w:rFonts w:ascii="宋体" w:hAnsi="宋体" w:cs="宋体" w:eastAsia="宋体" w:hint="default"/>
          <w:sz w:val="25"/>
          <w:szCs w:val="25"/>
        </w:rPr>
      </w:pPr>
    </w:p>
    <w:p>
      <w:pPr>
        <w:pStyle w:val="BodyText"/>
        <w:spacing w:line="319" w:lineRule="auto"/>
        <w:ind w:right="1133" w:firstLine="439"/>
        <w:jc w:val="both"/>
      </w:pPr>
      <w:r>
        <w:rPr/>
        <w:t>从与治理层沟通过的事项中，我们确定哪些事项对本期财务报表审计最为重要，因而构成关键审计事项。我们在审计 </w:t>
      </w:r>
      <w:r>
        <w:rPr>
          <w:spacing w:val="-2"/>
        </w:rPr>
        <w:t>报告中描述这些事项，除非法律法规禁止公开披露这些事项，或在极少数情形下，如果合理预期在审计报告中沟通某事项造</w:t>
      </w:r>
      <w:r>
        <w:rPr>
          <w:spacing w:val="-66"/>
        </w:rPr>
        <w:t> </w:t>
      </w:r>
      <w:r>
        <w:rPr>
          <w:spacing w:val="-66"/>
        </w:rPr>
      </w:r>
      <w:r>
        <w:rPr/>
        <w:t>成的负面后果超过在公众利益方面产生的益处，我们确定不应在审计报告中沟通该事项。</w:t>
      </w:r>
    </w:p>
    <w:p>
      <w:pPr>
        <w:spacing w:after="0" w:line="319" w:lineRule="auto"/>
        <w:jc w:val="both"/>
        <w:sectPr>
          <w:pgSz w:w="11910" w:h="16840"/>
          <w:pgMar w:header="745" w:footer="979" w:top="1060" w:bottom="116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982"/>
        <w:jc w:val="left"/>
        <w:rPr>
          <w:b w:val="0"/>
          <w:bCs w:val="0"/>
        </w:rPr>
      </w:pPr>
      <w:r>
        <w:rPr/>
        <w:t>二、财务报表</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982"/>
        <w:jc w:val="left"/>
      </w:pPr>
      <w:r>
        <w:rPr/>
        <w:t>财务附注中报表的单位为：人民币元</w:t>
      </w:r>
    </w:p>
    <w:p>
      <w:pPr>
        <w:spacing w:line="240" w:lineRule="auto" w:before="0"/>
        <w:rPr>
          <w:rFonts w:ascii="宋体" w:hAnsi="宋体" w:cs="宋体" w:eastAsia="宋体" w:hint="default"/>
          <w:sz w:val="18"/>
          <w:szCs w:val="18"/>
        </w:rPr>
      </w:pPr>
    </w:p>
    <w:p>
      <w:pPr>
        <w:pStyle w:val="Heading4"/>
        <w:spacing w:line="240" w:lineRule="auto" w:before="118"/>
        <w:ind w:right="982"/>
        <w:jc w:val="left"/>
        <w:rPr>
          <w:b w:val="0"/>
          <w:bCs w:val="0"/>
        </w:rPr>
      </w:pPr>
      <w:r>
        <w:rPr>
          <w:rFonts w:ascii="Times New Roman" w:hAnsi="Times New Roman" w:cs="Times New Roman" w:eastAsia="Times New Roman" w:hint="default"/>
        </w:rPr>
        <w:t>1</w:t>
      </w:r>
      <w:r>
        <w:rPr/>
        <w:t>、合并资产负债表</w:t>
      </w:r>
      <w:r>
        <w:rPr>
          <w:b w:val="0"/>
          <w:bCs w:val="0"/>
        </w:rPr>
      </w:r>
    </w:p>
    <w:p>
      <w:pPr>
        <w:spacing w:line="240" w:lineRule="auto" w:before="12"/>
        <w:rPr>
          <w:rFonts w:ascii="宋体" w:hAnsi="宋体" w:cs="宋体" w:eastAsia="宋体" w:hint="default"/>
          <w:b/>
          <w:bCs/>
          <w:sz w:val="22"/>
          <w:szCs w:val="22"/>
        </w:rPr>
      </w:pPr>
    </w:p>
    <w:p>
      <w:pPr>
        <w:spacing w:after="0" w:line="240" w:lineRule="auto"/>
        <w:rPr>
          <w:rFonts w:ascii="宋体" w:hAnsi="宋体" w:cs="宋体" w:eastAsia="宋体" w:hint="default"/>
          <w:sz w:val="22"/>
          <w:szCs w:val="22"/>
        </w:rPr>
        <w:sectPr>
          <w:footerReference w:type="default" r:id="rId53"/>
          <w:pgSz w:w="11910" w:h="16840"/>
          <w:pgMar w:footer="979" w:header="745" w:top="1060" w:bottom="1160" w:left="980" w:right="0"/>
          <w:pgNumType w:start="120"/>
        </w:sectPr>
      </w:pPr>
    </w:p>
    <w:p>
      <w:pPr>
        <w:pStyle w:val="BodyText"/>
        <w:spacing w:line="240" w:lineRule="auto" w:before="44"/>
        <w:ind w:right="-20"/>
        <w:jc w:val="left"/>
      </w:pPr>
      <w:r>
        <w:rPr/>
        <w:t>编制单位：北京四维图新科技股份有限公司</w:t>
      </w:r>
    </w:p>
    <w:p>
      <w:pPr>
        <w:spacing w:line="240" w:lineRule="auto" w:before="0"/>
        <w:rPr>
          <w:rFonts w:ascii="宋体" w:hAnsi="宋体" w:cs="宋体" w:eastAsia="宋体" w:hint="default"/>
          <w:sz w:val="18"/>
          <w:szCs w:val="18"/>
        </w:rPr>
      </w:pPr>
      <w:r>
        <w:rPr/>
        <w:br w:type="column"/>
      </w:r>
      <w:r>
        <w:rPr>
          <w:rFonts w:ascii="宋体"/>
          <w:sz w:val="18"/>
        </w:rPr>
      </w:r>
    </w:p>
    <w:p>
      <w:pPr>
        <w:pStyle w:val="BodyText"/>
        <w:spacing w:line="240" w:lineRule="auto" w:before="161"/>
        <w:ind w:right="-14"/>
        <w:jc w:val="left"/>
      </w:pP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48"/>
        </w:rPr>
        <w:t> </w:t>
      </w:r>
      <w:r>
        <w:rPr>
          <w:rFonts w:ascii="Times New Roman" w:hAnsi="Times New Roman" w:cs="Times New Roman" w:eastAsia="Times New Roman" w:hint="default"/>
        </w:rPr>
        <w:t>12 </w:t>
      </w:r>
      <w:r>
        <w:rPr/>
        <w:t>月</w:t>
      </w:r>
      <w:r>
        <w:rPr>
          <w:spacing w:val="-46"/>
        </w:rPr>
        <w:t> </w:t>
      </w:r>
      <w:r>
        <w:rPr>
          <w:rFonts w:ascii="Times New Roman" w:hAnsi="Times New Roman" w:cs="Times New Roman" w:eastAsia="Times New Roman" w:hint="default"/>
        </w:rPr>
        <w:t>31 </w:t>
      </w:r>
      <w:r>
        <w:rPr/>
        <w:t>日</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pStyle w:val="BodyText"/>
        <w:spacing w:line="240" w:lineRule="auto"/>
        <w:ind w:right="0"/>
        <w:jc w:val="left"/>
      </w:pPr>
      <w:r>
        <w:rPr/>
        <w:t>单位：元</w:t>
      </w:r>
    </w:p>
    <w:p>
      <w:pPr>
        <w:spacing w:after="0" w:line="240" w:lineRule="auto"/>
        <w:jc w:val="left"/>
        <w:sectPr>
          <w:type w:val="continuous"/>
          <w:pgSz w:w="11910" w:h="16840"/>
          <w:pgMar w:top="1060" w:bottom="1160" w:left="980" w:right="0"/>
          <w:cols w:num="3" w:equalWidth="0">
            <w:col w:w="3573" w:space="503"/>
            <w:col w:w="1641" w:space="3203"/>
            <w:col w:w="2010"/>
          </w:cols>
        </w:sectPr>
      </w:pP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73"/>
        <w:gridCol w:w="3417"/>
        <w:gridCol w:w="2969"/>
      </w:tblGrid>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4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41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4"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货币资金</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2,304,457,914.01</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3,443,447,257.54</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结算备付金</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拆出资金</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12" w:right="88"/>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以公允价值计量且其变动计入当期 损益的金融资产</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衍生金融资产</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应收票据及应收账款</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512,918,341.65</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728,229,073.94</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其中：应收票据</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75,331,342.98</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101,274,757.52</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应收账款</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437,586,998.67</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626,954,316.42</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预付款项</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42,190,763.00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35,646,837.96</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应收保费</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应收分保账款</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应收分保合同准备金</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其他应收款</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33,043,567.95</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89,675,256.65</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其中：应收利息</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7,814,789.02</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35,500,706.76</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应收股利</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23,924,933.06</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买入返售金融资产</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4"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存货</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77,313,983.10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79,888,388.01</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持有待售资产</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4,000,000.00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一年内到期的非流动资产</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其他流动资产</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462,164,724.00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137,556,506.25</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3,436,089,293.71</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4,514,443,320.35</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41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发放贷款和垫款</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可供出售金融资产</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306,514,819.32</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224,685,199.66</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3173"/>
        <w:gridCol w:w="3417"/>
        <w:gridCol w:w="2969"/>
      </w:tblGrid>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持有至到期投资</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长期应收款</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长期股权投资</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1,298,278,056.79</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82,766,100.44</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投资性房地产</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固定资产</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654,356,353.55</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647,443,991.80</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在建工程</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生产性生物资产</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油气资产</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无形资产</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1,074,905,506.96</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597,060,326.99</w:t>
            </w:r>
          </w:p>
        </w:tc>
      </w:tr>
      <w:tr>
        <w:trPr>
          <w:trHeight w:val="404"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开发支出</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33,821,738.51</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2"/>
              <w:jc w:val="right"/>
              <w:rPr>
                <w:rFonts w:ascii="Times New Roman" w:hAnsi="Times New Roman" w:cs="Times New Roman" w:eastAsia="Times New Roman" w:hint="default"/>
                <w:sz w:val="18"/>
                <w:szCs w:val="18"/>
              </w:rPr>
            </w:pPr>
            <w:r>
              <w:rPr>
                <w:rFonts w:ascii="Times New Roman"/>
                <w:spacing w:val="-1"/>
                <w:sz w:val="18"/>
              </w:rPr>
              <w:t>307,251,268.16</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商誉</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2,232,221,726.47</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3,324,579,146.37</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长期待摊费用</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23,692,010.80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30,189,409.57</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递延所得税资产</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43,427,296.67</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39,880,682.22</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其他非流动资产</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2"/>
                <w:sz w:val="18"/>
              </w:rPr>
              <w:t>111,798,510.85</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30,617,659.26</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5,779,016,019.92</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5,284,473,784.47</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9,215,105,313.63</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9,798,917,104.82</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41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4"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短期借款</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向中央银行借款</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吸收存款及同业存放</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拆入资金</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88"/>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以公允价值计量且其变动计入当期 损益的金融负债</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29,928,239.11</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衍生金融负债</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应付票据及应付账款</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156,012,955.30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122,376,559.93</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预收款项</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48,520,992.21</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42,104,914.52</w:t>
            </w:r>
          </w:p>
        </w:tc>
      </w:tr>
      <w:tr>
        <w:trPr>
          <w:trHeight w:val="404"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卖出回购金融资产款</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应付手续费及佣金</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应付职工薪酬</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316,394,709.88</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296,719,642.27</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应交税费</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116,520,154.92</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73,607,218.16</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其他应付款</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1,014,734,213.72</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2,241,319,244.99</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其中：应付利息</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320,547.95</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320,547.95</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应付股利</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应付分保账款</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3173"/>
        <w:gridCol w:w="3417"/>
        <w:gridCol w:w="2969"/>
      </w:tblGrid>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保险合同准备金</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代理买卖证券款</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代理承销证券款</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持有待售负债</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一年内到期的非流动负债</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其他流动负债</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49,217,588.48</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52,739,126.60</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1,731,328,853.62</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2,828,866,706.47</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41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长期借款</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4"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应付债券</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50,000,000.00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2"/>
              <w:jc w:val="right"/>
              <w:rPr>
                <w:rFonts w:ascii="Times New Roman" w:hAnsi="Times New Roman" w:cs="Times New Roman" w:eastAsia="Times New Roman" w:hint="default"/>
                <w:sz w:val="18"/>
                <w:szCs w:val="18"/>
              </w:rPr>
            </w:pPr>
            <w:r>
              <w:rPr>
                <w:rFonts w:ascii="Times New Roman"/>
                <w:spacing w:val="-1"/>
                <w:sz w:val="18"/>
              </w:rPr>
              <w:t>50,000,000.00</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其中：优先股</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永续债</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长期应付款</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长期应付职工薪酬</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预计负债</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递延收益</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30,997,377.49</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46,099,808.20</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递延所得税负债</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4"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其他非流动负债</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80,997,377.49</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96,099,808.20</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1,812,326,231.11</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2,924,966,514.67</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341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股本</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1,309,470,982.00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1,282,615,013.00</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其他权益工具</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其中：优先股</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永续债</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资本公积</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4,593,804,071.03</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4,205,523,831.08</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减：库存股</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359,752,548.89</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77,973,177.02</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其他综合收益</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13,581,178.21</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5,933,809.71</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专项储备</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盈余公积</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109,115,366.29</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109,115,366.29</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一般风险准备</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未分配利润</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1,535,012,703.46</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1,110,939,772.85</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归属于母公司所有者权益合计</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7,201,231,752.10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6,636,154,615.91</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少数股东权益</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201,547,330.42</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237,795,974.24</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3194"/>
        <w:gridCol w:w="3406"/>
        <w:gridCol w:w="2969"/>
      </w:tblGrid>
      <w:tr>
        <w:trPr>
          <w:trHeight w:val="401"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7,402,779,082.52</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6,873,950,590.15</w:t>
            </w:r>
          </w:p>
        </w:tc>
      </w:tr>
      <w:tr>
        <w:trPr>
          <w:trHeight w:val="403"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9,215,105,313.63</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9,798,917,104.82</w:t>
            </w:r>
          </w:p>
        </w:tc>
      </w:tr>
    </w:tbl>
    <w:p>
      <w:pPr>
        <w:spacing w:line="240" w:lineRule="auto" w:before="11"/>
        <w:rPr>
          <w:rFonts w:ascii="Times New Roman" w:hAnsi="Times New Roman" w:cs="Times New Roman" w:eastAsia="Times New Roman" w:hint="default"/>
          <w:sz w:val="22"/>
          <w:szCs w:val="22"/>
        </w:rPr>
      </w:pPr>
    </w:p>
    <w:p>
      <w:pPr>
        <w:pStyle w:val="BodyText"/>
        <w:tabs>
          <w:tab w:pos="3425" w:val="left" w:leader="none"/>
          <w:tab w:pos="7568" w:val="left" w:leader="none"/>
        </w:tabs>
        <w:spacing w:line="240" w:lineRule="auto" w:before="44"/>
        <w:ind w:left="0" w:right="1223"/>
        <w:jc w:val="right"/>
      </w:pPr>
      <w:r>
        <w:rPr/>
        <w:t>法定代表人：吴劲风</w:t>
        <w:tab/>
      </w:r>
      <w:r>
        <w:rPr>
          <w:spacing w:val="-1"/>
        </w:rPr>
        <w:t>主管会计工作负责人：姜晓明</w:t>
        <w:tab/>
      </w:r>
      <w:r>
        <w:rPr/>
        <w:t>会计机构负责人：姜晓明</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rFonts w:ascii="Times New Roman" w:hAnsi="Times New Roman" w:cs="Times New Roman" w:eastAsia="Times New Roman" w:hint="default"/>
        </w:rPr>
        <w:t>2</w:t>
      </w:r>
      <w:r>
        <w:rPr/>
        <w:t>、母公司资产负债表</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0" w:right="1131"/>
        <w:jc w:val="right"/>
      </w:pPr>
      <w:r>
        <w:rPr/>
        <w:t>单位：元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278"/>
        <w:gridCol w:w="3314"/>
        <w:gridCol w:w="2967"/>
      </w:tblGrid>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5"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4"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货币资金</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4"/>
              <w:ind w:right="20"/>
              <w:jc w:val="right"/>
              <w:rPr>
                <w:rFonts w:ascii="Times New Roman" w:hAnsi="Times New Roman" w:cs="Times New Roman" w:eastAsia="Times New Roman" w:hint="default"/>
                <w:sz w:val="18"/>
                <w:szCs w:val="18"/>
              </w:rPr>
            </w:pPr>
            <w:r>
              <w:rPr>
                <w:rFonts w:ascii="Times New Roman"/>
                <w:spacing w:val="-1"/>
                <w:sz w:val="18"/>
              </w:rPr>
              <w:t>1,002,466,770.86</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1,969,466,463.38</w:t>
            </w:r>
          </w:p>
        </w:tc>
      </w:tr>
      <w:tr>
        <w:trPr>
          <w:trHeight w:val="71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4"/>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以公允价值计量且其变动计入当期损 益的金融资产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衍生金融资产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应收票据及应收账款</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126,977,477.69</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298,926,603.21</w:t>
            </w: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其中：应收票据</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32,144,092.32</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55,368,510.91</w:t>
            </w: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应收账款</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94,833,385.37</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243,558,092.30</w:t>
            </w: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预付款项</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10,345.52</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83,679.99</w:t>
            </w: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其他应收款</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25,949,299.06</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139,657,809.79</w:t>
            </w:r>
          </w:p>
        </w:tc>
      </w:tr>
      <w:tr>
        <w:trPr>
          <w:trHeight w:val="404"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其中：应收利息</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4,887,916.28</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32,170,946.09</w:t>
            </w: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应收股利</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59,616,965.35</w:t>
            </w: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存货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678,356.53</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150,943.39</w:t>
            </w: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持有待售资产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2,000,000.00</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一年内到期的非流动资产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35,312,850.00</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35,110,350.00</w:t>
            </w: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其他流动资产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8,466,724.88</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8,313,642.32</w:t>
            </w: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1,201,861,824.54</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2,451,709,492.08</w:t>
            </w: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4"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可供出售金融资产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231,552,525.53</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183,801,153.31</w:t>
            </w: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持有至到期投资</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长期应收款</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长期股权投资</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4,575,725,409.66</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5,187,668,818.34</w:t>
            </w: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投资性房地产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固定资产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543,719,885.56</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547,248,654.49</w:t>
            </w: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在建工程</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生产性生物资产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油气资产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3278"/>
        <w:gridCol w:w="3314"/>
        <w:gridCol w:w="2967"/>
      </w:tblGrid>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无形资产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796,059,262.37</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277,753,614.70</w:t>
            </w: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开发支出</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180,260,173.01</w:t>
            </w: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商誉</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长期待摊费用</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14,781,691.11</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17,662,511.14</w:t>
            </w: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递延所得税资产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25,098,471.91</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19,771,711.51</w:t>
            </w: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其他非流动资产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2"/>
                <w:sz w:val="18"/>
              </w:rPr>
              <w:t>111,798,510.85</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26,043,719.26</w:t>
            </w: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6,298,735,756.99</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6,440,210,355.76</w:t>
            </w: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7,500,597,581.53</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8,891,919,847.84</w:t>
            </w: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4"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短期借款</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4"/>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4"/>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以公允价值计量且其变动计入当期损 益的金融负债</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29,928,239.11</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衍生金融负债</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应付票据及应付账款</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1,463,687.09</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1,651,603.95</w:t>
            </w: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预收款项</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212,890.00</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447,630.41</w:t>
            </w: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应付职工薪酬</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168,141,351.97</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125,441,815.79</w:t>
            </w: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应交税费</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68,913,419.57</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33,938,463.66</w:t>
            </w: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其他应付款</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960,379,431.58</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2,201,489,413.12</w:t>
            </w:r>
          </w:p>
        </w:tc>
      </w:tr>
      <w:tr>
        <w:trPr>
          <w:trHeight w:val="404"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其中：应付利息</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320,547.95</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320,547.95</w:t>
            </w: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应付股利</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持有待售负债</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一年内到期的非流动负债</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其他流动负债</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38,314,229.49</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26,279,290.73</w:t>
            </w: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1,267,353,248.81</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2,389,248,217.66</w:t>
            </w: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长期借款</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4"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应付债券</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50,000,000.00</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50,000,000.00</w:t>
            </w: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其中：优先股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永续债</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长期应付款</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长期应付职工薪酬</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预计负债</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递延收益</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1,204,000.00</w:t>
            </w: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递延所得税负债</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3278"/>
        <w:gridCol w:w="3314"/>
        <w:gridCol w:w="2967"/>
      </w:tblGrid>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其他非流动负债</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50,000,000.00</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51,204,000.00</w:t>
            </w: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1,317,353,248.81</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2,440,452,217.66</w:t>
            </w: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股本</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1,309,470,982.00</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1,282,615,013.00</w:t>
            </w: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其他权益工具</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其中：优先股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永续债</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资本公积</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4,790,580,637.93</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4,412,940,468.57</w:t>
            </w:r>
          </w:p>
        </w:tc>
      </w:tr>
      <w:tr>
        <w:trPr>
          <w:trHeight w:val="404"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减：库存股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359,752,548.89</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77,973,177.02</w:t>
            </w: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其他综合收益</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-5,688,189.78</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专项储备</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盈余公积</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122,019,887.40</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122,019,887.40</w:t>
            </w: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未分配利润</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326,613,564.06</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711,865,438.23</w:t>
            </w: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6,183,244,332.72</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6,451,467,630.18</w:t>
            </w: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7,500,597,581.53</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8,891,919,847.84</w:t>
            </w:r>
          </w:p>
        </w:tc>
      </w:tr>
    </w:tbl>
    <w:p>
      <w:pPr>
        <w:spacing w:line="240" w:lineRule="auto" w:before="10"/>
        <w:rPr>
          <w:rFonts w:ascii="Times New Roman" w:hAnsi="Times New Roman" w:cs="Times New Roman" w:eastAsia="Times New Roman" w:hint="default"/>
          <w:sz w:val="21"/>
          <w:szCs w:val="21"/>
        </w:rPr>
      </w:pPr>
    </w:p>
    <w:p>
      <w:pPr>
        <w:pStyle w:val="Heading4"/>
        <w:spacing w:line="240" w:lineRule="auto" w:before="36"/>
        <w:ind w:right="982"/>
        <w:jc w:val="left"/>
        <w:rPr>
          <w:b w:val="0"/>
          <w:bCs w:val="0"/>
        </w:rPr>
      </w:pPr>
      <w:r>
        <w:rPr>
          <w:rFonts w:ascii="Times New Roman" w:hAnsi="Times New Roman" w:cs="Times New Roman" w:eastAsia="Times New Roman" w:hint="default"/>
        </w:rPr>
        <w:t>3</w:t>
      </w:r>
      <w:r>
        <w:rPr/>
        <w:t>、合并利润表</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945"/>
        <w:gridCol w:w="3311"/>
        <w:gridCol w:w="3303"/>
      </w:tblGrid>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一、营业总收入</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2,133,659,113.98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2,156,487,774.85</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其中：营业收入</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2,133,659,113.98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2,156,487,774.85</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利息收入</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已赚保费</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手续费及佣金收入</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二、营业总成本</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3,448,380,641.30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2,009,563,761.76</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其中：营业成本</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626,184,822.28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530,840,997.69</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利息支出</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手续费及佣金支出</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退保金</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赔付支出净额</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提取保险合同准备金净额</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保单红利支出</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分保费用</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966"/>
        <w:gridCol w:w="3300"/>
        <w:gridCol w:w="3303"/>
      </w:tblGrid>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税金及附加</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20,701,029.85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21,604,359.48</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销售费用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131,558,133.01</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146,123,416.19</w:t>
            </w: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管理费用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478,157,042.00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440,751,131.82</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研发费用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1,276,435,895.41</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873,497,606.59</w:t>
            </w: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财务费用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-30,548,999.89</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-58,836,896.72</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其中：利息费用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19,199,157.21</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320,547.95</w:t>
            </w: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利息收入</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47,673,844.71</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60,995,183.11</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资产减值损失</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945,892,718.64</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55,583,146.71</w:t>
            </w: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加：其他收益</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2"/>
                <w:sz w:val="18"/>
              </w:rPr>
              <w:t>111,150,667.02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98,895,048.08</w:t>
            </w:r>
          </w:p>
        </w:tc>
      </w:tr>
      <w:tr>
        <w:trPr>
          <w:trHeight w:val="716"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2"/>
              <w:ind w:left="22" w:right="74"/>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1,710,565,659.61</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24,089,363.22</w:t>
            </w:r>
          </w:p>
        </w:tc>
      </w:tr>
      <w:tr>
        <w:trPr>
          <w:trHeight w:val="71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51"/>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其中：对联营企业和合营企 业的投资收益</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-16,506,990.52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4,473,110.87</w:t>
            </w:r>
          </w:p>
        </w:tc>
      </w:tr>
      <w:tr>
        <w:trPr>
          <w:trHeight w:val="715"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公允价值变动收益（损失以</w:t>
            </w:r>
          </w:p>
          <w:p>
            <w:pPr>
              <w:pStyle w:val="TableParagraph"/>
              <w:spacing w:line="240" w:lineRule="auto" w:before="7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19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汇兑收益（损失以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6"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2" w:right="22"/>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pacing w:val="-1"/>
                <w:sz w:val="18"/>
                <w:szCs w:val="18"/>
              </w:rPr>
              <w:t>资产处置收益（损失以</w:t>
            </w:r>
            <w:r>
              <w:rPr>
                <w:rFonts w:ascii="Times New Roman" w:hAnsi="Times New Roman" w:cs="Times New Roman" w:eastAsia="Times New Roman" w:hint="default"/>
                <w:spacing w:val="-1"/>
                <w:sz w:val="18"/>
                <w:szCs w:val="18"/>
              </w:rPr>
              <w:t>“</w:t>
            </w:r>
            <w:r>
              <w:rPr>
                <w:rFonts w:ascii="Times New Roman" w:hAnsi="Times New Roman" w:cs="Times New Roman" w:eastAsia="Times New Roman" w:hint="default"/>
                <w:spacing w:val="-1"/>
                <w:sz w:val="18"/>
                <w:szCs w:val="18"/>
              </w:rPr>
              <w:t>-</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号</w:t>
            </w:r>
            <w:r>
              <w:rPr>
                <w:rFonts w:ascii="宋体" w:hAnsi="宋体" w:cs="宋体" w:eastAsia="宋体" w:hint="default"/>
                <w:sz w:val="18"/>
                <w:szCs w:val="18"/>
              </w:rPr>
              <w:t> 填列）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-317,546.55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-1,015,076.20</w:t>
            </w: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三、营业利润（亏损以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506,677,252.76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268,893,348.19</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加：营业外收入</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1,326,345.08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3,599,190.67</w:t>
            </w: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减：营业外支出</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1,298,138.01</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3,048,277.14</w:t>
            </w:r>
          </w:p>
        </w:tc>
      </w:tr>
      <w:tr>
        <w:trPr>
          <w:trHeight w:val="715"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2" w:right="74"/>
              <w:jc w:val="left"/>
              <w:rPr>
                <w:rFonts w:ascii="宋体" w:hAnsi="宋体" w:cs="宋体" w:eastAsia="宋体" w:hint="default"/>
                <w:sz w:val="18"/>
                <w:szCs w:val="18"/>
              </w:rPr>
            </w:pPr>
            <w:r>
              <w:rPr>
                <w:rFonts w:ascii="宋体" w:hAnsi="宋体" w:cs="宋体" w:eastAsia="宋体" w:hint="default"/>
                <w:sz w:val="18"/>
                <w:szCs w:val="18"/>
              </w:rPr>
              <w:t>四、利润总额（亏损总额以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506,705,459.83</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269,444,261.72</w:t>
            </w: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减：所得税费用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129,287,234.60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57,122,553.53</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377,418,225.23</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212,321,708.19</w:t>
            </w:r>
          </w:p>
        </w:tc>
      </w:tr>
      <w:tr>
        <w:trPr>
          <w:trHeight w:val="71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51"/>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（一）持续经营净利润（净亏损 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377,418,225.23</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212,321,708.19</w:t>
            </w:r>
          </w:p>
        </w:tc>
      </w:tr>
      <w:tr>
        <w:trPr>
          <w:trHeight w:val="716"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2"/>
              <w:ind w:left="22" w:right="51"/>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（二）终止经营净利润（净亏损 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归属于母公司所有者的净利润</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479,070,711.85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265,199,610.30</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少数股东损益</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-101,652,486.62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-52,877,902.11</w:t>
            </w: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六、其他综合收益的税后净额</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7,499,002.08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4,801,515.73</w:t>
            </w:r>
          </w:p>
        </w:tc>
      </w:tr>
      <w:tr>
        <w:trPr>
          <w:trHeight w:val="715"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2" w:right="51"/>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z w:val="18"/>
                <w:szCs w:val="18"/>
              </w:rPr>
              <w:t>归属母公司所有者的其他综合收益 的税后净额</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7,647,368.50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7,338,074.80</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8"/>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（一）不能重分类进损益的其他</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2945"/>
        <w:gridCol w:w="3311"/>
        <w:gridCol w:w="3303"/>
      </w:tblGrid>
      <w:tr>
        <w:trPr>
          <w:trHeight w:val="36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综合收益</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12" w:right="86"/>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重新计量设定受益计划 变动额</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12" w:right="86"/>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权益法下不能转损益的 其他综合收益</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4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（二）将重分类进损益的其他综 合收益</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7,647,368.50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7,338,074.80</w:t>
            </w: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12" w:right="86"/>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权益法下可转损益的其 他综合收益</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-2,847,128.72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12" w:right="86"/>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可供出售金融资产公允 价值变动损益</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12" w:right="86"/>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持有至到期投资重分类 为可供出售金融资产损益</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12" w:right="86"/>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现金流量套期损益的有 效部分</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外币财务报表折算差额</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10,494,497.22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7,338,074.80</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4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z w:val="18"/>
                <w:szCs w:val="18"/>
              </w:rPr>
              <w:t>归属于少数股东的其他综合收益的 税后净额</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-148,366.42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-2,536,559.07</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七、综合收益总额</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384,917,227.31</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217,123,223.92</w:t>
            </w: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4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归属于母公司所有者的综合收益 总额</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486,718,080.35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272,537,685.10</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归属于少数股东的综合收益总额</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-101,800,853.04</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-55,414,461.18</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八、每股收益：</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（一）基本每股收益</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0.3755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0.2186</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（二）稀释每股收益</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0.3725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0.2171</w:t>
            </w:r>
          </w:p>
        </w:tc>
      </w:tr>
    </w:tbl>
    <w:p>
      <w:pPr>
        <w:pStyle w:val="BodyText"/>
        <w:tabs>
          <w:tab w:pos="3578" w:val="left" w:leader="none"/>
          <w:tab w:pos="7721" w:val="left" w:leader="none"/>
        </w:tabs>
        <w:spacing w:line="595" w:lineRule="auto" w:before="49"/>
        <w:ind w:right="1223"/>
        <w:jc w:val="both"/>
        <w:rPr>
          <w:rFonts w:ascii="宋体" w:hAnsi="宋体" w:cs="宋体" w:eastAsia="宋体" w:hint="default"/>
          <w:sz w:val="21"/>
          <w:szCs w:val="21"/>
        </w:rPr>
      </w:pPr>
      <w:r>
        <w:rPr/>
        <w:t>本期发生同一控制下企业合并的，被合并方在合并前实现的净利润为：</w:t>
      </w:r>
      <w:r>
        <w:rPr>
          <w:rFonts w:ascii="Times New Roman" w:hAnsi="Times New Roman" w:cs="Times New Roman" w:eastAsia="Times New Roman" w:hint="default"/>
        </w:rPr>
        <w:t>0.00 </w:t>
      </w:r>
      <w:r>
        <w:rPr/>
        <w:t>元，上期被合并方实现的净利润为：</w:t>
      </w:r>
      <w:r>
        <w:rPr>
          <w:rFonts w:ascii="Times New Roman" w:hAnsi="Times New Roman" w:cs="Times New Roman" w:eastAsia="Times New Roman" w:hint="default"/>
        </w:rPr>
        <w:t>0.00 </w:t>
      </w:r>
      <w:r>
        <w:rPr>
          <w:spacing w:val="-3"/>
        </w:rPr>
        <w:t>元。 </w:t>
      </w:r>
      <w:r>
        <w:rPr/>
        <w:t>法定代表人：吴劲风</w:t>
        <w:tab/>
      </w:r>
      <w:r>
        <w:rPr>
          <w:spacing w:val="-1"/>
        </w:rPr>
        <w:t>主管会计工作负责人：姜晓明</w:t>
        <w:tab/>
      </w:r>
      <w:r>
        <w:rPr/>
        <w:t>会计机构负责人：姜晓明</w:t>
      </w:r>
      <w:r>
        <w:rPr/>
        <w:t> </w:t>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、母公司利润表</w:t>
      </w:r>
      <w:r>
        <w:rPr>
          <w:rFonts w:ascii="宋体" w:hAnsi="宋体" w:cs="宋体" w:eastAsia="宋体" w:hint="default"/>
          <w:sz w:val="21"/>
          <w:szCs w:val="21"/>
        </w:rPr>
      </w:r>
    </w:p>
    <w:p>
      <w:pPr>
        <w:pStyle w:val="BodyText"/>
        <w:spacing w:line="240" w:lineRule="auto"/>
        <w:ind w:left="0" w:right="1131"/>
        <w:jc w:val="right"/>
      </w:pPr>
      <w:r>
        <w:rPr/>
        <w:t>单位：元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945"/>
        <w:gridCol w:w="3311"/>
        <w:gridCol w:w="3303"/>
      </w:tblGrid>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一、营业收入</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667,019,410.33</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640,928,055.89</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减：营业成本</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127,113,219.80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46,220,663.99</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税金及附加</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15,744,942.30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16,060,978.18</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销售费用</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33,085,843.71</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42,135,546.31</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966"/>
        <w:gridCol w:w="3300"/>
        <w:gridCol w:w="3303"/>
      </w:tblGrid>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管理费用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213,917,217.72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154,921,933.08</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研发费用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755,970,865.68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517,778,977.48</w:t>
            </w: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财务费用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-11,766,244.14</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-49,603,991.96</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其中：利息费用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18,724,155.56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320,547.95</w:t>
            </w: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利息收入</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30,320,691.97</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47,189,307.71</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资产减值损失</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631,088,058.48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35,198,653.92</w:t>
            </w: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加：其他收益</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68,506,908.18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52,151,003.19</w:t>
            </w:r>
          </w:p>
        </w:tc>
      </w:tr>
      <w:tr>
        <w:trPr>
          <w:trHeight w:val="715"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2" w:right="74"/>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846,588,121.51</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90,171,022.55</w:t>
            </w:r>
          </w:p>
        </w:tc>
      </w:tr>
      <w:tr>
        <w:trPr>
          <w:trHeight w:val="71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51"/>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其中：对联营企业和合营企 业的投资收益</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-14,050,174.33</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4,470,565.52</w:t>
            </w:r>
          </w:p>
        </w:tc>
      </w:tr>
      <w:tr>
        <w:trPr>
          <w:trHeight w:val="715"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公允价值变动收益（损失以</w:t>
            </w:r>
          </w:p>
          <w:p>
            <w:pPr>
              <w:pStyle w:val="TableParagraph"/>
              <w:spacing w:line="240" w:lineRule="auto" w:before="7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22"/>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pacing w:val="-1"/>
                <w:sz w:val="18"/>
                <w:szCs w:val="18"/>
              </w:rPr>
              <w:t>资产处置收益（损失以</w:t>
            </w:r>
            <w:r>
              <w:rPr>
                <w:rFonts w:ascii="Times New Roman" w:hAnsi="Times New Roman" w:cs="Times New Roman" w:eastAsia="Times New Roman" w:hint="default"/>
                <w:spacing w:val="-1"/>
                <w:sz w:val="18"/>
                <w:szCs w:val="18"/>
              </w:rPr>
              <w:t>“</w:t>
            </w:r>
            <w:r>
              <w:rPr>
                <w:rFonts w:ascii="Times New Roman" w:hAnsi="Times New Roman" w:cs="Times New Roman" w:eastAsia="Times New Roman" w:hint="default"/>
                <w:spacing w:val="-1"/>
                <w:sz w:val="18"/>
                <w:szCs w:val="18"/>
              </w:rPr>
              <w:t>-</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号</w:t>
            </w:r>
            <w:r>
              <w:rPr>
                <w:rFonts w:ascii="宋体" w:hAnsi="宋体" w:cs="宋体" w:eastAsia="宋体" w:hint="default"/>
                <w:sz w:val="18"/>
                <w:szCs w:val="18"/>
              </w:rPr>
              <w:t> 填列）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304,856.71</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-631,585.48</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二、营业利润（亏损以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-182,734,606.82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19,905,735.15</w:t>
            </w: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加：营业外收入</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449,567.46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411,442.77</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减：营业外支出</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878,646.88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376,319.91</w:t>
            </w:r>
          </w:p>
        </w:tc>
      </w:tr>
      <w:tr>
        <w:trPr>
          <w:trHeight w:val="71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74"/>
              <w:jc w:val="left"/>
              <w:rPr>
                <w:rFonts w:ascii="宋体" w:hAnsi="宋体" w:cs="宋体" w:eastAsia="宋体" w:hint="default"/>
                <w:sz w:val="18"/>
                <w:szCs w:val="18"/>
              </w:rPr>
            </w:pPr>
            <w:r>
              <w:rPr>
                <w:rFonts w:ascii="宋体" w:hAnsi="宋体" w:cs="宋体" w:eastAsia="宋体" w:hint="default"/>
                <w:sz w:val="18"/>
                <w:szCs w:val="18"/>
              </w:rPr>
              <w:t>三、利润总额（亏损总额以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-183,163,686.24</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19,940,858.01</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减：所得税费用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63,079,117.22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-9,074,673.66</w:t>
            </w: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四、净利润（净亏损以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-246,242,803.46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29,015,531.67</w:t>
            </w:r>
          </w:p>
        </w:tc>
      </w:tr>
      <w:tr>
        <w:trPr>
          <w:trHeight w:val="715"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2" w:right="51"/>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（一）持续经营净利润（净亏损 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-246,242,803.46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29,015,531.67</w:t>
            </w:r>
          </w:p>
        </w:tc>
      </w:tr>
      <w:tr>
        <w:trPr>
          <w:trHeight w:val="71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51"/>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（二）终止经营净利润（净亏损 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五、其他综合收益的税后净额</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-5,688,189.78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2" w:right="51"/>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（一）不能重分类进损益的其他 综合收益</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2" w:right="96"/>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重新计量设定受益计划 变动额</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96"/>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权益法下不能转损益的 其他综合收益</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2" w:right="51"/>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（二）将重分类进损益的其他综 合收益</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-5,688,189.78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96"/>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权益法下可转损益的其 他综合收益</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-5,688,189.78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2945"/>
        <w:gridCol w:w="3311"/>
        <w:gridCol w:w="3303"/>
      </w:tblGrid>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12" w:right="86"/>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可供出售金融资产公允 价值变动损益</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12" w:right="86"/>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持有至到期投资重分类 为可供出售金融资产损益</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12" w:right="86"/>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现金流量套期损益的有 效部分</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外币财务报表折算差额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六、综合收益总额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-251,930,993.24</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29,015,531.67</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七、每股收益：</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（一）基本每股收益</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-0.1932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0.0236</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（二）稀释每股收益</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-0.1915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0.0238</w:t>
            </w:r>
          </w:p>
        </w:tc>
      </w:tr>
    </w:tbl>
    <w:p>
      <w:pPr>
        <w:spacing w:line="240" w:lineRule="auto" w:before="10"/>
        <w:rPr>
          <w:rFonts w:ascii="Times New Roman" w:hAnsi="Times New Roman" w:cs="Times New Roman" w:eastAsia="Times New Roman" w:hint="default"/>
          <w:sz w:val="21"/>
          <w:szCs w:val="21"/>
        </w:rPr>
      </w:pPr>
    </w:p>
    <w:p>
      <w:pPr>
        <w:pStyle w:val="Heading4"/>
        <w:spacing w:line="240" w:lineRule="auto" w:before="36"/>
        <w:ind w:right="982"/>
        <w:jc w:val="left"/>
        <w:rPr>
          <w:b w:val="0"/>
          <w:bCs w:val="0"/>
        </w:rPr>
      </w:pPr>
      <w:r>
        <w:rPr>
          <w:rFonts w:ascii="Times New Roman" w:hAnsi="Times New Roman" w:cs="Times New Roman" w:eastAsia="Times New Roman" w:hint="default"/>
        </w:rPr>
        <w:t>5</w:t>
      </w:r>
      <w:r>
        <w:rPr/>
        <w:t>、合并现金流量表</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945"/>
        <w:gridCol w:w="3311"/>
        <w:gridCol w:w="3303"/>
      </w:tblGrid>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销售商品、提供劳务收到的现金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2,468,982,503.34</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2,005,041,572.16</w:t>
            </w:r>
          </w:p>
        </w:tc>
      </w:tr>
      <w:tr>
        <w:trPr>
          <w:trHeight w:val="716"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4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客户存款和同业存放款项净增加 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向中央银行借款净增加额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4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向其他金融机构拆入资金净增加 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收到原保险合同保费取得的现金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收到再保险业务现金净额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保户储金及投资款净增加额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6"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2" w:right="4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处置以公允价值计量且其变动计 入当期损益的金融资产净增加额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收取利息、手续费及佣金的现金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拆入资金净增加额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回购业务资金净增加额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收到的税费返还</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65,605,607.71</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52,126,429.05</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收到其他与经营活动有关的现金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153,019,811.71</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148,495,722.58</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2,687,607,922.76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2,205,663,723.79</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购买商品、接受劳务支付的现金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527,123,582.04</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484,017,114.64</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2945"/>
        <w:gridCol w:w="3311"/>
        <w:gridCol w:w="3303"/>
      </w:tblGrid>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客户贷款及垫款净增加额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4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存放中央银行和同业款项净增加 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支付原保险合同赔付款项的现金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支付利息、手续费及佣金的现金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支付保单红利的现金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4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支付给职工以及为职工支付的现 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1,049,697,570.42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697,570,326.22</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支付的各项税费</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214,088,849.07</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164,710,287.94</w:t>
            </w:r>
          </w:p>
        </w:tc>
      </w:tr>
      <w:tr>
        <w:trPr>
          <w:trHeight w:val="40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支付其他与经营活动有关的现金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525,948,250.64</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469,051,921.41</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2,316,858,252.17</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1,815,349,650.21</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370,749,670.59</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390,314,073.58</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收回投资收到的现金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1,671,520,000.00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917,170,986.29</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取得投资收益收到的现金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60,236,261.38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12,465,548.31</w:t>
            </w: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4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处置固定资产、无形资产和其他 长期资产收回的现金净额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896,265.00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2,210,155.22</w:t>
            </w: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4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处置子公司及其他营业单位收到 的现金净额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-713,840,525.78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-169,769.96</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收到其他与投资活动有关的现金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1,632,074,855.47</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123,363,435.02</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2,650,886,856.07</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1,055,040,354.88</w:t>
            </w: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4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购建固定资产、无形资产和其他 长期资产支付的现金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383,691,497.05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426,667,440.20</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投资支付的现金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3,168,576,191.88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822,617,991.00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质押贷款净增加额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4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取得子公司及其他营业单位支付 的现金净额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1,583,541,374.56</w:t>
            </w:r>
          </w:p>
        </w:tc>
      </w:tr>
      <w:tr>
        <w:trPr>
          <w:trHeight w:val="40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支付其他与投资活动有关的现金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30,844,695.96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1,499,130,233.48</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3,583,112,384.89</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4,331,957,039.24</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-932,225,528.82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-3,276,916,684.36</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吸收投资收到的现金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995,221,284.31</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3,979,874,684.93</w:t>
            </w: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4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其中：子公司吸收少数股东投资 收到的现金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666,606,685.96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661,565,591.77</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取得借款收到的现金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99,999,973.15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发行债券收到的现金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50,000,000.00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966"/>
        <w:gridCol w:w="3300"/>
        <w:gridCol w:w="3303"/>
      </w:tblGrid>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收到其他与筹资活动有关的现金</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2,133,136.97</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1,502,998.60</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1,097,354,394.43</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4,031,377,683.53</w:t>
            </w: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偿还债务支付的现金</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23,023,500.00</w:t>
            </w:r>
          </w:p>
        </w:tc>
      </w:tr>
      <w:tr>
        <w:trPr>
          <w:trHeight w:val="715"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2" w:right="51"/>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分配股利、利润或偿付利息支付 的现金</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86,374,773.72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57,813,376.01</w:t>
            </w:r>
          </w:p>
        </w:tc>
      </w:tr>
      <w:tr>
        <w:trPr>
          <w:trHeight w:val="71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51"/>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其中：子公司支付给少数股东的 股利、利润</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12,652,836.92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6,681,620.53</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支付其他与筹资活动有关的现金</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95,083,334.88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740,242,060.95</w:t>
            </w: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181,458,108.60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821,078,936.96</w:t>
            </w:r>
          </w:p>
        </w:tc>
      </w:tr>
      <w:tr>
        <w:trPr>
          <w:trHeight w:val="40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915,896,285.83</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3,210,298,746.57</w:t>
            </w:r>
          </w:p>
        </w:tc>
      </w:tr>
      <w:tr>
        <w:trPr>
          <w:trHeight w:val="71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51"/>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 影响</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37,403,814.89</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2,315,069.71</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391,824,242.49</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326,011,205.50</w:t>
            </w: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加：期初现金及现金等价物余额</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1,689,975,509.96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1,363,964,304.46</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2,081,799,752.45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1,689,975,509.96</w:t>
            </w:r>
          </w:p>
        </w:tc>
      </w:tr>
    </w:tbl>
    <w:p>
      <w:pPr>
        <w:spacing w:line="240" w:lineRule="auto" w:before="10"/>
        <w:rPr>
          <w:rFonts w:ascii="Times New Roman" w:hAnsi="Times New Roman" w:cs="Times New Roman" w:eastAsia="Times New Roman" w:hint="default"/>
          <w:sz w:val="21"/>
          <w:szCs w:val="21"/>
        </w:rPr>
      </w:pPr>
    </w:p>
    <w:p>
      <w:pPr>
        <w:pStyle w:val="Heading4"/>
        <w:spacing w:line="240" w:lineRule="auto" w:before="36"/>
        <w:ind w:right="982"/>
        <w:jc w:val="left"/>
        <w:rPr>
          <w:b w:val="0"/>
          <w:bCs w:val="0"/>
        </w:rPr>
      </w:pPr>
      <w:r>
        <w:rPr>
          <w:rFonts w:ascii="Times New Roman" w:hAnsi="Times New Roman" w:cs="Times New Roman" w:eastAsia="Times New Roman" w:hint="default"/>
        </w:rPr>
        <w:t>6</w:t>
      </w:r>
      <w:r>
        <w:rPr/>
        <w:t>、母公司现金流量表</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945"/>
        <w:gridCol w:w="3311"/>
        <w:gridCol w:w="3303"/>
      </w:tblGrid>
      <w:tr>
        <w:trPr>
          <w:trHeight w:val="40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销售商品、提供劳务收到的现金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916,234,342.62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648,758,739.44</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收到的税费返还</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63,687,821.87</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49,361,038.12</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收到其他与经营活动有关的现金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62,072,632.84</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126,660,188.25</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1,041,994,797.33</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824,779,965.81</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购买商品、接受劳务支付的现金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68,009,213.94</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34,229,886.34</w:t>
            </w: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4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支付给职工以及为职工支付的现 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412,273,605.68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219,831,059.53</w:t>
            </w:r>
          </w:p>
        </w:tc>
      </w:tr>
      <w:tr>
        <w:trPr>
          <w:trHeight w:val="40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支付的各项税费</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4"/>
              <w:ind w:right="20"/>
              <w:jc w:val="right"/>
              <w:rPr>
                <w:rFonts w:ascii="Times New Roman" w:hAnsi="Times New Roman" w:cs="Times New Roman" w:eastAsia="Times New Roman" w:hint="default"/>
                <w:sz w:val="18"/>
                <w:szCs w:val="18"/>
              </w:rPr>
            </w:pPr>
            <w:r>
              <w:rPr>
                <w:rFonts w:ascii="Times New Roman"/>
                <w:spacing w:val="-1"/>
                <w:sz w:val="18"/>
              </w:rPr>
              <w:t>105,500,839.92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2"/>
              <w:jc w:val="right"/>
              <w:rPr>
                <w:rFonts w:ascii="Times New Roman" w:hAnsi="Times New Roman" w:cs="Times New Roman" w:eastAsia="Times New Roman" w:hint="default"/>
                <w:sz w:val="18"/>
                <w:szCs w:val="18"/>
              </w:rPr>
            </w:pPr>
            <w:r>
              <w:rPr>
                <w:rFonts w:ascii="Times New Roman"/>
                <w:spacing w:val="-1"/>
                <w:sz w:val="18"/>
              </w:rPr>
              <w:t>78,887,062.28</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支付其他与经营活动有关的现金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369,148,653.25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289,204,790.39</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954,932,312.79</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622,152,798.54</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87,062,484.54</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202,627,167.27</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收回投资收到的现金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876,865,181.21</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108,000,000.00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取得投资收益收到的现金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186,407,503.62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42,065,730.38</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8"/>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处置固定资产、无形资产和其他</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940,894.49</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412,597.73</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2945"/>
        <w:gridCol w:w="3311"/>
        <w:gridCol w:w="3303"/>
      </w:tblGrid>
      <w:tr>
        <w:trPr>
          <w:trHeight w:val="36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长期资产收回的现金净额</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4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处置子公司及其他营业单位收到 的现金净额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收到其他与投资活动有关的现金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1,596,998,822.00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2,915,584.84</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2,661,212,401.32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153,393,912.95</w:t>
            </w: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4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购建固定资产、无形资产和其他 长期资产支付的现金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177,072,319.05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252,824,501.92</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投资支付的现金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2,034,270,443.18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543,772,435.00</w:t>
            </w: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4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取得子公司及其他营业单位支付 的现金净额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18,895,500.00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1,804,896,214.91</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支付其他与投资活动有关的现金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174,200,000.00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1,503,717,821.60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2,404,438,262.23</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4,105,210,973.43</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256,774,139.09</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-3,951,817,060.48</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吸收投资收到的现金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328,614,598.35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3,327,250,000.00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取得借款收到的现金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发行债券收到的现金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50,000,000.00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收到其他与筹资活动有关的现金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1,424,915.93</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1,502,998.60</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330,039,514.28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3,378,752,998.60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偿还债务支付的现金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4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分配股利、利润或偿付利息支付 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73,721,936.80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47,456,755.48</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支付其他与筹资活动有关的现金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32,801,378.56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88,923,230.06</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106,523,315.36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136,379,985.54</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223,516,198.92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3,242,373,013.06</w:t>
            </w: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42"/>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 影响</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-617.36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-454,007.10</w:t>
            </w:r>
          </w:p>
        </w:tc>
      </w:tr>
      <w:tr>
        <w:trPr>
          <w:trHeight w:val="40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567,352,205.19</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-507,270,887.25</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加：期初现金及现金等价物余额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313,981,818.22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821,252,705.47</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881,334,023.41</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313,981,818.22</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2"/>
        <w:rPr>
          <w:rFonts w:ascii="Times New Roman" w:hAnsi="Times New Roman" w:cs="Times New Roman" w:eastAsia="Times New Roman" w:hint="default"/>
          <w:sz w:val="28"/>
          <w:szCs w:val="28"/>
        </w:rPr>
      </w:pPr>
    </w:p>
    <w:p>
      <w:pPr>
        <w:pStyle w:val="Heading4"/>
        <w:spacing w:line="240" w:lineRule="auto" w:before="36"/>
        <w:ind w:right="982"/>
        <w:jc w:val="left"/>
        <w:rPr>
          <w:b w:val="0"/>
          <w:bCs w:val="0"/>
        </w:rPr>
      </w:pPr>
      <w:r>
        <w:rPr>
          <w:rFonts w:ascii="Times New Roman" w:hAnsi="Times New Roman" w:cs="Times New Roman" w:eastAsia="Times New Roman" w:hint="default"/>
        </w:rPr>
        <w:t>7</w:t>
      </w:r>
      <w:r>
        <w:rPr/>
        <w:t>、合并所有者权益变动表</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right="982"/>
        <w:jc w:val="left"/>
      </w:pPr>
      <w:r>
        <w:rPr/>
        <w:t>本期金额</w:t>
      </w:r>
    </w:p>
    <w:p>
      <w:pPr>
        <w:pStyle w:val="BodyText"/>
        <w:spacing w:line="240" w:lineRule="auto" w:before="115"/>
        <w:ind w:left="0" w:right="1131"/>
        <w:jc w:val="right"/>
      </w:pPr>
      <w:r>
        <w:rPr/>
        <w:t>单位：元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426"/>
        <w:gridCol w:w="562"/>
        <w:gridCol w:w="533"/>
        <w:gridCol w:w="531"/>
        <w:gridCol w:w="530"/>
        <w:gridCol w:w="665"/>
        <w:gridCol w:w="665"/>
        <w:gridCol w:w="665"/>
        <w:gridCol w:w="665"/>
        <w:gridCol w:w="665"/>
        <w:gridCol w:w="665"/>
        <w:gridCol w:w="665"/>
        <w:gridCol w:w="665"/>
        <w:gridCol w:w="660"/>
      </w:tblGrid>
      <w:tr>
        <w:trPr>
          <w:trHeight w:val="402" w:hRule="exact"/>
        </w:trPr>
        <w:tc>
          <w:tcPr>
            <w:tcW w:w="1426" w:type="dxa"/>
            <w:vMerge w:val="restart"/>
            <w:tcBorders>
              <w:top w:val="single" w:sz="4" w:space="0" w:color="000000"/>
              <w:left w:val="single" w:sz="4" w:space="0" w:color="000000"/>
              <w:right w:val="single" w:sz="4" w:space="0" w:color="000000"/>
            </w:tcBorders>
            <w:shd w:val="clear" w:color="auto" w:fill="D2D2D2"/>
          </w:tcPr>
          <w:p>
            <w:pPr/>
          </w:p>
        </w:tc>
        <w:tc>
          <w:tcPr>
            <w:tcW w:w="8135" w:type="dxa"/>
            <w:gridSpan w:val="1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w:t>
            </w:r>
          </w:p>
        </w:tc>
      </w:tr>
      <w:tr>
        <w:trPr>
          <w:trHeight w:val="251" w:hRule="exact"/>
        </w:trPr>
        <w:tc>
          <w:tcPr>
            <w:tcW w:w="1426" w:type="dxa"/>
            <w:vMerge/>
            <w:tcBorders>
              <w:left w:val="single" w:sz="4" w:space="0" w:color="000000"/>
              <w:right w:val="single" w:sz="4" w:space="0" w:color="000000"/>
            </w:tcBorders>
            <w:shd w:val="clear" w:color="auto" w:fill="D2D2D2"/>
          </w:tcPr>
          <w:p>
            <w:pPr/>
          </w:p>
        </w:tc>
        <w:tc>
          <w:tcPr>
            <w:tcW w:w="6810" w:type="dxa"/>
            <w:gridSpan w:val="11"/>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665" w:type="dxa"/>
            <w:vMerge w:val="restart"/>
            <w:tcBorders>
              <w:top w:val="single" w:sz="4" w:space="0" w:color="000000"/>
              <w:left w:val="single" w:sz="4" w:space="0" w:color="000000"/>
              <w:right w:val="single" w:sz="4" w:space="0" w:color="000000"/>
            </w:tcBorders>
            <w:shd w:val="clear" w:color="auto" w:fill="D2D2D2"/>
          </w:tcPr>
          <w:p>
            <w:pPr/>
          </w:p>
        </w:tc>
        <w:tc>
          <w:tcPr>
            <w:tcW w:w="660"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51" w:hRule="exact"/>
        </w:trPr>
        <w:tc>
          <w:tcPr>
            <w:tcW w:w="1426" w:type="dxa"/>
            <w:vMerge/>
            <w:tcBorders>
              <w:left w:val="single" w:sz="4" w:space="0" w:color="000000"/>
              <w:bottom w:val="nil" w:sz="6" w:space="0" w:color="auto"/>
              <w:right w:val="single" w:sz="4" w:space="0" w:color="000000"/>
            </w:tcBorders>
            <w:shd w:val="clear" w:color="auto" w:fill="D2D2D2"/>
          </w:tcPr>
          <w:p>
            <w:pPr/>
          </w:p>
        </w:tc>
        <w:tc>
          <w:tcPr>
            <w:tcW w:w="6810" w:type="dxa"/>
            <w:gridSpan w:val="11"/>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0"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55" w:right="53"/>
              <w:jc w:val="center"/>
              <w:rPr>
                <w:rFonts w:ascii="宋体" w:hAnsi="宋体" w:cs="宋体" w:eastAsia="宋体" w:hint="default"/>
                <w:sz w:val="18"/>
                <w:szCs w:val="18"/>
              </w:rPr>
            </w:pPr>
            <w:r>
              <w:rPr>
                <w:rFonts w:ascii="宋体" w:hAnsi="宋体" w:cs="宋体" w:eastAsia="宋体" w:hint="default"/>
                <w:sz w:val="18"/>
                <w:szCs w:val="18"/>
              </w:rPr>
              <w:t>所有者 权益合 计</w:t>
            </w:r>
          </w:p>
        </w:tc>
      </w:tr>
      <w:tr>
        <w:trPr>
          <w:trHeight w:val="206" w:hRule="exact"/>
        </w:trPr>
        <w:tc>
          <w:tcPr>
            <w:tcW w:w="142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8"/>
              <w:ind w:right="7"/>
              <w:jc w:val="center"/>
              <w:rPr>
                <w:rFonts w:ascii="宋体" w:hAnsi="宋体" w:cs="宋体" w:eastAsia="宋体" w:hint="default"/>
                <w:sz w:val="18"/>
                <w:szCs w:val="18"/>
              </w:rPr>
            </w:pPr>
            <w:r>
              <w:rPr>
                <w:rFonts w:ascii="宋体" w:hAnsi="宋体" w:cs="宋体" w:eastAsia="宋体" w:hint="default"/>
                <w:sz w:val="18"/>
                <w:szCs w:val="18"/>
              </w:rPr>
              <w:t>项目</w:t>
            </w:r>
          </w:p>
        </w:tc>
        <w:tc>
          <w:tcPr>
            <w:tcW w:w="562" w:type="dxa"/>
            <w:vMerge w:val="restart"/>
            <w:tcBorders>
              <w:top w:val="single" w:sz="4" w:space="0" w:color="000000"/>
              <w:left w:val="single" w:sz="4" w:space="0" w:color="000000"/>
              <w:right w:val="single" w:sz="4" w:space="0" w:color="000000"/>
            </w:tcBorders>
            <w:shd w:val="clear" w:color="auto" w:fill="D2D2D2"/>
          </w:tcPr>
          <w:p>
            <w:pPr/>
          </w:p>
        </w:tc>
        <w:tc>
          <w:tcPr>
            <w:tcW w:w="1594"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251"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3"/>
              <w:ind w:left="57" w:right="55"/>
              <w:jc w:val="left"/>
              <w:rPr>
                <w:rFonts w:ascii="宋体" w:hAnsi="宋体" w:cs="宋体" w:eastAsia="宋体" w:hint="default"/>
                <w:sz w:val="18"/>
                <w:szCs w:val="18"/>
              </w:rPr>
            </w:pPr>
            <w:r>
              <w:rPr>
                <w:rFonts w:ascii="宋体" w:hAnsi="宋体" w:cs="宋体" w:eastAsia="宋体" w:hint="default"/>
                <w:sz w:val="18"/>
                <w:szCs w:val="18"/>
              </w:rPr>
              <w:t>少数股 东权益</w:t>
            </w:r>
          </w:p>
        </w:tc>
        <w:tc>
          <w:tcPr>
            <w:tcW w:w="660" w:type="dxa"/>
            <w:vMerge/>
            <w:tcBorders>
              <w:left w:val="single" w:sz="4" w:space="0" w:color="000000"/>
              <w:right w:val="single" w:sz="4" w:space="0" w:color="000000"/>
            </w:tcBorders>
            <w:shd w:val="clear" w:color="auto" w:fill="D2D2D2"/>
          </w:tcPr>
          <w:p>
            <w:pPr/>
          </w:p>
        </w:tc>
      </w:tr>
      <w:tr>
        <w:trPr>
          <w:trHeight w:val="174" w:hRule="exact"/>
        </w:trPr>
        <w:tc>
          <w:tcPr>
            <w:tcW w:w="1426" w:type="dxa"/>
            <w:vMerge/>
            <w:tcBorders>
              <w:left w:val="single" w:sz="4" w:space="0" w:color="000000"/>
              <w:bottom w:val="nil" w:sz="6" w:space="0" w:color="auto"/>
              <w:right w:val="single" w:sz="4" w:space="0" w:color="000000"/>
            </w:tcBorders>
            <w:shd w:val="clear" w:color="auto" w:fill="D2D2D2"/>
          </w:tcPr>
          <w:p>
            <w:pPr/>
          </w:p>
        </w:tc>
        <w:tc>
          <w:tcPr>
            <w:tcW w:w="562" w:type="dxa"/>
            <w:vMerge/>
            <w:tcBorders>
              <w:left w:val="single" w:sz="4" w:space="0" w:color="000000"/>
              <w:bottom w:val="nil" w:sz="6" w:space="0" w:color="auto"/>
              <w:right w:val="single" w:sz="4" w:space="0" w:color="000000"/>
            </w:tcBorders>
            <w:shd w:val="clear" w:color="auto" w:fill="D2D2D2"/>
          </w:tcPr>
          <w:p>
            <w:pPr/>
          </w:p>
        </w:tc>
        <w:tc>
          <w:tcPr>
            <w:tcW w:w="1594" w:type="dxa"/>
            <w:gridSpan w:val="3"/>
            <w:vMerge/>
            <w:tcBorders>
              <w:left w:val="single" w:sz="4" w:space="0" w:color="000000"/>
              <w:bottom w:val="single" w:sz="4" w:space="0" w:color="000000"/>
              <w:right w:val="single" w:sz="4" w:space="0" w:color="000000"/>
            </w:tcBorders>
            <w:shd w:val="clear" w:color="auto" w:fill="D2D2D2"/>
          </w:tcPr>
          <w:p>
            <w:pP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4" w:lineRule="auto" w:before="49"/>
              <w:ind w:left="237" w:right="55" w:hanging="180"/>
              <w:jc w:val="left"/>
              <w:rPr>
                <w:rFonts w:ascii="宋体" w:hAnsi="宋体" w:cs="宋体" w:eastAsia="宋体" w:hint="default"/>
                <w:sz w:val="18"/>
                <w:szCs w:val="18"/>
              </w:rPr>
            </w:pPr>
            <w:r>
              <w:rPr>
                <w:rFonts w:ascii="宋体" w:hAnsi="宋体" w:cs="宋体" w:eastAsia="宋体" w:hint="default"/>
                <w:sz w:val="18"/>
                <w:szCs w:val="18"/>
              </w:rPr>
              <w:t>资本公 积</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4" w:lineRule="auto" w:before="49"/>
              <w:ind w:left="148" w:right="55" w:hanging="92"/>
              <w:jc w:val="left"/>
              <w:rPr>
                <w:rFonts w:ascii="宋体" w:hAnsi="宋体" w:cs="宋体" w:eastAsia="宋体" w:hint="default"/>
                <w:sz w:val="18"/>
                <w:szCs w:val="18"/>
              </w:rPr>
            </w:pPr>
            <w:r>
              <w:rPr>
                <w:rFonts w:ascii="宋体" w:hAnsi="宋体" w:cs="宋体" w:eastAsia="宋体" w:hint="default"/>
                <w:sz w:val="18"/>
                <w:szCs w:val="18"/>
              </w:rPr>
              <w:t>减：库 存股</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4" w:lineRule="auto" w:before="49"/>
              <w:ind w:left="57" w:right="57"/>
              <w:jc w:val="left"/>
              <w:rPr>
                <w:rFonts w:ascii="宋体" w:hAnsi="宋体" w:cs="宋体" w:eastAsia="宋体" w:hint="default"/>
                <w:sz w:val="18"/>
                <w:szCs w:val="18"/>
              </w:rPr>
            </w:pPr>
            <w:r>
              <w:rPr>
                <w:rFonts w:ascii="宋体" w:hAnsi="宋体" w:cs="宋体" w:eastAsia="宋体" w:hint="default"/>
                <w:sz w:val="18"/>
                <w:szCs w:val="18"/>
              </w:rPr>
              <w:t>其他综 合收益</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4" w:lineRule="auto" w:before="49"/>
              <w:ind w:left="237" w:right="55" w:hanging="180"/>
              <w:jc w:val="left"/>
              <w:rPr>
                <w:rFonts w:ascii="宋体" w:hAnsi="宋体" w:cs="宋体" w:eastAsia="宋体" w:hint="default"/>
                <w:sz w:val="18"/>
                <w:szCs w:val="18"/>
              </w:rPr>
            </w:pPr>
            <w:r>
              <w:rPr>
                <w:rFonts w:ascii="宋体" w:hAnsi="宋体" w:cs="宋体" w:eastAsia="宋体" w:hint="default"/>
                <w:sz w:val="18"/>
                <w:szCs w:val="18"/>
              </w:rPr>
              <w:t>专项储 备</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4" w:lineRule="auto" w:before="49"/>
              <w:ind w:left="237" w:right="55" w:hanging="180"/>
              <w:jc w:val="left"/>
              <w:rPr>
                <w:rFonts w:ascii="宋体" w:hAnsi="宋体" w:cs="宋体" w:eastAsia="宋体" w:hint="default"/>
                <w:sz w:val="18"/>
                <w:szCs w:val="18"/>
              </w:rPr>
            </w:pPr>
            <w:r>
              <w:rPr>
                <w:rFonts w:ascii="宋体" w:hAnsi="宋体" w:cs="宋体" w:eastAsia="宋体" w:hint="default"/>
                <w:sz w:val="18"/>
                <w:szCs w:val="18"/>
              </w:rPr>
              <w:t>盈余公 积</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4" w:lineRule="auto" w:before="49"/>
              <w:ind w:left="57" w:right="55"/>
              <w:jc w:val="left"/>
              <w:rPr>
                <w:rFonts w:ascii="宋体" w:hAnsi="宋体" w:cs="宋体" w:eastAsia="宋体" w:hint="default"/>
                <w:sz w:val="18"/>
                <w:szCs w:val="18"/>
              </w:rPr>
            </w:pPr>
            <w:r>
              <w:rPr>
                <w:rFonts w:ascii="宋体" w:hAnsi="宋体" w:cs="宋体" w:eastAsia="宋体" w:hint="default"/>
                <w:sz w:val="18"/>
                <w:szCs w:val="18"/>
              </w:rPr>
              <w:t>一般风 险准备</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4" w:lineRule="auto" w:before="49"/>
              <w:ind w:left="148" w:right="56" w:hanging="92"/>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665" w:type="dxa"/>
            <w:vMerge/>
            <w:tcBorders>
              <w:left w:val="single" w:sz="4" w:space="0" w:color="000000"/>
              <w:right w:val="single" w:sz="4" w:space="0" w:color="000000"/>
            </w:tcBorders>
            <w:shd w:val="clear" w:color="auto" w:fill="D2D2D2"/>
          </w:tcPr>
          <w:p>
            <w:pPr/>
          </w:p>
        </w:tc>
        <w:tc>
          <w:tcPr>
            <w:tcW w:w="660" w:type="dxa"/>
            <w:vMerge/>
            <w:tcBorders>
              <w:left w:val="single" w:sz="4" w:space="0" w:color="000000"/>
              <w:right w:val="single" w:sz="4" w:space="0" w:color="000000"/>
            </w:tcBorders>
            <w:shd w:val="clear" w:color="auto" w:fill="D2D2D2"/>
          </w:tcPr>
          <w:p>
            <w:pPr/>
          </w:p>
        </w:tc>
      </w:tr>
      <w:tr>
        <w:trPr>
          <w:trHeight w:val="184" w:hRule="exact"/>
        </w:trPr>
        <w:tc>
          <w:tcPr>
            <w:tcW w:w="1426" w:type="dxa"/>
            <w:vMerge w:val="restart"/>
            <w:tcBorders>
              <w:top w:val="nil" w:sz="6" w:space="0" w:color="auto"/>
              <w:left w:val="single" w:sz="4" w:space="0" w:color="000000"/>
              <w:right w:val="single" w:sz="4" w:space="0" w:color="000000"/>
            </w:tcBorders>
            <w:shd w:val="clear" w:color="auto" w:fill="D2D2D2"/>
          </w:tcPr>
          <w:p>
            <w:pPr/>
          </w:p>
        </w:tc>
        <w:tc>
          <w:tcPr>
            <w:tcW w:w="56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31"/>
              <w:ind w:left="95"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533"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71"/>
              <w:ind w:left="170" w:right="79" w:hanging="89"/>
              <w:jc w:val="left"/>
              <w:rPr>
                <w:rFonts w:ascii="宋体" w:hAnsi="宋体" w:cs="宋体" w:eastAsia="宋体" w:hint="default"/>
                <w:sz w:val="18"/>
                <w:szCs w:val="18"/>
              </w:rPr>
            </w:pPr>
            <w:r>
              <w:rPr>
                <w:rFonts w:ascii="宋体" w:hAnsi="宋体" w:cs="宋体" w:eastAsia="宋体" w:hint="default"/>
                <w:sz w:val="18"/>
                <w:szCs w:val="18"/>
              </w:rPr>
              <w:t>优先 股</w:t>
            </w:r>
          </w:p>
        </w:tc>
        <w:tc>
          <w:tcPr>
            <w:tcW w:w="531"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71"/>
              <w:ind w:left="170" w:right="77" w:hanging="89"/>
              <w:jc w:val="left"/>
              <w:rPr>
                <w:rFonts w:ascii="宋体" w:hAnsi="宋体" w:cs="宋体" w:eastAsia="宋体" w:hint="default"/>
                <w:sz w:val="18"/>
                <w:szCs w:val="18"/>
              </w:rPr>
            </w:pPr>
            <w:r>
              <w:rPr>
                <w:rFonts w:ascii="宋体" w:hAnsi="宋体" w:cs="宋体" w:eastAsia="宋体" w:hint="default"/>
                <w:sz w:val="18"/>
                <w:szCs w:val="18"/>
              </w:rPr>
              <w:t>永续 债</w:t>
            </w:r>
          </w:p>
        </w:tc>
        <w:tc>
          <w:tcPr>
            <w:tcW w:w="530"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0" w:type="dxa"/>
            <w:vMerge/>
            <w:tcBorders>
              <w:left w:val="single" w:sz="4" w:space="0" w:color="000000"/>
              <w:right w:val="single" w:sz="4" w:space="0" w:color="000000"/>
            </w:tcBorders>
            <w:shd w:val="clear" w:color="auto" w:fill="D2D2D2"/>
          </w:tcPr>
          <w:p>
            <w:pPr/>
          </w:p>
        </w:tc>
      </w:tr>
      <w:tr>
        <w:trPr>
          <w:trHeight w:val="167" w:hRule="exact"/>
        </w:trPr>
        <w:tc>
          <w:tcPr>
            <w:tcW w:w="1426" w:type="dxa"/>
            <w:vMerge/>
            <w:tcBorders>
              <w:left w:val="single" w:sz="4" w:space="0" w:color="000000"/>
              <w:right w:val="single" w:sz="4" w:space="0" w:color="000000"/>
            </w:tcBorders>
            <w:shd w:val="clear" w:color="auto" w:fill="D2D2D2"/>
          </w:tcPr>
          <w:p>
            <w:pPr/>
          </w:p>
        </w:tc>
        <w:tc>
          <w:tcPr>
            <w:tcW w:w="562" w:type="dxa"/>
            <w:vMerge/>
            <w:tcBorders>
              <w:left w:val="single" w:sz="4" w:space="0" w:color="000000"/>
              <w:bottom w:val="nil" w:sz="6" w:space="0" w:color="auto"/>
              <w:right w:val="single" w:sz="4" w:space="0" w:color="000000"/>
            </w:tcBorders>
            <w:shd w:val="clear" w:color="auto" w:fill="D2D2D2"/>
          </w:tcPr>
          <w:p>
            <w:pPr/>
          </w:p>
        </w:tc>
        <w:tc>
          <w:tcPr>
            <w:tcW w:w="533" w:type="dxa"/>
            <w:vMerge/>
            <w:tcBorders>
              <w:left w:val="single" w:sz="4" w:space="0" w:color="000000"/>
              <w:right w:val="single" w:sz="4" w:space="0" w:color="000000"/>
            </w:tcBorders>
            <w:shd w:val="clear" w:color="auto" w:fill="D2D2D2"/>
          </w:tcPr>
          <w:p>
            <w:pPr/>
          </w:p>
        </w:tc>
        <w:tc>
          <w:tcPr>
            <w:tcW w:w="531" w:type="dxa"/>
            <w:vMerge/>
            <w:tcBorders>
              <w:left w:val="single" w:sz="4" w:space="0" w:color="000000"/>
              <w:right w:val="single" w:sz="4" w:space="0" w:color="000000"/>
            </w:tcBorders>
            <w:shd w:val="clear" w:color="auto" w:fill="D2D2D2"/>
          </w:tcPr>
          <w:p>
            <w:pPr/>
          </w:p>
        </w:tc>
        <w:tc>
          <w:tcPr>
            <w:tcW w:w="53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8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0" w:type="dxa"/>
            <w:vMerge/>
            <w:tcBorders>
              <w:left w:val="single" w:sz="4" w:space="0" w:color="000000"/>
              <w:right w:val="single" w:sz="4" w:space="0" w:color="000000"/>
            </w:tcBorders>
            <w:shd w:val="clear" w:color="auto" w:fill="D2D2D2"/>
          </w:tcPr>
          <w:p>
            <w:pPr/>
          </w:p>
        </w:tc>
      </w:tr>
      <w:tr>
        <w:trPr>
          <w:trHeight w:val="156" w:hRule="exact"/>
        </w:trPr>
        <w:tc>
          <w:tcPr>
            <w:tcW w:w="1426" w:type="dxa"/>
            <w:vMerge/>
            <w:tcBorders>
              <w:left w:val="single" w:sz="4" w:space="0" w:color="000000"/>
              <w:right w:val="single" w:sz="4" w:space="0" w:color="000000"/>
            </w:tcBorders>
            <w:shd w:val="clear" w:color="auto" w:fill="D2D2D2"/>
          </w:tcPr>
          <w:p>
            <w:pPr/>
          </w:p>
        </w:tc>
        <w:tc>
          <w:tcPr>
            <w:tcW w:w="562" w:type="dxa"/>
            <w:vMerge w:val="restart"/>
            <w:tcBorders>
              <w:top w:val="nil" w:sz="6" w:space="0" w:color="auto"/>
              <w:left w:val="single" w:sz="4" w:space="0" w:color="000000"/>
              <w:right w:val="single" w:sz="4" w:space="0" w:color="000000"/>
            </w:tcBorders>
            <w:shd w:val="clear" w:color="auto" w:fill="D2D2D2"/>
          </w:tcPr>
          <w:p>
            <w:pPr/>
          </w:p>
        </w:tc>
        <w:tc>
          <w:tcPr>
            <w:tcW w:w="533" w:type="dxa"/>
            <w:vMerge/>
            <w:tcBorders>
              <w:left w:val="single" w:sz="4" w:space="0" w:color="000000"/>
              <w:right w:val="single" w:sz="4" w:space="0" w:color="000000"/>
            </w:tcBorders>
            <w:shd w:val="clear" w:color="auto" w:fill="D2D2D2"/>
          </w:tcPr>
          <w:p>
            <w:pPr/>
          </w:p>
        </w:tc>
        <w:tc>
          <w:tcPr>
            <w:tcW w:w="531" w:type="dxa"/>
            <w:vMerge/>
            <w:tcBorders>
              <w:left w:val="single" w:sz="4" w:space="0" w:color="000000"/>
              <w:right w:val="single" w:sz="4" w:space="0" w:color="000000"/>
            </w:tcBorders>
            <w:shd w:val="clear" w:color="auto" w:fill="D2D2D2"/>
          </w:tcPr>
          <w:p>
            <w:pPr/>
          </w:p>
        </w:tc>
        <w:tc>
          <w:tcPr>
            <w:tcW w:w="530"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val="restart"/>
            <w:tcBorders>
              <w:top w:val="nil" w:sz="6" w:space="0" w:color="auto"/>
              <w:left w:val="single" w:sz="4" w:space="0" w:color="000000"/>
              <w:right w:val="single" w:sz="4" w:space="0" w:color="000000"/>
            </w:tcBorders>
            <w:shd w:val="clear" w:color="auto" w:fill="D2D2D2"/>
          </w:tcPr>
          <w:p>
            <w:pPr/>
          </w:p>
        </w:tc>
        <w:tc>
          <w:tcPr>
            <w:tcW w:w="660" w:type="dxa"/>
            <w:vMerge/>
            <w:tcBorders>
              <w:left w:val="single" w:sz="4" w:space="0" w:color="000000"/>
              <w:bottom w:val="nil" w:sz="6" w:space="0" w:color="auto"/>
              <w:right w:val="single" w:sz="4" w:space="0" w:color="000000"/>
            </w:tcBorders>
            <w:shd w:val="clear" w:color="auto" w:fill="D2D2D2"/>
          </w:tcPr>
          <w:p>
            <w:pPr/>
          </w:p>
        </w:tc>
      </w:tr>
      <w:tr>
        <w:trPr>
          <w:trHeight w:val="229" w:hRule="exact"/>
        </w:trPr>
        <w:tc>
          <w:tcPr>
            <w:tcW w:w="1426" w:type="dxa"/>
            <w:vMerge/>
            <w:tcBorders>
              <w:left w:val="single" w:sz="4" w:space="0" w:color="000000"/>
              <w:bottom w:val="single" w:sz="4" w:space="0" w:color="000000"/>
              <w:right w:val="single" w:sz="4" w:space="0" w:color="000000"/>
            </w:tcBorders>
            <w:shd w:val="clear" w:color="auto" w:fill="D2D2D2"/>
          </w:tcPr>
          <w:p>
            <w:pPr/>
          </w:p>
        </w:tc>
        <w:tc>
          <w:tcPr>
            <w:tcW w:w="562" w:type="dxa"/>
            <w:vMerge/>
            <w:tcBorders>
              <w:left w:val="single" w:sz="4" w:space="0" w:color="000000"/>
              <w:bottom w:val="single" w:sz="4" w:space="0" w:color="000000"/>
              <w:right w:val="single" w:sz="4" w:space="0" w:color="000000"/>
            </w:tcBorders>
            <w:shd w:val="clear" w:color="auto" w:fill="D2D2D2"/>
          </w:tcPr>
          <w:p>
            <w:pPr/>
          </w:p>
        </w:tc>
        <w:tc>
          <w:tcPr>
            <w:tcW w:w="533" w:type="dxa"/>
            <w:vMerge/>
            <w:tcBorders>
              <w:left w:val="single" w:sz="4" w:space="0" w:color="000000"/>
              <w:bottom w:val="single" w:sz="4" w:space="0" w:color="000000"/>
              <w:right w:val="single" w:sz="4" w:space="0" w:color="000000"/>
            </w:tcBorders>
            <w:shd w:val="clear" w:color="auto" w:fill="D2D2D2"/>
          </w:tcPr>
          <w:p>
            <w:pPr/>
          </w:p>
        </w:tc>
        <w:tc>
          <w:tcPr>
            <w:tcW w:w="531" w:type="dxa"/>
            <w:vMerge/>
            <w:tcBorders>
              <w:left w:val="single" w:sz="4" w:space="0" w:color="000000"/>
              <w:bottom w:val="single" w:sz="4" w:space="0" w:color="000000"/>
              <w:right w:val="single" w:sz="4" w:space="0" w:color="000000"/>
            </w:tcBorders>
            <w:shd w:val="clear" w:color="auto" w:fill="D2D2D2"/>
          </w:tcPr>
          <w:p>
            <w:pPr/>
          </w:p>
        </w:tc>
        <w:tc>
          <w:tcPr>
            <w:tcW w:w="530"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0"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317" w:hRule="exact"/>
        </w:trPr>
        <w:tc>
          <w:tcPr>
            <w:tcW w:w="1426" w:type="dxa"/>
            <w:tcBorders>
              <w:top w:val="single" w:sz="4" w:space="0" w:color="000000"/>
              <w:left w:val="single" w:sz="4" w:space="0" w:color="000000"/>
              <w:bottom w:val="nil" w:sz="6" w:space="0" w:color="auto"/>
              <w:right w:val="single" w:sz="4" w:space="0" w:color="000000"/>
            </w:tcBorders>
            <w:shd w:val="clear" w:color="auto" w:fill="D2D2D2"/>
          </w:tcPr>
          <w:p>
            <w:pPr/>
          </w:p>
        </w:tc>
        <w:tc>
          <w:tcPr>
            <w:tcW w:w="562" w:type="dxa"/>
            <w:vMerge w:val="restart"/>
            <w:tcBorders>
              <w:top w:val="single" w:sz="4" w:space="0" w:color="000000"/>
              <w:left w:val="single" w:sz="10" w:space="0" w:color="D2D2D2"/>
              <w:right w:val="single" w:sz="4" w:space="0" w:color="000000"/>
            </w:tcBorders>
          </w:tcPr>
          <w:p>
            <w:pPr>
              <w:pStyle w:val="TableParagraph"/>
              <w:spacing w:line="240" w:lineRule="auto" w:before="91"/>
              <w:ind w:left="51" w:right="0"/>
              <w:jc w:val="center"/>
              <w:rPr>
                <w:rFonts w:ascii="Times New Roman" w:hAnsi="Times New Roman" w:cs="Times New Roman" w:eastAsia="Times New Roman" w:hint="default"/>
                <w:sz w:val="18"/>
                <w:szCs w:val="18"/>
              </w:rPr>
            </w:pPr>
            <w:r>
              <w:rPr>
                <w:rFonts w:ascii="Times New Roman"/>
                <w:sz w:val="18"/>
              </w:rPr>
              <w:t>1,282,</w:t>
            </w:r>
          </w:p>
          <w:p>
            <w:pPr>
              <w:pStyle w:val="TableParagraph"/>
              <w:spacing w:line="240" w:lineRule="auto" w:before="105"/>
              <w:ind w:left="7" w:right="0"/>
              <w:jc w:val="center"/>
              <w:rPr>
                <w:rFonts w:ascii="Times New Roman" w:hAnsi="Times New Roman" w:cs="Times New Roman" w:eastAsia="Times New Roman" w:hint="default"/>
                <w:sz w:val="18"/>
                <w:szCs w:val="18"/>
              </w:rPr>
            </w:pPr>
            <w:r>
              <w:rPr>
                <w:rFonts w:ascii="Times New Roman"/>
                <w:sz w:val="18"/>
              </w:rPr>
              <w:t>615,01</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3.00</w:t>
            </w:r>
          </w:p>
        </w:tc>
        <w:tc>
          <w:tcPr>
            <w:tcW w:w="53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84" w:right="0"/>
              <w:jc w:val="left"/>
              <w:rPr>
                <w:rFonts w:ascii="Times New Roman" w:hAnsi="Times New Roman" w:cs="Times New Roman" w:eastAsia="Times New Roman" w:hint="default"/>
                <w:sz w:val="18"/>
                <w:szCs w:val="18"/>
              </w:rPr>
            </w:pPr>
            <w:r>
              <w:rPr>
                <w:rFonts w:ascii="Times New Roman"/>
                <w:sz w:val="18"/>
              </w:rPr>
              <w:t>0.00</w:t>
            </w:r>
          </w:p>
        </w:tc>
        <w:tc>
          <w:tcPr>
            <w:tcW w:w="53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84" w:right="0"/>
              <w:jc w:val="left"/>
              <w:rPr>
                <w:rFonts w:ascii="Times New Roman" w:hAnsi="Times New Roman" w:cs="Times New Roman" w:eastAsia="Times New Roman" w:hint="default"/>
                <w:sz w:val="18"/>
                <w:szCs w:val="18"/>
              </w:rPr>
            </w:pPr>
            <w:r>
              <w:rPr>
                <w:rFonts w:ascii="Times New Roman"/>
                <w:sz w:val="18"/>
              </w:rPr>
              <w:t>0.00</w:t>
            </w:r>
          </w:p>
        </w:tc>
        <w:tc>
          <w:tcPr>
            <w:tcW w:w="53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84" w:right="0"/>
              <w:jc w:val="left"/>
              <w:rPr>
                <w:rFonts w:ascii="Times New Roman" w:hAnsi="Times New Roman" w:cs="Times New Roman" w:eastAsia="Times New Roman" w:hint="default"/>
                <w:sz w:val="18"/>
                <w:szCs w:val="18"/>
              </w:rPr>
            </w:pPr>
            <w:r>
              <w:rPr>
                <w:rFonts w:ascii="Times New Roman"/>
                <w:sz w:val="18"/>
              </w:rPr>
              <w:t>0.00</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4,205,5</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23,831.</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08</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3" w:right="0"/>
              <w:jc w:val="left"/>
              <w:rPr>
                <w:rFonts w:ascii="Times New Roman" w:hAnsi="Times New Roman" w:cs="Times New Roman" w:eastAsia="Times New Roman" w:hint="default"/>
                <w:sz w:val="18"/>
                <w:szCs w:val="18"/>
              </w:rPr>
            </w:pPr>
            <w:r>
              <w:rPr>
                <w:rFonts w:ascii="Times New Roman"/>
                <w:sz w:val="18"/>
              </w:rPr>
              <w:t>77,973,</w:t>
            </w:r>
          </w:p>
          <w:p>
            <w:pPr>
              <w:pStyle w:val="TableParagraph"/>
              <w:spacing w:line="240" w:lineRule="auto" w:before="105"/>
              <w:ind w:left="139" w:right="0"/>
              <w:jc w:val="left"/>
              <w:rPr>
                <w:rFonts w:ascii="Times New Roman" w:hAnsi="Times New Roman" w:cs="Times New Roman" w:eastAsia="Times New Roman" w:hint="default"/>
                <w:sz w:val="18"/>
                <w:szCs w:val="18"/>
              </w:rPr>
            </w:pPr>
            <w:r>
              <w:rPr>
                <w:rFonts w:ascii="Times New Roman"/>
                <w:sz w:val="18"/>
              </w:rPr>
              <w:t>177.02</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2" w:right="0"/>
              <w:jc w:val="center"/>
              <w:rPr>
                <w:rFonts w:ascii="Times New Roman" w:hAnsi="Times New Roman" w:cs="Times New Roman" w:eastAsia="Times New Roman" w:hint="default"/>
                <w:sz w:val="18"/>
                <w:szCs w:val="18"/>
              </w:rPr>
            </w:pPr>
            <w:r>
              <w:rPr>
                <w:rFonts w:ascii="Times New Roman"/>
                <w:sz w:val="18"/>
              </w:rPr>
              <w:t>5,933,8</w:t>
            </w:r>
          </w:p>
          <w:p>
            <w:pPr>
              <w:pStyle w:val="TableParagraph"/>
              <w:spacing w:line="240" w:lineRule="auto" w:before="105"/>
              <w:ind w:left="206" w:right="0"/>
              <w:jc w:val="center"/>
              <w:rPr>
                <w:rFonts w:ascii="Times New Roman" w:hAnsi="Times New Roman" w:cs="Times New Roman" w:eastAsia="Times New Roman" w:hint="default"/>
                <w:sz w:val="18"/>
                <w:szCs w:val="18"/>
              </w:rPr>
            </w:pPr>
            <w:r>
              <w:rPr>
                <w:rFonts w:ascii="Times New Roman"/>
                <w:sz w:val="18"/>
              </w:rPr>
              <w:t>09.71</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19" w:right="0"/>
              <w:jc w:val="left"/>
              <w:rPr>
                <w:rFonts w:ascii="Times New Roman" w:hAnsi="Times New Roman" w:cs="Times New Roman" w:eastAsia="Times New Roman" w:hint="default"/>
                <w:sz w:val="18"/>
                <w:szCs w:val="18"/>
              </w:rPr>
            </w:pPr>
            <w:r>
              <w:rPr>
                <w:rFonts w:ascii="Times New Roman"/>
                <w:sz w:val="18"/>
              </w:rPr>
              <w:t>0.00</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2" w:right="0"/>
              <w:jc w:val="left"/>
              <w:rPr>
                <w:rFonts w:ascii="Times New Roman" w:hAnsi="Times New Roman" w:cs="Times New Roman" w:eastAsia="Times New Roman" w:hint="default"/>
                <w:sz w:val="18"/>
                <w:szCs w:val="18"/>
              </w:rPr>
            </w:pPr>
            <w:r>
              <w:rPr>
                <w:rFonts w:ascii="Times New Roman"/>
                <w:sz w:val="18"/>
              </w:rPr>
              <w:t>109,115</w:t>
            </w:r>
          </w:p>
          <w:p>
            <w:pPr>
              <w:pStyle w:val="TableParagraph"/>
              <w:spacing w:line="240" w:lineRule="auto" w:before="105"/>
              <w:ind w:left="91" w:right="0"/>
              <w:jc w:val="left"/>
              <w:rPr>
                <w:rFonts w:ascii="Times New Roman" w:hAnsi="Times New Roman" w:cs="Times New Roman" w:eastAsia="Times New Roman" w:hint="default"/>
                <w:sz w:val="18"/>
                <w:szCs w:val="18"/>
              </w:rPr>
            </w:pPr>
            <w:r>
              <w:rPr>
                <w:rFonts w:ascii="Times New Roman"/>
                <w:sz w:val="18"/>
              </w:rPr>
              <w:t>,366.29</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19" w:right="0"/>
              <w:jc w:val="left"/>
              <w:rPr>
                <w:rFonts w:ascii="Times New Roman" w:hAnsi="Times New Roman" w:cs="Times New Roman" w:eastAsia="Times New Roman" w:hint="default"/>
                <w:sz w:val="18"/>
                <w:szCs w:val="18"/>
              </w:rPr>
            </w:pPr>
            <w:r>
              <w:rPr>
                <w:rFonts w:ascii="Times New Roman"/>
                <w:sz w:val="18"/>
              </w:rPr>
              <w:t>0.00</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2"/>
                <w:sz w:val="18"/>
              </w:rPr>
              <w:t>1,110,9</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39,772.</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85</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8" w:right="0"/>
              <w:jc w:val="left"/>
              <w:rPr>
                <w:rFonts w:ascii="Times New Roman" w:hAnsi="Times New Roman" w:cs="Times New Roman" w:eastAsia="Times New Roman" w:hint="default"/>
                <w:sz w:val="18"/>
                <w:szCs w:val="18"/>
              </w:rPr>
            </w:pPr>
            <w:r>
              <w:rPr>
                <w:rFonts w:ascii="Times New Roman"/>
                <w:sz w:val="18"/>
              </w:rPr>
              <w:t>237,795</w:t>
            </w:r>
          </w:p>
          <w:p>
            <w:pPr>
              <w:pStyle w:val="TableParagraph"/>
              <w:spacing w:line="240" w:lineRule="auto" w:before="105"/>
              <w:ind w:left="93" w:right="0"/>
              <w:jc w:val="left"/>
              <w:rPr>
                <w:rFonts w:ascii="Times New Roman" w:hAnsi="Times New Roman" w:cs="Times New Roman" w:eastAsia="Times New Roman" w:hint="default"/>
                <w:sz w:val="18"/>
                <w:szCs w:val="18"/>
              </w:rPr>
            </w:pPr>
            <w:r>
              <w:rPr>
                <w:rFonts w:ascii="Times New Roman"/>
                <w:sz w:val="18"/>
              </w:rPr>
              <w:t>,974.24</w:t>
            </w:r>
          </w:p>
        </w:tc>
        <w:tc>
          <w:tcPr>
            <w:tcW w:w="660"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6,873,9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50,590.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15</w:t>
            </w:r>
          </w:p>
        </w:tc>
      </w:tr>
      <w:tr>
        <w:trPr>
          <w:trHeight w:val="392" w:hRule="exact"/>
        </w:trPr>
        <w:tc>
          <w:tcPr>
            <w:tcW w:w="142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8"/>
                <w:sz w:val="18"/>
                <w:szCs w:val="18"/>
              </w:rPr>
              <w:t>一、上年期末余额</w:t>
            </w:r>
          </w:p>
        </w:tc>
        <w:tc>
          <w:tcPr>
            <w:tcW w:w="562" w:type="dxa"/>
            <w:vMerge/>
            <w:tcBorders>
              <w:left w:val="single" w:sz="10" w:space="0" w:color="D2D2D2"/>
              <w:right w:val="single" w:sz="4" w:space="0" w:color="000000"/>
            </w:tcBorders>
          </w:tcPr>
          <w:p>
            <w:pPr/>
          </w:p>
        </w:tc>
        <w:tc>
          <w:tcPr>
            <w:tcW w:w="533" w:type="dxa"/>
            <w:vMerge/>
            <w:tcBorders>
              <w:left w:val="single" w:sz="4" w:space="0" w:color="000000"/>
              <w:right w:val="single" w:sz="4" w:space="0" w:color="000000"/>
            </w:tcBorders>
          </w:tcPr>
          <w:p>
            <w:pPr/>
          </w:p>
        </w:tc>
        <w:tc>
          <w:tcPr>
            <w:tcW w:w="531"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0" w:type="dxa"/>
            <w:vMerge/>
            <w:tcBorders>
              <w:left w:val="single" w:sz="4" w:space="0" w:color="000000"/>
              <w:right w:val="single" w:sz="4" w:space="0" w:color="000000"/>
            </w:tcBorders>
          </w:tcPr>
          <w:p>
            <w:pPr/>
          </w:p>
        </w:tc>
      </w:tr>
      <w:tr>
        <w:trPr>
          <w:trHeight w:val="317" w:hRule="exact"/>
        </w:trPr>
        <w:tc>
          <w:tcPr>
            <w:tcW w:w="1426" w:type="dxa"/>
            <w:tcBorders>
              <w:top w:val="nil" w:sz="6" w:space="0" w:color="auto"/>
              <w:left w:val="single" w:sz="4" w:space="0" w:color="000000"/>
              <w:bottom w:val="single" w:sz="4" w:space="0" w:color="000000"/>
              <w:right w:val="single" w:sz="4" w:space="0" w:color="000000"/>
            </w:tcBorders>
            <w:shd w:val="clear" w:color="auto" w:fill="D2D2D2"/>
          </w:tcPr>
          <w:p>
            <w:pPr/>
          </w:p>
        </w:tc>
        <w:tc>
          <w:tcPr>
            <w:tcW w:w="562" w:type="dxa"/>
            <w:vMerge/>
            <w:tcBorders>
              <w:left w:val="single" w:sz="10" w:space="0" w:color="D2D2D2"/>
              <w:bottom w:val="single" w:sz="4" w:space="0" w:color="000000"/>
              <w:right w:val="single" w:sz="4" w:space="0" w:color="000000"/>
            </w:tcBorders>
          </w:tcPr>
          <w:p>
            <w:pPr/>
          </w:p>
        </w:tc>
        <w:tc>
          <w:tcPr>
            <w:tcW w:w="533" w:type="dxa"/>
            <w:vMerge/>
            <w:tcBorders>
              <w:left w:val="single" w:sz="4" w:space="0" w:color="000000"/>
              <w:bottom w:val="single" w:sz="4" w:space="0" w:color="000000"/>
              <w:right w:val="single" w:sz="4" w:space="0" w:color="000000"/>
            </w:tcBorders>
          </w:tcPr>
          <w:p>
            <w:pPr/>
          </w:p>
        </w:tc>
        <w:tc>
          <w:tcPr>
            <w:tcW w:w="531"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0" w:type="dxa"/>
            <w:vMerge/>
            <w:tcBorders>
              <w:left w:val="single" w:sz="4" w:space="0" w:color="000000"/>
              <w:bottom w:val="single" w:sz="4" w:space="0" w:color="000000"/>
              <w:right w:val="single" w:sz="4" w:space="0" w:color="000000"/>
            </w:tcBorders>
          </w:tcPr>
          <w:p>
            <w:pPr/>
          </w:p>
        </w:tc>
      </w:tr>
      <w:tr>
        <w:trPr>
          <w:trHeight w:val="715" w:hRule="exact"/>
        </w:trPr>
        <w:tc>
          <w:tcPr>
            <w:tcW w:w="14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19"/>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pacing w:val="-10"/>
                <w:sz w:val="18"/>
                <w:szCs w:val="18"/>
              </w:rPr>
              <w:t>加：会计政策</w:t>
            </w:r>
            <w:r>
              <w:rPr>
                <w:rFonts w:ascii="宋体" w:hAnsi="宋体" w:cs="宋体" w:eastAsia="宋体" w:hint="default"/>
                <w:sz w:val="18"/>
                <w:szCs w:val="18"/>
              </w:rPr>
              <w:t> 变更</w:t>
            </w:r>
          </w:p>
        </w:tc>
        <w:tc>
          <w:tcPr>
            <w:tcW w:w="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4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41"/>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前期差 错更正</w:t>
            </w:r>
          </w:p>
        </w:tc>
        <w:tc>
          <w:tcPr>
            <w:tcW w:w="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4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141"/>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同一控 制下企业合并</w:t>
            </w:r>
          </w:p>
        </w:tc>
        <w:tc>
          <w:tcPr>
            <w:tcW w:w="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14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其他</w:t>
            </w:r>
          </w:p>
        </w:tc>
        <w:tc>
          <w:tcPr>
            <w:tcW w:w="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319" w:hRule="exact"/>
        </w:trPr>
        <w:tc>
          <w:tcPr>
            <w:tcW w:w="1426" w:type="dxa"/>
            <w:tcBorders>
              <w:top w:val="single" w:sz="4" w:space="0" w:color="000000"/>
              <w:left w:val="single" w:sz="4" w:space="0" w:color="000000"/>
              <w:bottom w:val="nil" w:sz="6" w:space="0" w:color="auto"/>
              <w:right w:val="single" w:sz="4" w:space="0" w:color="000000"/>
            </w:tcBorders>
            <w:shd w:val="clear" w:color="auto" w:fill="D2D2D2"/>
          </w:tcPr>
          <w:p>
            <w:pPr/>
          </w:p>
        </w:tc>
        <w:tc>
          <w:tcPr>
            <w:tcW w:w="562" w:type="dxa"/>
            <w:vMerge w:val="restart"/>
            <w:tcBorders>
              <w:top w:val="single" w:sz="4" w:space="0" w:color="000000"/>
              <w:left w:val="single" w:sz="10" w:space="0" w:color="D2D2D2"/>
              <w:right w:val="single" w:sz="4" w:space="0" w:color="000000"/>
            </w:tcBorders>
          </w:tcPr>
          <w:p>
            <w:pPr>
              <w:pStyle w:val="TableParagraph"/>
              <w:spacing w:line="240" w:lineRule="auto" w:before="93"/>
              <w:ind w:left="51" w:right="0"/>
              <w:jc w:val="center"/>
              <w:rPr>
                <w:rFonts w:ascii="Times New Roman" w:hAnsi="Times New Roman" w:cs="Times New Roman" w:eastAsia="Times New Roman" w:hint="default"/>
                <w:sz w:val="18"/>
                <w:szCs w:val="18"/>
              </w:rPr>
            </w:pPr>
            <w:r>
              <w:rPr>
                <w:rFonts w:ascii="Times New Roman"/>
                <w:sz w:val="18"/>
              </w:rPr>
              <w:t>1,282,</w:t>
            </w:r>
          </w:p>
          <w:p>
            <w:pPr>
              <w:pStyle w:val="TableParagraph"/>
              <w:spacing w:line="240" w:lineRule="auto" w:before="103"/>
              <w:ind w:left="7" w:right="0"/>
              <w:jc w:val="center"/>
              <w:rPr>
                <w:rFonts w:ascii="Times New Roman" w:hAnsi="Times New Roman" w:cs="Times New Roman" w:eastAsia="Times New Roman" w:hint="default"/>
                <w:sz w:val="18"/>
                <w:szCs w:val="18"/>
              </w:rPr>
            </w:pPr>
            <w:r>
              <w:rPr>
                <w:rFonts w:ascii="Times New Roman"/>
                <w:sz w:val="18"/>
              </w:rPr>
              <w:t>615,01</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3.00</w:t>
            </w:r>
          </w:p>
        </w:tc>
        <w:tc>
          <w:tcPr>
            <w:tcW w:w="53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left="184" w:right="0"/>
              <w:jc w:val="left"/>
              <w:rPr>
                <w:rFonts w:ascii="Times New Roman" w:hAnsi="Times New Roman" w:cs="Times New Roman" w:eastAsia="Times New Roman" w:hint="default"/>
                <w:sz w:val="18"/>
                <w:szCs w:val="18"/>
              </w:rPr>
            </w:pPr>
            <w:r>
              <w:rPr>
                <w:rFonts w:ascii="Times New Roman"/>
                <w:sz w:val="18"/>
              </w:rPr>
              <w:t>0.00</w:t>
            </w:r>
          </w:p>
        </w:tc>
        <w:tc>
          <w:tcPr>
            <w:tcW w:w="53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left="184" w:right="0"/>
              <w:jc w:val="left"/>
              <w:rPr>
                <w:rFonts w:ascii="Times New Roman" w:hAnsi="Times New Roman" w:cs="Times New Roman" w:eastAsia="Times New Roman" w:hint="default"/>
                <w:sz w:val="18"/>
                <w:szCs w:val="18"/>
              </w:rPr>
            </w:pPr>
            <w:r>
              <w:rPr>
                <w:rFonts w:ascii="Times New Roman"/>
                <w:sz w:val="18"/>
              </w:rPr>
              <w:t>0.00</w:t>
            </w:r>
          </w:p>
        </w:tc>
        <w:tc>
          <w:tcPr>
            <w:tcW w:w="53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left="184" w:right="0"/>
              <w:jc w:val="left"/>
              <w:rPr>
                <w:rFonts w:ascii="Times New Roman" w:hAnsi="Times New Roman" w:cs="Times New Roman" w:eastAsia="Times New Roman" w:hint="default"/>
                <w:sz w:val="18"/>
                <w:szCs w:val="18"/>
              </w:rPr>
            </w:pPr>
            <w:r>
              <w:rPr>
                <w:rFonts w:ascii="Times New Roman"/>
                <w:sz w:val="18"/>
              </w:rPr>
              <w:t>0.00</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4,205,5</w:t>
            </w:r>
          </w:p>
          <w:p>
            <w:pPr>
              <w:pStyle w:val="TableParagraph"/>
              <w:spacing w:line="240" w:lineRule="auto" w:before="103"/>
              <w:ind w:right="20"/>
              <w:jc w:val="right"/>
              <w:rPr>
                <w:rFonts w:ascii="Times New Roman" w:hAnsi="Times New Roman" w:cs="Times New Roman" w:eastAsia="Times New Roman" w:hint="default"/>
                <w:sz w:val="18"/>
                <w:szCs w:val="18"/>
              </w:rPr>
            </w:pPr>
            <w:r>
              <w:rPr>
                <w:rFonts w:ascii="Times New Roman"/>
                <w:sz w:val="18"/>
              </w:rPr>
              <w:t>23,831.</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08</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93" w:right="0"/>
              <w:jc w:val="left"/>
              <w:rPr>
                <w:rFonts w:ascii="Times New Roman" w:hAnsi="Times New Roman" w:cs="Times New Roman" w:eastAsia="Times New Roman" w:hint="default"/>
                <w:sz w:val="18"/>
                <w:szCs w:val="18"/>
              </w:rPr>
            </w:pPr>
            <w:r>
              <w:rPr>
                <w:rFonts w:ascii="Times New Roman"/>
                <w:sz w:val="18"/>
              </w:rPr>
              <w:t>77,973,</w:t>
            </w:r>
          </w:p>
          <w:p>
            <w:pPr>
              <w:pStyle w:val="TableParagraph"/>
              <w:spacing w:line="240" w:lineRule="auto" w:before="102"/>
              <w:ind w:left="139" w:right="0"/>
              <w:jc w:val="left"/>
              <w:rPr>
                <w:rFonts w:ascii="Times New Roman" w:hAnsi="Times New Roman" w:cs="Times New Roman" w:eastAsia="Times New Roman" w:hint="default"/>
                <w:sz w:val="18"/>
                <w:szCs w:val="18"/>
              </w:rPr>
            </w:pPr>
            <w:r>
              <w:rPr>
                <w:rFonts w:ascii="Times New Roman"/>
                <w:sz w:val="18"/>
              </w:rPr>
              <w:t>177.02</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72" w:right="0"/>
              <w:jc w:val="center"/>
              <w:rPr>
                <w:rFonts w:ascii="Times New Roman" w:hAnsi="Times New Roman" w:cs="Times New Roman" w:eastAsia="Times New Roman" w:hint="default"/>
                <w:sz w:val="18"/>
                <w:szCs w:val="18"/>
              </w:rPr>
            </w:pPr>
            <w:r>
              <w:rPr>
                <w:rFonts w:ascii="Times New Roman"/>
                <w:sz w:val="18"/>
              </w:rPr>
              <w:t>5,933,8</w:t>
            </w:r>
          </w:p>
          <w:p>
            <w:pPr>
              <w:pStyle w:val="TableParagraph"/>
              <w:spacing w:line="240" w:lineRule="auto" w:before="102"/>
              <w:ind w:left="206" w:right="0"/>
              <w:jc w:val="center"/>
              <w:rPr>
                <w:rFonts w:ascii="Times New Roman" w:hAnsi="Times New Roman" w:cs="Times New Roman" w:eastAsia="Times New Roman" w:hint="default"/>
                <w:sz w:val="18"/>
                <w:szCs w:val="18"/>
              </w:rPr>
            </w:pPr>
            <w:r>
              <w:rPr>
                <w:rFonts w:ascii="Times New Roman"/>
                <w:sz w:val="18"/>
              </w:rPr>
              <w:t>09.71</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left="319" w:right="0"/>
              <w:jc w:val="left"/>
              <w:rPr>
                <w:rFonts w:ascii="Times New Roman" w:hAnsi="Times New Roman" w:cs="Times New Roman" w:eastAsia="Times New Roman" w:hint="default"/>
                <w:sz w:val="18"/>
                <w:szCs w:val="18"/>
              </w:rPr>
            </w:pPr>
            <w:r>
              <w:rPr>
                <w:rFonts w:ascii="Times New Roman"/>
                <w:sz w:val="18"/>
              </w:rPr>
              <w:t>0.00</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52" w:right="0"/>
              <w:jc w:val="left"/>
              <w:rPr>
                <w:rFonts w:ascii="Times New Roman" w:hAnsi="Times New Roman" w:cs="Times New Roman" w:eastAsia="Times New Roman" w:hint="default"/>
                <w:sz w:val="18"/>
                <w:szCs w:val="18"/>
              </w:rPr>
            </w:pPr>
            <w:r>
              <w:rPr>
                <w:rFonts w:ascii="Times New Roman"/>
                <w:sz w:val="18"/>
              </w:rPr>
              <w:t>109,115</w:t>
            </w:r>
          </w:p>
          <w:p>
            <w:pPr>
              <w:pStyle w:val="TableParagraph"/>
              <w:spacing w:line="240" w:lineRule="auto" w:before="102"/>
              <w:ind w:left="91" w:right="0"/>
              <w:jc w:val="left"/>
              <w:rPr>
                <w:rFonts w:ascii="Times New Roman" w:hAnsi="Times New Roman" w:cs="Times New Roman" w:eastAsia="Times New Roman" w:hint="default"/>
                <w:sz w:val="18"/>
                <w:szCs w:val="18"/>
              </w:rPr>
            </w:pPr>
            <w:r>
              <w:rPr>
                <w:rFonts w:ascii="Times New Roman"/>
                <w:sz w:val="18"/>
              </w:rPr>
              <w:t>,366.29</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left="319" w:right="0"/>
              <w:jc w:val="left"/>
              <w:rPr>
                <w:rFonts w:ascii="Times New Roman" w:hAnsi="Times New Roman" w:cs="Times New Roman" w:eastAsia="Times New Roman" w:hint="default"/>
                <w:sz w:val="18"/>
                <w:szCs w:val="18"/>
              </w:rPr>
            </w:pPr>
            <w:r>
              <w:rPr>
                <w:rFonts w:ascii="Times New Roman"/>
                <w:sz w:val="18"/>
              </w:rPr>
              <w:t>0.00</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2"/>
                <w:sz w:val="18"/>
              </w:rPr>
              <w:t>1,110,9</w:t>
            </w:r>
          </w:p>
          <w:p>
            <w:pPr>
              <w:pStyle w:val="TableParagraph"/>
              <w:spacing w:line="240" w:lineRule="auto" w:before="103"/>
              <w:ind w:right="18"/>
              <w:jc w:val="right"/>
              <w:rPr>
                <w:rFonts w:ascii="Times New Roman" w:hAnsi="Times New Roman" w:cs="Times New Roman" w:eastAsia="Times New Roman" w:hint="default"/>
                <w:sz w:val="18"/>
                <w:szCs w:val="18"/>
              </w:rPr>
            </w:pPr>
            <w:r>
              <w:rPr>
                <w:rFonts w:ascii="Times New Roman"/>
                <w:sz w:val="18"/>
              </w:rPr>
              <w:t>39,772.</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85</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48" w:right="0"/>
              <w:jc w:val="left"/>
              <w:rPr>
                <w:rFonts w:ascii="Times New Roman" w:hAnsi="Times New Roman" w:cs="Times New Roman" w:eastAsia="Times New Roman" w:hint="default"/>
                <w:sz w:val="18"/>
                <w:szCs w:val="18"/>
              </w:rPr>
            </w:pPr>
            <w:r>
              <w:rPr>
                <w:rFonts w:ascii="Times New Roman"/>
                <w:sz w:val="18"/>
              </w:rPr>
              <w:t>237,795</w:t>
            </w:r>
          </w:p>
          <w:p>
            <w:pPr>
              <w:pStyle w:val="TableParagraph"/>
              <w:spacing w:line="240" w:lineRule="auto" w:before="102"/>
              <w:ind w:left="93" w:right="0"/>
              <w:jc w:val="left"/>
              <w:rPr>
                <w:rFonts w:ascii="Times New Roman" w:hAnsi="Times New Roman" w:cs="Times New Roman" w:eastAsia="Times New Roman" w:hint="default"/>
                <w:sz w:val="18"/>
                <w:szCs w:val="18"/>
              </w:rPr>
            </w:pPr>
            <w:r>
              <w:rPr>
                <w:rFonts w:ascii="Times New Roman"/>
                <w:sz w:val="18"/>
              </w:rPr>
              <w:t>,974.24</w:t>
            </w:r>
          </w:p>
        </w:tc>
        <w:tc>
          <w:tcPr>
            <w:tcW w:w="660" w:type="dxa"/>
            <w:vMerge w:val="restart"/>
            <w:tcBorders>
              <w:top w:val="single" w:sz="4" w:space="0" w:color="000000"/>
              <w:left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6,873,9</w:t>
            </w:r>
          </w:p>
          <w:p>
            <w:pPr>
              <w:pStyle w:val="TableParagraph"/>
              <w:spacing w:line="240" w:lineRule="auto" w:before="103"/>
              <w:ind w:right="20"/>
              <w:jc w:val="right"/>
              <w:rPr>
                <w:rFonts w:ascii="Times New Roman" w:hAnsi="Times New Roman" w:cs="Times New Roman" w:eastAsia="Times New Roman" w:hint="default"/>
                <w:sz w:val="18"/>
                <w:szCs w:val="18"/>
              </w:rPr>
            </w:pPr>
            <w:r>
              <w:rPr>
                <w:rFonts w:ascii="Times New Roman"/>
                <w:sz w:val="18"/>
              </w:rPr>
              <w:t>50,590.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15</w:t>
            </w:r>
          </w:p>
        </w:tc>
      </w:tr>
      <w:tr>
        <w:trPr>
          <w:trHeight w:val="392" w:hRule="exact"/>
        </w:trPr>
        <w:tc>
          <w:tcPr>
            <w:tcW w:w="142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8"/>
                <w:sz w:val="18"/>
                <w:szCs w:val="18"/>
              </w:rPr>
              <w:t>二、本年期初余额</w:t>
            </w:r>
          </w:p>
        </w:tc>
        <w:tc>
          <w:tcPr>
            <w:tcW w:w="562" w:type="dxa"/>
            <w:vMerge/>
            <w:tcBorders>
              <w:left w:val="single" w:sz="10" w:space="0" w:color="D2D2D2"/>
              <w:right w:val="single" w:sz="4" w:space="0" w:color="000000"/>
            </w:tcBorders>
          </w:tcPr>
          <w:p>
            <w:pPr/>
          </w:p>
        </w:tc>
        <w:tc>
          <w:tcPr>
            <w:tcW w:w="533" w:type="dxa"/>
            <w:vMerge/>
            <w:tcBorders>
              <w:left w:val="single" w:sz="4" w:space="0" w:color="000000"/>
              <w:right w:val="single" w:sz="4" w:space="0" w:color="000000"/>
            </w:tcBorders>
          </w:tcPr>
          <w:p>
            <w:pPr/>
          </w:p>
        </w:tc>
        <w:tc>
          <w:tcPr>
            <w:tcW w:w="531"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0" w:type="dxa"/>
            <w:vMerge/>
            <w:tcBorders>
              <w:left w:val="single" w:sz="4" w:space="0" w:color="000000"/>
              <w:right w:val="single" w:sz="4" w:space="0" w:color="000000"/>
            </w:tcBorders>
          </w:tcPr>
          <w:p>
            <w:pPr/>
          </w:p>
        </w:tc>
      </w:tr>
      <w:tr>
        <w:trPr>
          <w:trHeight w:val="317" w:hRule="exact"/>
        </w:trPr>
        <w:tc>
          <w:tcPr>
            <w:tcW w:w="1426" w:type="dxa"/>
            <w:tcBorders>
              <w:top w:val="nil" w:sz="6" w:space="0" w:color="auto"/>
              <w:left w:val="single" w:sz="4" w:space="0" w:color="000000"/>
              <w:bottom w:val="single" w:sz="4" w:space="0" w:color="000000"/>
              <w:right w:val="single" w:sz="4" w:space="0" w:color="000000"/>
            </w:tcBorders>
            <w:shd w:val="clear" w:color="auto" w:fill="D2D2D2"/>
          </w:tcPr>
          <w:p>
            <w:pPr/>
          </w:p>
        </w:tc>
        <w:tc>
          <w:tcPr>
            <w:tcW w:w="562" w:type="dxa"/>
            <w:vMerge/>
            <w:tcBorders>
              <w:left w:val="single" w:sz="10" w:space="0" w:color="D2D2D2"/>
              <w:bottom w:val="single" w:sz="4" w:space="0" w:color="000000"/>
              <w:right w:val="single" w:sz="4" w:space="0" w:color="000000"/>
            </w:tcBorders>
          </w:tcPr>
          <w:p>
            <w:pPr/>
          </w:p>
        </w:tc>
        <w:tc>
          <w:tcPr>
            <w:tcW w:w="533" w:type="dxa"/>
            <w:vMerge/>
            <w:tcBorders>
              <w:left w:val="single" w:sz="4" w:space="0" w:color="000000"/>
              <w:bottom w:val="single" w:sz="4" w:space="0" w:color="000000"/>
              <w:right w:val="single" w:sz="4" w:space="0" w:color="000000"/>
            </w:tcBorders>
          </w:tcPr>
          <w:p>
            <w:pPr/>
          </w:p>
        </w:tc>
        <w:tc>
          <w:tcPr>
            <w:tcW w:w="531"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0" w:type="dxa"/>
            <w:vMerge/>
            <w:tcBorders>
              <w:left w:val="single" w:sz="4" w:space="0" w:color="000000"/>
              <w:bottom w:val="single" w:sz="4" w:space="0" w:color="000000"/>
              <w:right w:val="single" w:sz="4" w:space="0" w:color="000000"/>
            </w:tcBorders>
          </w:tcPr>
          <w:p>
            <w:pPr/>
          </w:p>
        </w:tc>
      </w:tr>
      <w:tr>
        <w:trPr>
          <w:trHeight w:val="1025" w:hRule="exact"/>
        </w:trPr>
        <w:tc>
          <w:tcPr>
            <w:tcW w:w="14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12" w:right="21"/>
              <w:jc w:val="both"/>
              <w:rPr>
                <w:rFonts w:ascii="宋体" w:hAnsi="宋体" w:cs="宋体" w:eastAsia="宋体" w:hint="default"/>
                <w:sz w:val="18"/>
                <w:szCs w:val="18"/>
              </w:rPr>
            </w:pPr>
            <w:r>
              <w:rPr>
                <w:rFonts w:ascii="宋体" w:hAnsi="宋体" w:cs="宋体" w:eastAsia="宋体" w:hint="default"/>
                <w:spacing w:val="-8"/>
                <w:sz w:val="18"/>
                <w:szCs w:val="18"/>
              </w:rPr>
              <w:t>三、本期增减变动</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5"/>
                <w:sz w:val="18"/>
                <w:szCs w:val="18"/>
              </w:rPr>
              <w:t>金额（减少以</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w:t>
            </w:r>
            <w:r>
              <w:rPr>
                <w:rFonts w:ascii="Times New Roman" w:hAnsi="Times New Roman" w:cs="Times New Roman" w:eastAsia="Times New Roman" w:hint="default"/>
                <w:spacing w:val="-40"/>
                <w:sz w:val="18"/>
                <w:szCs w:val="18"/>
              </w:rPr>
              <w:t> </w:t>
            </w:r>
            <w:r>
              <w:rPr>
                <w:rFonts w:ascii="宋体" w:hAnsi="宋体" w:cs="宋体" w:eastAsia="宋体" w:hint="default"/>
                <w:sz w:val="18"/>
                <w:szCs w:val="18"/>
              </w:rPr>
              <w:t>号填列）</w:t>
            </w:r>
          </w:p>
        </w:tc>
        <w:tc>
          <w:tcPr>
            <w:tcW w:w="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26,855</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,969.0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388,280</w:t>
            </w:r>
          </w:p>
          <w:p>
            <w:pPr>
              <w:pStyle w:val="TableParagraph"/>
              <w:spacing w:line="240" w:lineRule="auto" w:before="105"/>
              <w:ind w:left="91" w:right="0"/>
              <w:jc w:val="left"/>
              <w:rPr>
                <w:rFonts w:ascii="Times New Roman" w:hAnsi="Times New Roman" w:cs="Times New Roman" w:eastAsia="Times New Roman" w:hint="default"/>
                <w:sz w:val="18"/>
                <w:szCs w:val="18"/>
              </w:rPr>
            </w:pPr>
            <w:r>
              <w:rPr>
                <w:rFonts w:ascii="Times New Roman"/>
                <w:sz w:val="18"/>
              </w:rPr>
              <w:t>,239.95</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281,779</w:t>
            </w:r>
          </w:p>
          <w:p>
            <w:pPr>
              <w:pStyle w:val="TableParagraph"/>
              <w:spacing w:line="240" w:lineRule="auto" w:before="105"/>
              <w:ind w:left="93" w:right="0"/>
              <w:jc w:val="left"/>
              <w:rPr>
                <w:rFonts w:ascii="Times New Roman" w:hAnsi="Times New Roman" w:cs="Times New Roman" w:eastAsia="Times New Roman" w:hint="default"/>
                <w:sz w:val="18"/>
                <w:szCs w:val="18"/>
              </w:rPr>
            </w:pPr>
            <w:r>
              <w:rPr>
                <w:rFonts w:ascii="Times New Roman"/>
                <w:sz w:val="18"/>
              </w:rPr>
              <w:t>,371.87</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2" w:right="0"/>
              <w:jc w:val="center"/>
              <w:rPr>
                <w:rFonts w:ascii="Times New Roman" w:hAnsi="Times New Roman" w:cs="Times New Roman" w:eastAsia="Times New Roman" w:hint="default"/>
                <w:sz w:val="18"/>
                <w:szCs w:val="18"/>
              </w:rPr>
            </w:pPr>
            <w:r>
              <w:rPr>
                <w:rFonts w:ascii="Times New Roman"/>
                <w:sz w:val="18"/>
              </w:rPr>
              <w:t>7,647,3</w:t>
            </w:r>
          </w:p>
          <w:p>
            <w:pPr>
              <w:pStyle w:val="TableParagraph"/>
              <w:spacing w:line="240" w:lineRule="auto" w:before="105"/>
              <w:ind w:left="206" w:right="0"/>
              <w:jc w:val="center"/>
              <w:rPr>
                <w:rFonts w:ascii="Times New Roman" w:hAnsi="Times New Roman" w:cs="Times New Roman" w:eastAsia="Times New Roman" w:hint="default"/>
                <w:sz w:val="18"/>
                <w:szCs w:val="18"/>
              </w:rPr>
            </w:pPr>
            <w:r>
              <w:rPr>
                <w:rFonts w:ascii="Times New Roman"/>
                <w:sz w:val="18"/>
              </w:rPr>
              <w:t>68.50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424,072</w:t>
            </w:r>
          </w:p>
          <w:p>
            <w:pPr>
              <w:pStyle w:val="TableParagraph"/>
              <w:spacing w:line="240" w:lineRule="auto" w:before="105"/>
              <w:ind w:left="93" w:right="0"/>
              <w:jc w:val="left"/>
              <w:rPr>
                <w:rFonts w:ascii="Times New Roman" w:hAnsi="Times New Roman" w:cs="Times New Roman" w:eastAsia="Times New Roman" w:hint="default"/>
                <w:sz w:val="18"/>
                <w:szCs w:val="18"/>
              </w:rPr>
            </w:pPr>
            <w:r>
              <w:rPr>
                <w:rFonts w:ascii="Times New Roman"/>
                <w:sz w:val="18"/>
              </w:rPr>
              <w:t>,930.61</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3" w:right="0"/>
              <w:jc w:val="center"/>
              <w:rPr>
                <w:rFonts w:ascii="Times New Roman" w:hAnsi="Times New Roman" w:cs="Times New Roman" w:eastAsia="Times New Roman" w:hint="default"/>
                <w:sz w:val="18"/>
                <w:szCs w:val="18"/>
              </w:rPr>
            </w:pPr>
            <w:r>
              <w:rPr>
                <w:rFonts w:ascii="Times New Roman"/>
                <w:sz w:val="18"/>
              </w:rPr>
              <w:t>-36,248,</w:t>
            </w:r>
          </w:p>
          <w:p>
            <w:pPr>
              <w:pStyle w:val="TableParagraph"/>
              <w:spacing w:line="240" w:lineRule="auto" w:before="105"/>
              <w:ind w:left="118" w:right="0"/>
              <w:jc w:val="center"/>
              <w:rPr>
                <w:rFonts w:ascii="Times New Roman" w:hAnsi="Times New Roman" w:cs="Times New Roman" w:eastAsia="Times New Roman" w:hint="default"/>
                <w:sz w:val="18"/>
                <w:szCs w:val="18"/>
              </w:rPr>
            </w:pPr>
            <w:r>
              <w:rPr>
                <w:rFonts w:ascii="Times New Roman"/>
                <w:sz w:val="18"/>
              </w:rPr>
              <w:t>643.82</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528,828</w:t>
            </w:r>
          </w:p>
          <w:p>
            <w:pPr>
              <w:pStyle w:val="TableParagraph"/>
              <w:spacing w:line="240" w:lineRule="auto" w:before="105"/>
              <w:ind w:left="86" w:right="0"/>
              <w:jc w:val="left"/>
              <w:rPr>
                <w:rFonts w:ascii="Times New Roman" w:hAnsi="Times New Roman" w:cs="Times New Roman" w:eastAsia="Times New Roman" w:hint="default"/>
                <w:sz w:val="18"/>
                <w:szCs w:val="18"/>
              </w:rPr>
            </w:pPr>
            <w:r>
              <w:rPr>
                <w:rFonts w:ascii="Times New Roman"/>
                <w:sz w:val="18"/>
              </w:rPr>
              <w:t>,492.37</w:t>
            </w:r>
          </w:p>
        </w:tc>
      </w:tr>
      <w:tr>
        <w:trPr>
          <w:trHeight w:val="163" w:hRule="exact"/>
        </w:trPr>
        <w:tc>
          <w:tcPr>
            <w:tcW w:w="1426" w:type="dxa"/>
            <w:tcBorders>
              <w:top w:val="single" w:sz="4" w:space="0" w:color="000000"/>
              <w:left w:val="single" w:sz="4" w:space="0" w:color="000000"/>
              <w:bottom w:val="nil" w:sz="6" w:space="0" w:color="auto"/>
              <w:right w:val="single" w:sz="4" w:space="0" w:color="000000"/>
            </w:tcBorders>
            <w:shd w:val="clear" w:color="auto" w:fill="D2D2D2"/>
          </w:tcPr>
          <w:p>
            <w:pPr/>
          </w:p>
        </w:tc>
        <w:tc>
          <w:tcPr>
            <w:tcW w:w="562" w:type="dxa"/>
            <w:vMerge w:val="restart"/>
            <w:tcBorders>
              <w:top w:val="single" w:sz="4" w:space="0" w:color="000000"/>
              <w:left w:val="single" w:sz="10"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208" w:right="0"/>
              <w:jc w:val="left"/>
              <w:rPr>
                <w:rFonts w:ascii="Times New Roman" w:hAnsi="Times New Roman" w:cs="Times New Roman" w:eastAsia="Times New Roman" w:hint="default"/>
                <w:sz w:val="18"/>
                <w:szCs w:val="18"/>
              </w:rPr>
            </w:pPr>
            <w:r>
              <w:rPr>
                <w:rFonts w:ascii="Times New Roman"/>
                <w:sz w:val="18"/>
              </w:rPr>
              <w:t>0.00</w:t>
            </w:r>
          </w:p>
        </w:tc>
        <w:tc>
          <w:tcPr>
            <w:tcW w:w="53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184" w:right="0"/>
              <w:jc w:val="left"/>
              <w:rPr>
                <w:rFonts w:ascii="Times New Roman" w:hAnsi="Times New Roman" w:cs="Times New Roman" w:eastAsia="Times New Roman" w:hint="default"/>
                <w:sz w:val="18"/>
                <w:szCs w:val="18"/>
              </w:rPr>
            </w:pPr>
            <w:r>
              <w:rPr>
                <w:rFonts w:ascii="Times New Roman"/>
                <w:sz w:val="18"/>
              </w:rPr>
              <w:t>0.00</w:t>
            </w:r>
          </w:p>
        </w:tc>
        <w:tc>
          <w:tcPr>
            <w:tcW w:w="53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184" w:right="0"/>
              <w:jc w:val="left"/>
              <w:rPr>
                <w:rFonts w:ascii="Times New Roman" w:hAnsi="Times New Roman" w:cs="Times New Roman" w:eastAsia="Times New Roman" w:hint="default"/>
                <w:sz w:val="18"/>
                <w:szCs w:val="18"/>
              </w:rPr>
            </w:pPr>
            <w:r>
              <w:rPr>
                <w:rFonts w:ascii="Times New Roman"/>
                <w:sz w:val="18"/>
              </w:rPr>
              <w:t>0.00</w:t>
            </w:r>
          </w:p>
        </w:tc>
        <w:tc>
          <w:tcPr>
            <w:tcW w:w="53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184" w:right="0"/>
              <w:jc w:val="left"/>
              <w:rPr>
                <w:rFonts w:ascii="Times New Roman" w:hAnsi="Times New Roman" w:cs="Times New Roman" w:eastAsia="Times New Roman" w:hint="default"/>
                <w:sz w:val="18"/>
                <w:szCs w:val="18"/>
              </w:rPr>
            </w:pPr>
            <w:r>
              <w:rPr>
                <w:rFonts w:ascii="Times New Roman"/>
                <w:sz w:val="18"/>
              </w:rPr>
              <w:t>0.00</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316" w:right="0"/>
              <w:jc w:val="left"/>
              <w:rPr>
                <w:rFonts w:ascii="Times New Roman" w:hAnsi="Times New Roman" w:cs="Times New Roman" w:eastAsia="Times New Roman" w:hint="default"/>
                <w:sz w:val="18"/>
                <w:szCs w:val="18"/>
              </w:rPr>
            </w:pPr>
            <w:r>
              <w:rPr>
                <w:rFonts w:ascii="Times New Roman"/>
                <w:sz w:val="18"/>
              </w:rPr>
              <w:t>0.00</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319" w:right="0"/>
              <w:jc w:val="left"/>
              <w:rPr>
                <w:rFonts w:ascii="Times New Roman" w:hAnsi="Times New Roman" w:cs="Times New Roman" w:eastAsia="Times New Roman" w:hint="default"/>
                <w:sz w:val="18"/>
                <w:szCs w:val="18"/>
              </w:rPr>
            </w:pPr>
            <w:r>
              <w:rPr>
                <w:rFonts w:ascii="Times New Roman"/>
                <w:sz w:val="18"/>
              </w:rPr>
              <w:t>0.00</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72" w:right="0"/>
              <w:jc w:val="center"/>
              <w:rPr>
                <w:rFonts w:ascii="Times New Roman" w:hAnsi="Times New Roman" w:cs="Times New Roman" w:eastAsia="Times New Roman" w:hint="default"/>
                <w:sz w:val="18"/>
                <w:szCs w:val="18"/>
              </w:rPr>
            </w:pPr>
            <w:r>
              <w:rPr>
                <w:rFonts w:ascii="Times New Roman"/>
                <w:sz w:val="18"/>
              </w:rPr>
              <w:t>7,647,3</w:t>
            </w:r>
          </w:p>
          <w:p>
            <w:pPr>
              <w:pStyle w:val="TableParagraph"/>
              <w:spacing w:line="240" w:lineRule="auto" w:before="102"/>
              <w:ind w:left="206" w:right="0"/>
              <w:jc w:val="center"/>
              <w:rPr>
                <w:rFonts w:ascii="Times New Roman" w:hAnsi="Times New Roman" w:cs="Times New Roman" w:eastAsia="Times New Roman" w:hint="default"/>
                <w:sz w:val="18"/>
                <w:szCs w:val="18"/>
              </w:rPr>
            </w:pPr>
            <w:r>
              <w:rPr>
                <w:rFonts w:ascii="Times New Roman"/>
                <w:sz w:val="18"/>
              </w:rPr>
              <w:t>68.50</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319" w:right="0"/>
              <w:jc w:val="left"/>
              <w:rPr>
                <w:rFonts w:ascii="Times New Roman" w:hAnsi="Times New Roman" w:cs="Times New Roman" w:eastAsia="Times New Roman" w:hint="default"/>
                <w:sz w:val="18"/>
                <w:szCs w:val="18"/>
              </w:rPr>
            </w:pPr>
            <w:r>
              <w:rPr>
                <w:rFonts w:ascii="Times New Roman"/>
                <w:sz w:val="18"/>
              </w:rPr>
              <w:t>0.00</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316" w:right="0"/>
              <w:jc w:val="left"/>
              <w:rPr>
                <w:rFonts w:ascii="Times New Roman" w:hAnsi="Times New Roman" w:cs="Times New Roman" w:eastAsia="Times New Roman" w:hint="default"/>
                <w:sz w:val="18"/>
                <w:szCs w:val="18"/>
              </w:rPr>
            </w:pPr>
            <w:r>
              <w:rPr>
                <w:rFonts w:ascii="Times New Roman"/>
                <w:sz w:val="18"/>
              </w:rPr>
              <w:t>0.00</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319" w:right="0"/>
              <w:jc w:val="left"/>
              <w:rPr>
                <w:rFonts w:ascii="Times New Roman" w:hAnsi="Times New Roman" w:cs="Times New Roman" w:eastAsia="Times New Roman" w:hint="default"/>
                <w:sz w:val="18"/>
                <w:szCs w:val="18"/>
              </w:rPr>
            </w:pPr>
            <w:r>
              <w:rPr>
                <w:rFonts w:ascii="Times New Roman"/>
                <w:sz w:val="18"/>
              </w:rPr>
              <w:t>0.00</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479,070</w:t>
            </w:r>
          </w:p>
          <w:p>
            <w:pPr>
              <w:pStyle w:val="TableParagraph"/>
              <w:spacing w:line="240" w:lineRule="auto" w:before="102"/>
              <w:ind w:left="100" w:right="0"/>
              <w:jc w:val="left"/>
              <w:rPr>
                <w:rFonts w:ascii="Times New Roman" w:hAnsi="Times New Roman" w:cs="Times New Roman" w:eastAsia="Times New Roman" w:hint="default"/>
                <w:sz w:val="18"/>
                <w:szCs w:val="18"/>
              </w:rPr>
            </w:pPr>
            <w:r>
              <w:rPr>
                <w:rFonts w:ascii="Times New Roman"/>
                <w:sz w:val="18"/>
              </w:rPr>
              <w:t>,711.85</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-101,80</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pacing w:val="-1"/>
                <w:sz w:val="18"/>
              </w:rPr>
              <w:t>0,853.0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4</w:t>
            </w:r>
          </w:p>
        </w:tc>
        <w:tc>
          <w:tcPr>
            <w:tcW w:w="660"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384,917</w:t>
            </w:r>
          </w:p>
          <w:p>
            <w:pPr>
              <w:pStyle w:val="TableParagraph"/>
              <w:spacing w:line="240" w:lineRule="auto" w:before="102"/>
              <w:ind w:left="86" w:right="0"/>
              <w:jc w:val="left"/>
              <w:rPr>
                <w:rFonts w:ascii="Times New Roman" w:hAnsi="Times New Roman" w:cs="Times New Roman" w:eastAsia="Times New Roman" w:hint="default"/>
                <w:sz w:val="18"/>
                <w:szCs w:val="18"/>
              </w:rPr>
            </w:pPr>
            <w:r>
              <w:rPr>
                <w:rFonts w:ascii="Times New Roman"/>
                <w:sz w:val="18"/>
              </w:rPr>
              <w:t>,227.31</w:t>
            </w:r>
          </w:p>
        </w:tc>
      </w:tr>
      <w:tr>
        <w:trPr>
          <w:trHeight w:val="703" w:hRule="exact"/>
        </w:trPr>
        <w:tc>
          <w:tcPr>
            <w:tcW w:w="142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4" w:lineRule="auto" w:before="49"/>
              <w:ind w:left="12" w:right="21"/>
              <w:jc w:val="left"/>
              <w:rPr>
                <w:rFonts w:ascii="宋体" w:hAnsi="宋体" w:cs="宋体" w:eastAsia="宋体" w:hint="default"/>
                <w:sz w:val="18"/>
                <w:szCs w:val="18"/>
              </w:rPr>
            </w:pPr>
            <w:r>
              <w:rPr>
                <w:rFonts w:ascii="宋体" w:hAnsi="宋体" w:cs="宋体" w:eastAsia="宋体" w:hint="default"/>
                <w:spacing w:val="-8"/>
                <w:sz w:val="18"/>
                <w:szCs w:val="18"/>
              </w:rPr>
              <w:t>（一）综合收益总</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额</w:t>
            </w:r>
          </w:p>
        </w:tc>
        <w:tc>
          <w:tcPr>
            <w:tcW w:w="562" w:type="dxa"/>
            <w:vMerge/>
            <w:tcBorders>
              <w:left w:val="single" w:sz="10" w:space="0" w:color="D2D2D2"/>
              <w:right w:val="single" w:sz="4" w:space="0" w:color="000000"/>
            </w:tcBorders>
          </w:tcPr>
          <w:p>
            <w:pPr/>
          </w:p>
        </w:tc>
        <w:tc>
          <w:tcPr>
            <w:tcW w:w="533" w:type="dxa"/>
            <w:vMerge/>
            <w:tcBorders>
              <w:left w:val="single" w:sz="4" w:space="0" w:color="000000"/>
              <w:right w:val="single" w:sz="4" w:space="0" w:color="000000"/>
            </w:tcBorders>
          </w:tcPr>
          <w:p>
            <w:pPr/>
          </w:p>
        </w:tc>
        <w:tc>
          <w:tcPr>
            <w:tcW w:w="531"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0" w:type="dxa"/>
            <w:vMerge/>
            <w:tcBorders>
              <w:left w:val="single" w:sz="4" w:space="0" w:color="000000"/>
              <w:right w:val="single" w:sz="4" w:space="0" w:color="000000"/>
            </w:tcBorders>
          </w:tcPr>
          <w:p>
            <w:pPr/>
          </w:p>
        </w:tc>
      </w:tr>
      <w:tr>
        <w:trPr>
          <w:trHeight w:val="161" w:hRule="exact"/>
        </w:trPr>
        <w:tc>
          <w:tcPr>
            <w:tcW w:w="1426" w:type="dxa"/>
            <w:tcBorders>
              <w:top w:val="nil" w:sz="6" w:space="0" w:color="auto"/>
              <w:left w:val="single" w:sz="4" w:space="0" w:color="000000"/>
              <w:bottom w:val="single" w:sz="4" w:space="0" w:color="000000"/>
              <w:right w:val="single" w:sz="4" w:space="0" w:color="000000"/>
            </w:tcBorders>
            <w:shd w:val="clear" w:color="auto" w:fill="D2D2D2"/>
          </w:tcPr>
          <w:p>
            <w:pPr/>
          </w:p>
        </w:tc>
        <w:tc>
          <w:tcPr>
            <w:tcW w:w="562" w:type="dxa"/>
            <w:vMerge/>
            <w:tcBorders>
              <w:left w:val="single" w:sz="10" w:space="0" w:color="D2D2D2"/>
              <w:bottom w:val="single" w:sz="4" w:space="0" w:color="000000"/>
              <w:right w:val="single" w:sz="4" w:space="0" w:color="000000"/>
            </w:tcBorders>
          </w:tcPr>
          <w:p>
            <w:pPr/>
          </w:p>
        </w:tc>
        <w:tc>
          <w:tcPr>
            <w:tcW w:w="533" w:type="dxa"/>
            <w:vMerge/>
            <w:tcBorders>
              <w:left w:val="single" w:sz="4" w:space="0" w:color="000000"/>
              <w:bottom w:val="single" w:sz="4" w:space="0" w:color="000000"/>
              <w:right w:val="single" w:sz="4" w:space="0" w:color="000000"/>
            </w:tcBorders>
          </w:tcPr>
          <w:p>
            <w:pPr/>
          </w:p>
        </w:tc>
        <w:tc>
          <w:tcPr>
            <w:tcW w:w="531"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0" w:type="dxa"/>
            <w:vMerge/>
            <w:tcBorders>
              <w:left w:val="single" w:sz="4" w:space="0" w:color="000000"/>
              <w:bottom w:val="single" w:sz="4" w:space="0" w:color="000000"/>
              <w:right w:val="single" w:sz="4" w:space="0" w:color="000000"/>
            </w:tcBorders>
          </w:tcPr>
          <w:p>
            <w:pPr/>
          </w:p>
        </w:tc>
      </w:tr>
      <w:tr>
        <w:trPr>
          <w:trHeight w:val="161" w:hRule="exact"/>
        </w:trPr>
        <w:tc>
          <w:tcPr>
            <w:tcW w:w="1426" w:type="dxa"/>
            <w:tcBorders>
              <w:top w:val="single" w:sz="4" w:space="0" w:color="000000"/>
              <w:left w:val="single" w:sz="4" w:space="0" w:color="000000"/>
              <w:bottom w:val="nil" w:sz="6" w:space="0" w:color="auto"/>
              <w:right w:val="single" w:sz="4" w:space="0" w:color="000000"/>
            </w:tcBorders>
            <w:shd w:val="clear" w:color="auto" w:fill="D2D2D2"/>
          </w:tcPr>
          <w:p>
            <w:pPr/>
          </w:p>
        </w:tc>
        <w:tc>
          <w:tcPr>
            <w:tcW w:w="562" w:type="dxa"/>
            <w:vMerge w:val="restart"/>
            <w:tcBorders>
              <w:top w:val="single" w:sz="4" w:space="0" w:color="000000"/>
              <w:left w:val="single" w:sz="10" w:space="0" w:color="D2D2D2"/>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26,855</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,969.0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53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84" w:right="0"/>
              <w:jc w:val="left"/>
              <w:rPr>
                <w:rFonts w:ascii="Times New Roman" w:hAnsi="Times New Roman" w:cs="Times New Roman" w:eastAsia="Times New Roman" w:hint="default"/>
                <w:sz w:val="18"/>
                <w:szCs w:val="18"/>
              </w:rPr>
            </w:pPr>
            <w:r>
              <w:rPr>
                <w:rFonts w:ascii="Times New Roman"/>
                <w:sz w:val="18"/>
              </w:rPr>
              <w:t>0.00</w:t>
            </w:r>
          </w:p>
        </w:tc>
        <w:tc>
          <w:tcPr>
            <w:tcW w:w="53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84" w:right="0"/>
              <w:jc w:val="left"/>
              <w:rPr>
                <w:rFonts w:ascii="Times New Roman" w:hAnsi="Times New Roman" w:cs="Times New Roman" w:eastAsia="Times New Roman" w:hint="default"/>
                <w:sz w:val="18"/>
                <w:szCs w:val="18"/>
              </w:rPr>
            </w:pPr>
            <w:r>
              <w:rPr>
                <w:rFonts w:ascii="Times New Roman"/>
                <w:sz w:val="18"/>
              </w:rPr>
              <w:t>0.00</w:t>
            </w:r>
          </w:p>
        </w:tc>
        <w:tc>
          <w:tcPr>
            <w:tcW w:w="53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84" w:right="0"/>
              <w:jc w:val="left"/>
              <w:rPr>
                <w:rFonts w:ascii="Times New Roman" w:hAnsi="Times New Roman" w:cs="Times New Roman" w:eastAsia="Times New Roman" w:hint="default"/>
                <w:sz w:val="18"/>
                <w:szCs w:val="18"/>
              </w:rPr>
            </w:pPr>
            <w:r>
              <w:rPr>
                <w:rFonts w:ascii="Times New Roman"/>
                <w:sz w:val="18"/>
              </w:rPr>
              <w:t>0.00</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341,840</w:t>
            </w:r>
          </w:p>
          <w:p>
            <w:pPr>
              <w:pStyle w:val="TableParagraph"/>
              <w:spacing w:line="240" w:lineRule="auto" w:before="105"/>
              <w:ind w:left="91" w:right="0"/>
              <w:jc w:val="left"/>
              <w:rPr>
                <w:rFonts w:ascii="Times New Roman" w:hAnsi="Times New Roman" w:cs="Times New Roman" w:eastAsia="Times New Roman" w:hint="default"/>
                <w:sz w:val="18"/>
                <w:szCs w:val="18"/>
              </w:rPr>
            </w:pPr>
            <w:r>
              <w:rPr>
                <w:rFonts w:ascii="Times New Roman"/>
                <w:sz w:val="18"/>
              </w:rPr>
              <w:t>,986.02</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281,779</w:t>
            </w:r>
          </w:p>
          <w:p>
            <w:pPr>
              <w:pStyle w:val="TableParagraph"/>
              <w:spacing w:line="240" w:lineRule="auto" w:before="105"/>
              <w:ind w:left="93" w:right="0"/>
              <w:jc w:val="left"/>
              <w:rPr>
                <w:rFonts w:ascii="Times New Roman" w:hAnsi="Times New Roman" w:cs="Times New Roman" w:eastAsia="Times New Roman" w:hint="default"/>
                <w:sz w:val="18"/>
                <w:szCs w:val="18"/>
              </w:rPr>
            </w:pPr>
            <w:r>
              <w:rPr>
                <w:rFonts w:ascii="Times New Roman"/>
                <w:sz w:val="18"/>
              </w:rPr>
              <w:t>,371.87</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19" w:right="0"/>
              <w:jc w:val="left"/>
              <w:rPr>
                <w:rFonts w:ascii="Times New Roman" w:hAnsi="Times New Roman" w:cs="Times New Roman" w:eastAsia="Times New Roman" w:hint="default"/>
                <w:sz w:val="18"/>
                <w:szCs w:val="18"/>
              </w:rPr>
            </w:pPr>
            <w:r>
              <w:rPr>
                <w:rFonts w:ascii="Times New Roman"/>
                <w:sz w:val="18"/>
              </w:rPr>
              <w:t>0.00</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19" w:right="0"/>
              <w:jc w:val="left"/>
              <w:rPr>
                <w:rFonts w:ascii="Times New Roman" w:hAnsi="Times New Roman" w:cs="Times New Roman" w:eastAsia="Times New Roman" w:hint="default"/>
                <w:sz w:val="18"/>
                <w:szCs w:val="18"/>
              </w:rPr>
            </w:pPr>
            <w:r>
              <w:rPr>
                <w:rFonts w:ascii="Times New Roman"/>
                <w:sz w:val="18"/>
              </w:rPr>
              <w:t>0.00</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16" w:right="0"/>
              <w:jc w:val="left"/>
              <w:rPr>
                <w:rFonts w:ascii="Times New Roman" w:hAnsi="Times New Roman" w:cs="Times New Roman" w:eastAsia="Times New Roman" w:hint="default"/>
                <w:sz w:val="18"/>
                <w:szCs w:val="18"/>
              </w:rPr>
            </w:pPr>
            <w:r>
              <w:rPr>
                <w:rFonts w:ascii="Times New Roman"/>
                <w:sz w:val="18"/>
              </w:rPr>
              <w:t>0.00</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19" w:right="0"/>
              <w:jc w:val="left"/>
              <w:rPr>
                <w:rFonts w:ascii="Times New Roman" w:hAnsi="Times New Roman" w:cs="Times New Roman" w:eastAsia="Times New Roman" w:hint="default"/>
                <w:sz w:val="18"/>
                <w:szCs w:val="18"/>
              </w:rPr>
            </w:pPr>
            <w:r>
              <w:rPr>
                <w:rFonts w:ascii="Times New Roman"/>
                <w:sz w:val="18"/>
              </w:rPr>
              <w:t>0.00</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19" w:right="0"/>
              <w:jc w:val="left"/>
              <w:rPr>
                <w:rFonts w:ascii="Times New Roman" w:hAnsi="Times New Roman" w:cs="Times New Roman" w:eastAsia="Times New Roman" w:hint="default"/>
                <w:sz w:val="18"/>
                <w:szCs w:val="18"/>
              </w:rPr>
            </w:pPr>
            <w:r>
              <w:rPr>
                <w:rFonts w:ascii="Times New Roman"/>
                <w:sz w:val="18"/>
              </w:rPr>
              <w:t>0.00</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3" w:right="0"/>
              <w:jc w:val="left"/>
              <w:rPr>
                <w:rFonts w:ascii="Times New Roman" w:hAnsi="Times New Roman" w:cs="Times New Roman" w:eastAsia="Times New Roman" w:hint="default"/>
                <w:sz w:val="18"/>
                <w:szCs w:val="18"/>
              </w:rPr>
            </w:pPr>
            <w:r>
              <w:rPr>
                <w:rFonts w:ascii="Times New Roman"/>
                <w:sz w:val="18"/>
              </w:rPr>
              <w:t>78,205,</w:t>
            </w:r>
          </w:p>
          <w:p>
            <w:pPr>
              <w:pStyle w:val="TableParagraph"/>
              <w:spacing w:line="240" w:lineRule="auto" w:before="105"/>
              <w:ind w:left="139" w:right="0"/>
              <w:jc w:val="left"/>
              <w:rPr>
                <w:rFonts w:ascii="Times New Roman" w:hAnsi="Times New Roman" w:cs="Times New Roman" w:eastAsia="Times New Roman" w:hint="default"/>
                <w:sz w:val="18"/>
                <w:szCs w:val="18"/>
              </w:rPr>
            </w:pPr>
            <w:r>
              <w:rPr>
                <w:rFonts w:ascii="Times New Roman"/>
                <w:sz w:val="18"/>
              </w:rPr>
              <w:t>046.14</w:t>
            </w:r>
          </w:p>
        </w:tc>
        <w:tc>
          <w:tcPr>
            <w:tcW w:w="660"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165,122</w:t>
            </w:r>
          </w:p>
          <w:p>
            <w:pPr>
              <w:pStyle w:val="TableParagraph"/>
              <w:spacing w:line="240" w:lineRule="auto" w:before="105"/>
              <w:ind w:left="86" w:right="0"/>
              <w:jc w:val="left"/>
              <w:rPr>
                <w:rFonts w:ascii="Times New Roman" w:hAnsi="Times New Roman" w:cs="Times New Roman" w:eastAsia="Times New Roman" w:hint="default"/>
                <w:sz w:val="18"/>
                <w:szCs w:val="18"/>
              </w:rPr>
            </w:pPr>
            <w:r>
              <w:rPr>
                <w:rFonts w:ascii="Times New Roman"/>
                <w:sz w:val="18"/>
              </w:rPr>
              <w:t>,629.29</w:t>
            </w:r>
          </w:p>
        </w:tc>
      </w:tr>
      <w:tr>
        <w:trPr>
          <w:trHeight w:val="704" w:hRule="exact"/>
        </w:trPr>
        <w:tc>
          <w:tcPr>
            <w:tcW w:w="142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49"/>
              <w:ind w:left="12" w:right="21"/>
              <w:jc w:val="left"/>
              <w:rPr>
                <w:rFonts w:ascii="宋体" w:hAnsi="宋体" w:cs="宋体" w:eastAsia="宋体" w:hint="default"/>
                <w:sz w:val="18"/>
                <w:szCs w:val="18"/>
              </w:rPr>
            </w:pPr>
            <w:r>
              <w:rPr>
                <w:rFonts w:ascii="宋体" w:hAnsi="宋体" w:cs="宋体" w:eastAsia="宋体" w:hint="default"/>
                <w:spacing w:val="-8"/>
                <w:sz w:val="18"/>
                <w:szCs w:val="18"/>
              </w:rPr>
              <w:t>（二）所有者投入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和减少资本</w:t>
            </w:r>
          </w:p>
        </w:tc>
        <w:tc>
          <w:tcPr>
            <w:tcW w:w="562" w:type="dxa"/>
            <w:vMerge/>
            <w:tcBorders>
              <w:left w:val="single" w:sz="10" w:space="0" w:color="D2D2D2"/>
              <w:right w:val="single" w:sz="4" w:space="0" w:color="000000"/>
            </w:tcBorders>
          </w:tcPr>
          <w:p>
            <w:pPr/>
          </w:p>
        </w:tc>
        <w:tc>
          <w:tcPr>
            <w:tcW w:w="533" w:type="dxa"/>
            <w:vMerge/>
            <w:tcBorders>
              <w:left w:val="single" w:sz="4" w:space="0" w:color="000000"/>
              <w:right w:val="single" w:sz="4" w:space="0" w:color="000000"/>
            </w:tcBorders>
          </w:tcPr>
          <w:p>
            <w:pPr/>
          </w:p>
        </w:tc>
        <w:tc>
          <w:tcPr>
            <w:tcW w:w="531"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0" w:type="dxa"/>
            <w:vMerge/>
            <w:tcBorders>
              <w:left w:val="single" w:sz="4" w:space="0" w:color="000000"/>
              <w:right w:val="single" w:sz="4" w:space="0" w:color="000000"/>
            </w:tcBorders>
          </w:tcPr>
          <w:p>
            <w:pPr/>
          </w:p>
        </w:tc>
      </w:tr>
      <w:tr>
        <w:trPr>
          <w:trHeight w:val="161" w:hRule="exact"/>
        </w:trPr>
        <w:tc>
          <w:tcPr>
            <w:tcW w:w="1426" w:type="dxa"/>
            <w:tcBorders>
              <w:top w:val="nil" w:sz="6" w:space="0" w:color="auto"/>
              <w:left w:val="single" w:sz="4" w:space="0" w:color="000000"/>
              <w:bottom w:val="single" w:sz="4" w:space="0" w:color="000000"/>
              <w:right w:val="single" w:sz="4" w:space="0" w:color="000000"/>
            </w:tcBorders>
            <w:shd w:val="clear" w:color="auto" w:fill="D2D2D2"/>
          </w:tcPr>
          <w:p>
            <w:pPr/>
          </w:p>
        </w:tc>
        <w:tc>
          <w:tcPr>
            <w:tcW w:w="562" w:type="dxa"/>
            <w:vMerge/>
            <w:tcBorders>
              <w:left w:val="single" w:sz="10" w:space="0" w:color="D2D2D2"/>
              <w:bottom w:val="single" w:sz="4" w:space="0" w:color="000000"/>
              <w:right w:val="single" w:sz="4" w:space="0" w:color="000000"/>
            </w:tcBorders>
          </w:tcPr>
          <w:p>
            <w:pPr/>
          </w:p>
        </w:tc>
        <w:tc>
          <w:tcPr>
            <w:tcW w:w="533" w:type="dxa"/>
            <w:vMerge/>
            <w:tcBorders>
              <w:left w:val="single" w:sz="4" w:space="0" w:color="000000"/>
              <w:bottom w:val="single" w:sz="4" w:space="0" w:color="000000"/>
              <w:right w:val="single" w:sz="4" w:space="0" w:color="000000"/>
            </w:tcBorders>
          </w:tcPr>
          <w:p>
            <w:pPr/>
          </w:p>
        </w:tc>
        <w:tc>
          <w:tcPr>
            <w:tcW w:w="531"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0" w:type="dxa"/>
            <w:vMerge/>
            <w:tcBorders>
              <w:left w:val="single" w:sz="4" w:space="0" w:color="000000"/>
              <w:bottom w:val="single" w:sz="4" w:space="0" w:color="000000"/>
              <w:right w:val="single" w:sz="4" w:space="0" w:color="000000"/>
            </w:tcBorders>
          </w:tcPr>
          <w:p>
            <w:pPr/>
          </w:p>
        </w:tc>
      </w:tr>
      <w:tr>
        <w:trPr>
          <w:trHeight w:val="163" w:hRule="exact"/>
        </w:trPr>
        <w:tc>
          <w:tcPr>
            <w:tcW w:w="1426" w:type="dxa"/>
            <w:tcBorders>
              <w:top w:val="single" w:sz="4" w:space="0" w:color="000000"/>
              <w:left w:val="single" w:sz="4" w:space="0" w:color="000000"/>
              <w:bottom w:val="nil" w:sz="6" w:space="0" w:color="auto"/>
              <w:right w:val="single" w:sz="4" w:space="0" w:color="000000"/>
            </w:tcBorders>
            <w:shd w:val="clear" w:color="auto" w:fill="D2D2D2"/>
          </w:tcPr>
          <w:p>
            <w:pPr/>
          </w:p>
        </w:tc>
        <w:tc>
          <w:tcPr>
            <w:tcW w:w="562" w:type="dxa"/>
            <w:vMerge w:val="restart"/>
            <w:tcBorders>
              <w:top w:val="single" w:sz="4" w:space="0" w:color="000000"/>
              <w:left w:val="single" w:sz="10" w:space="0" w:color="D2D2D2"/>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26,855</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,969.0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53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184" w:right="0"/>
              <w:jc w:val="left"/>
              <w:rPr>
                <w:rFonts w:ascii="Times New Roman" w:hAnsi="Times New Roman" w:cs="Times New Roman" w:eastAsia="Times New Roman" w:hint="default"/>
                <w:sz w:val="18"/>
                <w:szCs w:val="18"/>
              </w:rPr>
            </w:pPr>
            <w:r>
              <w:rPr>
                <w:rFonts w:ascii="Times New Roman"/>
                <w:sz w:val="18"/>
              </w:rPr>
              <w:t>0.00</w:t>
            </w:r>
          </w:p>
        </w:tc>
        <w:tc>
          <w:tcPr>
            <w:tcW w:w="53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184" w:right="0"/>
              <w:jc w:val="left"/>
              <w:rPr>
                <w:rFonts w:ascii="Times New Roman" w:hAnsi="Times New Roman" w:cs="Times New Roman" w:eastAsia="Times New Roman" w:hint="default"/>
                <w:sz w:val="18"/>
                <w:szCs w:val="18"/>
              </w:rPr>
            </w:pPr>
            <w:r>
              <w:rPr>
                <w:rFonts w:ascii="Times New Roman"/>
                <w:sz w:val="18"/>
              </w:rPr>
              <w:t>0.00</w:t>
            </w:r>
          </w:p>
        </w:tc>
        <w:tc>
          <w:tcPr>
            <w:tcW w:w="53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184" w:right="0"/>
              <w:jc w:val="left"/>
              <w:rPr>
                <w:rFonts w:ascii="Times New Roman" w:hAnsi="Times New Roman" w:cs="Times New Roman" w:eastAsia="Times New Roman" w:hint="default"/>
                <w:sz w:val="18"/>
                <w:szCs w:val="18"/>
              </w:rPr>
            </w:pPr>
            <w:r>
              <w:rPr>
                <w:rFonts w:ascii="Times New Roman"/>
                <w:sz w:val="18"/>
              </w:rPr>
              <w:t>0.00</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300,340</w:t>
            </w:r>
          </w:p>
          <w:p>
            <w:pPr>
              <w:pStyle w:val="TableParagraph"/>
              <w:spacing w:line="240" w:lineRule="auto" w:before="102"/>
              <w:ind w:left="91" w:right="0"/>
              <w:jc w:val="left"/>
              <w:rPr>
                <w:rFonts w:ascii="Times New Roman" w:hAnsi="Times New Roman" w:cs="Times New Roman" w:eastAsia="Times New Roman" w:hint="default"/>
                <w:sz w:val="18"/>
                <w:szCs w:val="18"/>
              </w:rPr>
            </w:pPr>
            <w:r>
              <w:rPr>
                <w:rFonts w:ascii="Times New Roman"/>
                <w:sz w:val="18"/>
              </w:rPr>
              <w:t>,223.50</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251,777</w:t>
            </w:r>
          </w:p>
          <w:p>
            <w:pPr>
              <w:pStyle w:val="TableParagraph"/>
              <w:spacing w:line="240" w:lineRule="auto" w:before="102"/>
              <w:ind w:left="93" w:right="0"/>
              <w:jc w:val="left"/>
              <w:rPr>
                <w:rFonts w:ascii="Times New Roman" w:hAnsi="Times New Roman" w:cs="Times New Roman" w:eastAsia="Times New Roman" w:hint="default"/>
                <w:sz w:val="18"/>
                <w:szCs w:val="18"/>
              </w:rPr>
            </w:pPr>
            <w:r>
              <w:rPr>
                <w:rFonts w:ascii="Times New Roman"/>
                <w:sz w:val="18"/>
              </w:rPr>
              <w:t>,889.28</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319" w:right="0"/>
              <w:jc w:val="left"/>
              <w:rPr>
                <w:rFonts w:ascii="Times New Roman" w:hAnsi="Times New Roman" w:cs="Times New Roman" w:eastAsia="Times New Roman" w:hint="default"/>
                <w:sz w:val="18"/>
                <w:szCs w:val="18"/>
              </w:rPr>
            </w:pPr>
            <w:r>
              <w:rPr>
                <w:rFonts w:ascii="Times New Roman"/>
                <w:sz w:val="18"/>
              </w:rPr>
              <w:t>0.00</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319" w:right="0"/>
              <w:jc w:val="left"/>
              <w:rPr>
                <w:rFonts w:ascii="Times New Roman" w:hAnsi="Times New Roman" w:cs="Times New Roman" w:eastAsia="Times New Roman" w:hint="default"/>
                <w:sz w:val="18"/>
                <w:szCs w:val="18"/>
              </w:rPr>
            </w:pPr>
            <w:r>
              <w:rPr>
                <w:rFonts w:ascii="Times New Roman"/>
                <w:sz w:val="18"/>
              </w:rPr>
              <w:t>0.00</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316" w:right="0"/>
              <w:jc w:val="left"/>
              <w:rPr>
                <w:rFonts w:ascii="Times New Roman" w:hAnsi="Times New Roman" w:cs="Times New Roman" w:eastAsia="Times New Roman" w:hint="default"/>
                <w:sz w:val="18"/>
                <w:szCs w:val="18"/>
              </w:rPr>
            </w:pPr>
            <w:r>
              <w:rPr>
                <w:rFonts w:ascii="Times New Roman"/>
                <w:sz w:val="18"/>
              </w:rPr>
              <w:t>0.00</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319" w:right="0"/>
              <w:jc w:val="left"/>
              <w:rPr>
                <w:rFonts w:ascii="Times New Roman" w:hAnsi="Times New Roman" w:cs="Times New Roman" w:eastAsia="Times New Roman" w:hint="default"/>
                <w:sz w:val="18"/>
                <w:szCs w:val="18"/>
              </w:rPr>
            </w:pPr>
            <w:r>
              <w:rPr>
                <w:rFonts w:ascii="Times New Roman"/>
                <w:sz w:val="18"/>
              </w:rPr>
              <w:t>0.00</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319" w:right="0"/>
              <w:jc w:val="left"/>
              <w:rPr>
                <w:rFonts w:ascii="Times New Roman" w:hAnsi="Times New Roman" w:cs="Times New Roman" w:eastAsia="Times New Roman" w:hint="default"/>
                <w:sz w:val="18"/>
                <w:szCs w:val="18"/>
              </w:rPr>
            </w:pPr>
            <w:r>
              <w:rPr>
                <w:rFonts w:ascii="Times New Roman"/>
                <w:sz w:val="18"/>
              </w:rPr>
              <w:t>0.00</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55" w:right="0"/>
              <w:jc w:val="left"/>
              <w:rPr>
                <w:rFonts w:ascii="Times New Roman" w:hAnsi="Times New Roman" w:cs="Times New Roman" w:eastAsia="Times New Roman" w:hint="default"/>
                <w:sz w:val="18"/>
                <w:szCs w:val="18"/>
              </w:rPr>
            </w:pPr>
            <w:r>
              <w:rPr>
                <w:rFonts w:ascii="Times New Roman"/>
                <w:sz w:val="18"/>
              </w:rPr>
              <w:t>115,000</w:t>
            </w:r>
          </w:p>
          <w:p>
            <w:pPr>
              <w:pStyle w:val="TableParagraph"/>
              <w:spacing w:line="240" w:lineRule="auto" w:before="102"/>
              <w:ind w:left="93" w:right="0"/>
              <w:jc w:val="left"/>
              <w:rPr>
                <w:rFonts w:ascii="Times New Roman" w:hAnsi="Times New Roman" w:cs="Times New Roman" w:eastAsia="Times New Roman" w:hint="default"/>
                <w:sz w:val="18"/>
                <w:szCs w:val="18"/>
              </w:rPr>
            </w:pPr>
            <w:r>
              <w:rPr>
                <w:rFonts w:ascii="Times New Roman"/>
                <w:sz w:val="18"/>
              </w:rPr>
              <w:t>,000.00</w:t>
            </w:r>
          </w:p>
        </w:tc>
        <w:tc>
          <w:tcPr>
            <w:tcW w:w="660"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190,418</w:t>
            </w:r>
          </w:p>
          <w:p>
            <w:pPr>
              <w:pStyle w:val="TableParagraph"/>
              <w:spacing w:line="240" w:lineRule="auto" w:before="102"/>
              <w:ind w:left="86" w:right="0"/>
              <w:jc w:val="left"/>
              <w:rPr>
                <w:rFonts w:ascii="Times New Roman" w:hAnsi="Times New Roman" w:cs="Times New Roman" w:eastAsia="Times New Roman" w:hint="default"/>
                <w:sz w:val="18"/>
                <w:szCs w:val="18"/>
              </w:rPr>
            </w:pPr>
            <w:r>
              <w:rPr>
                <w:rFonts w:ascii="Times New Roman"/>
                <w:sz w:val="18"/>
              </w:rPr>
              <w:t>,303.22</w:t>
            </w:r>
          </w:p>
        </w:tc>
      </w:tr>
      <w:tr>
        <w:trPr>
          <w:trHeight w:val="703" w:hRule="exact"/>
        </w:trPr>
        <w:tc>
          <w:tcPr>
            <w:tcW w:w="142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97" w:lineRule="auto" w:before="49"/>
              <w:ind w:left="1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．所有者投入的 普通股</w:t>
            </w:r>
          </w:p>
        </w:tc>
        <w:tc>
          <w:tcPr>
            <w:tcW w:w="562" w:type="dxa"/>
            <w:vMerge/>
            <w:tcBorders>
              <w:left w:val="single" w:sz="10" w:space="0" w:color="D2D2D2"/>
              <w:right w:val="single" w:sz="4" w:space="0" w:color="000000"/>
            </w:tcBorders>
          </w:tcPr>
          <w:p>
            <w:pPr/>
          </w:p>
        </w:tc>
        <w:tc>
          <w:tcPr>
            <w:tcW w:w="533" w:type="dxa"/>
            <w:vMerge/>
            <w:tcBorders>
              <w:left w:val="single" w:sz="4" w:space="0" w:color="000000"/>
              <w:right w:val="single" w:sz="4" w:space="0" w:color="000000"/>
            </w:tcBorders>
          </w:tcPr>
          <w:p>
            <w:pPr/>
          </w:p>
        </w:tc>
        <w:tc>
          <w:tcPr>
            <w:tcW w:w="531"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0" w:type="dxa"/>
            <w:vMerge/>
            <w:tcBorders>
              <w:left w:val="single" w:sz="4" w:space="0" w:color="000000"/>
              <w:right w:val="single" w:sz="4" w:space="0" w:color="000000"/>
            </w:tcBorders>
          </w:tcPr>
          <w:p>
            <w:pPr/>
          </w:p>
        </w:tc>
      </w:tr>
      <w:tr>
        <w:trPr>
          <w:trHeight w:val="161" w:hRule="exact"/>
        </w:trPr>
        <w:tc>
          <w:tcPr>
            <w:tcW w:w="1426" w:type="dxa"/>
            <w:tcBorders>
              <w:top w:val="nil" w:sz="6" w:space="0" w:color="auto"/>
              <w:left w:val="single" w:sz="4" w:space="0" w:color="000000"/>
              <w:bottom w:val="single" w:sz="4" w:space="0" w:color="000000"/>
              <w:right w:val="single" w:sz="4" w:space="0" w:color="000000"/>
            </w:tcBorders>
            <w:shd w:val="clear" w:color="auto" w:fill="D2D2D2"/>
          </w:tcPr>
          <w:p>
            <w:pPr/>
          </w:p>
        </w:tc>
        <w:tc>
          <w:tcPr>
            <w:tcW w:w="562" w:type="dxa"/>
            <w:vMerge/>
            <w:tcBorders>
              <w:left w:val="single" w:sz="10" w:space="0" w:color="D2D2D2"/>
              <w:bottom w:val="single" w:sz="4" w:space="0" w:color="000000"/>
              <w:right w:val="single" w:sz="4" w:space="0" w:color="000000"/>
            </w:tcBorders>
          </w:tcPr>
          <w:p>
            <w:pPr/>
          </w:p>
        </w:tc>
        <w:tc>
          <w:tcPr>
            <w:tcW w:w="533" w:type="dxa"/>
            <w:vMerge/>
            <w:tcBorders>
              <w:left w:val="single" w:sz="4" w:space="0" w:color="000000"/>
              <w:bottom w:val="single" w:sz="4" w:space="0" w:color="000000"/>
              <w:right w:val="single" w:sz="4" w:space="0" w:color="000000"/>
            </w:tcBorders>
          </w:tcPr>
          <w:p>
            <w:pPr/>
          </w:p>
        </w:tc>
        <w:tc>
          <w:tcPr>
            <w:tcW w:w="531"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0" w:type="dxa"/>
            <w:vMerge/>
            <w:tcBorders>
              <w:left w:val="single" w:sz="4" w:space="0" w:color="000000"/>
              <w:bottom w:val="single" w:sz="4" w:space="0" w:color="000000"/>
              <w:right w:val="single" w:sz="4" w:space="0" w:color="000000"/>
            </w:tcBorders>
          </w:tcPr>
          <w:p>
            <w:pPr/>
          </w:p>
        </w:tc>
      </w:tr>
      <w:tr>
        <w:trPr>
          <w:trHeight w:val="713" w:hRule="exact"/>
        </w:trPr>
        <w:tc>
          <w:tcPr>
            <w:tcW w:w="14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1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7" w:hRule="exact"/>
        </w:trPr>
        <w:tc>
          <w:tcPr>
            <w:tcW w:w="14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1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 额</w:t>
            </w:r>
          </w:p>
        </w:tc>
        <w:tc>
          <w:tcPr>
            <w:tcW w:w="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28,367,</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309.50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28,367,</w:t>
            </w:r>
          </w:p>
          <w:p>
            <w:pPr>
              <w:pStyle w:val="TableParagraph"/>
              <w:spacing w:line="240" w:lineRule="auto" w:before="105"/>
              <w:ind w:left="131" w:right="0"/>
              <w:jc w:val="left"/>
              <w:rPr>
                <w:rFonts w:ascii="Times New Roman" w:hAnsi="Times New Roman" w:cs="Times New Roman" w:eastAsia="Times New Roman" w:hint="default"/>
                <w:sz w:val="18"/>
                <w:szCs w:val="18"/>
              </w:rPr>
            </w:pPr>
            <w:r>
              <w:rPr>
                <w:rFonts w:ascii="Times New Roman"/>
                <w:sz w:val="18"/>
              </w:rPr>
              <w:t>309.50</w:t>
            </w:r>
          </w:p>
        </w:tc>
      </w:tr>
    </w:tbl>
    <w:p>
      <w:pPr>
        <w:spacing w:after="0" w:line="240" w:lineRule="auto"/>
        <w:jc w:val="lef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437"/>
        <w:gridCol w:w="562"/>
        <w:gridCol w:w="533"/>
        <w:gridCol w:w="531"/>
        <w:gridCol w:w="530"/>
        <w:gridCol w:w="665"/>
        <w:gridCol w:w="665"/>
        <w:gridCol w:w="665"/>
        <w:gridCol w:w="665"/>
        <w:gridCol w:w="665"/>
        <w:gridCol w:w="665"/>
        <w:gridCol w:w="665"/>
        <w:gridCol w:w="665"/>
        <w:gridCol w:w="660"/>
      </w:tblGrid>
      <w:tr>
        <w:trPr>
          <w:trHeight w:val="71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1" w:right="0"/>
              <w:jc w:val="left"/>
              <w:rPr>
                <w:rFonts w:ascii="Times New Roman" w:hAnsi="Times New Roman" w:cs="Times New Roman" w:eastAsia="Times New Roman" w:hint="default"/>
                <w:sz w:val="18"/>
                <w:szCs w:val="18"/>
              </w:rPr>
            </w:pPr>
            <w:r>
              <w:rPr>
                <w:rFonts w:ascii="Times New Roman"/>
                <w:sz w:val="18"/>
              </w:rPr>
              <w:t>13,133,</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453.02</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3" w:right="0"/>
              <w:jc w:val="left"/>
              <w:rPr>
                <w:rFonts w:ascii="Times New Roman" w:hAnsi="Times New Roman" w:cs="Times New Roman" w:eastAsia="Times New Roman" w:hint="default"/>
                <w:sz w:val="18"/>
                <w:szCs w:val="18"/>
              </w:rPr>
            </w:pPr>
            <w:r>
              <w:rPr>
                <w:rFonts w:ascii="Times New Roman"/>
                <w:sz w:val="18"/>
              </w:rPr>
              <w:t>30,001,</w:t>
            </w:r>
          </w:p>
          <w:p>
            <w:pPr>
              <w:pStyle w:val="TableParagraph"/>
              <w:spacing w:line="240" w:lineRule="auto" w:before="105"/>
              <w:ind w:left="139" w:right="0"/>
              <w:jc w:val="left"/>
              <w:rPr>
                <w:rFonts w:ascii="Times New Roman" w:hAnsi="Times New Roman" w:cs="Times New Roman" w:eastAsia="Times New Roman" w:hint="default"/>
                <w:sz w:val="18"/>
                <w:szCs w:val="18"/>
              </w:rPr>
            </w:pPr>
            <w:r>
              <w:rPr>
                <w:rFonts w:ascii="Times New Roman"/>
                <w:sz w:val="18"/>
              </w:rPr>
              <w:t>482.59</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 w:right="0"/>
              <w:jc w:val="center"/>
              <w:rPr>
                <w:rFonts w:ascii="Times New Roman" w:hAnsi="Times New Roman" w:cs="Times New Roman" w:eastAsia="Times New Roman" w:hint="default"/>
                <w:sz w:val="18"/>
                <w:szCs w:val="18"/>
              </w:rPr>
            </w:pPr>
            <w:r>
              <w:rPr>
                <w:rFonts w:ascii="Times New Roman"/>
                <w:sz w:val="18"/>
              </w:rPr>
              <w:t>-36,794,</w:t>
            </w:r>
          </w:p>
          <w:p>
            <w:pPr>
              <w:pStyle w:val="TableParagraph"/>
              <w:spacing w:line="240" w:lineRule="auto" w:before="105"/>
              <w:ind w:left="118" w:right="0"/>
              <w:jc w:val="center"/>
              <w:rPr>
                <w:rFonts w:ascii="Times New Roman" w:hAnsi="Times New Roman" w:cs="Times New Roman" w:eastAsia="Times New Roman" w:hint="default"/>
                <w:sz w:val="18"/>
                <w:szCs w:val="18"/>
              </w:rPr>
            </w:pPr>
            <w:r>
              <w:rPr>
                <w:rFonts w:ascii="Times New Roman"/>
                <w:sz w:val="18"/>
              </w:rPr>
              <w:t>953.86</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-53,662,</w:t>
            </w:r>
          </w:p>
          <w:p>
            <w:pPr>
              <w:pStyle w:val="TableParagraph"/>
              <w:spacing w:line="240" w:lineRule="auto" w:before="105"/>
              <w:ind w:left="108" w:right="0"/>
              <w:jc w:val="center"/>
              <w:rPr>
                <w:rFonts w:ascii="Times New Roman" w:hAnsi="Times New Roman" w:cs="Times New Roman" w:eastAsia="Times New Roman" w:hint="default"/>
                <w:sz w:val="18"/>
                <w:szCs w:val="18"/>
              </w:rPr>
            </w:pPr>
            <w:r>
              <w:rPr>
                <w:rFonts w:ascii="Times New Roman"/>
                <w:sz w:val="18"/>
              </w:rPr>
              <w:t>983.43</w:t>
            </w:r>
          </w:p>
        </w:tc>
      </w:tr>
      <w:tr>
        <w:trPr>
          <w:trHeight w:val="715"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2" w:right="0"/>
              <w:jc w:val="center"/>
              <w:rPr>
                <w:rFonts w:ascii="Times New Roman" w:hAnsi="Times New Roman" w:cs="Times New Roman" w:eastAsia="Times New Roman" w:hint="default"/>
                <w:sz w:val="18"/>
                <w:szCs w:val="18"/>
              </w:rPr>
            </w:pPr>
            <w:r>
              <w:rPr>
                <w:rFonts w:ascii="Times New Roman"/>
                <w:sz w:val="18"/>
              </w:rPr>
              <w:t>-54,997,</w:t>
            </w:r>
          </w:p>
          <w:p>
            <w:pPr>
              <w:pStyle w:val="TableParagraph"/>
              <w:spacing w:line="240" w:lineRule="auto" w:before="102"/>
              <w:ind w:left="117" w:right="0"/>
              <w:jc w:val="center"/>
              <w:rPr>
                <w:rFonts w:ascii="Times New Roman" w:hAnsi="Times New Roman" w:cs="Times New Roman" w:eastAsia="Times New Roman" w:hint="default"/>
                <w:sz w:val="18"/>
                <w:szCs w:val="18"/>
              </w:rPr>
            </w:pPr>
            <w:r>
              <w:rPr>
                <w:rFonts w:ascii="Times New Roman"/>
                <w:sz w:val="18"/>
              </w:rPr>
              <w:t>781.24</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3" w:right="0"/>
              <w:jc w:val="center"/>
              <w:rPr>
                <w:rFonts w:ascii="Times New Roman" w:hAnsi="Times New Roman" w:cs="Times New Roman" w:eastAsia="Times New Roman" w:hint="default"/>
                <w:sz w:val="18"/>
                <w:szCs w:val="18"/>
              </w:rPr>
            </w:pPr>
            <w:r>
              <w:rPr>
                <w:rFonts w:ascii="Times New Roman"/>
                <w:sz w:val="18"/>
              </w:rPr>
              <w:t>-12,652,</w:t>
            </w:r>
          </w:p>
          <w:p>
            <w:pPr>
              <w:pStyle w:val="TableParagraph"/>
              <w:spacing w:line="240" w:lineRule="auto" w:before="102"/>
              <w:ind w:left="118" w:right="0"/>
              <w:jc w:val="center"/>
              <w:rPr>
                <w:rFonts w:ascii="Times New Roman" w:hAnsi="Times New Roman" w:cs="Times New Roman" w:eastAsia="Times New Roman" w:hint="default"/>
                <w:sz w:val="18"/>
                <w:szCs w:val="18"/>
              </w:rPr>
            </w:pPr>
            <w:r>
              <w:rPr>
                <w:rFonts w:ascii="Times New Roman"/>
                <w:sz w:val="18"/>
              </w:rPr>
              <w:t>836.92</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3" w:right="0"/>
              <w:jc w:val="center"/>
              <w:rPr>
                <w:rFonts w:ascii="Times New Roman" w:hAnsi="Times New Roman" w:cs="Times New Roman" w:eastAsia="Times New Roman" w:hint="default"/>
                <w:sz w:val="18"/>
                <w:szCs w:val="18"/>
              </w:rPr>
            </w:pPr>
            <w:r>
              <w:rPr>
                <w:rFonts w:ascii="Times New Roman"/>
                <w:sz w:val="18"/>
              </w:rPr>
              <w:t>-67,650,</w:t>
            </w:r>
          </w:p>
          <w:p>
            <w:pPr>
              <w:pStyle w:val="TableParagraph"/>
              <w:spacing w:line="240" w:lineRule="auto" w:before="102"/>
              <w:ind w:left="108" w:right="0"/>
              <w:jc w:val="center"/>
              <w:rPr>
                <w:rFonts w:ascii="Times New Roman" w:hAnsi="Times New Roman" w:cs="Times New Roman" w:eastAsia="Times New Roman" w:hint="default"/>
                <w:sz w:val="18"/>
                <w:szCs w:val="18"/>
              </w:rPr>
            </w:pPr>
            <w:r>
              <w:rPr>
                <w:rFonts w:ascii="Times New Roman"/>
                <w:sz w:val="18"/>
              </w:rPr>
              <w:t>618.16</w:t>
            </w:r>
          </w:p>
        </w:tc>
      </w:tr>
      <w:tr>
        <w:trPr>
          <w:trHeight w:val="401"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 准备</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．对所有者（或 股东）的分配</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 w:right="0"/>
              <w:jc w:val="center"/>
              <w:rPr>
                <w:rFonts w:ascii="Times New Roman" w:hAnsi="Times New Roman" w:cs="Times New Roman" w:eastAsia="Times New Roman" w:hint="default"/>
                <w:sz w:val="18"/>
                <w:szCs w:val="18"/>
              </w:rPr>
            </w:pPr>
            <w:r>
              <w:rPr>
                <w:rFonts w:ascii="Times New Roman"/>
                <w:sz w:val="18"/>
              </w:rPr>
              <w:t>-54,997,</w:t>
            </w:r>
          </w:p>
          <w:p>
            <w:pPr>
              <w:pStyle w:val="TableParagraph"/>
              <w:spacing w:line="240" w:lineRule="auto" w:before="105"/>
              <w:ind w:left="117" w:right="0"/>
              <w:jc w:val="center"/>
              <w:rPr>
                <w:rFonts w:ascii="Times New Roman" w:hAnsi="Times New Roman" w:cs="Times New Roman" w:eastAsia="Times New Roman" w:hint="default"/>
                <w:sz w:val="18"/>
                <w:szCs w:val="18"/>
              </w:rPr>
            </w:pPr>
            <w:r>
              <w:rPr>
                <w:rFonts w:ascii="Times New Roman"/>
                <w:sz w:val="18"/>
              </w:rPr>
              <w:t>781.24</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 w:right="0"/>
              <w:jc w:val="center"/>
              <w:rPr>
                <w:rFonts w:ascii="Times New Roman" w:hAnsi="Times New Roman" w:cs="Times New Roman" w:eastAsia="Times New Roman" w:hint="default"/>
                <w:sz w:val="18"/>
                <w:szCs w:val="18"/>
              </w:rPr>
            </w:pPr>
            <w:r>
              <w:rPr>
                <w:rFonts w:ascii="Times New Roman"/>
                <w:sz w:val="18"/>
              </w:rPr>
              <w:t>-12,652,</w:t>
            </w:r>
          </w:p>
          <w:p>
            <w:pPr>
              <w:pStyle w:val="TableParagraph"/>
              <w:spacing w:line="240" w:lineRule="auto" w:before="105"/>
              <w:ind w:left="118" w:right="0"/>
              <w:jc w:val="center"/>
              <w:rPr>
                <w:rFonts w:ascii="Times New Roman" w:hAnsi="Times New Roman" w:cs="Times New Roman" w:eastAsia="Times New Roman" w:hint="default"/>
                <w:sz w:val="18"/>
                <w:szCs w:val="18"/>
              </w:rPr>
            </w:pPr>
            <w:r>
              <w:rPr>
                <w:rFonts w:ascii="Times New Roman"/>
                <w:sz w:val="18"/>
              </w:rPr>
              <w:t>836.92</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-67,650,</w:t>
            </w:r>
          </w:p>
          <w:p>
            <w:pPr>
              <w:pStyle w:val="TableParagraph"/>
              <w:spacing w:line="240" w:lineRule="auto" w:before="105"/>
              <w:ind w:left="108" w:right="0"/>
              <w:jc w:val="center"/>
              <w:rPr>
                <w:rFonts w:ascii="Times New Roman" w:hAnsi="Times New Roman" w:cs="Times New Roman" w:eastAsia="Times New Roman" w:hint="default"/>
                <w:sz w:val="18"/>
                <w:szCs w:val="18"/>
              </w:rPr>
            </w:pPr>
            <w:r>
              <w:rPr>
                <w:rFonts w:ascii="Times New Roman"/>
                <w:sz w:val="18"/>
              </w:rPr>
              <w:t>618.16</w:t>
            </w:r>
          </w:p>
        </w:tc>
      </w:tr>
      <w:tr>
        <w:trPr>
          <w:trHeight w:val="40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21"/>
              <w:jc w:val="left"/>
              <w:rPr>
                <w:rFonts w:ascii="宋体" w:hAnsi="宋体" w:cs="宋体" w:eastAsia="宋体" w:hint="default"/>
                <w:sz w:val="18"/>
                <w:szCs w:val="18"/>
              </w:rPr>
            </w:pPr>
            <w:r>
              <w:rPr>
                <w:rFonts w:ascii="宋体" w:hAnsi="宋体" w:cs="宋体" w:eastAsia="宋体" w:hint="default"/>
                <w:spacing w:val="-8"/>
                <w:sz w:val="18"/>
                <w:szCs w:val="18"/>
              </w:rPr>
              <w:t>（四）所有者权益</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内部结转</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 资本（或股本）</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5"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．设定受益计划 变动额结转留存 收益</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91" w:right="0"/>
              <w:jc w:val="left"/>
              <w:rPr>
                <w:rFonts w:ascii="Times New Roman" w:hAnsi="Times New Roman" w:cs="Times New Roman" w:eastAsia="Times New Roman" w:hint="default"/>
                <w:sz w:val="18"/>
                <w:szCs w:val="18"/>
              </w:rPr>
            </w:pPr>
            <w:r>
              <w:rPr>
                <w:rFonts w:ascii="Times New Roman"/>
                <w:sz w:val="18"/>
              </w:rPr>
              <w:t>46,439,</w:t>
            </w:r>
          </w:p>
          <w:p>
            <w:pPr>
              <w:pStyle w:val="TableParagraph"/>
              <w:spacing w:line="240" w:lineRule="auto" w:before="102"/>
              <w:ind w:left="136" w:right="0"/>
              <w:jc w:val="left"/>
              <w:rPr>
                <w:rFonts w:ascii="Times New Roman" w:hAnsi="Times New Roman" w:cs="Times New Roman" w:eastAsia="Times New Roman" w:hint="default"/>
                <w:sz w:val="18"/>
                <w:szCs w:val="18"/>
              </w:rPr>
            </w:pPr>
            <w:r>
              <w:rPr>
                <w:rFonts w:ascii="Times New Roman"/>
                <w:sz w:val="18"/>
              </w:rPr>
              <w:t>253.93</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86" w:right="0"/>
              <w:jc w:val="left"/>
              <w:rPr>
                <w:rFonts w:ascii="Times New Roman" w:hAnsi="Times New Roman" w:cs="Times New Roman" w:eastAsia="Times New Roman" w:hint="default"/>
                <w:sz w:val="18"/>
                <w:szCs w:val="18"/>
              </w:rPr>
            </w:pPr>
            <w:r>
              <w:rPr>
                <w:rFonts w:ascii="Times New Roman"/>
                <w:sz w:val="18"/>
              </w:rPr>
              <w:t>46,439,</w:t>
            </w:r>
          </w:p>
          <w:p>
            <w:pPr>
              <w:pStyle w:val="TableParagraph"/>
              <w:spacing w:line="240" w:lineRule="auto" w:before="102"/>
              <w:ind w:left="131" w:right="0"/>
              <w:jc w:val="left"/>
              <w:rPr>
                <w:rFonts w:ascii="Times New Roman" w:hAnsi="Times New Roman" w:cs="Times New Roman" w:eastAsia="Times New Roman" w:hint="default"/>
                <w:sz w:val="18"/>
                <w:szCs w:val="18"/>
              </w:rPr>
            </w:pPr>
            <w:r>
              <w:rPr>
                <w:rFonts w:ascii="Times New Roman"/>
                <w:sz w:val="18"/>
              </w:rPr>
              <w:t>253.93</w:t>
            </w:r>
          </w:p>
        </w:tc>
      </w:tr>
      <w:tr>
        <w:trPr>
          <w:trHeight w:val="1028"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2" w:right="0"/>
              <w:jc w:val="left"/>
              <w:rPr>
                <w:rFonts w:ascii="宋体" w:hAnsi="宋体" w:cs="宋体" w:eastAsia="宋体" w:hint="default"/>
                <w:sz w:val="18"/>
                <w:szCs w:val="18"/>
              </w:rPr>
            </w:pPr>
            <w:r>
              <w:rPr>
                <w:rFonts w:ascii="宋体" w:hAnsi="宋体" w:cs="宋体" w:eastAsia="宋体" w:hint="default"/>
                <w:spacing w:val="-8"/>
                <w:sz w:val="18"/>
                <w:szCs w:val="18"/>
              </w:rPr>
              <w:t>四、本期期末余额</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8" w:right="0"/>
              <w:jc w:val="center"/>
              <w:rPr>
                <w:rFonts w:ascii="Times New Roman" w:hAnsi="Times New Roman" w:cs="Times New Roman" w:eastAsia="Times New Roman" w:hint="default"/>
                <w:sz w:val="18"/>
                <w:szCs w:val="18"/>
              </w:rPr>
            </w:pPr>
            <w:r>
              <w:rPr>
                <w:rFonts w:ascii="Times New Roman"/>
                <w:sz w:val="18"/>
              </w:rPr>
              <w:t>1,309,</w:t>
            </w:r>
          </w:p>
          <w:p>
            <w:pPr>
              <w:pStyle w:val="TableParagraph"/>
              <w:spacing w:line="240" w:lineRule="auto" w:before="105"/>
              <w:ind w:left="15" w:right="0"/>
              <w:jc w:val="center"/>
              <w:rPr>
                <w:rFonts w:ascii="Times New Roman" w:hAnsi="Times New Roman" w:cs="Times New Roman" w:eastAsia="Times New Roman" w:hint="default"/>
                <w:sz w:val="18"/>
                <w:szCs w:val="18"/>
              </w:rPr>
            </w:pPr>
            <w:r>
              <w:rPr>
                <w:rFonts w:ascii="Times New Roman"/>
                <w:sz w:val="18"/>
              </w:rPr>
              <w:t>470,98</w:t>
            </w:r>
          </w:p>
          <w:p>
            <w:pPr>
              <w:pStyle w:val="TableParagraph"/>
              <w:spacing w:line="240" w:lineRule="auto" w:before="105"/>
              <w:ind w:left="195" w:right="0"/>
              <w:jc w:val="center"/>
              <w:rPr>
                <w:rFonts w:ascii="Times New Roman" w:hAnsi="Times New Roman" w:cs="Times New Roman" w:eastAsia="Times New Roman" w:hint="default"/>
                <w:sz w:val="18"/>
                <w:szCs w:val="18"/>
              </w:rPr>
            </w:pPr>
            <w:r>
              <w:rPr>
                <w:rFonts w:ascii="Times New Roman"/>
                <w:sz w:val="18"/>
              </w:rPr>
              <w:t>2.00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4,593,8</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04,071.</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03</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359,752</w:t>
            </w:r>
          </w:p>
          <w:p>
            <w:pPr>
              <w:pStyle w:val="TableParagraph"/>
              <w:spacing w:line="240" w:lineRule="auto" w:before="105"/>
              <w:ind w:left="93" w:right="0"/>
              <w:jc w:val="left"/>
              <w:rPr>
                <w:rFonts w:ascii="Times New Roman" w:hAnsi="Times New Roman" w:cs="Times New Roman" w:eastAsia="Times New Roman" w:hint="default"/>
                <w:sz w:val="18"/>
                <w:szCs w:val="18"/>
              </w:rPr>
            </w:pPr>
            <w:r>
              <w:rPr>
                <w:rFonts w:ascii="Times New Roman"/>
                <w:sz w:val="18"/>
              </w:rPr>
              <w:t>,548.89</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3" w:right="0"/>
              <w:jc w:val="left"/>
              <w:rPr>
                <w:rFonts w:ascii="Times New Roman" w:hAnsi="Times New Roman" w:cs="Times New Roman" w:eastAsia="Times New Roman" w:hint="default"/>
                <w:sz w:val="18"/>
                <w:szCs w:val="18"/>
              </w:rPr>
            </w:pPr>
            <w:r>
              <w:rPr>
                <w:rFonts w:ascii="Times New Roman"/>
                <w:sz w:val="18"/>
              </w:rPr>
              <w:t>13,581,</w:t>
            </w:r>
          </w:p>
          <w:p>
            <w:pPr>
              <w:pStyle w:val="TableParagraph"/>
              <w:spacing w:line="240" w:lineRule="auto" w:before="105"/>
              <w:ind w:left="139" w:right="0"/>
              <w:jc w:val="left"/>
              <w:rPr>
                <w:rFonts w:ascii="Times New Roman" w:hAnsi="Times New Roman" w:cs="Times New Roman" w:eastAsia="Times New Roman" w:hint="default"/>
                <w:sz w:val="18"/>
                <w:szCs w:val="18"/>
              </w:rPr>
            </w:pPr>
            <w:r>
              <w:rPr>
                <w:rFonts w:ascii="Times New Roman"/>
                <w:sz w:val="18"/>
              </w:rPr>
              <w:t>178.21</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2" w:right="0"/>
              <w:jc w:val="left"/>
              <w:rPr>
                <w:rFonts w:ascii="Times New Roman" w:hAnsi="Times New Roman" w:cs="Times New Roman" w:eastAsia="Times New Roman" w:hint="default"/>
                <w:sz w:val="18"/>
                <w:szCs w:val="18"/>
              </w:rPr>
            </w:pPr>
            <w:r>
              <w:rPr>
                <w:rFonts w:ascii="Times New Roman"/>
                <w:sz w:val="18"/>
              </w:rPr>
              <w:t>109,115</w:t>
            </w:r>
          </w:p>
          <w:p>
            <w:pPr>
              <w:pStyle w:val="TableParagraph"/>
              <w:spacing w:line="240" w:lineRule="auto" w:before="105"/>
              <w:ind w:left="91" w:right="0"/>
              <w:jc w:val="left"/>
              <w:rPr>
                <w:rFonts w:ascii="Times New Roman" w:hAnsi="Times New Roman" w:cs="Times New Roman" w:eastAsia="Times New Roman" w:hint="default"/>
                <w:sz w:val="18"/>
                <w:szCs w:val="18"/>
              </w:rPr>
            </w:pPr>
            <w:r>
              <w:rPr>
                <w:rFonts w:ascii="Times New Roman"/>
                <w:sz w:val="18"/>
              </w:rPr>
              <w:t>,366.29</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1,535,0</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12,703.</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46</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8" w:right="0"/>
              <w:jc w:val="left"/>
              <w:rPr>
                <w:rFonts w:ascii="Times New Roman" w:hAnsi="Times New Roman" w:cs="Times New Roman" w:eastAsia="Times New Roman" w:hint="default"/>
                <w:sz w:val="18"/>
                <w:szCs w:val="18"/>
              </w:rPr>
            </w:pPr>
            <w:r>
              <w:rPr>
                <w:rFonts w:ascii="Times New Roman"/>
                <w:sz w:val="18"/>
              </w:rPr>
              <w:t>201,547</w:t>
            </w:r>
          </w:p>
          <w:p>
            <w:pPr>
              <w:pStyle w:val="TableParagraph"/>
              <w:spacing w:line="240" w:lineRule="auto" w:before="105"/>
              <w:ind w:left="93" w:right="0"/>
              <w:jc w:val="left"/>
              <w:rPr>
                <w:rFonts w:ascii="Times New Roman" w:hAnsi="Times New Roman" w:cs="Times New Roman" w:eastAsia="Times New Roman" w:hint="default"/>
                <w:sz w:val="18"/>
                <w:szCs w:val="18"/>
              </w:rPr>
            </w:pPr>
            <w:r>
              <w:rPr>
                <w:rFonts w:ascii="Times New Roman"/>
                <w:sz w:val="18"/>
              </w:rPr>
              <w:t>,330.42</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7,402,7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79,082.</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52</w:t>
            </w:r>
          </w:p>
        </w:tc>
      </w:tr>
    </w:tbl>
    <w:p>
      <w:pPr>
        <w:pStyle w:val="BodyText"/>
        <w:spacing w:line="240" w:lineRule="auto" w:before="49"/>
        <w:ind w:right="982"/>
        <w:jc w:val="left"/>
      </w:pPr>
      <w:r>
        <w:rPr/>
        <w:t>上期金额</w:t>
      </w:r>
    </w:p>
    <w:p>
      <w:pPr>
        <w:pStyle w:val="BodyText"/>
        <w:spacing w:line="240" w:lineRule="auto" w:before="115"/>
        <w:ind w:left="0" w:right="1131"/>
        <w:jc w:val="right"/>
      </w:pPr>
      <w:r>
        <w:rPr/>
        <w:t>单位：元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437"/>
        <w:gridCol w:w="562"/>
        <w:gridCol w:w="530"/>
        <w:gridCol w:w="531"/>
        <w:gridCol w:w="533"/>
        <w:gridCol w:w="662"/>
        <w:gridCol w:w="665"/>
        <w:gridCol w:w="668"/>
        <w:gridCol w:w="665"/>
        <w:gridCol w:w="662"/>
        <w:gridCol w:w="665"/>
        <w:gridCol w:w="680"/>
        <w:gridCol w:w="653"/>
        <w:gridCol w:w="658"/>
      </w:tblGrid>
      <w:tr>
        <w:trPr>
          <w:trHeight w:val="401" w:hRule="exact"/>
        </w:trPr>
        <w:tc>
          <w:tcPr>
            <w:tcW w:w="143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5"/>
                <w:szCs w:val="2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8133" w:type="dxa"/>
            <w:gridSpan w:val="1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403" w:hRule="exact"/>
        </w:trPr>
        <w:tc>
          <w:tcPr>
            <w:tcW w:w="1437" w:type="dxa"/>
            <w:vMerge/>
            <w:tcBorders>
              <w:left w:val="single" w:sz="4" w:space="0" w:color="000000"/>
              <w:right w:val="single" w:sz="4" w:space="0" w:color="000000"/>
            </w:tcBorders>
            <w:shd w:val="clear" w:color="auto" w:fill="D2D2D2"/>
          </w:tcPr>
          <w:p>
            <w:pPr/>
          </w:p>
        </w:tc>
        <w:tc>
          <w:tcPr>
            <w:tcW w:w="6822"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65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6"/>
                <w:szCs w:val="16"/>
              </w:rPr>
            </w:pPr>
          </w:p>
          <w:p>
            <w:pPr>
              <w:pStyle w:val="TableParagraph"/>
              <w:spacing w:line="314" w:lineRule="auto"/>
              <w:ind w:left="50" w:right="50"/>
              <w:jc w:val="left"/>
              <w:rPr>
                <w:rFonts w:ascii="宋体" w:hAnsi="宋体" w:cs="宋体" w:eastAsia="宋体" w:hint="default"/>
                <w:sz w:val="18"/>
                <w:szCs w:val="18"/>
              </w:rPr>
            </w:pPr>
            <w:r>
              <w:rPr>
                <w:rFonts w:ascii="宋体" w:hAnsi="宋体" w:cs="宋体" w:eastAsia="宋体" w:hint="default"/>
                <w:sz w:val="18"/>
                <w:szCs w:val="18"/>
              </w:rPr>
              <w:t>少数股 东权益</w:t>
            </w:r>
          </w:p>
        </w:tc>
        <w:tc>
          <w:tcPr>
            <w:tcW w:w="65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8"/>
              <w:ind w:right="0"/>
              <w:jc w:val="left"/>
              <w:rPr>
                <w:rFonts w:ascii="宋体" w:hAnsi="宋体" w:cs="宋体" w:eastAsia="宋体" w:hint="default"/>
                <w:sz w:val="22"/>
                <w:szCs w:val="22"/>
              </w:rPr>
            </w:pPr>
          </w:p>
          <w:p>
            <w:pPr>
              <w:pStyle w:val="TableParagraph"/>
              <w:spacing w:line="316" w:lineRule="auto"/>
              <w:ind w:left="55" w:right="50"/>
              <w:jc w:val="center"/>
              <w:rPr>
                <w:rFonts w:ascii="宋体" w:hAnsi="宋体" w:cs="宋体" w:eastAsia="宋体" w:hint="default"/>
                <w:sz w:val="18"/>
                <w:szCs w:val="18"/>
              </w:rPr>
            </w:pPr>
            <w:r>
              <w:rPr>
                <w:rFonts w:ascii="宋体" w:hAnsi="宋体" w:cs="宋体" w:eastAsia="宋体" w:hint="default"/>
                <w:sz w:val="18"/>
                <w:szCs w:val="18"/>
              </w:rPr>
              <w:t>所有者 权益合 计</w:t>
            </w:r>
          </w:p>
        </w:tc>
      </w:tr>
      <w:tr>
        <w:trPr>
          <w:trHeight w:val="401" w:hRule="exact"/>
        </w:trPr>
        <w:tc>
          <w:tcPr>
            <w:tcW w:w="1437" w:type="dxa"/>
            <w:vMerge/>
            <w:tcBorders>
              <w:left w:val="single" w:sz="4" w:space="0" w:color="000000"/>
              <w:right w:val="single" w:sz="4" w:space="0" w:color="000000"/>
            </w:tcBorders>
            <w:shd w:val="clear" w:color="auto" w:fill="D2D2D2"/>
          </w:tcPr>
          <w:p>
            <w:pPr/>
          </w:p>
        </w:tc>
        <w:tc>
          <w:tcPr>
            <w:tcW w:w="56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95"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594"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51"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66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314" w:lineRule="auto"/>
              <w:ind w:left="237" w:right="53" w:hanging="180"/>
              <w:jc w:val="left"/>
              <w:rPr>
                <w:rFonts w:ascii="宋体" w:hAnsi="宋体" w:cs="宋体" w:eastAsia="宋体" w:hint="default"/>
                <w:sz w:val="18"/>
                <w:szCs w:val="18"/>
              </w:rPr>
            </w:pPr>
            <w:r>
              <w:rPr>
                <w:rFonts w:ascii="宋体" w:hAnsi="宋体" w:cs="宋体" w:eastAsia="宋体" w:hint="default"/>
                <w:sz w:val="18"/>
                <w:szCs w:val="18"/>
              </w:rPr>
              <w:t>资本公 积</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314" w:lineRule="auto"/>
              <w:ind w:left="148" w:right="55" w:hanging="92"/>
              <w:jc w:val="left"/>
              <w:rPr>
                <w:rFonts w:ascii="宋体" w:hAnsi="宋体" w:cs="宋体" w:eastAsia="宋体" w:hint="default"/>
                <w:sz w:val="18"/>
                <w:szCs w:val="18"/>
              </w:rPr>
            </w:pPr>
            <w:r>
              <w:rPr>
                <w:rFonts w:ascii="宋体" w:hAnsi="宋体" w:cs="宋体" w:eastAsia="宋体" w:hint="default"/>
                <w:sz w:val="18"/>
                <w:szCs w:val="18"/>
              </w:rPr>
              <w:t>减：库 存股</w:t>
            </w:r>
          </w:p>
        </w:tc>
        <w:tc>
          <w:tcPr>
            <w:tcW w:w="6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314" w:lineRule="auto"/>
              <w:ind w:left="59" w:right="57"/>
              <w:jc w:val="left"/>
              <w:rPr>
                <w:rFonts w:ascii="宋体" w:hAnsi="宋体" w:cs="宋体" w:eastAsia="宋体" w:hint="default"/>
                <w:sz w:val="18"/>
                <w:szCs w:val="18"/>
              </w:rPr>
            </w:pPr>
            <w:r>
              <w:rPr>
                <w:rFonts w:ascii="宋体" w:hAnsi="宋体" w:cs="宋体" w:eastAsia="宋体" w:hint="default"/>
                <w:sz w:val="18"/>
                <w:szCs w:val="18"/>
              </w:rPr>
              <w:t>其他综 合收益</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314" w:lineRule="auto"/>
              <w:ind w:left="237" w:right="55" w:hanging="180"/>
              <w:jc w:val="left"/>
              <w:rPr>
                <w:rFonts w:ascii="宋体" w:hAnsi="宋体" w:cs="宋体" w:eastAsia="宋体" w:hint="default"/>
                <w:sz w:val="18"/>
                <w:szCs w:val="18"/>
              </w:rPr>
            </w:pPr>
            <w:r>
              <w:rPr>
                <w:rFonts w:ascii="宋体" w:hAnsi="宋体" w:cs="宋体" w:eastAsia="宋体" w:hint="default"/>
                <w:sz w:val="18"/>
                <w:szCs w:val="18"/>
              </w:rPr>
              <w:t>专项储 备</w:t>
            </w:r>
          </w:p>
        </w:tc>
        <w:tc>
          <w:tcPr>
            <w:tcW w:w="66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314" w:lineRule="auto"/>
              <w:ind w:left="237" w:right="53" w:hanging="180"/>
              <w:jc w:val="left"/>
              <w:rPr>
                <w:rFonts w:ascii="宋体" w:hAnsi="宋体" w:cs="宋体" w:eastAsia="宋体" w:hint="default"/>
                <w:sz w:val="18"/>
                <w:szCs w:val="18"/>
              </w:rPr>
            </w:pPr>
            <w:r>
              <w:rPr>
                <w:rFonts w:ascii="宋体" w:hAnsi="宋体" w:cs="宋体" w:eastAsia="宋体" w:hint="default"/>
                <w:sz w:val="18"/>
                <w:szCs w:val="18"/>
              </w:rPr>
              <w:t>盈余公 积</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314" w:lineRule="auto"/>
              <w:ind w:left="57" w:right="55"/>
              <w:jc w:val="left"/>
              <w:rPr>
                <w:rFonts w:ascii="宋体" w:hAnsi="宋体" w:cs="宋体" w:eastAsia="宋体" w:hint="default"/>
                <w:sz w:val="18"/>
                <w:szCs w:val="18"/>
              </w:rPr>
            </w:pPr>
            <w:r>
              <w:rPr>
                <w:rFonts w:ascii="宋体" w:hAnsi="宋体" w:cs="宋体" w:eastAsia="宋体" w:hint="default"/>
                <w:sz w:val="18"/>
                <w:szCs w:val="18"/>
              </w:rPr>
              <w:t>一般风 险准备</w:t>
            </w:r>
          </w:p>
        </w:tc>
        <w:tc>
          <w:tcPr>
            <w:tcW w:w="68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314" w:lineRule="auto"/>
              <w:ind w:left="153" w:right="63" w:hanging="89"/>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653" w:type="dxa"/>
            <w:vMerge/>
            <w:tcBorders>
              <w:left w:val="single" w:sz="4" w:space="0" w:color="000000"/>
              <w:right w:val="single" w:sz="4" w:space="0" w:color="000000"/>
            </w:tcBorders>
            <w:shd w:val="clear" w:color="auto" w:fill="D2D2D2"/>
          </w:tcPr>
          <w:p>
            <w:pPr/>
          </w:p>
        </w:tc>
        <w:tc>
          <w:tcPr>
            <w:tcW w:w="658" w:type="dxa"/>
            <w:vMerge/>
            <w:tcBorders>
              <w:left w:val="single" w:sz="4" w:space="0" w:color="000000"/>
              <w:right w:val="single" w:sz="4" w:space="0" w:color="000000"/>
            </w:tcBorders>
            <w:shd w:val="clear" w:color="auto" w:fill="D2D2D2"/>
          </w:tcPr>
          <w:p>
            <w:pPr/>
          </w:p>
        </w:tc>
      </w:tr>
      <w:tr>
        <w:trPr>
          <w:trHeight w:val="715" w:hRule="exact"/>
        </w:trPr>
        <w:tc>
          <w:tcPr>
            <w:tcW w:w="1437" w:type="dxa"/>
            <w:vMerge/>
            <w:tcBorders>
              <w:left w:val="single" w:sz="4" w:space="0" w:color="000000"/>
              <w:bottom w:val="single" w:sz="4" w:space="0" w:color="000000"/>
              <w:right w:val="single" w:sz="4" w:space="0" w:color="000000"/>
            </w:tcBorders>
            <w:shd w:val="clear" w:color="auto" w:fill="D2D2D2"/>
          </w:tcPr>
          <w:p>
            <w:pPr/>
          </w:p>
        </w:tc>
        <w:tc>
          <w:tcPr>
            <w:tcW w:w="562" w:type="dxa"/>
            <w:vMerge/>
            <w:tcBorders>
              <w:left w:val="single" w:sz="4" w:space="0" w:color="000000"/>
              <w:bottom w:val="single" w:sz="4" w:space="0" w:color="000000"/>
              <w:right w:val="single" w:sz="4" w:space="0" w:color="000000"/>
            </w:tcBorders>
            <w:shd w:val="clear" w:color="auto" w:fill="D2D2D2"/>
          </w:tcPr>
          <w:p>
            <w:pPr/>
          </w:p>
        </w:tc>
        <w:tc>
          <w:tcPr>
            <w:tcW w:w="5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70" w:right="77" w:hanging="89"/>
              <w:jc w:val="left"/>
              <w:rPr>
                <w:rFonts w:ascii="宋体" w:hAnsi="宋体" w:cs="宋体" w:eastAsia="宋体" w:hint="default"/>
                <w:sz w:val="18"/>
                <w:szCs w:val="18"/>
              </w:rPr>
            </w:pPr>
            <w:r>
              <w:rPr>
                <w:rFonts w:ascii="宋体" w:hAnsi="宋体" w:cs="宋体" w:eastAsia="宋体" w:hint="default"/>
                <w:sz w:val="18"/>
                <w:szCs w:val="18"/>
              </w:rPr>
              <w:t>优先 股</w:t>
            </w:r>
          </w:p>
        </w:tc>
        <w:tc>
          <w:tcPr>
            <w:tcW w:w="5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70" w:right="77" w:hanging="89"/>
              <w:jc w:val="left"/>
              <w:rPr>
                <w:rFonts w:ascii="宋体" w:hAnsi="宋体" w:cs="宋体" w:eastAsia="宋体" w:hint="default"/>
                <w:sz w:val="18"/>
                <w:szCs w:val="18"/>
              </w:rPr>
            </w:pPr>
            <w:r>
              <w:rPr>
                <w:rFonts w:ascii="宋体" w:hAnsi="宋体" w:cs="宋体" w:eastAsia="宋体" w:hint="default"/>
                <w:sz w:val="18"/>
                <w:szCs w:val="18"/>
              </w:rPr>
              <w:t>永续 债</w:t>
            </w:r>
          </w:p>
        </w:tc>
        <w:tc>
          <w:tcPr>
            <w:tcW w:w="5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8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62"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8"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2"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80" w:type="dxa"/>
            <w:vMerge/>
            <w:tcBorders>
              <w:left w:val="single" w:sz="4" w:space="0" w:color="000000"/>
              <w:bottom w:val="single" w:sz="4" w:space="0" w:color="000000"/>
              <w:right w:val="single" w:sz="4" w:space="0" w:color="000000"/>
            </w:tcBorders>
            <w:shd w:val="clear" w:color="auto" w:fill="D2D2D2"/>
          </w:tcPr>
          <w:p>
            <w:pPr/>
          </w:p>
        </w:tc>
        <w:tc>
          <w:tcPr>
            <w:tcW w:w="653" w:type="dxa"/>
            <w:vMerge/>
            <w:tcBorders>
              <w:left w:val="single" w:sz="4" w:space="0" w:color="000000"/>
              <w:bottom w:val="single" w:sz="4" w:space="0" w:color="000000"/>
              <w:right w:val="single" w:sz="4" w:space="0" w:color="000000"/>
            </w:tcBorders>
            <w:shd w:val="clear" w:color="auto" w:fill="D2D2D2"/>
          </w:tcPr>
          <w:p>
            <w:pPr/>
          </w:p>
        </w:tc>
        <w:tc>
          <w:tcPr>
            <w:tcW w:w="658" w:type="dxa"/>
            <w:vMerge/>
            <w:tcBorders>
              <w:left w:val="single" w:sz="4" w:space="0" w:color="000000"/>
              <w:bottom w:val="single" w:sz="4" w:space="0" w:color="000000"/>
              <w:right w:val="single" w:sz="4" w:space="0" w:color="000000"/>
            </w:tcBorders>
            <w:shd w:val="clear" w:color="auto" w:fill="D2D2D2"/>
          </w:tcPr>
          <w:p>
            <w:pPr/>
          </w:p>
        </w:tc>
      </w:tr>
    </w:tbl>
    <w:p>
      <w:pPr>
        <w:spacing w:after="0"/>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437"/>
        <w:gridCol w:w="562"/>
        <w:gridCol w:w="530"/>
        <w:gridCol w:w="531"/>
        <w:gridCol w:w="533"/>
        <w:gridCol w:w="662"/>
        <w:gridCol w:w="665"/>
        <w:gridCol w:w="668"/>
        <w:gridCol w:w="665"/>
        <w:gridCol w:w="662"/>
        <w:gridCol w:w="665"/>
        <w:gridCol w:w="680"/>
        <w:gridCol w:w="653"/>
        <w:gridCol w:w="658"/>
      </w:tblGrid>
      <w:tr>
        <w:trPr>
          <w:trHeight w:val="1025"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2" w:right="0"/>
              <w:jc w:val="left"/>
              <w:rPr>
                <w:rFonts w:ascii="宋体" w:hAnsi="宋体" w:cs="宋体" w:eastAsia="宋体" w:hint="default"/>
                <w:sz w:val="18"/>
                <w:szCs w:val="18"/>
              </w:rPr>
            </w:pPr>
            <w:r>
              <w:rPr>
                <w:rFonts w:ascii="宋体" w:hAnsi="宋体" w:cs="宋体" w:eastAsia="宋体" w:hint="default"/>
                <w:spacing w:val="-8"/>
                <w:sz w:val="18"/>
                <w:szCs w:val="18"/>
              </w:rPr>
              <w:t>一、上年期末余额</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8" w:right="0"/>
              <w:jc w:val="center"/>
              <w:rPr>
                <w:rFonts w:ascii="Times New Roman" w:hAnsi="Times New Roman" w:cs="Times New Roman" w:eastAsia="Times New Roman" w:hint="default"/>
                <w:sz w:val="18"/>
                <w:szCs w:val="18"/>
              </w:rPr>
            </w:pPr>
            <w:r>
              <w:rPr>
                <w:rFonts w:ascii="Times New Roman"/>
                <w:sz w:val="18"/>
              </w:rPr>
              <w:t>1,066,</w:t>
            </w:r>
          </w:p>
          <w:p>
            <w:pPr>
              <w:pStyle w:val="TableParagraph"/>
              <w:spacing w:line="240" w:lineRule="auto" w:before="105"/>
              <w:ind w:left="15" w:right="0"/>
              <w:jc w:val="center"/>
              <w:rPr>
                <w:rFonts w:ascii="Times New Roman" w:hAnsi="Times New Roman" w:cs="Times New Roman" w:eastAsia="Times New Roman" w:hint="default"/>
                <w:sz w:val="18"/>
                <w:szCs w:val="18"/>
              </w:rPr>
            </w:pPr>
            <w:r>
              <w:rPr>
                <w:rFonts w:ascii="Times New Roman"/>
                <w:sz w:val="18"/>
              </w:rPr>
              <w:t>527,26</w:t>
            </w:r>
          </w:p>
          <w:p>
            <w:pPr>
              <w:pStyle w:val="TableParagraph"/>
              <w:spacing w:line="240" w:lineRule="auto" w:before="105"/>
              <w:ind w:left="195" w:right="0"/>
              <w:jc w:val="center"/>
              <w:rPr>
                <w:rFonts w:ascii="Times New Roman" w:hAnsi="Times New Roman" w:cs="Times New Roman" w:eastAsia="Times New Roman" w:hint="default"/>
                <w:sz w:val="18"/>
                <w:szCs w:val="18"/>
              </w:rPr>
            </w:pPr>
            <w:r>
              <w:rPr>
                <w:rFonts w:ascii="Times New Roman"/>
                <w:sz w:val="18"/>
              </w:rPr>
              <w:t>5.00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883,679</w:t>
            </w:r>
          </w:p>
          <w:p>
            <w:pPr>
              <w:pStyle w:val="TableParagraph"/>
              <w:spacing w:line="240" w:lineRule="auto" w:before="105"/>
              <w:ind w:left="91" w:right="0"/>
              <w:jc w:val="left"/>
              <w:rPr>
                <w:rFonts w:ascii="Times New Roman" w:hAnsi="Times New Roman" w:cs="Times New Roman" w:eastAsia="Times New Roman" w:hint="default"/>
                <w:sz w:val="18"/>
                <w:szCs w:val="18"/>
              </w:rPr>
            </w:pPr>
            <w:r>
              <w:rPr>
                <w:rFonts w:ascii="Times New Roman"/>
                <w:sz w:val="18"/>
              </w:rPr>
              <w:t>,794.78</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8" w:right="0"/>
              <w:jc w:val="left"/>
              <w:rPr>
                <w:rFonts w:ascii="Times New Roman" w:hAnsi="Times New Roman" w:cs="Times New Roman" w:eastAsia="Times New Roman" w:hint="default"/>
                <w:sz w:val="18"/>
                <w:szCs w:val="18"/>
              </w:rPr>
            </w:pPr>
            <w:r>
              <w:rPr>
                <w:rFonts w:ascii="Times New Roman"/>
                <w:sz w:val="18"/>
              </w:rPr>
              <w:t>157,907</w:t>
            </w:r>
          </w:p>
          <w:p>
            <w:pPr>
              <w:pStyle w:val="TableParagraph"/>
              <w:spacing w:line="240" w:lineRule="auto" w:before="105"/>
              <w:ind w:left="93" w:right="0"/>
              <w:jc w:val="left"/>
              <w:rPr>
                <w:rFonts w:ascii="Times New Roman" w:hAnsi="Times New Roman" w:cs="Times New Roman" w:eastAsia="Times New Roman" w:hint="default"/>
                <w:sz w:val="18"/>
                <w:szCs w:val="18"/>
              </w:rPr>
            </w:pPr>
            <w:r>
              <w:rPr>
                <w:rFonts w:ascii="Times New Roman"/>
                <w:sz w:val="18"/>
              </w:rPr>
              <w:t>,497.44</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4" w:right="0"/>
              <w:jc w:val="center"/>
              <w:rPr>
                <w:rFonts w:ascii="Times New Roman" w:hAnsi="Times New Roman" w:cs="Times New Roman" w:eastAsia="Times New Roman" w:hint="default"/>
                <w:sz w:val="18"/>
                <w:szCs w:val="18"/>
              </w:rPr>
            </w:pPr>
            <w:r>
              <w:rPr>
                <w:rFonts w:ascii="Times New Roman"/>
                <w:sz w:val="18"/>
              </w:rPr>
              <w:t>-1,404,2</w:t>
            </w:r>
          </w:p>
          <w:p>
            <w:pPr>
              <w:pStyle w:val="TableParagraph"/>
              <w:spacing w:line="240" w:lineRule="auto" w:before="105"/>
              <w:ind w:left="209" w:right="0"/>
              <w:jc w:val="center"/>
              <w:rPr>
                <w:rFonts w:ascii="Times New Roman" w:hAnsi="Times New Roman" w:cs="Times New Roman" w:eastAsia="Times New Roman" w:hint="default"/>
                <w:sz w:val="18"/>
                <w:szCs w:val="18"/>
              </w:rPr>
            </w:pPr>
            <w:r>
              <w:rPr>
                <w:rFonts w:ascii="Times New Roman"/>
                <w:sz w:val="18"/>
              </w:rPr>
              <w:t>65.09</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106,213</w:t>
            </w:r>
          </w:p>
          <w:p>
            <w:pPr>
              <w:pStyle w:val="TableParagraph"/>
              <w:spacing w:line="240" w:lineRule="auto" w:before="105"/>
              <w:ind w:left="91" w:right="0"/>
              <w:jc w:val="left"/>
              <w:rPr>
                <w:rFonts w:ascii="Times New Roman" w:hAnsi="Times New Roman" w:cs="Times New Roman" w:eastAsia="Times New Roman" w:hint="default"/>
                <w:sz w:val="18"/>
                <w:szCs w:val="18"/>
              </w:rPr>
            </w:pPr>
            <w:r>
              <w:rPr>
                <w:rFonts w:ascii="Times New Roman"/>
                <w:sz w:val="18"/>
              </w:rPr>
              <w:t>,813.12</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9" w:right="0"/>
              <w:jc w:val="left"/>
              <w:rPr>
                <w:rFonts w:ascii="Times New Roman" w:hAnsi="Times New Roman" w:cs="Times New Roman" w:eastAsia="Times New Roman" w:hint="default"/>
                <w:sz w:val="18"/>
                <w:szCs w:val="18"/>
              </w:rPr>
            </w:pPr>
            <w:r>
              <w:rPr>
                <w:rFonts w:ascii="Times New Roman"/>
                <w:sz w:val="18"/>
              </w:rPr>
              <w:t>896,308</w:t>
            </w:r>
          </w:p>
          <w:p>
            <w:pPr>
              <w:pStyle w:val="TableParagraph"/>
              <w:spacing w:line="240" w:lineRule="auto" w:before="105"/>
              <w:ind w:left="105" w:right="0"/>
              <w:jc w:val="left"/>
              <w:rPr>
                <w:rFonts w:ascii="Times New Roman" w:hAnsi="Times New Roman" w:cs="Times New Roman" w:eastAsia="Times New Roman" w:hint="default"/>
                <w:sz w:val="18"/>
                <w:szCs w:val="18"/>
              </w:rPr>
            </w:pPr>
            <w:r>
              <w:rPr>
                <w:rFonts w:ascii="Times New Roman"/>
                <w:sz w:val="18"/>
              </w:rPr>
              <w:t>,435.34</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33" w:right="0"/>
              <w:jc w:val="left"/>
              <w:rPr>
                <w:rFonts w:ascii="Times New Roman" w:hAnsi="Times New Roman" w:cs="Times New Roman" w:eastAsia="Times New Roman" w:hint="default"/>
                <w:sz w:val="18"/>
                <w:szCs w:val="18"/>
              </w:rPr>
            </w:pPr>
            <w:r>
              <w:rPr>
                <w:rFonts w:ascii="Times New Roman"/>
                <w:sz w:val="18"/>
              </w:rPr>
              <w:t>378,178</w:t>
            </w:r>
          </w:p>
          <w:p>
            <w:pPr>
              <w:pStyle w:val="TableParagraph"/>
              <w:spacing w:line="240" w:lineRule="auto" w:before="105"/>
              <w:ind w:left="79" w:right="0"/>
              <w:jc w:val="left"/>
              <w:rPr>
                <w:rFonts w:ascii="Times New Roman" w:hAnsi="Times New Roman" w:cs="Times New Roman" w:eastAsia="Times New Roman" w:hint="default"/>
                <w:sz w:val="18"/>
                <w:szCs w:val="18"/>
              </w:rPr>
            </w:pPr>
            <w:r>
              <w:rPr>
                <w:rFonts w:ascii="Times New Roman"/>
                <w:sz w:val="18"/>
              </w:rPr>
              <w:t>,809.85</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3,171,5</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96,355.</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56</w:t>
            </w:r>
          </w:p>
        </w:tc>
      </w:tr>
      <w:tr>
        <w:trPr>
          <w:trHeight w:val="715"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2" w:right="21"/>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pacing w:val="-10"/>
                <w:sz w:val="18"/>
                <w:szCs w:val="18"/>
              </w:rPr>
              <w:t>加：会计政策</w:t>
            </w:r>
            <w:r>
              <w:rPr>
                <w:rFonts w:ascii="宋体" w:hAnsi="宋体" w:cs="宋体" w:eastAsia="宋体" w:hint="default"/>
                <w:sz w:val="18"/>
                <w:szCs w:val="18"/>
              </w:rPr>
              <w:t> 变更</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141"/>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前期差 错更正</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2" w:right="141"/>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同一控 制下企业合并</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8"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7"/>
              <w:ind w:left="22" w:right="0"/>
              <w:jc w:val="left"/>
              <w:rPr>
                <w:rFonts w:ascii="宋体" w:hAnsi="宋体" w:cs="宋体" w:eastAsia="宋体" w:hint="default"/>
                <w:sz w:val="18"/>
                <w:szCs w:val="18"/>
              </w:rPr>
            </w:pPr>
            <w:r>
              <w:rPr>
                <w:rFonts w:ascii="宋体" w:hAnsi="宋体" w:cs="宋体" w:eastAsia="宋体" w:hint="default"/>
                <w:spacing w:val="-8"/>
                <w:sz w:val="18"/>
                <w:szCs w:val="18"/>
              </w:rPr>
              <w:t>二、本年期初余额</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58" w:right="0"/>
              <w:jc w:val="center"/>
              <w:rPr>
                <w:rFonts w:ascii="Times New Roman" w:hAnsi="Times New Roman" w:cs="Times New Roman" w:eastAsia="Times New Roman" w:hint="default"/>
                <w:sz w:val="18"/>
                <w:szCs w:val="18"/>
              </w:rPr>
            </w:pPr>
            <w:r>
              <w:rPr>
                <w:rFonts w:ascii="Times New Roman"/>
                <w:sz w:val="18"/>
              </w:rPr>
              <w:t>1,066,</w:t>
            </w:r>
          </w:p>
          <w:p>
            <w:pPr>
              <w:pStyle w:val="TableParagraph"/>
              <w:spacing w:line="240" w:lineRule="auto" w:before="102"/>
              <w:ind w:left="15" w:right="0"/>
              <w:jc w:val="center"/>
              <w:rPr>
                <w:rFonts w:ascii="Times New Roman" w:hAnsi="Times New Roman" w:cs="Times New Roman" w:eastAsia="Times New Roman" w:hint="default"/>
                <w:sz w:val="18"/>
                <w:szCs w:val="18"/>
              </w:rPr>
            </w:pPr>
            <w:r>
              <w:rPr>
                <w:rFonts w:ascii="Times New Roman"/>
                <w:sz w:val="18"/>
              </w:rPr>
              <w:t>527,26</w:t>
            </w:r>
          </w:p>
          <w:p>
            <w:pPr>
              <w:pStyle w:val="TableParagraph"/>
              <w:spacing w:line="240" w:lineRule="auto" w:before="105"/>
              <w:ind w:left="195" w:right="0"/>
              <w:jc w:val="center"/>
              <w:rPr>
                <w:rFonts w:ascii="Times New Roman" w:hAnsi="Times New Roman" w:cs="Times New Roman" w:eastAsia="Times New Roman" w:hint="default"/>
                <w:sz w:val="18"/>
                <w:szCs w:val="18"/>
              </w:rPr>
            </w:pPr>
            <w:r>
              <w:rPr>
                <w:rFonts w:ascii="Times New Roman"/>
                <w:sz w:val="18"/>
              </w:rPr>
              <w:t>5.00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883,679</w:t>
            </w:r>
          </w:p>
          <w:p>
            <w:pPr>
              <w:pStyle w:val="TableParagraph"/>
              <w:spacing w:line="240" w:lineRule="auto" w:before="102"/>
              <w:ind w:left="91" w:right="0"/>
              <w:jc w:val="left"/>
              <w:rPr>
                <w:rFonts w:ascii="Times New Roman" w:hAnsi="Times New Roman" w:cs="Times New Roman" w:eastAsia="Times New Roman" w:hint="default"/>
                <w:sz w:val="18"/>
                <w:szCs w:val="18"/>
              </w:rPr>
            </w:pPr>
            <w:r>
              <w:rPr>
                <w:rFonts w:ascii="Times New Roman"/>
                <w:sz w:val="18"/>
              </w:rPr>
              <w:t>,794.78</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left="48" w:right="0"/>
              <w:jc w:val="left"/>
              <w:rPr>
                <w:rFonts w:ascii="Times New Roman" w:hAnsi="Times New Roman" w:cs="Times New Roman" w:eastAsia="Times New Roman" w:hint="default"/>
                <w:sz w:val="18"/>
                <w:szCs w:val="18"/>
              </w:rPr>
            </w:pPr>
            <w:r>
              <w:rPr>
                <w:rFonts w:ascii="Times New Roman"/>
                <w:sz w:val="18"/>
              </w:rPr>
              <w:t>157,907</w:t>
            </w:r>
          </w:p>
          <w:p>
            <w:pPr>
              <w:pStyle w:val="TableParagraph"/>
              <w:spacing w:line="240" w:lineRule="auto" w:before="102"/>
              <w:ind w:left="93" w:right="0"/>
              <w:jc w:val="left"/>
              <w:rPr>
                <w:rFonts w:ascii="Times New Roman" w:hAnsi="Times New Roman" w:cs="Times New Roman" w:eastAsia="Times New Roman" w:hint="default"/>
                <w:sz w:val="18"/>
                <w:szCs w:val="18"/>
              </w:rPr>
            </w:pPr>
            <w:r>
              <w:rPr>
                <w:rFonts w:ascii="Times New Roman"/>
                <w:sz w:val="18"/>
              </w:rPr>
              <w:t>,497.44</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left="14" w:right="0"/>
              <w:jc w:val="center"/>
              <w:rPr>
                <w:rFonts w:ascii="Times New Roman" w:hAnsi="Times New Roman" w:cs="Times New Roman" w:eastAsia="Times New Roman" w:hint="default"/>
                <w:sz w:val="18"/>
                <w:szCs w:val="18"/>
              </w:rPr>
            </w:pPr>
            <w:r>
              <w:rPr>
                <w:rFonts w:ascii="Times New Roman"/>
                <w:sz w:val="18"/>
              </w:rPr>
              <w:t>-1,404,2</w:t>
            </w:r>
          </w:p>
          <w:p>
            <w:pPr>
              <w:pStyle w:val="TableParagraph"/>
              <w:spacing w:line="240" w:lineRule="auto" w:before="102"/>
              <w:ind w:left="209" w:right="0"/>
              <w:jc w:val="center"/>
              <w:rPr>
                <w:rFonts w:ascii="Times New Roman" w:hAnsi="Times New Roman" w:cs="Times New Roman" w:eastAsia="Times New Roman" w:hint="default"/>
                <w:sz w:val="18"/>
                <w:szCs w:val="18"/>
              </w:rPr>
            </w:pPr>
            <w:r>
              <w:rPr>
                <w:rFonts w:ascii="Times New Roman"/>
                <w:sz w:val="18"/>
              </w:rPr>
              <w:t>65.09</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106,213</w:t>
            </w:r>
          </w:p>
          <w:p>
            <w:pPr>
              <w:pStyle w:val="TableParagraph"/>
              <w:spacing w:line="240" w:lineRule="auto" w:before="102"/>
              <w:ind w:left="91" w:right="0"/>
              <w:jc w:val="left"/>
              <w:rPr>
                <w:rFonts w:ascii="Times New Roman" w:hAnsi="Times New Roman" w:cs="Times New Roman" w:eastAsia="Times New Roman" w:hint="default"/>
                <w:sz w:val="18"/>
                <w:szCs w:val="18"/>
              </w:rPr>
            </w:pPr>
            <w:r>
              <w:rPr>
                <w:rFonts w:ascii="Times New Roman"/>
                <w:sz w:val="18"/>
              </w:rPr>
              <w:t>,813.12</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left="59" w:right="0"/>
              <w:jc w:val="left"/>
              <w:rPr>
                <w:rFonts w:ascii="Times New Roman" w:hAnsi="Times New Roman" w:cs="Times New Roman" w:eastAsia="Times New Roman" w:hint="default"/>
                <w:sz w:val="18"/>
                <w:szCs w:val="18"/>
              </w:rPr>
            </w:pPr>
            <w:r>
              <w:rPr>
                <w:rFonts w:ascii="Times New Roman"/>
                <w:sz w:val="18"/>
              </w:rPr>
              <w:t>896,308</w:t>
            </w:r>
          </w:p>
          <w:p>
            <w:pPr>
              <w:pStyle w:val="TableParagraph"/>
              <w:spacing w:line="240" w:lineRule="auto" w:before="102"/>
              <w:ind w:left="105" w:right="0"/>
              <w:jc w:val="left"/>
              <w:rPr>
                <w:rFonts w:ascii="Times New Roman" w:hAnsi="Times New Roman" w:cs="Times New Roman" w:eastAsia="Times New Roman" w:hint="default"/>
                <w:sz w:val="18"/>
                <w:szCs w:val="18"/>
              </w:rPr>
            </w:pPr>
            <w:r>
              <w:rPr>
                <w:rFonts w:ascii="Times New Roman"/>
                <w:sz w:val="18"/>
              </w:rPr>
              <w:t>,435.34</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left="33" w:right="0"/>
              <w:jc w:val="left"/>
              <w:rPr>
                <w:rFonts w:ascii="Times New Roman" w:hAnsi="Times New Roman" w:cs="Times New Roman" w:eastAsia="Times New Roman" w:hint="default"/>
                <w:sz w:val="18"/>
                <w:szCs w:val="18"/>
              </w:rPr>
            </w:pPr>
            <w:r>
              <w:rPr>
                <w:rFonts w:ascii="Times New Roman"/>
                <w:sz w:val="18"/>
              </w:rPr>
              <w:t>378,178</w:t>
            </w:r>
          </w:p>
          <w:p>
            <w:pPr>
              <w:pStyle w:val="TableParagraph"/>
              <w:spacing w:line="240" w:lineRule="auto" w:before="102"/>
              <w:ind w:left="79" w:right="0"/>
              <w:jc w:val="left"/>
              <w:rPr>
                <w:rFonts w:ascii="Times New Roman" w:hAnsi="Times New Roman" w:cs="Times New Roman" w:eastAsia="Times New Roman" w:hint="default"/>
                <w:sz w:val="18"/>
                <w:szCs w:val="18"/>
              </w:rPr>
            </w:pPr>
            <w:r>
              <w:rPr>
                <w:rFonts w:ascii="Times New Roman"/>
                <w:sz w:val="18"/>
              </w:rPr>
              <w:t>,809.85</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3,171,5</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96,355.</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56</w:t>
            </w:r>
          </w:p>
        </w:tc>
      </w:tr>
      <w:tr>
        <w:trPr>
          <w:trHeight w:val="1025"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22" w:right="21"/>
              <w:jc w:val="both"/>
              <w:rPr>
                <w:rFonts w:ascii="宋体" w:hAnsi="宋体" w:cs="宋体" w:eastAsia="宋体" w:hint="default"/>
                <w:sz w:val="18"/>
                <w:szCs w:val="18"/>
              </w:rPr>
            </w:pPr>
            <w:r>
              <w:rPr>
                <w:rFonts w:ascii="宋体" w:hAnsi="宋体" w:cs="宋体" w:eastAsia="宋体" w:hint="default"/>
                <w:spacing w:val="-8"/>
                <w:sz w:val="18"/>
                <w:szCs w:val="18"/>
              </w:rPr>
              <w:t>三、本期增减变动</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5"/>
                <w:sz w:val="18"/>
                <w:szCs w:val="18"/>
              </w:rPr>
              <w:t>金额（减少以</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w:t>
            </w:r>
            <w:r>
              <w:rPr>
                <w:rFonts w:ascii="Times New Roman" w:hAnsi="Times New Roman" w:cs="Times New Roman" w:eastAsia="Times New Roman" w:hint="default"/>
                <w:spacing w:val="-40"/>
                <w:sz w:val="18"/>
                <w:szCs w:val="18"/>
              </w:rPr>
              <w:t> </w:t>
            </w:r>
            <w:r>
              <w:rPr>
                <w:rFonts w:ascii="宋体" w:hAnsi="宋体" w:cs="宋体" w:eastAsia="宋体" w:hint="default"/>
                <w:sz w:val="18"/>
                <w:szCs w:val="18"/>
              </w:rPr>
              <w:t>号填列）</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216,08</w:t>
            </w:r>
          </w:p>
          <w:p>
            <w:pPr>
              <w:pStyle w:val="TableParagraph"/>
              <w:spacing w:line="240" w:lineRule="auto" w:before="105"/>
              <w:ind w:left="79" w:right="0"/>
              <w:jc w:val="left"/>
              <w:rPr>
                <w:rFonts w:ascii="Times New Roman" w:hAnsi="Times New Roman" w:cs="Times New Roman" w:eastAsia="Times New Roman" w:hint="default"/>
                <w:sz w:val="18"/>
                <w:szCs w:val="18"/>
              </w:rPr>
            </w:pPr>
            <w:r>
              <w:rPr>
                <w:rFonts w:ascii="Times New Roman"/>
                <w:sz w:val="18"/>
              </w:rPr>
              <w:t>7,748.</w:t>
            </w:r>
          </w:p>
          <w:p>
            <w:pPr>
              <w:pStyle w:val="TableParagraph"/>
              <w:spacing w:line="240" w:lineRule="auto" w:before="105"/>
              <w:ind w:left="350" w:right="0"/>
              <w:jc w:val="left"/>
              <w:rPr>
                <w:rFonts w:ascii="Times New Roman" w:hAnsi="Times New Roman" w:cs="Times New Roman" w:eastAsia="Times New Roman" w:hint="default"/>
                <w:sz w:val="18"/>
                <w:szCs w:val="18"/>
              </w:rPr>
            </w:pPr>
            <w:r>
              <w:rPr>
                <w:rFonts w:ascii="Times New Roman"/>
                <w:sz w:val="18"/>
              </w:rPr>
              <w:t>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3,321,8</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44,036.</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30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3" w:right="0"/>
              <w:jc w:val="center"/>
              <w:rPr>
                <w:rFonts w:ascii="Times New Roman" w:hAnsi="Times New Roman" w:cs="Times New Roman" w:eastAsia="Times New Roman" w:hint="default"/>
                <w:sz w:val="18"/>
                <w:szCs w:val="18"/>
              </w:rPr>
            </w:pPr>
            <w:r>
              <w:rPr>
                <w:rFonts w:ascii="Times New Roman"/>
                <w:sz w:val="18"/>
              </w:rPr>
              <w:t>-79,934,</w:t>
            </w:r>
          </w:p>
          <w:p>
            <w:pPr>
              <w:pStyle w:val="TableParagraph"/>
              <w:spacing w:line="240" w:lineRule="auto" w:before="105"/>
              <w:ind w:left="118" w:right="0"/>
              <w:jc w:val="center"/>
              <w:rPr>
                <w:rFonts w:ascii="Times New Roman" w:hAnsi="Times New Roman" w:cs="Times New Roman" w:eastAsia="Times New Roman" w:hint="default"/>
                <w:sz w:val="18"/>
                <w:szCs w:val="18"/>
              </w:rPr>
            </w:pPr>
            <w:r>
              <w:rPr>
                <w:rFonts w:ascii="Times New Roman"/>
                <w:sz w:val="18"/>
              </w:rPr>
              <w:t>320.42</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4" w:right="0"/>
              <w:jc w:val="center"/>
              <w:rPr>
                <w:rFonts w:ascii="Times New Roman" w:hAnsi="Times New Roman" w:cs="Times New Roman" w:eastAsia="Times New Roman" w:hint="default"/>
                <w:sz w:val="18"/>
                <w:szCs w:val="18"/>
              </w:rPr>
            </w:pPr>
            <w:r>
              <w:rPr>
                <w:rFonts w:ascii="Times New Roman"/>
                <w:sz w:val="18"/>
              </w:rPr>
              <w:t>7,338,0</w:t>
            </w:r>
          </w:p>
          <w:p>
            <w:pPr>
              <w:pStyle w:val="TableParagraph"/>
              <w:spacing w:line="240" w:lineRule="auto" w:before="105"/>
              <w:ind w:left="209" w:right="0"/>
              <w:jc w:val="center"/>
              <w:rPr>
                <w:rFonts w:ascii="Times New Roman" w:hAnsi="Times New Roman" w:cs="Times New Roman" w:eastAsia="Times New Roman" w:hint="default"/>
                <w:sz w:val="18"/>
                <w:szCs w:val="18"/>
              </w:rPr>
            </w:pPr>
            <w:r>
              <w:rPr>
                <w:rFonts w:ascii="Times New Roman"/>
                <w:sz w:val="18"/>
              </w:rPr>
              <w:t>74.80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0" w:right="0"/>
              <w:jc w:val="center"/>
              <w:rPr>
                <w:rFonts w:ascii="Times New Roman" w:hAnsi="Times New Roman" w:cs="Times New Roman" w:eastAsia="Times New Roman" w:hint="default"/>
                <w:sz w:val="18"/>
                <w:szCs w:val="18"/>
              </w:rPr>
            </w:pPr>
            <w:r>
              <w:rPr>
                <w:rFonts w:ascii="Times New Roman"/>
                <w:sz w:val="18"/>
              </w:rPr>
              <w:t>2,901,5</w:t>
            </w:r>
          </w:p>
          <w:p>
            <w:pPr>
              <w:pStyle w:val="TableParagraph"/>
              <w:spacing w:line="240" w:lineRule="auto" w:before="105"/>
              <w:ind w:left="204" w:right="0"/>
              <w:jc w:val="center"/>
              <w:rPr>
                <w:rFonts w:ascii="Times New Roman" w:hAnsi="Times New Roman" w:cs="Times New Roman" w:eastAsia="Times New Roman" w:hint="default"/>
                <w:sz w:val="18"/>
                <w:szCs w:val="18"/>
              </w:rPr>
            </w:pPr>
            <w:r>
              <w:rPr>
                <w:rFonts w:ascii="Times New Roman"/>
                <w:sz w:val="18"/>
              </w:rPr>
              <w:t>53.17</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9" w:right="0"/>
              <w:jc w:val="left"/>
              <w:rPr>
                <w:rFonts w:ascii="Times New Roman" w:hAnsi="Times New Roman" w:cs="Times New Roman" w:eastAsia="Times New Roman" w:hint="default"/>
                <w:sz w:val="18"/>
                <w:szCs w:val="18"/>
              </w:rPr>
            </w:pPr>
            <w:r>
              <w:rPr>
                <w:rFonts w:ascii="Times New Roman"/>
                <w:sz w:val="18"/>
              </w:rPr>
              <w:t>214,631</w:t>
            </w:r>
          </w:p>
          <w:p>
            <w:pPr>
              <w:pStyle w:val="TableParagraph"/>
              <w:spacing w:line="240" w:lineRule="auto" w:before="105"/>
              <w:ind w:left="105" w:right="0"/>
              <w:jc w:val="left"/>
              <w:rPr>
                <w:rFonts w:ascii="Times New Roman" w:hAnsi="Times New Roman" w:cs="Times New Roman" w:eastAsia="Times New Roman" w:hint="default"/>
                <w:sz w:val="18"/>
                <w:szCs w:val="18"/>
              </w:rPr>
            </w:pPr>
            <w:r>
              <w:rPr>
                <w:rFonts w:ascii="Times New Roman"/>
                <w:sz w:val="18"/>
              </w:rPr>
              <w:t>,337.51</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-140,38</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pacing w:val="-1"/>
                <w:sz w:val="18"/>
              </w:rPr>
              <w:t>2,835.6</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1</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3,702,3</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54,234.</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59</w:t>
            </w:r>
          </w:p>
        </w:tc>
      </w:tr>
      <w:tr>
        <w:trPr>
          <w:trHeight w:val="715"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2" w:right="22"/>
              <w:jc w:val="left"/>
              <w:rPr>
                <w:rFonts w:ascii="宋体" w:hAnsi="宋体" w:cs="宋体" w:eastAsia="宋体" w:hint="default"/>
                <w:sz w:val="18"/>
                <w:szCs w:val="18"/>
              </w:rPr>
            </w:pPr>
            <w:r>
              <w:rPr>
                <w:rFonts w:ascii="宋体" w:hAnsi="宋体" w:cs="宋体" w:eastAsia="宋体" w:hint="default"/>
                <w:spacing w:val="-8"/>
                <w:sz w:val="18"/>
                <w:szCs w:val="18"/>
              </w:rPr>
              <w:t>（一）综合收益总</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额</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4" w:right="0"/>
              <w:jc w:val="center"/>
              <w:rPr>
                <w:rFonts w:ascii="Times New Roman" w:hAnsi="Times New Roman" w:cs="Times New Roman" w:eastAsia="Times New Roman" w:hint="default"/>
                <w:sz w:val="18"/>
                <w:szCs w:val="18"/>
              </w:rPr>
            </w:pPr>
            <w:r>
              <w:rPr>
                <w:rFonts w:ascii="Times New Roman"/>
                <w:sz w:val="18"/>
              </w:rPr>
              <w:t>7,338,0</w:t>
            </w:r>
          </w:p>
          <w:p>
            <w:pPr>
              <w:pStyle w:val="TableParagraph"/>
              <w:spacing w:line="240" w:lineRule="auto" w:before="102"/>
              <w:ind w:left="209" w:right="0"/>
              <w:jc w:val="center"/>
              <w:rPr>
                <w:rFonts w:ascii="Times New Roman" w:hAnsi="Times New Roman" w:cs="Times New Roman" w:eastAsia="Times New Roman" w:hint="default"/>
                <w:sz w:val="18"/>
                <w:szCs w:val="18"/>
              </w:rPr>
            </w:pPr>
            <w:r>
              <w:rPr>
                <w:rFonts w:ascii="Times New Roman"/>
                <w:sz w:val="18"/>
              </w:rPr>
              <w:t>74.80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9" w:right="0"/>
              <w:jc w:val="left"/>
              <w:rPr>
                <w:rFonts w:ascii="Times New Roman" w:hAnsi="Times New Roman" w:cs="Times New Roman" w:eastAsia="Times New Roman" w:hint="default"/>
                <w:sz w:val="18"/>
                <w:szCs w:val="18"/>
              </w:rPr>
            </w:pPr>
            <w:r>
              <w:rPr>
                <w:rFonts w:ascii="Times New Roman"/>
                <w:sz w:val="18"/>
              </w:rPr>
              <w:t>265,199</w:t>
            </w:r>
          </w:p>
          <w:p>
            <w:pPr>
              <w:pStyle w:val="TableParagraph"/>
              <w:spacing w:line="240" w:lineRule="auto" w:before="102"/>
              <w:ind w:left="105" w:right="0"/>
              <w:jc w:val="left"/>
              <w:rPr>
                <w:rFonts w:ascii="Times New Roman" w:hAnsi="Times New Roman" w:cs="Times New Roman" w:eastAsia="Times New Roman" w:hint="default"/>
                <w:sz w:val="18"/>
                <w:szCs w:val="18"/>
              </w:rPr>
            </w:pPr>
            <w:r>
              <w:rPr>
                <w:rFonts w:ascii="Times New Roman"/>
                <w:sz w:val="18"/>
              </w:rPr>
              <w:t>,610.30</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64" w:right="0"/>
              <w:jc w:val="left"/>
              <w:rPr>
                <w:rFonts w:ascii="Times New Roman" w:hAnsi="Times New Roman" w:cs="Times New Roman" w:eastAsia="Times New Roman" w:hint="default"/>
                <w:sz w:val="18"/>
                <w:szCs w:val="18"/>
              </w:rPr>
            </w:pPr>
            <w:r>
              <w:rPr>
                <w:rFonts w:ascii="Times New Roman"/>
                <w:sz w:val="18"/>
              </w:rPr>
              <w:t>-55,414</w:t>
            </w:r>
          </w:p>
          <w:p>
            <w:pPr>
              <w:pStyle w:val="TableParagraph"/>
              <w:spacing w:line="240" w:lineRule="auto" w:before="102"/>
              <w:ind w:left="79" w:right="0"/>
              <w:jc w:val="left"/>
              <w:rPr>
                <w:rFonts w:ascii="Times New Roman" w:hAnsi="Times New Roman" w:cs="Times New Roman" w:eastAsia="Times New Roman" w:hint="default"/>
                <w:sz w:val="18"/>
                <w:szCs w:val="18"/>
              </w:rPr>
            </w:pPr>
            <w:r>
              <w:rPr>
                <w:rFonts w:ascii="Times New Roman"/>
                <w:sz w:val="18"/>
              </w:rPr>
              <w:t>,461.18</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0" w:right="0"/>
              <w:jc w:val="left"/>
              <w:rPr>
                <w:rFonts w:ascii="Times New Roman" w:hAnsi="Times New Roman" w:cs="Times New Roman" w:eastAsia="Times New Roman" w:hint="default"/>
                <w:sz w:val="18"/>
                <w:szCs w:val="18"/>
              </w:rPr>
            </w:pPr>
            <w:r>
              <w:rPr>
                <w:rFonts w:ascii="Times New Roman"/>
                <w:sz w:val="18"/>
              </w:rPr>
              <w:t>217,123</w:t>
            </w:r>
          </w:p>
          <w:p>
            <w:pPr>
              <w:pStyle w:val="TableParagraph"/>
              <w:spacing w:line="240" w:lineRule="auto" w:before="102"/>
              <w:ind w:left="86" w:right="0"/>
              <w:jc w:val="left"/>
              <w:rPr>
                <w:rFonts w:ascii="Times New Roman" w:hAnsi="Times New Roman" w:cs="Times New Roman" w:eastAsia="Times New Roman" w:hint="default"/>
                <w:sz w:val="18"/>
                <w:szCs w:val="18"/>
              </w:rPr>
            </w:pPr>
            <w:r>
              <w:rPr>
                <w:rFonts w:ascii="Times New Roman"/>
                <w:sz w:val="18"/>
              </w:rPr>
              <w:t>,223.92</w:t>
            </w:r>
          </w:p>
        </w:tc>
      </w:tr>
      <w:tr>
        <w:trPr>
          <w:trHeight w:val="1025"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2" w:right="22"/>
              <w:jc w:val="left"/>
              <w:rPr>
                <w:rFonts w:ascii="宋体" w:hAnsi="宋体" w:cs="宋体" w:eastAsia="宋体" w:hint="default"/>
                <w:sz w:val="18"/>
                <w:szCs w:val="18"/>
              </w:rPr>
            </w:pPr>
            <w:r>
              <w:rPr>
                <w:rFonts w:ascii="宋体" w:hAnsi="宋体" w:cs="宋体" w:eastAsia="宋体" w:hint="default"/>
                <w:spacing w:val="-8"/>
                <w:sz w:val="18"/>
                <w:szCs w:val="18"/>
              </w:rPr>
              <w:t>（二）所有者投入</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和减少资本</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216,08</w:t>
            </w:r>
          </w:p>
          <w:p>
            <w:pPr>
              <w:pStyle w:val="TableParagraph"/>
              <w:spacing w:line="240" w:lineRule="auto" w:before="105"/>
              <w:ind w:left="79" w:right="0"/>
              <w:jc w:val="left"/>
              <w:rPr>
                <w:rFonts w:ascii="Times New Roman" w:hAnsi="Times New Roman" w:cs="Times New Roman" w:eastAsia="Times New Roman" w:hint="default"/>
                <w:sz w:val="18"/>
                <w:szCs w:val="18"/>
              </w:rPr>
            </w:pPr>
            <w:r>
              <w:rPr>
                <w:rFonts w:ascii="Times New Roman"/>
                <w:sz w:val="18"/>
              </w:rPr>
              <w:t>7,748.</w:t>
            </w:r>
          </w:p>
          <w:p>
            <w:pPr>
              <w:pStyle w:val="TableParagraph"/>
              <w:spacing w:line="240" w:lineRule="auto" w:before="105"/>
              <w:ind w:left="350" w:right="0"/>
              <w:jc w:val="left"/>
              <w:rPr>
                <w:rFonts w:ascii="Times New Roman" w:hAnsi="Times New Roman" w:cs="Times New Roman" w:eastAsia="Times New Roman" w:hint="default"/>
                <w:sz w:val="18"/>
                <w:szCs w:val="18"/>
              </w:rPr>
            </w:pPr>
            <w:r>
              <w:rPr>
                <w:rFonts w:ascii="Times New Roman"/>
                <w:sz w:val="18"/>
              </w:rPr>
              <w:t>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3,321,8</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44,036.</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30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3" w:right="0"/>
              <w:jc w:val="center"/>
              <w:rPr>
                <w:rFonts w:ascii="Times New Roman" w:hAnsi="Times New Roman" w:cs="Times New Roman" w:eastAsia="Times New Roman" w:hint="default"/>
                <w:sz w:val="18"/>
                <w:szCs w:val="18"/>
              </w:rPr>
            </w:pPr>
            <w:r>
              <w:rPr>
                <w:rFonts w:ascii="Times New Roman"/>
                <w:sz w:val="18"/>
              </w:rPr>
              <w:t>-79,934,</w:t>
            </w:r>
          </w:p>
          <w:p>
            <w:pPr>
              <w:pStyle w:val="TableParagraph"/>
              <w:spacing w:line="240" w:lineRule="auto" w:before="105"/>
              <w:ind w:left="118" w:right="0"/>
              <w:jc w:val="center"/>
              <w:rPr>
                <w:rFonts w:ascii="Times New Roman" w:hAnsi="Times New Roman" w:cs="Times New Roman" w:eastAsia="Times New Roman" w:hint="default"/>
                <w:sz w:val="18"/>
                <w:szCs w:val="18"/>
              </w:rPr>
            </w:pPr>
            <w:r>
              <w:rPr>
                <w:rFonts w:ascii="Times New Roman"/>
                <w:sz w:val="18"/>
              </w:rPr>
              <w:t>320.42</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4" w:right="0"/>
              <w:jc w:val="left"/>
              <w:rPr>
                <w:rFonts w:ascii="Times New Roman" w:hAnsi="Times New Roman" w:cs="Times New Roman" w:eastAsia="Times New Roman" w:hint="default"/>
                <w:sz w:val="18"/>
                <w:szCs w:val="18"/>
              </w:rPr>
            </w:pPr>
            <w:r>
              <w:rPr>
                <w:rFonts w:ascii="Times New Roman"/>
                <w:sz w:val="18"/>
              </w:rPr>
              <w:t>-74,410</w:t>
            </w:r>
          </w:p>
          <w:p>
            <w:pPr>
              <w:pStyle w:val="TableParagraph"/>
              <w:spacing w:line="240" w:lineRule="auto" w:before="105"/>
              <w:ind w:left="79" w:right="0"/>
              <w:jc w:val="left"/>
              <w:rPr>
                <w:rFonts w:ascii="Times New Roman" w:hAnsi="Times New Roman" w:cs="Times New Roman" w:eastAsia="Times New Roman" w:hint="default"/>
                <w:sz w:val="18"/>
                <w:szCs w:val="18"/>
              </w:rPr>
            </w:pPr>
            <w:r>
              <w:rPr>
                <w:rFonts w:ascii="Times New Roman"/>
                <w:sz w:val="18"/>
              </w:rPr>
              <w:t>,023.64</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3,543,4</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56,081.</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08</w:t>
            </w:r>
          </w:p>
        </w:tc>
      </w:tr>
      <w:tr>
        <w:trPr>
          <w:trHeight w:val="1027"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97" w:lineRule="auto"/>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．所有者投入的 普通股</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35" w:right="0"/>
              <w:jc w:val="left"/>
              <w:rPr>
                <w:rFonts w:ascii="Times New Roman" w:hAnsi="Times New Roman" w:cs="Times New Roman" w:eastAsia="Times New Roman" w:hint="default"/>
                <w:sz w:val="18"/>
                <w:szCs w:val="18"/>
              </w:rPr>
            </w:pPr>
            <w:r>
              <w:rPr>
                <w:rFonts w:ascii="Times New Roman"/>
                <w:sz w:val="18"/>
              </w:rPr>
              <w:t>216,08</w:t>
            </w:r>
          </w:p>
          <w:p>
            <w:pPr>
              <w:pStyle w:val="TableParagraph"/>
              <w:spacing w:line="240" w:lineRule="auto" w:before="102"/>
              <w:ind w:left="79" w:right="0"/>
              <w:jc w:val="left"/>
              <w:rPr>
                <w:rFonts w:ascii="Times New Roman" w:hAnsi="Times New Roman" w:cs="Times New Roman" w:eastAsia="Times New Roman" w:hint="default"/>
                <w:sz w:val="18"/>
                <w:szCs w:val="18"/>
              </w:rPr>
            </w:pPr>
            <w:r>
              <w:rPr>
                <w:rFonts w:ascii="Times New Roman"/>
                <w:sz w:val="18"/>
              </w:rPr>
              <w:t>7,748.</w:t>
            </w:r>
          </w:p>
          <w:p>
            <w:pPr>
              <w:pStyle w:val="TableParagraph"/>
              <w:spacing w:line="240" w:lineRule="auto" w:before="105"/>
              <w:ind w:left="350" w:right="0"/>
              <w:jc w:val="left"/>
              <w:rPr>
                <w:rFonts w:ascii="Times New Roman" w:hAnsi="Times New Roman" w:cs="Times New Roman" w:eastAsia="Times New Roman" w:hint="default"/>
                <w:sz w:val="18"/>
                <w:szCs w:val="18"/>
              </w:rPr>
            </w:pPr>
            <w:r>
              <w:rPr>
                <w:rFonts w:ascii="Times New Roman"/>
                <w:sz w:val="18"/>
              </w:rPr>
              <w:t>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3,439,6</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14,014.</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33</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3" w:right="0"/>
              <w:jc w:val="center"/>
              <w:rPr>
                <w:rFonts w:ascii="Times New Roman" w:hAnsi="Times New Roman" w:cs="Times New Roman" w:eastAsia="Times New Roman" w:hint="default"/>
                <w:sz w:val="18"/>
                <w:szCs w:val="18"/>
              </w:rPr>
            </w:pPr>
            <w:r>
              <w:rPr>
                <w:rFonts w:ascii="Times New Roman"/>
                <w:sz w:val="18"/>
              </w:rPr>
              <w:t>-79,934,</w:t>
            </w:r>
          </w:p>
          <w:p>
            <w:pPr>
              <w:pStyle w:val="TableParagraph"/>
              <w:spacing w:line="240" w:lineRule="auto" w:before="102"/>
              <w:ind w:left="118" w:right="0"/>
              <w:jc w:val="center"/>
              <w:rPr>
                <w:rFonts w:ascii="Times New Roman" w:hAnsi="Times New Roman" w:cs="Times New Roman" w:eastAsia="Times New Roman" w:hint="default"/>
                <w:sz w:val="18"/>
                <w:szCs w:val="18"/>
              </w:rPr>
            </w:pPr>
            <w:r>
              <w:rPr>
                <w:rFonts w:ascii="Times New Roman"/>
                <w:sz w:val="18"/>
              </w:rPr>
              <w:t>320.42</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3,735,6</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36,082.</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75</w:t>
            </w:r>
          </w:p>
        </w:tc>
      </w:tr>
      <w:tr>
        <w:trPr>
          <w:trHeight w:val="71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7"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7" w:lineRule="auto" w:before="51"/>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 额</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25,854,</w:t>
            </w:r>
          </w:p>
          <w:p>
            <w:pPr>
              <w:pStyle w:val="TableParagraph"/>
              <w:spacing w:line="240" w:lineRule="auto" w:before="102"/>
              <w:ind w:left="136" w:right="0"/>
              <w:jc w:val="left"/>
              <w:rPr>
                <w:rFonts w:ascii="Times New Roman" w:hAnsi="Times New Roman" w:cs="Times New Roman" w:eastAsia="Times New Roman" w:hint="default"/>
                <w:sz w:val="18"/>
                <w:szCs w:val="18"/>
              </w:rPr>
            </w:pPr>
            <w:r>
              <w:rPr>
                <w:rFonts w:ascii="Times New Roman"/>
                <w:sz w:val="18"/>
              </w:rPr>
              <w:t>047.86</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25,854,</w:t>
            </w:r>
          </w:p>
          <w:p>
            <w:pPr>
              <w:pStyle w:val="TableParagraph"/>
              <w:spacing w:line="240" w:lineRule="auto" w:before="102"/>
              <w:ind w:left="131" w:right="0"/>
              <w:jc w:val="left"/>
              <w:rPr>
                <w:rFonts w:ascii="Times New Roman" w:hAnsi="Times New Roman" w:cs="Times New Roman" w:eastAsia="Times New Roman" w:hint="default"/>
                <w:sz w:val="18"/>
                <w:szCs w:val="18"/>
              </w:rPr>
            </w:pPr>
            <w:r>
              <w:rPr>
                <w:rFonts w:ascii="Times New Roman"/>
                <w:sz w:val="18"/>
              </w:rPr>
              <w:t>047.86</w:t>
            </w:r>
          </w:p>
        </w:tc>
      </w:tr>
      <w:tr>
        <w:trPr>
          <w:trHeight w:val="1025"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4" w:right="0"/>
              <w:jc w:val="left"/>
              <w:rPr>
                <w:rFonts w:ascii="Times New Roman" w:hAnsi="Times New Roman" w:cs="Times New Roman" w:eastAsia="Times New Roman" w:hint="default"/>
                <w:sz w:val="18"/>
                <w:szCs w:val="18"/>
              </w:rPr>
            </w:pPr>
            <w:r>
              <w:rPr>
                <w:rFonts w:ascii="Times New Roman"/>
                <w:sz w:val="18"/>
              </w:rPr>
              <w:t>-74,410</w:t>
            </w:r>
          </w:p>
          <w:p>
            <w:pPr>
              <w:pStyle w:val="TableParagraph"/>
              <w:spacing w:line="240" w:lineRule="auto" w:before="105"/>
              <w:ind w:left="79" w:right="0"/>
              <w:jc w:val="left"/>
              <w:rPr>
                <w:rFonts w:ascii="Times New Roman" w:hAnsi="Times New Roman" w:cs="Times New Roman" w:eastAsia="Times New Roman" w:hint="default"/>
                <w:sz w:val="18"/>
                <w:szCs w:val="18"/>
              </w:rPr>
            </w:pPr>
            <w:r>
              <w:rPr>
                <w:rFonts w:ascii="Times New Roman"/>
                <w:sz w:val="18"/>
              </w:rPr>
              <w:t>,023.64</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-218,03</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pacing w:val="-1"/>
                <w:sz w:val="18"/>
              </w:rPr>
              <w:t>4,049.5</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3</w:t>
            </w:r>
          </w:p>
        </w:tc>
      </w:tr>
      <w:tr>
        <w:trPr>
          <w:trHeight w:val="715"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0" w:right="0"/>
              <w:jc w:val="center"/>
              <w:rPr>
                <w:rFonts w:ascii="Times New Roman" w:hAnsi="Times New Roman" w:cs="Times New Roman" w:eastAsia="Times New Roman" w:hint="default"/>
                <w:sz w:val="18"/>
                <w:szCs w:val="18"/>
              </w:rPr>
            </w:pPr>
            <w:r>
              <w:rPr>
                <w:rFonts w:ascii="Times New Roman"/>
                <w:sz w:val="18"/>
              </w:rPr>
              <w:t>2,901,5</w:t>
            </w:r>
          </w:p>
          <w:p>
            <w:pPr>
              <w:pStyle w:val="TableParagraph"/>
              <w:spacing w:line="240" w:lineRule="auto" w:before="102"/>
              <w:ind w:left="204" w:right="0"/>
              <w:jc w:val="center"/>
              <w:rPr>
                <w:rFonts w:ascii="Times New Roman" w:hAnsi="Times New Roman" w:cs="Times New Roman" w:eastAsia="Times New Roman" w:hint="default"/>
                <w:sz w:val="18"/>
                <w:szCs w:val="18"/>
              </w:rPr>
            </w:pPr>
            <w:r>
              <w:rPr>
                <w:rFonts w:ascii="Times New Roman"/>
                <w:sz w:val="18"/>
              </w:rPr>
              <w:t>53.17</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2" w:right="0"/>
              <w:jc w:val="center"/>
              <w:rPr>
                <w:rFonts w:ascii="Times New Roman" w:hAnsi="Times New Roman" w:cs="Times New Roman" w:eastAsia="Times New Roman" w:hint="default"/>
                <w:sz w:val="18"/>
                <w:szCs w:val="18"/>
              </w:rPr>
            </w:pPr>
            <w:r>
              <w:rPr>
                <w:rFonts w:ascii="Times New Roman"/>
                <w:sz w:val="18"/>
              </w:rPr>
              <w:t>-50,568,</w:t>
            </w:r>
          </w:p>
          <w:p>
            <w:pPr>
              <w:pStyle w:val="TableParagraph"/>
              <w:spacing w:line="240" w:lineRule="auto" w:before="102"/>
              <w:ind w:left="127" w:right="0"/>
              <w:jc w:val="center"/>
              <w:rPr>
                <w:rFonts w:ascii="Times New Roman" w:hAnsi="Times New Roman" w:cs="Times New Roman" w:eastAsia="Times New Roman" w:hint="default"/>
                <w:sz w:val="18"/>
                <w:szCs w:val="18"/>
              </w:rPr>
            </w:pPr>
            <w:r>
              <w:rPr>
                <w:rFonts w:ascii="Times New Roman"/>
                <w:sz w:val="18"/>
              </w:rPr>
              <w:t>272.79</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64" w:right="0"/>
              <w:jc w:val="left"/>
              <w:rPr>
                <w:rFonts w:ascii="Times New Roman" w:hAnsi="Times New Roman" w:cs="Times New Roman" w:eastAsia="Times New Roman" w:hint="default"/>
                <w:sz w:val="18"/>
                <w:szCs w:val="18"/>
              </w:rPr>
            </w:pPr>
            <w:r>
              <w:rPr>
                <w:rFonts w:ascii="Times New Roman"/>
                <w:sz w:val="18"/>
              </w:rPr>
              <w:t>-10,558</w:t>
            </w:r>
          </w:p>
          <w:p>
            <w:pPr>
              <w:pStyle w:val="TableParagraph"/>
              <w:spacing w:line="240" w:lineRule="auto" w:before="102"/>
              <w:ind w:left="79" w:right="0"/>
              <w:jc w:val="left"/>
              <w:rPr>
                <w:rFonts w:ascii="Times New Roman" w:hAnsi="Times New Roman" w:cs="Times New Roman" w:eastAsia="Times New Roman" w:hint="default"/>
                <w:sz w:val="18"/>
                <w:szCs w:val="18"/>
              </w:rPr>
            </w:pPr>
            <w:r>
              <w:rPr>
                <w:rFonts w:ascii="Times New Roman"/>
                <w:sz w:val="18"/>
              </w:rPr>
              <w:t>,350.79</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6" w:right="0"/>
              <w:jc w:val="center"/>
              <w:rPr>
                <w:rFonts w:ascii="Times New Roman" w:hAnsi="Times New Roman" w:cs="Times New Roman" w:eastAsia="Times New Roman" w:hint="default"/>
                <w:sz w:val="18"/>
                <w:szCs w:val="18"/>
              </w:rPr>
            </w:pPr>
            <w:r>
              <w:rPr>
                <w:rFonts w:ascii="Times New Roman"/>
                <w:sz w:val="18"/>
              </w:rPr>
              <w:t>-58,225,</w:t>
            </w:r>
          </w:p>
          <w:p>
            <w:pPr>
              <w:pStyle w:val="TableParagraph"/>
              <w:spacing w:line="240" w:lineRule="auto" w:before="102"/>
              <w:ind w:left="110" w:right="0"/>
              <w:jc w:val="center"/>
              <w:rPr>
                <w:rFonts w:ascii="Times New Roman" w:hAnsi="Times New Roman" w:cs="Times New Roman" w:eastAsia="Times New Roman" w:hint="default"/>
                <w:sz w:val="18"/>
                <w:szCs w:val="18"/>
              </w:rPr>
            </w:pPr>
            <w:r>
              <w:rPr>
                <w:rFonts w:ascii="Times New Roman"/>
                <w:sz w:val="18"/>
              </w:rPr>
              <w:t>070.41</w:t>
            </w:r>
          </w:p>
        </w:tc>
      </w:tr>
      <w:tr>
        <w:trPr>
          <w:trHeight w:val="71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0" w:right="0"/>
              <w:jc w:val="center"/>
              <w:rPr>
                <w:rFonts w:ascii="Times New Roman" w:hAnsi="Times New Roman" w:cs="Times New Roman" w:eastAsia="Times New Roman" w:hint="default"/>
                <w:sz w:val="18"/>
                <w:szCs w:val="18"/>
              </w:rPr>
            </w:pPr>
            <w:r>
              <w:rPr>
                <w:rFonts w:ascii="Times New Roman"/>
                <w:sz w:val="18"/>
              </w:rPr>
              <w:t>2,901,5</w:t>
            </w:r>
          </w:p>
          <w:p>
            <w:pPr>
              <w:pStyle w:val="TableParagraph"/>
              <w:spacing w:line="240" w:lineRule="auto" w:before="105"/>
              <w:ind w:left="204" w:right="0"/>
              <w:jc w:val="center"/>
              <w:rPr>
                <w:rFonts w:ascii="Times New Roman" w:hAnsi="Times New Roman" w:cs="Times New Roman" w:eastAsia="Times New Roman" w:hint="default"/>
                <w:sz w:val="18"/>
                <w:szCs w:val="18"/>
              </w:rPr>
            </w:pPr>
            <w:r>
              <w:rPr>
                <w:rFonts w:ascii="Times New Roman"/>
                <w:sz w:val="18"/>
              </w:rPr>
              <w:t>53.17</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 w:right="0"/>
              <w:jc w:val="center"/>
              <w:rPr>
                <w:rFonts w:ascii="Times New Roman" w:hAnsi="Times New Roman" w:cs="Times New Roman" w:eastAsia="Times New Roman" w:hint="default"/>
                <w:sz w:val="18"/>
                <w:szCs w:val="18"/>
              </w:rPr>
            </w:pPr>
            <w:r>
              <w:rPr>
                <w:rFonts w:ascii="Times New Roman"/>
                <w:sz w:val="18"/>
              </w:rPr>
              <w:t>-2,901,5</w:t>
            </w:r>
          </w:p>
          <w:p>
            <w:pPr>
              <w:pStyle w:val="TableParagraph"/>
              <w:spacing w:line="240" w:lineRule="auto" w:before="105"/>
              <w:ind w:left="216" w:right="0"/>
              <w:jc w:val="center"/>
              <w:rPr>
                <w:rFonts w:ascii="Times New Roman" w:hAnsi="Times New Roman" w:cs="Times New Roman" w:eastAsia="Times New Roman" w:hint="default"/>
                <w:sz w:val="18"/>
                <w:szCs w:val="18"/>
              </w:rPr>
            </w:pPr>
            <w:r>
              <w:rPr>
                <w:rFonts w:ascii="Times New Roman"/>
                <w:sz w:val="18"/>
              </w:rPr>
              <w:t>53.17</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 准备</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8"/>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．对所有者（或</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21"/>
              <w:jc w:val="right"/>
              <w:rPr>
                <w:rFonts w:ascii="Times New Roman" w:hAnsi="Times New Roman" w:cs="Times New Roman" w:eastAsia="Times New Roman" w:hint="default"/>
                <w:sz w:val="18"/>
                <w:szCs w:val="18"/>
              </w:rPr>
            </w:pPr>
            <w:r>
              <w:rPr>
                <w:rFonts w:ascii="Times New Roman"/>
                <w:sz w:val="18"/>
              </w:rPr>
              <w:t>-47,456,</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21"/>
              <w:jc w:val="right"/>
              <w:rPr>
                <w:rFonts w:ascii="Times New Roman" w:hAnsi="Times New Roman" w:cs="Times New Roman" w:eastAsia="Times New Roman" w:hint="default"/>
                <w:sz w:val="18"/>
                <w:szCs w:val="18"/>
              </w:rPr>
            </w:pPr>
            <w:r>
              <w:rPr>
                <w:rFonts w:ascii="Times New Roman"/>
                <w:spacing w:val="-1"/>
                <w:sz w:val="18"/>
              </w:rPr>
              <w:t>-10,356</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8"/>
              <w:jc w:val="right"/>
              <w:rPr>
                <w:rFonts w:ascii="Times New Roman" w:hAnsi="Times New Roman" w:cs="Times New Roman" w:eastAsia="Times New Roman" w:hint="default"/>
                <w:sz w:val="18"/>
                <w:szCs w:val="18"/>
              </w:rPr>
            </w:pPr>
            <w:r>
              <w:rPr>
                <w:rFonts w:ascii="Times New Roman"/>
                <w:sz w:val="18"/>
              </w:rPr>
              <w:t>-57,813,</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437"/>
        <w:gridCol w:w="562"/>
        <w:gridCol w:w="530"/>
        <w:gridCol w:w="531"/>
        <w:gridCol w:w="533"/>
        <w:gridCol w:w="662"/>
        <w:gridCol w:w="665"/>
        <w:gridCol w:w="668"/>
        <w:gridCol w:w="665"/>
        <w:gridCol w:w="662"/>
        <w:gridCol w:w="665"/>
        <w:gridCol w:w="680"/>
        <w:gridCol w:w="653"/>
        <w:gridCol w:w="658"/>
      </w:tblGrid>
      <w:tr>
        <w:trPr>
          <w:trHeight w:val="36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22" w:right="0"/>
              <w:jc w:val="left"/>
              <w:rPr>
                <w:rFonts w:ascii="宋体" w:hAnsi="宋体" w:cs="宋体" w:eastAsia="宋体" w:hint="default"/>
                <w:sz w:val="18"/>
                <w:szCs w:val="18"/>
              </w:rPr>
            </w:pPr>
            <w:r>
              <w:rPr>
                <w:rFonts w:ascii="宋体" w:hAnsi="宋体" w:cs="宋体" w:eastAsia="宋体" w:hint="default"/>
                <w:sz w:val="18"/>
                <w:szCs w:val="18"/>
              </w:rPr>
              <w:t>股东）的分配</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3"/>
              <w:jc w:val="right"/>
              <w:rPr>
                <w:rFonts w:ascii="Times New Roman" w:hAnsi="Times New Roman" w:cs="Times New Roman" w:eastAsia="Times New Roman" w:hint="default"/>
                <w:sz w:val="18"/>
                <w:szCs w:val="18"/>
              </w:rPr>
            </w:pPr>
            <w:r>
              <w:rPr>
                <w:rFonts w:ascii="Times New Roman"/>
                <w:spacing w:val="-1"/>
                <w:sz w:val="18"/>
              </w:rPr>
              <w:t>755.48</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pacing w:val="-1"/>
                <w:sz w:val="18"/>
              </w:rPr>
              <w:t>,620.53</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376.01</w:t>
            </w:r>
          </w:p>
        </w:tc>
      </w:tr>
      <w:tr>
        <w:trPr>
          <w:trHeight w:val="71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1" w:right="0"/>
              <w:jc w:val="left"/>
              <w:rPr>
                <w:rFonts w:ascii="Times New Roman" w:hAnsi="Times New Roman" w:cs="Times New Roman" w:eastAsia="Times New Roman" w:hint="default"/>
                <w:sz w:val="18"/>
                <w:szCs w:val="18"/>
              </w:rPr>
            </w:pPr>
            <w:r>
              <w:rPr>
                <w:rFonts w:ascii="Times New Roman"/>
                <w:sz w:val="18"/>
              </w:rPr>
              <w:t>-209,96</w:t>
            </w:r>
          </w:p>
          <w:p>
            <w:pPr>
              <w:pStyle w:val="TableParagraph"/>
              <w:spacing w:line="240" w:lineRule="auto" w:before="105"/>
              <w:ind w:left="331" w:right="0"/>
              <w:jc w:val="left"/>
              <w:rPr>
                <w:rFonts w:ascii="Times New Roman" w:hAnsi="Times New Roman" w:cs="Times New Roman" w:eastAsia="Times New Roman" w:hint="default"/>
                <w:sz w:val="18"/>
                <w:szCs w:val="18"/>
              </w:rPr>
            </w:pPr>
            <w:r>
              <w:rPr>
                <w:rFonts w:ascii="Times New Roman"/>
                <w:sz w:val="18"/>
              </w:rPr>
              <w:t>4.14</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4" w:right="0"/>
              <w:jc w:val="left"/>
              <w:rPr>
                <w:rFonts w:ascii="Times New Roman" w:hAnsi="Times New Roman" w:cs="Times New Roman" w:eastAsia="Times New Roman" w:hint="default"/>
                <w:sz w:val="18"/>
                <w:szCs w:val="18"/>
              </w:rPr>
            </w:pPr>
            <w:r>
              <w:rPr>
                <w:rFonts w:ascii="Times New Roman"/>
                <w:sz w:val="18"/>
              </w:rPr>
              <w:t>-201,73</w:t>
            </w:r>
          </w:p>
          <w:p>
            <w:pPr>
              <w:pStyle w:val="TableParagraph"/>
              <w:spacing w:line="240" w:lineRule="auto" w:before="105"/>
              <w:ind w:left="304" w:right="0"/>
              <w:jc w:val="left"/>
              <w:rPr>
                <w:rFonts w:ascii="Times New Roman" w:hAnsi="Times New Roman" w:cs="Times New Roman" w:eastAsia="Times New Roman" w:hint="default"/>
                <w:sz w:val="18"/>
                <w:szCs w:val="18"/>
              </w:rPr>
            </w:pPr>
            <w:r>
              <w:rPr>
                <w:rFonts w:ascii="Times New Roman"/>
                <w:sz w:val="18"/>
              </w:rPr>
              <w:t>0.26</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9" w:right="0"/>
              <w:jc w:val="left"/>
              <w:rPr>
                <w:rFonts w:ascii="Times New Roman" w:hAnsi="Times New Roman" w:cs="Times New Roman" w:eastAsia="Times New Roman" w:hint="default"/>
                <w:sz w:val="18"/>
                <w:szCs w:val="18"/>
              </w:rPr>
            </w:pPr>
            <w:r>
              <w:rPr>
                <w:rFonts w:ascii="Times New Roman"/>
                <w:sz w:val="18"/>
              </w:rPr>
              <w:t>-411,69</w:t>
            </w:r>
          </w:p>
          <w:p>
            <w:pPr>
              <w:pStyle w:val="TableParagraph"/>
              <w:spacing w:line="240" w:lineRule="auto" w:before="105"/>
              <w:ind w:left="311" w:right="0"/>
              <w:jc w:val="left"/>
              <w:rPr>
                <w:rFonts w:ascii="Times New Roman" w:hAnsi="Times New Roman" w:cs="Times New Roman" w:eastAsia="Times New Roman" w:hint="default"/>
                <w:sz w:val="18"/>
                <w:szCs w:val="18"/>
              </w:rPr>
            </w:pPr>
            <w:r>
              <w:rPr>
                <w:rFonts w:ascii="Times New Roman"/>
                <w:sz w:val="18"/>
              </w:rPr>
              <w:t>4.40</w:t>
            </w:r>
          </w:p>
        </w:tc>
      </w:tr>
      <w:tr>
        <w:trPr>
          <w:trHeight w:val="715"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22"/>
              <w:jc w:val="left"/>
              <w:rPr>
                <w:rFonts w:ascii="宋体" w:hAnsi="宋体" w:cs="宋体" w:eastAsia="宋体" w:hint="default"/>
                <w:sz w:val="18"/>
                <w:szCs w:val="18"/>
              </w:rPr>
            </w:pPr>
            <w:r>
              <w:rPr>
                <w:rFonts w:ascii="宋体" w:hAnsi="宋体" w:cs="宋体" w:eastAsia="宋体" w:hint="default"/>
                <w:spacing w:val="-8"/>
                <w:sz w:val="18"/>
                <w:szCs w:val="18"/>
              </w:rPr>
              <w:t>（四）所有者权益</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内部结转</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 资本（或股本）</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7"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．设定受益计划 变动额结转留存 收益</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8"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2" w:right="0"/>
              <w:jc w:val="left"/>
              <w:rPr>
                <w:rFonts w:ascii="宋体" w:hAnsi="宋体" w:cs="宋体" w:eastAsia="宋体" w:hint="default"/>
                <w:sz w:val="18"/>
                <w:szCs w:val="18"/>
              </w:rPr>
            </w:pPr>
            <w:r>
              <w:rPr>
                <w:rFonts w:ascii="宋体" w:hAnsi="宋体" w:cs="宋体" w:eastAsia="宋体" w:hint="default"/>
                <w:spacing w:val="-8"/>
                <w:sz w:val="18"/>
                <w:szCs w:val="18"/>
              </w:rPr>
              <w:t>四、本期期末余额</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8" w:right="0"/>
              <w:jc w:val="center"/>
              <w:rPr>
                <w:rFonts w:ascii="Times New Roman" w:hAnsi="Times New Roman" w:cs="Times New Roman" w:eastAsia="Times New Roman" w:hint="default"/>
                <w:sz w:val="18"/>
                <w:szCs w:val="18"/>
              </w:rPr>
            </w:pPr>
            <w:r>
              <w:rPr>
                <w:rFonts w:ascii="Times New Roman"/>
                <w:sz w:val="18"/>
              </w:rPr>
              <w:t>1,282,</w:t>
            </w:r>
          </w:p>
          <w:p>
            <w:pPr>
              <w:pStyle w:val="TableParagraph"/>
              <w:spacing w:line="240" w:lineRule="auto" w:before="105"/>
              <w:ind w:left="15" w:right="0"/>
              <w:jc w:val="center"/>
              <w:rPr>
                <w:rFonts w:ascii="Times New Roman" w:hAnsi="Times New Roman" w:cs="Times New Roman" w:eastAsia="Times New Roman" w:hint="default"/>
                <w:sz w:val="18"/>
                <w:szCs w:val="18"/>
              </w:rPr>
            </w:pPr>
            <w:r>
              <w:rPr>
                <w:rFonts w:ascii="Times New Roman"/>
                <w:sz w:val="18"/>
              </w:rPr>
              <w:t>615,01</w:t>
            </w:r>
          </w:p>
          <w:p>
            <w:pPr>
              <w:pStyle w:val="TableParagraph"/>
              <w:spacing w:line="240" w:lineRule="auto" w:before="105"/>
              <w:ind w:left="195" w:right="0"/>
              <w:jc w:val="center"/>
              <w:rPr>
                <w:rFonts w:ascii="Times New Roman" w:hAnsi="Times New Roman" w:cs="Times New Roman" w:eastAsia="Times New Roman" w:hint="default"/>
                <w:sz w:val="18"/>
                <w:szCs w:val="18"/>
              </w:rPr>
            </w:pPr>
            <w:r>
              <w:rPr>
                <w:rFonts w:ascii="Times New Roman"/>
                <w:sz w:val="18"/>
              </w:rPr>
              <w:t>3.00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4,205,5</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23,831.</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08</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3" w:right="0"/>
              <w:jc w:val="left"/>
              <w:rPr>
                <w:rFonts w:ascii="Times New Roman" w:hAnsi="Times New Roman" w:cs="Times New Roman" w:eastAsia="Times New Roman" w:hint="default"/>
                <w:sz w:val="18"/>
                <w:szCs w:val="18"/>
              </w:rPr>
            </w:pPr>
            <w:r>
              <w:rPr>
                <w:rFonts w:ascii="Times New Roman"/>
                <w:sz w:val="18"/>
              </w:rPr>
              <w:t>77,973,</w:t>
            </w:r>
          </w:p>
          <w:p>
            <w:pPr>
              <w:pStyle w:val="TableParagraph"/>
              <w:spacing w:line="240" w:lineRule="auto" w:before="105"/>
              <w:ind w:left="139" w:right="0"/>
              <w:jc w:val="left"/>
              <w:rPr>
                <w:rFonts w:ascii="Times New Roman" w:hAnsi="Times New Roman" w:cs="Times New Roman" w:eastAsia="Times New Roman" w:hint="default"/>
                <w:sz w:val="18"/>
                <w:szCs w:val="18"/>
              </w:rPr>
            </w:pPr>
            <w:r>
              <w:rPr>
                <w:rFonts w:ascii="Times New Roman"/>
                <w:sz w:val="18"/>
              </w:rPr>
              <w:t>177.02</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4" w:right="0"/>
              <w:jc w:val="center"/>
              <w:rPr>
                <w:rFonts w:ascii="Times New Roman" w:hAnsi="Times New Roman" w:cs="Times New Roman" w:eastAsia="Times New Roman" w:hint="default"/>
                <w:sz w:val="18"/>
                <w:szCs w:val="18"/>
              </w:rPr>
            </w:pPr>
            <w:r>
              <w:rPr>
                <w:rFonts w:ascii="Times New Roman"/>
                <w:sz w:val="18"/>
              </w:rPr>
              <w:t>5,933,8</w:t>
            </w:r>
          </w:p>
          <w:p>
            <w:pPr>
              <w:pStyle w:val="TableParagraph"/>
              <w:spacing w:line="240" w:lineRule="auto" w:before="105"/>
              <w:ind w:left="209" w:right="0"/>
              <w:jc w:val="center"/>
              <w:rPr>
                <w:rFonts w:ascii="Times New Roman" w:hAnsi="Times New Roman" w:cs="Times New Roman" w:eastAsia="Times New Roman" w:hint="default"/>
                <w:sz w:val="18"/>
                <w:szCs w:val="18"/>
              </w:rPr>
            </w:pPr>
            <w:r>
              <w:rPr>
                <w:rFonts w:ascii="Times New Roman"/>
                <w:sz w:val="18"/>
              </w:rPr>
              <w:t>09.71</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2" w:right="0"/>
              <w:jc w:val="left"/>
              <w:rPr>
                <w:rFonts w:ascii="Times New Roman" w:hAnsi="Times New Roman" w:cs="Times New Roman" w:eastAsia="Times New Roman" w:hint="default"/>
                <w:sz w:val="18"/>
                <w:szCs w:val="18"/>
              </w:rPr>
            </w:pPr>
            <w:r>
              <w:rPr>
                <w:rFonts w:ascii="Times New Roman"/>
                <w:sz w:val="18"/>
              </w:rPr>
              <w:t>109,115</w:t>
            </w:r>
          </w:p>
          <w:p>
            <w:pPr>
              <w:pStyle w:val="TableParagraph"/>
              <w:spacing w:line="240" w:lineRule="auto" w:before="105"/>
              <w:ind w:left="91" w:right="0"/>
              <w:jc w:val="left"/>
              <w:rPr>
                <w:rFonts w:ascii="Times New Roman" w:hAnsi="Times New Roman" w:cs="Times New Roman" w:eastAsia="Times New Roman" w:hint="default"/>
                <w:sz w:val="18"/>
                <w:szCs w:val="18"/>
              </w:rPr>
            </w:pPr>
            <w:r>
              <w:rPr>
                <w:rFonts w:ascii="Times New Roman"/>
                <w:sz w:val="18"/>
              </w:rPr>
              <w:t>,366.29</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2"/>
                <w:sz w:val="18"/>
              </w:rPr>
              <w:t>1,110,9</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39,772.</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85</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33" w:right="0"/>
              <w:jc w:val="left"/>
              <w:rPr>
                <w:rFonts w:ascii="Times New Roman" w:hAnsi="Times New Roman" w:cs="Times New Roman" w:eastAsia="Times New Roman" w:hint="default"/>
                <w:sz w:val="18"/>
                <w:szCs w:val="18"/>
              </w:rPr>
            </w:pPr>
            <w:r>
              <w:rPr>
                <w:rFonts w:ascii="Times New Roman"/>
                <w:sz w:val="18"/>
              </w:rPr>
              <w:t>237,795</w:t>
            </w:r>
          </w:p>
          <w:p>
            <w:pPr>
              <w:pStyle w:val="TableParagraph"/>
              <w:spacing w:line="240" w:lineRule="auto" w:before="105"/>
              <w:ind w:left="79" w:right="0"/>
              <w:jc w:val="left"/>
              <w:rPr>
                <w:rFonts w:ascii="Times New Roman" w:hAnsi="Times New Roman" w:cs="Times New Roman" w:eastAsia="Times New Roman" w:hint="default"/>
                <w:sz w:val="18"/>
                <w:szCs w:val="18"/>
              </w:rPr>
            </w:pPr>
            <w:r>
              <w:rPr>
                <w:rFonts w:ascii="Times New Roman"/>
                <w:sz w:val="18"/>
              </w:rPr>
              <w:t>,974.24</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6,873,9</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50,590.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15</w:t>
            </w:r>
          </w:p>
        </w:tc>
      </w:tr>
    </w:tbl>
    <w:p>
      <w:pPr>
        <w:spacing w:line="240" w:lineRule="auto" w:before="10"/>
        <w:rPr>
          <w:rFonts w:ascii="Times New Roman" w:hAnsi="Times New Roman" w:cs="Times New Roman" w:eastAsia="Times New Roman" w:hint="default"/>
          <w:sz w:val="21"/>
          <w:szCs w:val="21"/>
        </w:rPr>
      </w:pPr>
    </w:p>
    <w:p>
      <w:pPr>
        <w:pStyle w:val="Heading4"/>
        <w:spacing w:line="240" w:lineRule="auto" w:before="36"/>
        <w:ind w:right="982"/>
        <w:jc w:val="left"/>
        <w:rPr>
          <w:b w:val="0"/>
          <w:bCs w:val="0"/>
        </w:rPr>
      </w:pPr>
      <w:r>
        <w:rPr>
          <w:rFonts w:ascii="Times New Roman" w:hAnsi="Times New Roman" w:cs="Times New Roman" w:eastAsia="Times New Roman" w:hint="default"/>
        </w:rPr>
        <w:t>8</w:t>
      </w:r>
      <w:r>
        <w:rPr/>
        <w:t>、母公司所有者权益变动表</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right="982"/>
        <w:jc w:val="left"/>
      </w:pPr>
      <w:r>
        <w:rPr/>
        <w:t>本期金额</w:t>
      </w:r>
    </w:p>
    <w:p>
      <w:pPr>
        <w:pStyle w:val="BodyText"/>
        <w:spacing w:line="240" w:lineRule="auto" w:before="115"/>
        <w:ind w:left="0" w:right="1131"/>
        <w:jc w:val="right"/>
      </w:pPr>
      <w:r>
        <w:rPr/>
        <w:t>单位：元</w:t>
      </w:r>
    </w:p>
    <w:p>
      <w:pPr>
        <w:spacing w:line="240" w:lineRule="auto" w:before="4"/>
        <w:rPr>
          <w:rFonts w:ascii="宋体" w:hAnsi="宋体" w:cs="宋体" w:eastAsia="宋体" w:hint="default"/>
          <w:sz w:val="8"/>
          <w:szCs w:val="8"/>
        </w:rPr>
      </w:pPr>
    </w:p>
    <w:tbl>
      <w:tblPr>
        <w:tblW w:w="0" w:type="auto"/>
        <w:jc w:val="left"/>
        <w:tblInd w:w="166" w:type="dxa"/>
        <w:tblLayout w:type="fixed"/>
        <w:tblCellMar>
          <w:top w:w="0" w:type="dxa"/>
          <w:left w:w="0" w:type="dxa"/>
          <w:bottom w:w="0" w:type="dxa"/>
          <w:right w:w="0" w:type="dxa"/>
        </w:tblCellMar>
        <w:tblLook w:val="01E0"/>
      </w:tblPr>
      <w:tblGrid>
        <w:gridCol w:w="1412"/>
        <w:gridCol w:w="702"/>
        <w:gridCol w:w="665"/>
        <w:gridCol w:w="668"/>
        <w:gridCol w:w="665"/>
        <w:gridCol w:w="797"/>
        <w:gridCol w:w="797"/>
        <w:gridCol w:w="797"/>
        <w:gridCol w:w="799"/>
        <w:gridCol w:w="797"/>
        <w:gridCol w:w="677"/>
        <w:gridCol w:w="780"/>
      </w:tblGrid>
      <w:tr>
        <w:trPr>
          <w:trHeight w:val="396" w:hRule="exact"/>
        </w:trPr>
        <w:tc>
          <w:tcPr>
            <w:tcW w:w="1412" w:type="dxa"/>
            <w:tcBorders>
              <w:top w:val="single" w:sz="4" w:space="0" w:color="000000"/>
              <w:left w:val="single" w:sz="4" w:space="0" w:color="000000"/>
              <w:bottom w:val="nil" w:sz="6" w:space="0" w:color="auto"/>
              <w:right w:val="single" w:sz="4" w:space="0" w:color="000000"/>
            </w:tcBorders>
            <w:shd w:val="clear" w:color="auto" w:fill="D2D2D2"/>
          </w:tcPr>
          <w:p>
            <w:pPr/>
          </w:p>
        </w:tc>
        <w:tc>
          <w:tcPr>
            <w:tcW w:w="8144"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5" w:right="0"/>
              <w:jc w:val="center"/>
              <w:rPr>
                <w:rFonts w:ascii="宋体" w:hAnsi="宋体" w:cs="宋体" w:eastAsia="宋体" w:hint="default"/>
                <w:sz w:val="18"/>
                <w:szCs w:val="18"/>
              </w:rPr>
            </w:pPr>
            <w:r>
              <w:rPr>
                <w:rFonts w:ascii="宋体" w:hAnsi="宋体" w:cs="宋体" w:eastAsia="宋体" w:hint="default"/>
                <w:sz w:val="18"/>
                <w:szCs w:val="18"/>
              </w:rPr>
              <w:t>本期</w:t>
            </w:r>
          </w:p>
        </w:tc>
      </w:tr>
      <w:tr>
        <w:trPr>
          <w:trHeight w:val="211" w:hRule="exact"/>
        </w:trPr>
        <w:tc>
          <w:tcPr>
            <w:tcW w:w="141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61"/>
              <w:ind w:right="4"/>
              <w:jc w:val="center"/>
              <w:rPr>
                <w:rFonts w:ascii="宋体" w:hAnsi="宋体" w:cs="宋体" w:eastAsia="宋体" w:hint="default"/>
                <w:sz w:val="18"/>
                <w:szCs w:val="18"/>
              </w:rPr>
            </w:pPr>
            <w:r>
              <w:rPr>
                <w:rFonts w:ascii="宋体" w:hAnsi="宋体" w:cs="宋体" w:eastAsia="宋体" w:hint="default"/>
                <w:sz w:val="18"/>
                <w:szCs w:val="18"/>
              </w:rPr>
              <w:t>项目</w:t>
            </w:r>
          </w:p>
        </w:tc>
        <w:tc>
          <w:tcPr>
            <w:tcW w:w="702" w:type="dxa"/>
            <w:tcBorders>
              <w:top w:val="single" w:sz="4" w:space="0" w:color="000000"/>
              <w:left w:val="single" w:sz="4" w:space="0" w:color="000000"/>
              <w:bottom w:val="nil" w:sz="6" w:space="0" w:color="auto"/>
              <w:right w:val="single" w:sz="4" w:space="0" w:color="000000"/>
            </w:tcBorders>
            <w:shd w:val="clear" w:color="auto" w:fill="D2D2D2"/>
          </w:tcPr>
          <w:p>
            <w:pPr/>
          </w:p>
        </w:tc>
        <w:tc>
          <w:tcPr>
            <w:tcW w:w="1997"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453"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99"/>
              <w:ind w:left="304" w:right="33" w:hanging="272"/>
              <w:jc w:val="left"/>
              <w:rPr>
                <w:rFonts w:ascii="宋体" w:hAnsi="宋体" w:cs="宋体" w:eastAsia="宋体" w:hint="default"/>
                <w:sz w:val="18"/>
                <w:szCs w:val="18"/>
              </w:rPr>
            </w:pPr>
            <w:r>
              <w:rPr>
                <w:rFonts w:ascii="宋体" w:hAnsi="宋体" w:cs="宋体" w:eastAsia="宋体" w:hint="default"/>
                <w:sz w:val="18"/>
                <w:szCs w:val="18"/>
              </w:rPr>
              <w:t>减：库存 股</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99"/>
              <w:ind w:left="213" w:right="31" w:hanging="180"/>
              <w:jc w:val="left"/>
              <w:rPr>
                <w:rFonts w:ascii="宋体" w:hAnsi="宋体" w:cs="宋体" w:eastAsia="宋体" w:hint="default"/>
                <w:sz w:val="18"/>
                <w:szCs w:val="18"/>
              </w:rPr>
            </w:pPr>
            <w:r>
              <w:rPr>
                <w:rFonts w:ascii="宋体" w:hAnsi="宋体" w:cs="宋体" w:eastAsia="宋体" w:hint="default"/>
                <w:sz w:val="18"/>
                <w:szCs w:val="18"/>
              </w:rPr>
              <w:t>其他综合 收益</w:t>
            </w:r>
          </w:p>
        </w:tc>
        <w:tc>
          <w:tcPr>
            <w:tcW w:w="799"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677"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99"/>
              <w:ind w:left="153" w:right="62" w:hanging="92"/>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780"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99"/>
              <w:ind w:left="115" w:right="23" w:hanging="89"/>
              <w:jc w:val="left"/>
              <w:rPr>
                <w:rFonts w:ascii="宋体" w:hAnsi="宋体" w:cs="宋体" w:eastAsia="宋体" w:hint="default"/>
                <w:sz w:val="18"/>
                <w:szCs w:val="18"/>
              </w:rPr>
            </w:pPr>
            <w:r>
              <w:rPr>
                <w:rFonts w:ascii="宋体" w:hAnsi="宋体" w:cs="宋体" w:eastAsia="宋体" w:hint="default"/>
                <w:sz w:val="18"/>
                <w:szCs w:val="18"/>
              </w:rPr>
              <w:t>所有者权 益合计</w:t>
            </w:r>
          </w:p>
        </w:tc>
      </w:tr>
      <w:tr>
        <w:trPr>
          <w:trHeight w:val="192" w:hRule="exact"/>
        </w:trPr>
        <w:tc>
          <w:tcPr>
            <w:tcW w:w="1412" w:type="dxa"/>
            <w:vMerge/>
            <w:tcBorders>
              <w:left w:val="single" w:sz="4" w:space="0" w:color="000000"/>
              <w:bottom w:val="nil" w:sz="6" w:space="0" w:color="auto"/>
              <w:right w:val="single" w:sz="4" w:space="0" w:color="000000"/>
            </w:tcBorders>
            <w:shd w:val="clear" w:color="auto" w:fill="D2D2D2"/>
          </w:tcPr>
          <w:p>
            <w:pPr/>
          </w:p>
        </w:tc>
        <w:tc>
          <w:tcPr>
            <w:tcW w:w="70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173"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997" w:type="dxa"/>
            <w:gridSpan w:val="3"/>
            <w:vMerge/>
            <w:tcBorders>
              <w:left w:val="single" w:sz="4" w:space="0" w:color="000000"/>
              <w:bottom w:val="single" w:sz="4" w:space="0" w:color="000000"/>
              <w:right w:val="single" w:sz="4" w:space="0" w:color="000000"/>
            </w:tcBorders>
            <w:shd w:val="clear" w:color="auto" w:fill="D2D2D2"/>
          </w:tcPr>
          <w:p>
            <w:pPr/>
          </w:p>
        </w:tc>
        <w:tc>
          <w:tcPr>
            <w:tcW w:w="7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3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797" w:type="dxa"/>
            <w:vMerge/>
            <w:tcBorders>
              <w:left w:val="single" w:sz="4" w:space="0" w:color="000000"/>
              <w:right w:val="single" w:sz="4" w:space="0" w:color="000000"/>
            </w:tcBorders>
            <w:shd w:val="clear" w:color="auto" w:fill="D2D2D2"/>
          </w:tcPr>
          <w:p>
            <w:pPr/>
          </w:p>
        </w:tc>
        <w:tc>
          <w:tcPr>
            <w:tcW w:w="797" w:type="dxa"/>
            <w:vMerge/>
            <w:tcBorders>
              <w:left w:val="single" w:sz="4" w:space="0" w:color="000000"/>
              <w:right w:val="single" w:sz="4" w:space="0" w:color="000000"/>
            </w:tcBorders>
            <w:shd w:val="clear" w:color="auto" w:fill="D2D2D2"/>
          </w:tcPr>
          <w:p>
            <w:pPr/>
          </w:p>
        </w:tc>
        <w:tc>
          <w:tcPr>
            <w:tcW w:w="79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3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7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3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677" w:type="dxa"/>
            <w:vMerge/>
            <w:tcBorders>
              <w:left w:val="single" w:sz="4" w:space="0" w:color="000000"/>
              <w:right w:val="single" w:sz="4" w:space="0" w:color="000000"/>
            </w:tcBorders>
            <w:shd w:val="clear" w:color="auto" w:fill="D2D2D2"/>
          </w:tcPr>
          <w:p>
            <w:pPr/>
          </w:p>
        </w:tc>
        <w:tc>
          <w:tcPr>
            <w:tcW w:w="780" w:type="dxa"/>
            <w:vMerge/>
            <w:tcBorders>
              <w:left w:val="single" w:sz="4" w:space="0" w:color="000000"/>
              <w:right w:val="single" w:sz="4" w:space="0" w:color="000000"/>
            </w:tcBorders>
            <w:shd w:val="clear" w:color="auto" w:fill="D2D2D2"/>
          </w:tcPr>
          <w:p>
            <w:pPr/>
          </w:p>
        </w:tc>
      </w:tr>
      <w:tr>
        <w:trPr>
          <w:trHeight w:val="202" w:hRule="exact"/>
        </w:trPr>
        <w:tc>
          <w:tcPr>
            <w:tcW w:w="1412" w:type="dxa"/>
            <w:vMerge w:val="restart"/>
            <w:tcBorders>
              <w:top w:val="nil" w:sz="6" w:space="0" w:color="auto"/>
              <w:left w:val="single" w:sz="4" w:space="0" w:color="000000"/>
              <w:right w:val="single" w:sz="4" w:space="0" w:color="000000"/>
            </w:tcBorders>
            <w:shd w:val="clear" w:color="auto" w:fill="D2D2D2"/>
          </w:tcPr>
          <w:p>
            <w:pPr/>
          </w:p>
        </w:tc>
        <w:tc>
          <w:tcPr>
            <w:tcW w:w="702" w:type="dxa"/>
            <w:vMerge/>
            <w:tcBorders>
              <w:left w:val="single" w:sz="4" w:space="0" w:color="000000"/>
              <w:bottom w:val="nil" w:sz="6" w:space="0" w:color="auto"/>
              <w:right w:val="single" w:sz="4" w:space="0" w:color="000000"/>
            </w:tcBorders>
            <w:shd w:val="clear" w:color="auto" w:fill="D2D2D2"/>
          </w:tcPr>
          <w:p>
            <w:pP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4"/>
              <w:ind w:left="57" w:right="0"/>
              <w:jc w:val="left"/>
              <w:rPr>
                <w:rFonts w:ascii="宋体" w:hAnsi="宋体" w:cs="宋体" w:eastAsia="宋体" w:hint="default"/>
                <w:sz w:val="18"/>
                <w:szCs w:val="18"/>
              </w:rPr>
            </w:pPr>
            <w:r>
              <w:rPr>
                <w:rFonts w:ascii="宋体" w:hAnsi="宋体" w:cs="宋体" w:eastAsia="宋体" w:hint="default"/>
                <w:sz w:val="18"/>
                <w:szCs w:val="18"/>
              </w:rPr>
              <w:t>优先股</w:t>
            </w:r>
          </w:p>
        </w:tc>
        <w:tc>
          <w:tcPr>
            <w:tcW w:w="6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4"/>
              <w:ind w:left="60"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4"/>
              <w:ind w:left="14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7" w:type="dxa"/>
            <w:vMerge/>
            <w:tcBorders>
              <w:left w:val="single" w:sz="4" w:space="0" w:color="000000"/>
              <w:bottom w:val="nil" w:sz="6" w:space="0" w:color="auto"/>
              <w:right w:val="single" w:sz="4" w:space="0" w:color="000000"/>
            </w:tcBorders>
            <w:shd w:val="clear" w:color="auto" w:fill="D2D2D2"/>
          </w:tcPr>
          <w:p>
            <w:pPr/>
          </w:p>
        </w:tc>
        <w:tc>
          <w:tcPr>
            <w:tcW w:w="797" w:type="dxa"/>
            <w:vMerge/>
            <w:tcBorders>
              <w:left w:val="single" w:sz="4" w:space="0" w:color="000000"/>
              <w:right w:val="single" w:sz="4" w:space="0" w:color="000000"/>
            </w:tcBorders>
            <w:shd w:val="clear" w:color="auto" w:fill="D2D2D2"/>
          </w:tcPr>
          <w:p>
            <w:pPr/>
          </w:p>
        </w:tc>
        <w:tc>
          <w:tcPr>
            <w:tcW w:w="797" w:type="dxa"/>
            <w:vMerge/>
            <w:tcBorders>
              <w:left w:val="single" w:sz="4" w:space="0" w:color="000000"/>
              <w:right w:val="single" w:sz="4" w:space="0" w:color="000000"/>
            </w:tcBorders>
            <w:shd w:val="clear" w:color="auto" w:fill="D2D2D2"/>
          </w:tcPr>
          <w:p>
            <w:pPr/>
          </w:p>
        </w:tc>
        <w:tc>
          <w:tcPr>
            <w:tcW w:w="799" w:type="dxa"/>
            <w:vMerge/>
            <w:tcBorders>
              <w:left w:val="single" w:sz="4" w:space="0" w:color="000000"/>
              <w:bottom w:val="nil" w:sz="6" w:space="0" w:color="auto"/>
              <w:right w:val="single" w:sz="4" w:space="0" w:color="000000"/>
            </w:tcBorders>
            <w:shd w:val="clear" w:color="auto" w:fill="D2D2D2"/>
          </w:tcPr>
          <w:p>
            <w:pPr/>
          </w:p>
        </w:tc>
        <w:tc>
          <w:tcPr>
            <w:tcW w:w="797" w:type="dxa"/>
            <w:vMerge/>
            <w:tcBorders>
              <w:left w:val="single" w:sz="4" w:space="0" w:color="000000"/>
              <w:bottom w:val="nil" w:sz="6" w:space="0" w:color="auto"/>
              <w:right w:val="single" w:sz="4" w:space="0" w:color="000000"/>
            </w:tcBorders>
            <w:shd w:val="clear" w:color="auto" w:fill="D2D2D2"/>
          </w:tcPr>
          <w:p>
            <w:pPr/>
          </w:p>
        </w:tc>
        <w:tc>
          <w:tcPr>
            <w:tcW w:w="677" w:type="dxa"/>
            <w:vMerge/>
            <w:tcBorders>
              <w:left w:val="single" w:sz="4" w:space="0" w:color="000000"/>
              <w:right w:val="single" w:sz="4" w:space="0" w:color="000000"/>
            </w:tcBorders>
            <w:shd w:val="clear" w:color="auto" w:fill="D2D2D2"/>
          </w:tcPr>
          <w:p>
            <w:pPr/>
          </w:p>
        </w:tc>
        <w:tc>
          <w:tcPr>
            <w:tcW w:w="780" w:type="dxa"/>
            <w:vMerge/>
            <w:tcBorders>
              <w:left w:val="single" w:sz="4" w:space="0" w:color="000000"/>
              <w:right w:val="single" w:sz="4" w:space="0" w:color="000000"/>
            </w:tcBorders>
            <w:shd w:val="clear" w:color="auto" w:fill="D2D2D2"/>
          </w:tcPr>
          <w:p>
            <w:pPr/>
          </w:p>
        </w:tc>
      </w:tr>
      <w:tr>
        <w:trPr>
          <w:trHeight w:val="205" w:hRule="exact"/>
        </w:trPr>
        <w:tc>
          <w:tcPr>
            <w:tcW w:w="1412" w:type="dxa"/>
            <w:vMerge/>
            <w:tcBorders>
              <w:left w:val="single" w:sz="4" w:space="0" w:color="000000"/>
              <w:bottom w:val="single" w:sz="4" w:space="0" w:color="000000"/>
              <w:right w:val="single" w:sz="4" w:space="0" w:color="000000"/>
            </w:tcBorders>
            <w:shd w:val="clear" w:color="auto" w:fill="D2D2D2"/>
          </w:tcPr>
          <w:p>
            <w:pPr/>
          </w:p>
        </w:tc>
        <w:tc>
          <w:tcPr>
            <w:tcW w:w="702"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8"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799" w:type="dxa"/>
            <w:tcBorders>
              <w:top w:val="nil" w:sz="6" w:space="0" w:color="auto"/>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677" w:type="dxa"/>
            <w:vMerge/>
            <w:tcBorders>
              <w:left w:val="single" w:sz="4" w:space="0" w:color="000000"/>
              <w:bottom w:val="single" w:sz="4" w:space="0" w:color="000000"/>
              <w:right w:val="single" w:sz="4" w:space="0" w:color="000000"/>
            </w:tcBorders>
            <w:shd w:val="clear" w:color="auto" w:fill="D2D2D2"/>
          </w:tcPr>
          <w:p>
            <w:pPr/>
          </w:p>
        </w:tc>
        <w:tc>
          <w:tcPr>
            <w:tcW w:w="780" w:type="dxa"/>
            <w:vMerge/>
            <w:tcBorders>
              <w:left w:val="single" w:sz="4" w:space="0" w:color="000000"/>
              <w:bottom w:val="single" w:sz="4" w:space="0" w:color="000000"/>
              <w:right w:val="single" w:sz="4" w:space="0" w:color="000000"/>
            </w:tcBorders>
            <w:shd w:val="clear" w:color="auto" w:fill="D2D2D2"/>
          </w:tcPr>
          <w:p>
            <w:pPr/>
          </w:p>
        </w:tc>
      </w:tr>
      <w:tr>
        <w:trPr>
          <w:trHeight w:val="163" w:hRule="exact"/>
        </w:trPr>
        <w:tc>
          <w:tcPr>
            <w:tcW w:w="1412" w:type="dxa"/>
            <w:tcBorders>
              <w:top w:val="single" w:sz="4" w:space="0" w:color="000000"/>
              <w:left w:val="single" w:sz="4" w:space="0" w:color="000000"/>
              <w:bottom w:val="nil" w:sz="6" w:space="0" w:color="auto"/>
              <w:right w:val="single" w:sz="4" w:space="0" w:color="000000"/>
            </w:tcBorders>
            <w:shd w:val="clear" w:color="auto" w:fill="D2D2D2"/>
          </w:tcPr>
          <w:p>
            <w:pPr/>
          </w:p>
        </w:tc>
        <w:tc>
          <w:tcPr>
            <w:tcW w:w="702" w:type="dxa"/>
            <w:vMerge w:val="restart"/>
            <w:tcBorders>
              <w:top w:val="single" w:sz="4" w:space="0" w:color="000000"/>
              <w:left w:val="single" w:sz="10" w:space="0" w:color="D2D2D2"/>
              <w:right w:val="single" w:sz="4" w:space="0" w:color="000000"/>
            </w:tcBorders>
          </w:tcPr>
          <w:p>
            <w:pPr>
              <w:pStyle w:val="TableParagraph"/>
              <w:spacing w:line="240" w:lineRule="auto" w:before="93"/>
              <w:ind w:left="34" w:right="0"/>
              <w:jc w:val="left"/>
              <w:rPr>
                <w:rFonts w:ascii="Times New Roman" w:hAnsi="Times New Roman" w:cs="Times New Roman" w:eastAsia="Times New Roman" w:hint="default"/>
                <w:sz w:val="18"/>
                <w:szCs w:val="18"/>
              </w:rPr>
            </w:pPr>
            <w:r>
              <w:rPr>
                <w:rFonts w:ascii="Times New Roman"/>
                <w:sz w:val="18"/>
              </w:rPr>
              <w:t>1,282,61</w:t>
            </w:r>
          </w:p>
          <w:p>
            <w:pPr>
              <w:pStyle w:val="TableParagraph"/>
              <w:spacing w:line="240" w:lineRule="auto" w:before="102"/>
              <w:ind w:left="34" w:right="0"/>
              <w:jc w:val="left"/>
              <w:rPr>
                <w:rFonts w:ascii="Times New Roman" w:hAnsi="Times New Roman" w:cs="Times New Roman" w:eastAsia="Times New Roman" w:hint="default"/>
                <w:sz w:val="18"/>
                <w:szCs w:val="18"/>
              </w:rPr>
            </w:pPr>
            <w:r>
              <w:rPr>
                <w:rFonts w:ascii="Times New Roman"/>
                <w:sz w:val="18"/>
              </w:rPr>
              <w:t>5,013.00</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319" w:right="0"/>
              <w:jc w:val="left"/>
              <w:rPr>
                <w:rFonts w:ascii="Times New Roman" w:hAnsi="Times New Roman" w:cs="Times New Roman" w:eastAsia="Times New Roman" w:hint="default"/>
                <w:sz w:val="18"/>
                <w:szCs w:val="18"/>
              </w:rPr>
            </w:pPr>
            <w:r>
              <w:rPr>
                <w:rFonts w:ascii="Times New Roman"/>
                <w:sz w:val="18"/>
              </w:rPr>
              <w:t>0.00</w:t>
            </w:r>
          </w:p>
        </w:tc>
        <w:tc>
          <w:tcPr>
            <w:tcW w:w="668"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321" w:right="0"/>
              <w:jc w:val="left"/>
              <w:rPr>
                <w:rFonts w:ascii="Times New Roman" w:hAnsi="Times New Roman" w:cs="Times New Roman" w:eastAsia="Times New Roman" w:hint="default"/>
                <w:sz w:val="18"/>
                <w:szCs w:val="18"/>
              </w:rPr>
            </w:pPr>
            <w:r>
              <w:rPr>
                <w:rFonts w:ascii="Times New Roman"/>
                <w:sz w:val="18"/>
              </w:rPr>
              <w:t>0.00</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319" w:right="0"/>
              <w:jc w:val="left"/>
              <w:rPr>
                <w:rFonts w:ascii="Times New Roman" w:hAnsi="Times New Roman" w:cs="Times New Roman" w:eastAsia="Times New Roman" w:hint="default"/>
                <w:sz w:val="18"/>
                <w:szCs w:val="18"/>
              </w:rPr>
            </w:pPr>
            <w:r>
              <w:rPr>
                <w:rFonts w:ascii="Times New Roman"/>
                <w:sz w:val="18"/>
              </w:rPr>
              <w:t>0.00</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3"/>
              <w:ind w:left="24" w:right="0"/>
              <w:jc w:val="center"/>
              <w:rPr>
                <w:rFonts w:ascii="Times New Roman" w:hAnsi="Times New Roman" w:cs="Times New Roman" w:eastAsia="Times New Roman" w:hint="default"/>
                <w:sz w:val="18"/>
                <w:szCs w:val="18"/>
              </w:rPr>
            </w:pPr>
            <w:r>
              <w:rPr>
                <w:rFonts w:ascii="Times New Roman"/>
                <w:sz w:val="18"/>
              </w:rPr>
              <w:t>4,412,940</w:t>
            </w:r>
          </w:p>
          <w:p>
            <w:pPr>
              <w:pStyle w:val="TableParagraph"/>
              <w:spacing w:line="240" w:lineRule="auto" w:before="102"/>
              <w:ind w:left="204" w:right="0"/>
              <w:jc w:val="center"/>
              <w:rPr>
                <w:rFonts w:ascii="Times New Roman" w:hAnsi="Times New Roman" w:cs="Times New Roman" w:eastAsia="Times New Roman" w:hint="default"/>
                <w:sz w:val="18"/>
                <w:szCs w:val="18"/>
              </w:rPr>
            </w:pPr>
            <w:r>
              <w:rPr>
                <w:rFonts w:ascii="Times New Roman"/>
                <w:sz w:val="18"/>
              </w:rPr>
              <w:t>,468.57</w:t>
            </w:r>
          </w:p>
        </w:tc>
        <w:tc>
          <w:tcPr>
            <w:tcW w:w="797" w:type="dxa"/>
            <w:vMerge w:val="restart"/>
            <w:tcBorders>
              <w:top w:val="single" w:sz="21" w:space="0" w:color="D2D2D2"/>
              <w:left w:val="single" w:sz="4" w:space="0" w:color="000000"/>
              <w:right w:val="single" w:sz="4" w:space="0" w:color="000000"/>
            </w:tcBorders>
          </w:tcPr>
          <w:p>
            <w:pPr>
              <w:pStyle w:val="TableParagraph"/>
              <w:spacing w:line="240" w:lineRule="auto" w:before="72"/>
              <w:ind w:left="45" w:right="0"/>
              <w:jc w:val="left"/>
              <w:rPr>
                <w:rFonts w:ascii="Times New Roman" w:hAnsi="Times New Roman" w:cs="Times New Roman" w:eastAsia="Times New Roman" w:hint="default"/>
                <w:sz w:val="18"/>
                <w:szCs w:val="18"/>
              </w:rPr>
            </w:pPr>
            <w:r>
              <w:rPr>
                <w:rFonts w:ascii="Times New Roman"/>
                <w:sz w:val="18"/>
              </w:rPr>
              <w:t>77,973,17</w:t>
            </w:r>
          </w:p>
          <w:p>
            <w:pPr>
              <w:pStyle w:val="TableParagraph"/>
              <w:spacing w:line="240" w:lineRule="auto" w:before="102"/>
              <w:ind w:left="451" w:right="0"/>
              <w:jc w:val="left"/>
              <w:rPr>
                <w:rFonts w:ascii="Times New Roman" w:hAnsi="Times New Roman" w:cs="Times New Roman" w:eastAsia="Times New Roman" w:hint="default"/>
                <w:sz w:val="18"/>
                <w:szCs w:val="18"/>
              </w:rPr>
            </w:pPr>
            <w:r>
              <w:rPr>
                <w:rFonts w:ascii="Times New Roman"/>
                <w:sz w:val="18"/>
              </w:rPr>
              <w:t>7.02</w:t>
            </w:r>
          </w:p>
        </w:tc>
        <w:tc>
          <w:tcPr>
            <w:tcW w:w="797" w:type="dxa"/>
            <w:vMerge w:val="restart"/>
            <w:tcBorders>
              <w:top w:val="single" w:sz="21" w:space="0" w:color="D2D2D2"/>
              <w:left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451" w:right="0"/>
              <w:jc w:val="left"/>
              <w:rPr>
                <w:rFonts w:ascii="Times New Roman" w:hAnsi="Times New Roman" w:cs="Times New Roman" w:eastAsia="Times New Roman" w:hint="default"/>
                <w:sz w:val="18"/>
                <w:szCs w:val="18"/>
              </w:rPr>
            </w:pPr>
            <w:r>
              <w:rPr>
                <w:rFonts w:ascii="Times New Roman"/>
                <w:sz w:val="18"/>
              </w:rPr>
              <w:t>0.00</w:t>
            </w:r>
          </w:p>
        </w:tc>
        <w:tc>
          <w:tcPr>
            <w:tcW w:w="799"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451" w:right="0"/>
              <w:jc w:val="left"/>
              <w:rPr>
                <w:rFonts w:ascii="Times New Roman" w:hAnsi="Times New Roman" w:cs="Times New Roman" w:eastAsia="Times New Roman" w:hint="default"/>
                <w:sz w:val="18"/>
                <w:szCs w:val="18"/>
              </w:rPr>
            </w:pPr>
            <w:r>
              <w:rPr>
                <w:rFonts w:ascii="Times New Roman"/>
                <w:sz w:val="18"/>
              </w:rPr>
              <w:t>0.00</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3"/>
              <w:ind w:left="45" w:right="0"/>
              <w:jc w:val="left"/>
              <w:rPr>
                <w:rFonts w:ascii="Times New Roman" w:hAnsi="Times New Roman" w:cs="Times New Roman" w:eastAsia="Times New Roman" w:hint="default"/>
                <w:sz w:val="18"/>
                <w:szCs w:val="18"/>
              </w:rPr>
            </w:pPr>
            <w:r>
              <w:rPr>
                <w:rFonts w:ascii="Times New Roman"/>
                <w:sz w:val="18"/>
              </w:rPr>
              <w:t>122,019,8</w:t>
            </w:r>
          </w:p>
          <w:p>
            <w:pPr>
              <w:pStyle w:val="TableParagraph"/>
              <w:spacing w:line="240" w:lineRule="auto" w:before="102"/>
              <w:ind w:left="359" w:right="0"/>
              <w:jc w:val="left"/>
              <w:rPr>
                <w:rFonts w:ascii="Times New Roman" w:hAnsi="Times New Roman" w:cs="Times New Roman" w:eastAsia="Times New Roman" w:hint="default"/>
                <w:sz w:val="18"/>
                <w:szCs w:val="18"/>
              </w:rPr>
            </w:pPr>
            <w:r>
              <w:rPr>
                <w:rFonts w:ascii="Times New Roman"/>
                <w:sz w:val="18"/>
              </w:rPr>
              <w:t>87.40</w:t>
            </w:r>
          </w:p>
        </w:tc>
        <w:tc>
          <w:tcPr>
            <w:tcW w:w="677" w:type="dxa"/>
            <w:vMerge w:val="restart"/>
            <w:tcBorders>
              <w:top w:val="single" w:sz="21" w:space="0" w:color="D2D2D2"/>
              <w:left w:val="single" w:sz="4" w:space="0" w:color="000000"/>
              <w:right w:val="single" w:sz="4" w:space="0" w:color="000000"/>
            </w:tcBorders>
          </w:tcPr>
          <w:p>
            <w:pPr>
              <w:pStyle w:val="TableParagraph"/>
              <w:spacing w:line="240" w:lineRule="auto" w:before="72"/>
              <w:ind w:left="64" w:right="0"/>
              <w:jc w:val="left"/>
              <w:rPr>
                <w:rFonts w:ascii="Times New Roman" w:hAnsi="Times New Roman" w:cs="Times New Roman" w:eastAsia="Times New Roman" w:hint="default"/>
                <w:sz w:val="18"/>
                <w:szCs w:val="18"/>
              </w:rPr>
            </w:pPr>
            <w:r>
              <w:rPr>
                <w:rFonts w:ascii="Times New Roman"/>
                <w:sz w:val="18"/>
              </w:rPr>
              <w:t>711,865</w:t>
            </w:r>
          </w:p>
          <w:p>
            <w:pPr>
              <w:pStyle w:val="TableParagraph"/>
              <w:spacing w:line="240" w:lineRule="auto" w:before="102"/>
              <w:ind w:left="103" w:right="0"/>
              <w:jc w:val="left"/>
              <w:rPr>
                <w:rFonts w:ascii="Times New Roman" w:hAnsi="Times New Roman" w:cs="Times New Roman" w:eastAsia="Times New Roman" w:hint="default"/>
                <w:sz w:val="18"/>
                <w:szCs w:val="18"/>
              </w:rPr>
            </w:pPr>
            <w:r>
              <w:rPr>
                <w:rFonts w:ascii="Times New Roman"/>
                <w:sz w:val="18"/>
              </w:rPr>
              <w:t>,438.23</w:t>
            </w:r>
          </w:p>
        </w:tc>
        <w:tc>
          <w:tcPr>
            <w:tcW w:w="780" w:type="dxa"/>
            <w:vMerge w:val="restart"/>
            <w:tcBorders>
              <w:top w:val="single" w:sz="21" w:space="0" w:color="D2D2D2"/>
              <w:left w:val="single" w:sz="4" w:space="0" w:color="000000"/>
              <w:right w:val="single" w:sz="4" w:space="0" w:color="000000"/>
            </w:tcBorders>
          </w:tcPr>
          <w:p>
            <w:pPr>
              <w:pStyle w:val="TableParagraph"/>
              <w:spacing w:line="240" w:lineRule="auto" w:before="72"/>
              <w:ind w:left="7" w:right="0"/>
              <w:jc w:val="center"/>
              <w:rPr>
                <w:rFonts w:ascii="Times New Roman" w:hAnsi="Times New Roman" w:cs="Times New Roman" w:eastAsia="Times New Roman" w:hint="default"/>
                <w:sz w:val="18"/>
                <w:szCs w:val="18"/>
              </w:rPr>
            </w:pPr>
            <w:r>
              <w:rPr>
                <w:rFonts w:ascii="Times New Roman"/>
                <w:sz w:val="18"/>
              </w:rPr>
              <w:t>6,451,467</w:t>
            </w:r>
          </w:p>
          <w:p>
            <w:pPr>
              <w:pStyle w:val="TableParagraph"/>
              <w:spacing w:line="240" w:lineRule="auto" w:before="102"/>
              <w:ind w:left="187" w:right="0"/>
              <w:jc w:val="center"/>
              <w:rPr>
                <w:rFonts w:ascii="Times New Roman" w:hAnsi="Times New Roman" w:cs="Times New Roman" w:eastAsia="Times New Roman" w:hint="default"/>
                <w:sz w:val="18"/>
                <w:szCs w:val="18"/>
              </w:rPr>
            </w:pPr>
            <w:r>
              <w:rPr>
                <w:rFonts w:ascii="Times New Roman"/>
                <w:sz w:val="18"/>
              </w:rPr>
              <w:t>,630.18</w:t>
            </w:r>
          </w:p>
        </w:tc>
      </w:tr>
      <w:tr>
        <w:trPr>
          <w:trHeight w:val="391" w:hRule="exact"/>
        </w:trPr>
        <w:tc>
          <w:tcPr>
            <w:tcW w:w="14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6" w:right="0"/>
              <w:jc w:val="left"/>
              <w:rPr>
                <w:rFonts w:ascii="宋体" w:hAnsi="宋体" w:cs="宋体" w:eastAsia="宋体" w:hint="default"/>
                <w:sz w:val="18"/>
                <w:szCs w:val="18"/>
              </w:rPr>
            </w:pPr>
            <w:r>
              <w:rPr>
                <w:rFonts w:ascii="宋体" w:hAnsi="宋体" w:cs="宋体" w:eastAsia="宋体" w:hint="default"/>
                <w:spacing w:val="-7"/>
                <w:sz w:val="18"/>
                <w:szCs w:val="18"/>
              </w:rPr>
              <w:t>一、上年期末余额</w:t>
            </w:r>
          </w:p>
        </w:tc>
        <w:tc>
          <w:tcPr>
            <w:tcW w:w="702" w:type="dxa"/>
            <w:vMerge/>
            <w:tcBorders>
              <w:left w:val="single" w:sz="10" w:space="0" w:color="D2D2D2"/>
              <w:right w:val="single" w:sz="4" w:space="0" w:color="000000"/>
            </w:tcBorders>
          </w:tcPr>
          <w:p>
            <w:pPr/>
          </w:p>
        </w:tc>
        <w:tc>
          <w:tcPr>
            <w:tcW w:w="665" w:type="dxa"/>
            <w:vMerge/>
            <w:tcBorders>
              <w:left w:val="single" w:sz="4" w:space="0" w:color="000000"/>
              <w:right w:val="single" w:sz="4" w:space="0" w:color="000000"/>
            </w:tcBorders>
          </w:tcPr>
          <w:p>
            <w:pPr/>
          </w:p>
        </w:tc>
        <w:tc>
          <w:tcPr>
            <w:tcW w:w="668"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9"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677"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r>
      <w:tr>
        <w:trPr>
          <w:trHeight w:val="161" w:hRule="exact"/>
        </w:trPr>
        <w:tc>
          <w:tcPr>
            <w:tcW w:w="1412" w:type="dxa"/>
            <w:tcBorders>
              <w:top w:val="nil" w:sz="6" w:space="0" w:color="auto"/>
              <w:left w:val="single" w:sz="4" w:space="0" w:color="000000"/>
              <w:bottom w:val="single" w:sz="4" w:space="0" w:color="000000"/>
              <w:right w:val="single" w:sz="4" w:space="0" w:color="000000"/>
            </w:tcBorders>
            <w:shd w:val="clear" w:color="auto" w:fill="D2D2D2"/>
          </w:tcPr>
          <w:p>
            <w:pPr/>
          </w:p>
        </w:tc>
        <w:tc>
          <w:tcPr>
            <w:tcW w:w="702" w:type="dxa"/>
            <w:vMerge/>
            <w:tcBorders>
              <w:left w:val="single" w:sz="10" w:space="0" w:color="D2D2D2"/>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8"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9"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677"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r>
      <w:tr>
        <w:trPr>
          <w:trHeight w:val="713" w:hRule="exact"/>
        </w:trPr>
        <w:tc>
          <w:tcPr>
            <w:tcW w:w="14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6" w:right="8"/>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pacing w:val="-10"/>
                <w:sz w:val="18"/>
                <w:szCs w:val="18"/>
              </w:rPr>
              <w:t>加：会计政策</w:t>
            </w:r>
            <w:r>
              <w:rPr>
                <w:rFonts w:ascii="宋体" w:hAnsi="宋体" w:cs="宋体" w:eastAsia="宋体" w:hint="default"/>
                <w:sz w:val="18"/>
                <w:szCs w:val="18"/>
              </w:rPr>
              <w:t> 变更</w:t>
            </w:r>
          </w:p>
        </w:tc>
        <w:tc>
          <w:tcPr>
            <w:tcW w:w="70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4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6" w:right="133"/>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前期差 错更正</w:t>
            </w:r>
          </w:p>
        </w:tc>
        <w:tc>
          <w:tcPr>
            <w:tcW w:w="70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14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其他</w:t>
            </w:r>
          </w:p>
        </w:tc>
        <w:tc>
          <w:tcPr>
            <w:tcW w:w="70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14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 w:right="0"/>
              <w:jc w:val="left"/>
              <w:rPr>
                <w:rFonts w:ascii="宋体" w:hAnsi="宋体" w:cs="宋体" w:eastAsia="宋体" w:hint="default"/>
                <w:sz w:val="18"/>
                <w:szCs w:val="18"/>
              </w:rPr>
            </w:pPr>
            <w:r>
              <w:rPr>
                <w:rFonts w:ascii="宋体" w:hAnsi="宋体" w:cs="宋体" w:eastAsia="宋体" w:hint="default"/>
                <w:spacing w:val="-7"/>
                <w:sz w:val="18"/>
                <w:szCs w:val="18"/>
              </w:rPr>
              <w:t>二、本年期初余额</w:t>
            </w:r>
          </w:p>
        </w:tc>
        <w:tc>
          <w:tcPr>
            <w:tcW w:w="70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12"/>
              <w:ind w:right="16"/>
              <w:jc w:val="right"/>
              <w:rPr>
                <w:rFonts w:ascii="Times New Roman" w:hAnsi="Times New Roman" w:cs="Times New Roman" w:eastAsia="Times New Roman" w:hint="default"/>
                <w:sz w:val="18"/>
                <w:szCs w:val="18"/>
              </w:rPr>
            </w:pPr>
            <w:r>
              <w:rPr>
                <w:rFonts w:ascii="Times New Roman"/>
                <w:w w:val="95"/>
                <w:sz w:val="18"/>
              </w:rPr>
              <w:t>1,282,61</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19"/>
              <w:jc w:val="right"/>
              <w:rPr>
                <w:rFonts w:ascii="Times New Roman" w:hAnsi="Times New Roman" w:cs="Times New Roman" w:eastAsia="Times New Roman" w:hint="default"/>
                <w:sz w:val="18"/>
                <w:szCs w:val="18"/>
              </w:rPr>
            </w:pPr>
            <w:r>
              <w:rPr>
                <w:rFonts w:ascii="Times New Roman"/>
                <w:spacing w:val="-1"/>
                <w:sz w:val="18"/>
              </w:rPr>
              <w:t>4,412,940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19"/>
              <w:jc w:val="right"/>
              <w:rPr>
                <w:rFonts w:ascii="Times New Roman" w:hAnsi="Times New Roman" w:cs="Times New Roman" w:eastAsia="Times New Roman" w:hint="default"/>
                <w:sz w:val="18"/>
                <w:szCs w:val="18"/>
              </w:rPr>
            </w:pPr>
            <w:r>
              <w:rPr>
                <w:rFonts w:ascii="Times New Roman"/>
                <w:spacing w:val="-1"/>
                <w:sz w:val="18"/>
              </w:rPr>
              <w:t>77,973,17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19"/>
              <w:jc w:val="right"/>
              <w:rPr>
                <w:rFonts w:ascii="Times New Roman" w:hAnsi="Times New Roman" w:cs="Times New Roman" w:eastAsia="Times New Roman" w:hint="default"/>
                <w:sz w:val="18"/>
                <w:szCs w:val="18"/>
              </w:rPr>
            </w:pPr>
            <w:r>
              <w:rPr>
                <w:rFonts w:ascii="Times New Roman"/>
                <w:spacing w:val="-1"/>
                <w:sz w:val="18"/>
              </w:rPr>
              <w:t>122,019,8</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21"/>
              <w:jc w:val="right"/>
              <w:rPr>
                <w:rFonts w:ascii="Times New Roman" w:hAnsi="Times New Roman" w:cs="Times New Roman" w:eastAsia="Times New Roman" w:hint="default"/>
                <w:sz w:val="18"/>
                <w:szCs w:val="18"/>
              </w:rPr>
            </w:pPr>
            <w:r>
              <w:rPr>
                <w:rFonts w:ascii="Times New Roman"/>
                <w:spacing w:val="-2"/>
                <w:sz w:val="18"/>
              </w:rPr>
              <w:t>711,865</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19"/>
              <w:jc w:val="right"/>
              <w:rPr>
                <w:rFonts w:ascii="Times New Roman" w:hAnsi="Times New Roman" w:cs="Times New Roman" w:eastAsia="Times New Roman" w:hint="default"/>
                <w:sz w:val="18"/>
                <w:szCs w:val="18"/>
              </w:rPr>
            </w:pPr>
            <w:r>
              <w:rPr>
                <w:rFonts w:ascii="Times New Roman"/>
                <w:spacing w:val="-1"/>
                <w:sz w:val="18"/>
              </w:rPr>
              <w:t>6,451,467</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439"/>
        <w:gridCol w:w="691"/>
        <w:gridCol w:w="665"/>
        <w:gridCol w:w="668"/>
        <w:gridCol w:w="665"/>
        <w:gridCol w:w="797"/>
        <w:gridCol w:w="797"/>
        <w:gridCol w:w="797"/>
        <w:gridCol w:w="799"/>
        <w:gridCol w:w="797"/>
        <w:gridCol w:w="677"/>
        <w:gridCol w:w="780"/>
      </w:tblGrid>
      <w:tr>
        <w:trPr>
          <w:trHeight w:val="36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6"/>
              <w:jc w:val="right"/>
              <w:rPr>
                <w:rFonts w:ascii="Times New Roman" w:hAnsi="Times New Roman" w:cs="Times New Roman" w:eastAsia="Times New Roman" w:hint="default"/>
                <w:sz w:val="18"/>
                <w:szCs w:val="18"/>
              </w:rPr>
            </w:pPr>
            <w:r>
              <w:rPr>
                <w:rFonts w:ascii="Times New Roman"/>
                <w:w w:val="95"/>
                <w:sz w:val="18"/>
              </w:rPr>
              <w:t>5,013.00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,468.57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7.02</w:t>
            </w: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87.40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pacing w:val="-1"/>
                <w:sz w:val="18"/>
              </w:rPr>
              <w:t>,438.23</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,630.18</w:t>
            </w:r>
          </w:p>
        </w:tc>
      </w:tr>
      <w:tr>
        <w:trPr>
          <w:trHeight w:val="1025"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22" w:right="18"/>
              <w:jc w:val="both"/>
              <w:rPr>
                <w:rFonts w:ascii="宋体" w:hAnsi="宋体" w:cs="宋体" w:eastAsia="宋体" w:hint="default"/>
                <w:sz w:val="18"/>
                <w:szCs w:val="18"/>
              </w:rPr>
            </w:pPr>
            <w:r>
              <w:rPr>
                <w:rFonts w:ascii="宋体" w:hAnsi="宋体" w:cs="宋体" w:eastAsia="宋体" w:hint="default"/>
                <w:spacing w:val="-7"/>
                <w:sz w:val="18"/>
                <w:szCs w:val="18"/>
              </w:rPr>
              <w:t>三、本期增减变动</w:t>
            </w:r>
            <w:r>
              <w:rPr>
                <w:rFonts w:ascii="宋体" w:hAnsi="宋体" w:cs="宋体" w:eastAsia="宋体" w:hint="default"/>
                <w:sz w:val="18"/>
                <w:szCs w:val="18"/>
              </w:rPr>
              <w:t> </w:t>
            </w:r>
            <w:r>
              <w:rPr>
                <w:rFonts w:ascii="宋体" w:hAnsi="宋体" w:cs="宋体" w:eastAsia="宋体" w:hint="default"/>
                <w:spacing w:val="-4"/>
                <w:sz w:val="18"/>
                <w:szCs w:val="18"/>
              </w:rPr>
              <w:t>金额（减少以</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号填列）</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31" w:right="0"/>
              <w:jc w:val="left"/>
              <w:rPr>
                <w:rFonts w:ascii="Times New Roman" w:hAnsi="Times New Roman" w:cs="Times New Roman" w:eastAsia="Times New Roman" w:hint="default"/>
                <w:sz w:val="18"/>
                <w:szCs w:val="18"/>
              </w:rPr>
            </w:pPr>
            <w:r>
              <w:rPr>
                <w:rFonts w:ascii="Times New Roman"/>
                <w:sz w:val="18"/>
              </w:rPr>
              <w:t>26,855,9</w:t>
            </w:r>
          </w:p>
          <w:p>
            <w:pPr>
              <w:pStyle w:val="TableParagraph"/>
              <w:spacing w:line="240" w:lineRule="auto" w:before="105"/>
              <w:ind w:left="256" w:right="0"/>
              <w:jc w:val="left"/>
              <w:rPr>
                <w:rFonts w:ascii="Times New Roman" w:hAnsi="Times New Roman" w:cs="Times New Roman" w:eastAsia="Times New Roman" w:hint="default"/>
                <w:sz w:val="18"/>
                <w:szCs w:val="18"/>
              </w:rPr>
            </w:pPr>
            <w:r>
              <w:rPr>
                <w:rFonts w:ascii="Times New Roman"/>
                <w:sz w:val="18"/>
              </w:rPr>
              <w:t>69.00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377,640,1</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69.36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281,779,3</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71.87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6" w:right="0"/>
              <w:jc w:val="left"/>
              <w:rPr>
                <w:rFonts w:ascii="Times New Roman" w:hAnsi="Times New Roman" w:cs="Times New Roman" w:eastAsia="Times New Roman" w:hint="default"/>
                <w:sz w:val="18"/>
                <w:szCs w:val="18"/>
              </w:rPr>
            </w:pPr>
            <w:r>
              <w:rPr>
                <w:rFonts w:ascii="Times New Roman"/>
                <w:sz w:val="18"/>
              </w:rPr>
              <w:t>-5,688,18</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9.78</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-385,25</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pacing w:val="-1"/>
                <w:sz w:val="18"/>
              </w:rPr>
              <w:t>1,874.1</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7</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39" w:right="0"/>
              <w:jc w:val="center"/>
              <w:rPr>
                <w:rFonts w:ascii="Times New Roman" w:hAnsi="Times New Roman" w:cs="Times New Roman" w:eastAsia="Times New Roman" w:hint="default"/>
                <w:sz w:val="18"/>
                <w:szCs w:val="18"/>
              </w:rPr>
            </w:pPr>
            <w:r>
              <w:rPr>
                <w:rFonts w:ascii="Times New Roman"/>
                <w:sz w:val="18"/>
              </w:rPr>
              <w:t>-268,223,</w:t>
            </w:r>
          </w:p>
          <w:p>
            <w:pPr>
              <w:pStyle w:val="TableParagraph"/>
              <w:spacing w:line="240" w:lineRule="auto" w:before="105"/>
              <w:ind w:left="233" w:right="0"/>
              <w:jc w:val="center"/>
              <w:rPr>
                <w:rFonts w:ascii="Times New Roman" w:hAnsi="Times New Roman" w:cs="Times New Roman" w:eastAsia="Times New Roman" w:hint="default"/>
                <w:sz w:val="18"/>
                <w:szCs w:val="18"/>
              </w:rPr>
            </w:pPr>
            <w:r>
              <w:rPr>
                <w:rFonts w:ascii="Times New Roman"/>
                <w:sz w:val="18"/>
              </w:rPr>
              <w:t>297.46</w:t>
            </w:r>
          </w:p>
        </w:tc>
      </w:tr>
      <w:tr>
        <w:trPr>
          <w:trHeight w:val="1027"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2" w:right="20"/>
              <w:jc w:val="left"/>
              <w:rPr>
                <w:rFonts w:ascii="宋体" w:hAnsi="宋体" w:cs="宋体" w:eastAsia="宋体" w:hint="default"/>
                <w:sz w:val="18"/>
                <w:szCs w:val="18"/>
              </w:rPr>
            </w:pPr>
            <w:r>
              <w:rPr>
                <w:rFonts w:ascii="宋体" w:hAnsi="宋体" w:cs="宋体" w:eastAsia="宋体" w:hint="default"/>
                <w:spacing w:val="-7"/>
                <w:sz w:val="18"/>
                <w:szCs w:val="18"/>
              </w:rPr>
              <w:t>（一）综合收益总</w:t>
            </w:r>
            <w:r>
              <w:rPr>
                <w:rFonts w:ascii="宋体" w:hAnsi="宋体" w:cs="宋体" w:eastAsia="宋体" w:hint="default"/>
                <w:sz w:val="18"/>
                <w:szCs w:val="18"/>
              </w:rPr>
              <w:t> 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6" w:right="0"/>
              <w:jc w:val="left"/>
              <w:rPr>
                <w:rFonts w:ascii="Times New Roman" w:hAnsi="Times New Roman" w:cs="Times New Roman" w:eastAsia="Times New Roman" w:hint="default"/>
                <w:sz w:val="18"/>
                <w:szCs w:val="18"/>
              </w:rPr>
            </w:pPr>
            <w:r>
              <w:rPr>
                <w:rFonts w:ascii="Times New Roman"/>
                <w:sz w:val="18"/>
              </w:rPr>
              <w:t>-5,688,18</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9.78</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-246,24</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pacing w:val="-1"/>
                <w:sz w:val="18"/>
              </w:rPr>
              <w:t>2,803.4</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6</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39" w:right="0"/>
              <w:jc w:val="center"/>
              <w:rPr>
                <w:rFonts w:ascii="Times New Roman" w:hAnsi="Times New Roman" w:cs="Times New Roman" w:eastAsia="Times New Roman" w:hint="default"/>
                <w:sz w:val="18"/>
                <w:szCs w:val="18"/>
              </w:rPr>
            </w:pPr>
            <w:r>
              <w:rPr>
                <w:rFonts w:ascii="Times New Roman"/>
                <w:sz w:val="18"/>
              </w:rPr>
              <w:t>-251,930,</w:t>
            </w:r>
          </w:p>
          <w:p>
            <w:pPr>
              <w:pStyle w:val="TableParagraph"/>
              <w:spacing w:line="240" w:lineRule="auto" w:before="105"/>
              <w:ind w:left="233" w:right="0"/>
              <w:jc w:val="center"/>
              <w:rPr>
                <w:rFonts w:ascii="Times New Roman" w:hAnsi="Times New Roman" w:cs="Times New Roman" w:eastAsia="Times New Roman" w:hint="default"/>
                <w:sz w:val="18"/>
                <w:szCs w:val="18"/>
              </w:rPr>
            </w:pPr>
            <w:r>
              <w:rPr>
                <w:rFonts w:ascii="Times New Roman"/>
                <w:sz w:val="18"/>
              </w:rPr>
              <w:t>993.24</w:t>
            </w:r>
          </w:p>
        </w:tc>
      </w:tr>
      <w:tr>
        <w:trPr>
          <w:trHeight w:val="71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20"/>
              <w:jc w:val="left"/>
              <w:rPr>
                <w:rFonts w:ascii="宋体" w:hAnsi="宋体" w:cs="宋体" w:eastAsia="宋体" w:hint="default"/>
                <w:sz w:val="18"/>
                <w:szCs w:val="18"/>
              </w:rPr>
            </w:pPr>
            <w:r>
              <w:rPr>
                <w:rFonts w:ascii="宋体" w:hAnsi="宋体" w:cs="宋体" w:eastAsia="宋体" w:hint="default"/>
                <w:spacing w:val="-7"/>
                <w:sz w:val="18"/>
                <w:szCs w:val="18"/>
              </w:rPr>
              <w:t>（二）所有者投入</w:t>
            </w:r>
            <w:r>
              <w:rPr>
                <w:rFonts w:ascii="宋体" w:hAnsi="宋体" w:cs="宋体" w:eastAsia="宋体" w:hint="default"/>
                <w:sz w:val="18"/>
                <w:szCs w:val="18"/>
              </w:rPr>
              <w:t> 和减少资本</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1" w:right="0"/>
              <w:jc w:val="left"/>
              <w:rPr>
                <w:rFonts w:ascii="Times New Roman" w:hAnsi="Times New Roman" w:cs="Times New Roman" w:eastAsia="Times New Roman" w:hint="default"/>
                <w:sz w:val="18"/>
                <w:szCs w:val="18"/>
              </w:rPr>
            </w:pPr>
            <w:r>
              <w:rPr>
                <w:rFonts w:ascii="Times New Roman"/>
                <w:sz w:val="18"/>
              </w:rPr>
              <w:t>26,855,9</w:t>
            </w:r>
          </w:p>
          <w:p>
            <w:pPr>
              <w:pStyle w:val="TableParagraph"/>
              <w:spacing w:line="240" w:lineRule="auto" w:before="105"/>
              <w:ind w:left="256" w:right="0"/>
              <w:jc w:val="left"/>
              <w:rPr>
                <w:rFonts w:ascii="Times New Roman" w:hAnsi="Times New Roman" w:cs="Times New Roman" w:eastAsia="Times New Roman" w:hint="default"/>
                <w:sz w:val="18"/>
                <w:szCs w:val="18"/>
              </w:rPr>
            </w:pPr>
            <w:r>
              <w:rPr>
                <w:rFonts w:ascii="Times New Roman"/>
                <w:sz w:val="18"/>
              </w:rPr>
              <w:t>69.00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327,930,4</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33.00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281,779,3</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71.87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8" w:right="0"/>
              <w:jc w:val="left"/>
              <w:rPr>
                <w:rFonts w:ascii="Times New Roman" w:hAnsi="Times New Roman" w:cs="Times New Roman" w:eastAsia="Times New Roman" w:hint="default"/>
                <w:sz w:val="18"/>
                <w:szCs w:val="18"/>
              </w:rPr>
            </w:pPr>
            <w:r>
              <w:rPr>
                <w:rFonts w:ascii="Times New Roman"/>
                <w:sz w:val="18"/>
              </w:rPr>
              <w:t>73,007,03</w:t>
            </w:r>
          </w:p>
          <w:p>
            <w:pPr>
              <w:pStyle w:val="TableParagraph"/>
              <w:spacing w:line="240" w:lineRule="auto" w:before="105"/>
              <w:ind w:left="434" w:right="0"/>
              <w:jc w:val="left"/>
              <w:rPr>
                <w:rFonts w:ascii="Times New Roman" w:hAnsi="Times New Roman" w:cs="Times New Roman" w:eastAsia="Times New Roman" w:hint="default"/>
                <w:sz w:val="18"/>
                <w:szCs w:val="18"/>
              </w:rPr>
            </w:pPr>
            <w:r>
              <w:rPr>
                <w:rFonts w:ascii="Times New Roman"/>
                <w:sz w:val="18"/>
              </w:rPr>
              <w:t>0.13</w:t>
            </w:r>
          </w:p>
        </w:tc>
      </w:tr>
      <w:tr>
        <w:trPr>
          <w:trHeight w:val="716"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．所有者投入的 普通股</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1" w:right="0"/>
              <w:jc w:val="left"/>
              <w:rPr>
                <w:rFonts w:ascii="Times New Roman" w:hAnsi="Times New Roman" w:cs="Times New Roman" w:eastAsia="Times New Roman" w:hint="default"/>
                <w:sz w:val="18"/>
                <w:szCs w:val="18"/>
              </w:rPr>
            </w:pPr>
            <w:r>
              <w:rPr>
                <w:rFonts w:ascii="Times New Roman"/>
                <w:sz w:val="18"/>
              </w:rPr>
              <w:t>26,855,9</w:t>
            </w:r>
          </w:p>
          <w:p>
            <w:pPr>
              <w:pStyle w:val="TableParagraph"/>
              <w:spacing w:line="240" w:lineRule="auto" w:before="105"/>
              <w:ind w:left="256" w:right="0"/>
              <w:jc w:val="left"/>
              <w:rPr>
                <w:rFonts w:ascii="Times New Roman" w:hAnsi="Times New Roman" w:cs="Times New Roman" w:eastAsia="Times New Roman" w:hint="default"/>
                <w:sz w:val="18"/>
                <w:szCs w:val="18"/>
              </w:rPr>
            </w:pPr>
            <w:r>
              <w:rPr>
                <w:rFonts w:ascii="Times New Roman"/>
                <w:sz w:val="18"/>
              </w:rPr>
              <w:t>69.00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300,340,2</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23.50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251,777,8</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89.28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8" w:right="0"/>
              <w:jc w:val="left"/>
              <w:rPr>
                <w:rFonts w:ascii="Times New Roman" w:hAnsi="Times New Roman" w:cs="Times New Roman" w:eastAsia="Times New Roman" w:hint="default"/>
                <w:sz w:val="18"/>
                <w:szCs w:val="18"/>
              </w:rPr>
            </w:pPr>
            <w:r>
              <w:rPr>
                <w:rFonts w:ascii="Times New Roman"/>
                <w:sz w:val="18"/>
              </w:rPr>
              <w:t>75,418,30</w:t>
            </w:r>
          </w:p>
          <w:p>
            <w:pPr>
              <w:pStyle w:val="TableParagraph"/>
              <w:spacing w:line="240" w:lineRule="auto" w:before="105"/>
              <w:ind w:left="434" w:right="0"/>
              <w:jc w:val="left"/>
              <w:rPr>
                <w:rFonts w:ascii="Times New Roman" w:hAnsi="Times New Roman" w:cs="Times New Roman" w:eastAsia="Times New Roman" w:hint="default"/>
                <w:sz w:val="18"/>
                <w:szCs w:val="18"/>
              </w:rPr>
            </w:pPr>
            <w:r>
              <w:rPr>
                <w:rFonts w:ascii="Times New Roman"/>
                <w:sz w:val="18"/>
              </w:rPr>
              <w:t>3.22</w:t>
            </w:r>
          </w:p>
        </w:tc>
      </w:tr>
      <w:tr>
        <w:trPr>
          <w:trHeight w:val="71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7"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 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27,590,20</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9.50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8" w:right="0"/>
              <w:jc w:val="left"/>
              <w:rPr>
                <w:rFonts w:ascii="Times New Roman" w:hAnsi="Times New Roman" w:cs="Times New Roman" w:eastAsia="Times New Roman" w:hint="default"/>
                <w:sz w:val="18"/>
                <w:szCs w:val="18"/>
              </w:rPr>
            </w:pPr>
            <w:r>
              <w:rPr>
                <w:rFonts w:ascii="Times New Roman"/>
                <w:sz w:val="18"/>
              </w:rPr>
              <w:t>27,590,20</w:t>
            </w:r>
          </w:p>
          <w:p>
            <w:pPr>
              <w:pStyle w:val="TableParagraph"/>
              <w:spacing w:line="240" w:lineRule="auto" w:before="105"/>
              <w:ind w:left="434" w:right="0"/>
              <w:jc w:val="left"/>
              <w:rPr>
                <w:rFonts w:ascii="Times New Roman" w:hAnsi="Times New Roman" w:cs="Times New Roman" w:eastAsia="Times New Roman" w:hint="default"/>
                <w:sz w:val="18"/>
                <w:szCs w:val="18"/>
              </w:rPr>
            </w:pPr>
            <w:r>
              <w:rPr>
                <w:rFonts w:ascii="Times New Roman"/>
                <w:sz w:val="18"/>
              </w:rPr>
              <w:t>9.50</w:t>
            </w:r>
          </w:p>
        </w:tc>
      </w:tr>
      <w:tr>
        <w:trPr>
          <w:trHeight w:val="71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30,001,48</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2.59</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9" w:right="0"/>
              <w:jc w:val="left"/>
              <w:rPr>
                <w:rFonts w:ascii="Times New Roman" w:hAnsi="Times New Roman" w:cs="Times New Roman" w:eastAsia="Times New Roman" w:hint="default"/>
                <w:sz w:val="18"/>
                <w:szCs w:val="18"/>
              </w:rPr>
            </w:pPr>
            <w:r>
              <w:rPr>
                <w:rFonts w:ascii="Times New Roman"/>
                <w:sz w:val="18"/>
              </w:rPr>
              <w:t>-30,001,4</w:t>
            </w:r>
          </w:p>
          <w:p>
            <w:pPr>
              <w:pStyle w:val="TableParagraph"/>
              <w:spacing w:line="240" w:lineRule="auto" w:before="105"/>
              <w:ind w:left="343" w:right="0"/>
              <w:jc w:val="left"/>
              <w:rPr>
                <w:rFonts w:ascii="Times New Roman" w:hAnsi="Times New Roman" w:cs="Times New Roman" w:eastAsia="Times New Roman" w:hint="default"/>
                <w:sz w:val="18"/>
                <w:szCs w:val="18"/>
              </w:rPr>
            </w:pPr>
            <w:r>
              <w:rPr>
                <w:rFonts w:ascii="Times New Roman"/>
                <w:sz w:val="18"/>
              </w:rPr>
              <w:t>82.59</w:t>
            </w:r>
          </w:p>
        </w:tc>
      </w:tr>
      <w:tr>
        <w:trPr>
          <w:trHeight w:val="715"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 w:right="0"/>
              <w:jc w:val="center"/>
              <w:rPr>
                <w:rFonts w:ascii="Times New Roman" w:hAnsi="Times New Roman" w:cs="Times New Roman" w:eastAsia="Times New Roman" w:hint="default"/>
                <w:sz w:val="18"/>
                <w:szCs w:val="18"/>
              </w:rPr>
            </w:pPr>
            <w:r>
              <w:rPr>
                <w:rFonts w:ascii="Times New Roman"/>
                <w:sz w:val="18"/>
              </w:rPr>
              <w:t>-54,997,</w:t>
            </w:r>
          </w:p>
          <w:p>
            <w:pPr>
              <w:pStyle w:val="TableParagraph"/>
              <w:spacing w:line="240" w:lineRule="auto" w:before="105"/>
              <w:ind w:left="125" w:right="0"/>
              <w:jc w:val="center"/>
              <w:rPr>
                <w:rFonts w:ascii="Times New Roman" w:hAnsi="Times New Roman" w:cs="Times New Roman" w:eastAsia="Times New Roman" w:hint="default"/>
                <w:sz w:val="18"/>
                <w:szCs w:val="18"/>
              </w:rPr>
            </w:pPr>
            <w:r>
              <w:rPr>
                <w:rFonts w:ascii="Times New Roman"/>
                <w:sz w:val="18"/>
              </w:rPr>
              <w:t>781.24</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9" w:right="0"/>
              <w:jc w:val="left"/>
              <w:rPr>
                <w:rFonts w:ascii="Times New Roman" w:hAnsi="Times New Roman" w:cs="Times New Roman" w:eastAsia="Times New Roman" w:hint="default"/>
                <w:sz w:val="18"/>
                <w:szCs w:val="18"/>
              </w:rPr>
            </w:pPr>
            <w:r>
              <w:rPr>
                <w:rFonts w:ascii="Times New Roman"/>
                <w:sz w:val="18"/>
              </w:rPr>
              <w:t>-54,997,7</w:t>
            </w:r>
          </w:p>
          <w:p>
            <w:pPr>
              <w:pStyle w:val="TableParagraph"/>
              <w:spacing w:line="240" w:lineRule="auto" w:before="105"/>
              <w:ind w:left="343" w:right="0"/>
              <w:jc w:val="left"/>
              <w:rPr>
                <w:rFonts w:ascii="Times New Roman" w:hAnsi="Times New Roman" w:cs="Times New Roman" w:eastAsia="Times New Roman" w:hint="default"/>
                <w:sz w:val="18"/>
                <w:szCs w:val="18"/>
              </w:rPr>
            </w:pPr>
            <w:r>
              <w:rPr>
                <w:rFonts w:ascii="Times New Roman"/>
                <w:sz w:val="18"/>
              </w:rPr>
              <w:t>81.24</w:t>
            </w:r>
          </w:p>
        </w:tc>
      </w:tr>
      <w:tr>
        <w:trPr>
          <w:trHeight w:val="401"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．对所有者（或 股东）的分配</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 w:right="0"/>
              <w:jc w:val="center"/>
              <w:rPr>
                <w:rFonts w:ascii="Times New Roman" w:hAnsi="Times New Roman" w:cs="Times New Roman" w:eastAsia="Times New Roman" w:hint="default"/>
                <w:sz w:val="18"/>
                <w:szCs w:val="18"/>
              </w:rPr>
            </w:pPr>
            <w:r>
              <w:rPr>
                <w:rFonts w:ascii="Times New Roman"/>
                <w:sz w:val="18"/>
              </w:rPr>
              <w:t>-54,997,</w:t>
            </w:r>
          </w:p>
          <w:p>
            <w:pPr>
              <w:pStyle w:val="TableParagraph"/>
              <w:spacing w:line="240" w:lineRule="auto" w:before="105"/>
              <w:ind w:left="125" w:right="0"/>
              <w:jc w:val="center"/>
              <w:rPr>
                <w:rFonts w:ascii="Times New Roman" w:hAnsi="Times New Roman" w:cs="Times New Roman" w:eastAsia="Times New Roman" w:hint="default"/>
                <w:sz w:val="18"/>
                <w:szCs w:val="18"/>
              </w:rPr>
            </w:pPr>
            <w:r>
              <w:rPr>
                <w:rFonts w:ascii="Times New Roman"/>
                <w:sz w:val="18"/>
              </w:rPr>
              <w:t>781.24</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9" w:right="0"/>
              <w:jc w:val="left"/>
              <w:rPr>
                <w:rFonts w:ascii="Times New Roman" w:hAnsi="Times New Roman" w:cs="Times New Roman" w:eastAsia="Times New Roman" w:hint="default"/>
                <w:sz w:val="18"/>
                <w:szCs w:val="18"/>
              </w:rPr>
            </w:pPr>
            <w:r>
              <w:rPr>
                <w:rFonts w:ascii="Times New Roman"/>
                <w:sz w:val="18"/>
              </w:rPr>
              <w:t>-54,997,7</w:t>
            </w:r>
          </w:p>
          <w:p>
            <w:pPr>
              <w:pStyle w:val="TableParagraph"/>
              <w:spacing w:line="240" w:lineRule="auto" w:before="105"/>
              <w:ind w:left="343" w:right="0"/>
              <w:jc w:val="left"/>
              <w:rPr>
                <w:rFonts w:ascii="Times New Roman" w:hAnsi="Times New Roman" w:cs="Times New Roman" w:eastAsia="Times New Roman" w:hint="default"/>
                <w:sz w:val="18"/>
                <w:szCs w:val="18"/>
              </w:rPr>
            </w:pPr>
            <w:r>
              <w:rPr>
                <w:rFonts w:ascii="Times New Roman"/>
                <w:sz w:val="18"/>
              </w:rPr>
              <w:t>81.24</w:t>
            </w:r>
          </w:p>
        </w:tc>
      </w:tr>
      <w:tr>
        <w:trPr>
          <w:trHeight w:val="401"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20"/>
              <w:jc w:val="left"/>
              <w:rPr>
                <w:rFonts w:ascii="宋体" w:hAnsi="宋体" w:cs="宋体" w:eastAsia="宋体" w:hint="default"/>
                <w:sz w:val="18"/>
                <w:szCs w:val="18"/>
              </w:rPr>
            </w:pPr>
            <w:r>
              <w:rPr>
                <w:rFonts w:ascii="宋体" w:hAnsi="宋体" w:cs="宋体" w:eastAsia="宋体" w:hint="default"/>
                <w:spacing w:val="-7"/>
                <w:sz w:val="18"/>
                <w:szCs w:val="18"/>
              </w:rPr>
              <w:t>（四）所有者权益</w:t>
            </w:r>
            <w:r>
              <w:rPr>
                <w:rFonts w:ascii="宋体" w:hAnsi="宋体" w:cs="宋体" w:eastAsia="宋体" w:hint="default"/>
                <w:sz w:val="18"/>
                <w:szCs w:val="18"/>
              </w:rPr>
              <w:t> 内部结转</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6"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 资本（或股本）</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7"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．设定受益计划 变动额结转留存 收益</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439"/>
        <w:gridCol w:w="691"/>
        <w:gridCol w:w="665"/>
        <w:gridCol w:w="668"/>
        <w:gridCol w:w="665"/>
        <w:gridCol w:w="797"/>
        <w:gridCol w:w="797"/>
        <w:gridCol w:w="797"/>
        <w:gridCol w:w="799"/>
        <w:gridCol w:w="797"/>
        <w:gridCol w:w="677"/>
        <w:gridCol w:w="780"/>
      </w:tblGrid>
      <w:tr>
        <w:trPr>
          <w:trHeight w:val="401"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1" w:right="0"/>
              <w:jc w:val="left"/>
              <w:rPr>
                <w:rFonts w:ascii="Times New Roman" w:hAnsi="Times New Roman" w:cs="Times New Roman" w:eastAsia="Times New Roman" w:hint="default"/>
                <w:sz w:val="18"/>
                <w:szCs w:val="18"/>
              </w:rPr>
            </w:pPr>
            <w:r>
              <w:rPr>
                <w:rFonts w:ascii="Times New Roman"/>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28" w:right="0"/>
              <w:jc w:val="left"/>
              <w:rPr>
                <w:rFonts w:ascii="Times New Roman" w:hAnsi="Times New Roman" w:cs="Times New Roman" w:eastAsia="Times New Roman" w:hint="default"/>
                <w:sz w:val="18"/>
                <w:szCs w:val="18"/>
              </w:rPr>
            </w:pPr>
            <w:r>
              <w:rPr>
                <w:rFonts w:ascii="Times New Roman"/>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34" w:right="0"/>
              <w:jc w:val="left"/>
              <w:rPr>
                <w:rFonts w:ascii="Times New Roman" w:hAnsi="Times New Roman" w:cs="Times New Roman" w:eastAsia="Times New Roman" w:hint="default"/>
                <w:sz w:val="18"/>
                <w:szCs w:val="18"/>
              </w:rPr>
            </w:pPr>
            <w:r>
              <w:rPr>
                <w:rFonts w:ascii="Times New Roman"/>
                <w:sz w:val="18"/>
              </w:rPr>
              <w:t>0.00</w:t>
            </w:r>
          </w:p>
        </w:tc>
      </w:tr>
      <w:tr>
        <w:trPr>
          <w:trHeight w:val="715"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5" w:right="0"/>
              <w:jc w:val="left"/>
              <w:rPr>
                <w:rFonts w:ascii="Times New Roman" w:hAnsi="Times New Roman" w:cs="Times New Roman" w:eastAsia="Times New Roman" w:hint="default"/>
                <w:sz w:val="18"/>
                <w:szCs w:val="18"/>
              </w:rPr>
            </w:pPr>
            <w:r>
              <w:rPr>
                <w:rFonts w:ascii="Times New Roman"/>
                <w:sz w:val="18"/>
              </w:rPr>
              <w:t>49,709,73</w:t>
            </w:r>
          </w:p>
          <w:p>
            <w:pPr>
              <w:pStyle w:val="TableParagraph"/>
              <w:spacing w:line="240" w:lineRule="auto" w:before="102"/>
              <w:ind w:left="451" w:right="0"/>
              <w:jc w:val="left"/>
              <w:rPr>
                <w:rFonts w:ascii="Times New Roman" w:hAnsi="Times New Roman" w:cs="Times New Roman" w:eastAsia="Times New Roman" w:hint="default"/>
                <w:sz w:val="18"/>
                <w:szCs w:val="18"/>
              </w:rPr>
            </w:pPr>
            <w:r>
              <w:rPr>
                <w:rFonts w:ascii="Times New Roman"/>
                <w:sz w:val="18"/>
              </w:rPr>
              <w:t>6.36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0" w:right="0"/>
              <w:jc w:val="left"/>
              <w:rPr>
                <w:rFonts w:ascii="Times New Roman" w:hAnsi="Times New Roman" w:cs="Times New Roman" w:eastAsia="Times New Roman" w:hint="default"/>
                <w:sz w:val="18"/>
                <w:szCs w:val="18"/>
              </w:rPr>
            </w:pPr>
            <w:r>
              <w:rPr>
                <w:rFonts w:ascii="Times New Roman"/>
                <w:sz w:val="18"/>
              </w:rPr>
              <w:t>-84,011,</w:t>
            </w:r>
          </w:p>
          <w:p>
            <w:pPr>
              <w:pStyle w:val="TableParagraph"/>
              <w:spacing w:line="240" w:lineRule="auto" w:before="102"/>
              <w:ind w:left="148" w:right="0"/>
              <w:jc w:val="left"/>
              <w:rPr>
                <w:rFonts w:ascii="Times New Roman" w:hAnsi="Times New Roman" w:cs="Times New Roman" w:eastAsia="Times New Roman" w:hint="default"/>
                <w:sz w:val="18"/>
                <w:szCs w:val="18"/>
              </w:rPr>
            </w:pPr>
            <w:r>
              <w:rPr>
                <w:rFonts w:ascii="Times New Roman"/>
                <w:sz w:val="18"/>
              </w:rPr>
              <w:t>289.47</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9" w:right="0"/>
              <w:jc w:val="left"/>
              <w:rPr>
                <w:rFonts w:ascii="Times New Roman" w:hAnsi="Times New Roman" w:cs="Times New Roman" w:eastAsia="Times New Roman" w:hint="default"/>
                <w:sz w:val="18"/>
                <w:szCs w:val="18"/>
              </w:rPr>
            </w:pPr>
            <w:r>
              <w:rPr>
                <w:rFonts w:ascii="Times New Roman"/>
                <w:sz w:val="18"/>
              </w:rPr>
              <w:t>-34,301,5</w:t>
            </w:r>
          </w:p>
          <w:p>
            <w:pPr>
              <w:pStyle w:val="TableParagraph"/>
              <w:spacing w:line="240" w:lineRule="auto" w:before="102"/>
              <w:ind w:left="350" w:right="0"/>
              <w:jc w:val="left"/>
              <w:rPr>
                <w:rFonts w:ascii="Times New Roman" w:hAnsi="Times New Roman" w:cs="Times New Roman" w:eastAsia="Times New Roman" w:hint="default"/>
                <w:sz w:val="18"/>
                <w:szCs w:val="18"/>
              </w:rPr>
            </w:pPr>
            <w:r>
              <w:rPr>
                <w:rFonts w:ascii="Times New Roman"/>
                <w:sz w:val="18"/>
              </w:rPr>
              <w:t>53.11</w:t>
            </w:r>
          </w:p>
        </w:tc>
      </w:tr>
      <w:tr>
        <w:trPr>
          <w:trHeight w:val="715"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pacing w:val="-7"/>
                <w:sz w:val="18"/>
                <w:szCs w:val="18"/>
              </w:rPr>
              <w:t>四、本期期末余额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1" w:right="0"/>
              <w:jc w:val="left"/>
              <w:rPr>
                <w:rFonts w:ascii="Times New Roman" w:hAnsi="Times New Roman" w:cs="Times New Roman" w:eastAsia="Times New Roman" w:hint="default"/>
                <w:sz w:val="18"/>
                <w:szCs w:val="18"/>
              </w:rPr>
            </w:pPr>
            <w:r>
              <w:rPr>
                <w:rFonts w:ascii="Times New Roman"/>
                <w:sz w:val="18"/>
              </w:rPr>
              <w:t>1,309,47</w:t>
            </w:r>
          </w:p>
          <w:p>
            <w:pPr>
              <w:pStyle w:val="TableParagraph"/>
              <w:spacing w:line="240" w:lineRule="auto" w:before="105"/>
              <w:ind w:left="31" w:right="0"/>
              <w:jc w:val="left"/>
              <w:rPr>
                <w:rFonts w:ascii="Times New Roman" w:hAnsi="Times New Roman" w:cs="Times New Roman" w:eastAsia="Times New Roman" w:hint="default"/>
                <w:sz w:val="18"/>
                <w:szCs w:val="18"/>
              </w:rPr>
            </w:pPr>
            <w:r>
              <w:rPr>
                <w:rFonts w:ascii="Times New Roman"/>
                <w:sz w:val="18"/>
              </w:rPr>
              <w:t>0,982.00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center"/>
              <w:rPr>
                <w:rFonts w:ascii="Times New Roman" w:hAnsi="Times New Roman" w:cs="Times New Roman" w:eastAsia="Times New Roman" w:hint="default"/>
                <w:sz w:val="18"/>
                <w:szCs w:val="18"/>
              </w:rPr>
            </w:pPr>
            <w:r>
              <w:rPr>
                <w:rFonts w:ascii="Times New Roman"/>
                <w:sz w:val="18"/>
              </w:rPr>
              <w:t>4,790,580</w:t>
            </w:r>
          </w:p>
          <w:p>
            <w:pPr>
              <w:pStyle w:val="TableParagraph"/>
              <w:spacing w:line="240" w:lineRule="auto" w:before="105"/>
              <w:ind w:left="204" w:right="0"/>
              <w:jc w:val="center"/>
              <w:rPr>
                <w:rFonts w:ascii="Times New Roman" w:hAnsi="Times New Roman" w:cs="Times New Roman" w:eastAsia="Times New Roman" w:hint="default"/>
                <w:sz w:val="18"/>
                <w:szCs w:val="18"/>
              </w:rPr>
            </w:pPr>
            <w:r>
              <w:rPr>
                <w:rFonts w:ascii="Times New Roman"/>
                <w:sz w:val="18"/>
              </w:rPr>
              <w:t>,637.93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359,752,5</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48.89</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6" w:right="0"/>
              <w:jc w:val="left"/>
              <w:rPr>
                <w:rFonts w:ascii="Times New Roman" w:hAnsi="Times New Roman" w:cs="Times New Roman" w:eastAsia="Times New Roman" w:hint="default"/>
                <w:sz w:val="18"/>
                <w:szCs w:val="18"/>
              </w:rPr>
            </w:pPr>
            <w:r>
              <w:rPr>
                <w:rFonts w:ascii="Times New Roman"/>
                <w:sz w:val="18"/>
              </w:rPr>
              <w:t>-5,688,18</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9.78</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122,019,8</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87.40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 w:right="0"/>
              <w:jc w:val="left"/>
              <w:rPr>
                <w:rFonts w:ascii="Times New Roman" w:hAnsi="Times New Roman" w:cs="Times New Roman" w:eastAsia="Times New Roman" w:hint="default"/>
                <w:sz w:val="18"/>
                <w:szCs w:val="18"/>
              </w:rPr>
            </w:pPr>
            <w:r>
              <w:rPr>
                <w:rFonts w:ascii="Times New Roman"/>
                <w:sz w:val="18"/>
              </w:rPr>
              <w:t>326,613</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,564.06</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6,183,244</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,332.72</w:t>
            </w:r>
          </w:p>
        </w:tc>
      </w:tr>
    </w:tbl>
    <w:p>
      <w:pPr>
        <w:pStyle w:val="BodyText"/>
        <w:spacing w:line="240" w:lineRule="auto" w:before="49"/>
        <w:ind w:right="982"/>
        <w:jc w:val="left"/>
      </w:pPr>
      <w:r>
        <w:rPr/>
        <w:t>上期金额</w:t>
      </w:r>
    </w:p>
    <w:p>
      <w:pPr>
        <w:pStyle w:val="BodyText"/>
        <w:spacing w:line="240" w:lineRule="auto" w:before="115"/>
        <w:ind w:left="0" w:right="1131"/>
        <w:jc w:val="right"/>
      </w:pPr>
      <w:r>
        <w:rPr/>
        <w:t>单位：元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428"/>
        <w:gridCol w:w="691"/>
        <w:gridCol w:w="665"/>
        <w:gridCol w:w="668"/>
        <w:gridCol w:w="665"/>
        <w:gridCol w:w="797"/>
        <w:gridCol w:w="797"/>
        <w:gridCol w:w="797"/>
        <w:gridCol w:w="799"/>
        <w:gridCol w:w="797"/>
        <w:gridCol w:w="677"/>
        <w:gridCol w:w="780"/>
      </w:tblGrid>
      <w:tr>
        <w:trPr>
          <w:trHeight w:val="396" w:hRule="exact"/>
        </w:trPr>
        <w:tc>
          <w:tcPr>
            <w:tcW w:w="1428" w:type="dxa"/>
            <w:tcBorders>
              <w:top w:val="single" w:sz="4" w:space="0" w:color="000000"/>
              <w:left w:val="single" w:sz="4" w:space="0" w:color="000000"/>
              <w:bottom w:val="nil" w:sz="6" w:space="0" w:color="auto"/>
              <w:right w:val="single" w:sz="4" w:space="0" w:color="000000"/>
            </w:tcBorders>
            <w:shd w:val="clear" w:color="auto" w:fill="D2D2D2"/>
          </w:tcPr>
          <w:p>
            <w:pPr/>
          </w:p>
        </w:tc>
        <w:tc>
          <w:tcPr>
            <w:tcW w:w="8133"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211" w:hRule="exact"/>
        </w:trPr>
        <w:tc>
          <w:tcPr>
            <w:tcW w:w="142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8"/>
              <w:ind w:right="9"/>
              <w:jc w:val="center"/>
              <w:rPr>
                <w:rFonts w:ascii="宋体" w:hAnsi="宋体" w:cs="宋体" w:eastAsia="宋体" w:hint="default"/>
                <w:sz w:val="18"/>
                <w:szCs w:val="18"/>
              </w:rPr>
            </w:pPr>
            <w:r>
              <w:rPr>
                <w:rFonts w:ascii="宋体" w:hAnsi="宋体" w:cs="宋体" w:eastAsia="宋体" w:hint="default"/>
                <w:sz w:val="18"/>
                <w:szCs w:val="18"/>
              </w:rPr>
              <w:t>项目</w:t>
            </w:r>
          </w:p>
        </w:tc>
        <w:tc>
          <w:tcPr>
            <w:tcW w:w="691" w:type="dxa"/>
            <w:tcBorders>
              <w:top w:val="single" w:sz="4" w:space="0" w:color="000000"/>
              <w:left w:val="single" w:sz="4" w:space="0" w:color="000000"/>
              <w:bottom w:val="nil" w:sz="6" w:space="0" w:color="auto"/>
              <w:right w:val="single" w:sz="4" w:space="0" w:color="000000"/>
            </w:tcBorders>
            <w:shd w:val="clear" w:color="auto" w:fill="D2D2D2"/>
          </w:tcPr>
          <w:p>
            <w:pPr/>
          </w:p>
        </w:tc>
        <w:tc>
          <w:tcPr>
            <w:tcW w:w="1997"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453"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9"/>
              <w:ind w:left="304" w:right="33" w:hanging="272"/>
              <w:jc w:val="left"/>
              <w:rPr>
                <w:rFonts w:ascii="宋体" w:hAnsi="宋体" w:cs="宋体" w:eastAsia="宋体" w:hint="default"/>
                <w:sz w:val="18"/>
                <w:szCs w:val="18"/>
              </w:rPr>
            </w:pPr>
            <w:r>
              <w:rPr>
                <w:rFonts w:ascii="宋体" w:hAnsi="宋体" w:cs="宋体" w:eastAsia="宋体" w:hint="default"/>
                <w:sz w:val="18"/>
                <w:szCs w:val="18"/>
              </w:rPr>
              <w:t>减：库存 股</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9"/>
              <w:ind w:left="213" w:right="31" w:hanging="180"/>
              <w:jc w:val="left"/>
              <w:rPr>
                <w:rFonts w:ascii="宋体" w:hAnsi="宋体" w:cs="宋体" w:eastAsia="宋体" w:hint="default"/>
                <w:sz w:val="18"/>
                <w:szCs w:val="18"/>
              </w:rPr>
            </w:pPr>
            <w:r>
              <w:rPr>
                <w:rFonts w:ascii="宋体" w:hAnsi="宋体" w:cs="宋体" w:eastAsia="宋体" w:hint="default"/>
                <w:sz w:val="18"/>
                <w:szCs w:val="18"/>
              </w:rPr>
              <w:t>其他综合 收益</w:t>
            </w:r>
          </w:p>
        </w:tc>
        <w:tc>
          <w:tcPr>
            <w:tcW w:w="799"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677"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9"/>
              <w:ind w:left="153" w:right="62" w:hanging="92"/>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780"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9"/>
              <w:ind w:left="115" w:right="23" w:hanging="89"/>
              <w:jc w:val="left"/>
              <w:rPr>
                <w:rFonts w:ascii="宋体" w:hAnsi="宋体" w:cs="宋体" w:eastAsia="宋体" w:hint="default"/>
                <w:sz w:val="18"/>
                <w:szCs w:val="18"/>
              </w:rPr>
            </w:pPr>
            <w:r>
              <w:rPr>
                <w:rFonts w:ascii="宋体" w:hAnsi="宋体" w:cs="宋体" w:eastAsia="宋体" w:hint="default"/>
                <w:sz w:val="18"/>
                <w:szCs w:val="18"/>
              </w:rPr>
              <w:t>所有者权 益合计</w:t>
            </w:r>
          </w:p>
        </w:tc>
      </w:tr>
      <w:tr>
        <w:trPr>
          <w:trHeight w:val="192" w:hRule="exact"/>
        </w:trPr>
        <w:tc>
          <w:tcPr>
            <w:tcW w:w="1428" w:type="dxa"/>
            <w:vMerge/>
            <w:tcBorders>
              <w:left w:val="single" w:sz="4" w:space="0" w:color="000000"/>
              <w:bottom w:val="nil" w:sz="6" w:space="0" w:color="auto"/>
              <w:right w:val="single" w:sz="4" w:space="0" w:color="000000"/>
            </w:tcBorders>
            <w:shd w:val="clear" w:color="auto" w:fill="D2D2D2"/>
          </w:tcPr>
          <w:p>
            <w:pPr/>
          </w:p>
        </w:tc>
        <w:tc>
          <w:tcPr>
            <w:tcW w:w="69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163"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997" w:type="dxa"/>
            <w:gridSpan w:val="3"/>
            <w:vMerge/>
            <w:tcBorders>
              <w:left w:val="single" w:sz="4" w:space="0" w:color="000000"/>
              <w:bottom w:val="single" w:sz="4" w:space="0" w:color="000000"/>
              <w:right w:val="single" w:sz="4" w:space="0" w:color="000000"/>
            </w:tcBorders>
            <w:shd w:val="clear" w:color="auto" w:fill="D2D2D2"/>
          </w:tcPr>
          <w:p>
            <w:pPr/>
          </w:p>
        </w:tc>
        <w:tc>
          <w:tcPr>
            <w:tcW w:w="7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3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797" w:type="dxa"/>
            <w:vMerge/>
            <w:tcBorders>
              <w:left w:val="single" w:sz="4" w:space="0" w:color="000000"/>
              <w:right w:val="single" w:sz="4" w:space="0" w:color="000000"/>
            </w:tcBorders>
            <w:shd w:val="clear" w:color="auto" w:fill="D2D2D2"/>
          </w:tcPr>
          <w:p>
            <w:pPr/>
          </w:p>
        </w:tc>
        <w:tc>
          <w:tcPr>
            <w:tcW w:w="797" w:type="dxa"/>
            <w:vMerge/>
            <w:tcBorders>
              <w:left w:val="single" w:sz="4" w:space="0" w:color="000000"/>
              <w:right w:val="single" w:sz="4" w:space="0" w:color="000000"/>
            </w:tcBorders>
            <w:shd w:val="clear" w:color="auto" w:fill="D2D2D2"/>
          </w:tcPr>
          <w:p>
            <w:pPr/>
          </w:p>
        </w:tc>
        <w:tc>
          <w:tcPr>
            <w:tcW w:w="79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3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7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3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677" w:type="dxa"/>
            <w:vMerge/>
            <w:tcBorders>
              <w:left w:val="single" w:sz="4" w:space="0" w:color="000000"/>
              <w:right w:val="single" w:sz="4" w:space="0" w:color="000000"/>
            </w:tcBorders>
            <w:shd w:val="clear" w:color="auto" w:fill="D2D2D2"/>
          </w:tcPr>
          <w:p>
            <w:pPr/>
          </w:p>
        </w:tc>
        <w:tc>
          <w:tcPr>
            <w:tcW w:w="780" w:type="dxa"/>
            <w:vMerge/>
            <w:tcBorders>
              <w:left w:val="single" w:sz="4" w:space="0" w:color="000000"/>
              <w:right w:val="single" w:sz="4" w:space="0" w:color="000000"/>
            </w:tcBorders>
            <w:shd w:val="clear" w:color="auto" w:fill="D2D2D2"/>
          </w:tcPr>
          <w:p>
            <w:pPr/>
          </w:p>
        </w:tc>
      </w:tr>
      <w:tr>
        <w:trPr>
          <w:trHeight w:val="199" w:hRule="exact"/>
        </w:trPr>
        <w:tc>
          <w:tcPr>
            <w:tcW w:w="1428" w:type="dxa"/>
            <w:vMerge w:val="restart"/>
            <w:tcBorders>
              <w:top w:val="nil" w:sz="6" w:space="0" w:color="auto"/>
              <w:left w:val="single" w:sz="4" w:space="0" w:color="000000"/>
              <w:right w:val="single" w:sz="4" w:space="0" w:color="000000"/>
            </w:tcBorders>
            <w:shd w:val="clear" w:color="auto" w:fill="D2D2D2"/>
          </w:tcPr>
          <w:p>
            <w:pPr/>
          </w:p>
        </w:tc>
        <w:tc>
          <w:tcPr>
            <w:tcW w:w="691" w:type="dxa"/>
            <w:vMerge/>
            <w:tcBorders>
              <w:left w:val="single" w:sz="4" w:space="0" w:color="000000"/>
              <w:bottom w:val="nil" w:sz="6" w:space="0" w:color="auto"/>
              <w:right w:val="single" w:sz="4" w:space="0" w:color="000000"/>
            </w:tcBorders>
            <w:shd w:val="clear" w:color="auto" w:fill="D2D2D2"/>
          </w:tcPr>
          <w:p>
            <w:pP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57" w:right="0"/>
              <w:jc w:val="left"/>
              <w:rPr>
                <w:rFonts w:ascii="宋体" w:hAnsi="宋体" w:cs="宋体" w:eastAsia="宋体" w:hint="default"/>
                <w:sz w:val="18"/>
                <w:szCs w:val="18"/>
              </w:rPr>
            </w:pPr>
            <w:r>
              <w:rPr>
                <w:rFonts w:ascii="宋体" w:hAnsi="宋体" w:cs="宋体" w:eastAsia="宋体" w:hint="default"/>
                <w:sz w:val="18"/>
                <w:szCs w:val="18"/>
              </w:rPr>
              <w:t>优先股</w:t>
            </w:r>
          </w:p>
        </w:tc>
        <w:tc>
          <w:tcPr>
            <w:tcW w:w="6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60"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4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7" w:type="dxa"/>
            <w:vMerge/>
            <w:tcBorders>
              <w:left w:val="single" w:sz="4" w:space="0" w:color="000000"/>
              <w:bottom w:val="nil" w:sz="6" w:space="0" w:color="auto"/>
              <w:right w:val="single" w:sz="4" w:space="0" w:color="000000"/>
            </w:tcBorders>
            <w:shd w:val="clear" w:color="auto" w:fill="D2D2D2"/>
          </w:tcPr>
          <w:p>
            <w:pPr/>
          </w:p>
        </w:tc>
        <w:tc>
          <w:tcPr>
            <w:tcW w:w="797" w:type="dxa"/>
            <w:vMerge/>
            <w:tcBorders>
              <w:left w:val="single" w:sz="4" w:space="0" w:color="000000"/>
              <w:right w:val="single" w:sz="4" w:space="0" w:color="000000"/>
            </w:tcBorders>
            <w:shd w:val="clear" w:color="auto" w:fill="D2D2D2"/>
          </w:tcPr>
          <w:p>
            <w:pPr/>
          </w:p>
        </w:tc>
        <w:tc>
          <w:tcPr>
            <w:tcW w:w="797" w:type="dxa"/>
            <w:vMerge/>
            <w:tcBorders>
              <w:left w:val="single" w:sz="4" w:space="0" w:color="000000"/>
              <w:right w:val="single" w:sz="4" w:space="0" w:color="000000"/>
            </w:tcBorders>
            <w:shd w:val="clear" w:color="auto" w:fill="D2D2D2"/>
          </w:tcPr>
          <w:p>
            <w:pPr/>
          </w:p>
        </w:tc>
        <w:tc>
          <w:tcPr>
            <w:tcW w:w="799" w:type="dxa"/>
            <w:vMerge/>
            <w:tcBorders>
              <w:left w:val="single" w:sz="4" w:space="0" w:color="000000"/>
              <w:bottom w:val="nil" w:sz="6" w:space="0" w:color="auto"/>
              <w:right w:val="single" w:sz="4" w:space="0" w:color="000000"/>
            </w:tcBorders>
            <w:shd w:val="clear" w:color="auto" w:fill="D2D2D2"/>
          </w:tcPr>
          <w:p>
            <w:pPr/>
          </w:p>
        </w:tc>
        <w:tc>
          <w:tcPr>
            <w:tcW w:w="797" w:type="dxa"/>
            <w:vMerge/>
            <w:tcBorders>
              <w:left w:val="single" w:sz="4" w:space="0" w:color="000000"/>
              <w:bottom w:val="nil" w:sz="6" w:space="0" w:color="auto"/>
              <w:right w:val="single" w:sz="4" w:space="0" w:color="000000"/>
            </w:tcBorders>
            <w:shd w:val="clear" w:color="auto" w:fill="D2D2D2"/>
          </w:tcPr>
          <w:p>
            <w:pPr/>
          </w:p>
        </w:tc>
        <w:tc>
          <w:tcPr>
            <w:tcW w:w="677" w:type="dxa"/>
            <w:vMerge/>
            <w:tcBorders>
              <w:left w:val="single" w:sz="4" w:space="0" w:color="000000"/>
              <w:right w:val="single" w:sz="4" w:space="0" w:color="000000"/>
            </w:tcBorders>
            <w:shd w:val="clear" w:color="auto" w:fill="D2D2D2"/>
          </w:tcPr>
          <w:p>
            <w:pPr/>
          </w:p>
        </w:tc>
        <w:tc>
          <w:tcPr>
            <w:tcW w:w="780" w:type="dxa"/>
            <w:vMerge/>
            <w:tcBorders>
              <w:left w:val="single" w:sz="4" w:space="0" w:color="000000"/>
              <w:right w:val="single" w:sz="4" w:space="0" w:color="000000"/>
            </w:tcBorders>
            <w:shd w:val="clear" w:color="auto" w:fill="D2D2D2"/>
          </w:tcPr>
          <w:p>
            <w:pPr/>
          </w:p>
        </w:tc>
      </w:tr>
      <w:tr>
        <w:trPr>
          <w:trHeight w:val="207" w:hRule="exact"/>
        </w:trPr>
        <w:tc>
          <w:tcPr>
            <w:tcW w:w="1428" w:type="dxa"/>
            <w:vMerge/>
            <w:tcBorders>
              <w:left w:val="single" w:sz="4" w:space="0" w:color="000000"/>
              <w:bottom w:val="single" w:sz="4" w:space="0" w:color="000000"/>
              <w:right w:val="single" w:sz="4" w:space="0" w:color="000000"/>
            </w:tcBorders>
            <w:shd w:val="clear" w:color="auto" w:fill="D2D2D2"/>
          </w:tcPr>
          <w:p>
            <w:pPr/>
          </w:p>
        </w:tc>
        <w:tc>
          <w:tcPr>
            <w:tcW w:w="691"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8"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799" w:type="dxa"/>
            <w:tcBorders>
              <w:top w:val="nil" w:sz="6" w:space="0" w:color="auto"/>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677" w:type="dxa"/>
            <w:vMerge/>
            <w:tcBorders>
              <w:left w:val="single" w:sz="4" w:space="0" w:color="000000"/>
              <w:bottom w:val="single" w:sz="4" w:space="0" w:color="000000"/>
              <w:right w:val="single" w:sz="4" w:space="0" w:color="000000"/>
            </w:tcBorders>
            <w:shd w:val="clear" w:color="auto" w:fill="D2D2D2"/>
          </w:tcPr>
          <w:p>
            <w:pPr/>
          </w:p>
        </w:tc>
        <w:tc>
          <w:tcPr>
            <w:tcW w:w="780" w:type="dxa"/>
            <w:vMerge/>
            <w:tcBorders>
              <w:left w:val="single" w:sz="4" w:space="0" w:color="000000"/>
              <w:bottom w:val="single" w:sz="4" w:space="0" w:color="000000"/>
              <w:right w:val="single" w:sz="4" w:space="0" w:color="000000"/>
            </w:tcBorders>
            <w:shd w:val="clear" w:color="auto" w:fill="D2D2D2"/>
          </w:tcPr>
          <w:p>
            <w:pPr/>
          </w:p>
        </w:tc>
      </w:tr>
      <w:tr>
        <w:trPr>
          <w:trHeight w:val="161" w:hRule="exact"/>
        </w:trPr>
        <w:tc>
          <w:tcPr>
            <w:tcW w:w="1428" w:type="dxa"/>
            <w:tcBorders>
              <w:top w:val="single" w:sz="4" w:space="0" w:color="000000"/>
              <w:left w:val="single" w:sz="4" w:space="0" w:color="000000"/>
              <w:bottom w:val="nil" w:sz="6" w:space="0" w:color="auto"/>
              <w:right w:val="single" w:sz="4" w:space="0" w:color="000000"/>
            </w:tcBorders>
            <w:shd w:val="clear" w:color="auto" w:fill="D2D2D2"/>
          </w:tcPr>
          <w:p>
            <w:pPr/>
          </w:p>
        </w:tc>
        <w:tc>
          <w:tcPr>
            <w:tcW w:w="691" w:type="dxa"/>
            <w:vMerge w:val="restart"/>
            <w:tcBorders>
              <w:top w:val="single" w:sz="4" w:space="0" w:color="000000"/>
              <w:left w:val="single" w:sz="10" w:space="0" w:color="D2D2D2"/>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1,066,52</w:t>
            </w:r>
          </w:p>
          <w:p>
            <w:pPr>
              <w:pStyle w:val="TableParagraph"/>
              <w:spacing w:line="240" w:lineRule="auto" w:before="105"/>
              <w:ind w:left="23" w:right="0"/>
              <w:jc w:val="left"/>
              <w:rPr>
                <w:rFonts w:ascii="Times New Roman" w:hAnsi="Times New Roman" w:cs="Times New Roman" w:eastAsia="Times New Roman" w:hint="default"/>
                <w:sz w:val="18"/>
                <w:szCs w:val="18"/>
              </w:rPr>
            </w:pPr>
            <w:r>
              <w:rPr>
                <w:rFonts w:ascii="Times New Roman"/>
                <w:sz w:val="18"/>
              </w:rPr>
              <w:t>7,265.00</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19" w:right="0"/>
              <w:jc w:val="left"/>
              <w:rPr>
                <w:rFonts w:ascii="Times New Roman" w:hAnsi="Times New Roman" w:cs="Times New Roman" w:eastAsia="Times New Roman" w:hint="default"/>
                <w:sz w:val="18"/>
                <w:szCs w:val="18"/>
              </w:rPr>
            </w:pPr>
            <w:r>
              <w:rPr>
                <w:rFonts w:ascii="Times New Roman"/>
                <w:sz w:val="18"/>
              </w:rPr>
              <w:t>0.00</w:t>
            </w:r>
          </w:p>
        </w:tc>
        <w:tc>
          <w:tcPr>
            <w:tcW w:w="668"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21" w:right="0"/>
              <w:jc w:val="left"/>
              <w:rPr>
                <w:rFonts w:ascii="Times New Roman" w:hAnsi="Times New Roman" w:cs="Times New Roman" w:eastAsia="Times New Roman" w:hint="default"/>
                <w:sz w:val="18"/>
                <w:szCs w:val="18"/>
              </w:rPr>
            </w:pPr>
            <w:r>
              <w:rPr>
                <w:rFonts w:ascii="Times New Roman"/>
                <w:sz w:val="18"/>
              </w:rPr>
              <w:t>0.00</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19" w:right="0"/>
              <w:jc w:val="left"/>
              <w:rPr>
                <w:rFonts w:ascii="Times New Roman" w:hAnsi="Times New Roman" w:cs="Times New Roman" w:eastAsia="Times New Roman" w:hint="default"/>
                <w:sz w:val="18"/>
                <w:szCs w:val="18"/>
              </w:rPr>
            </w:pPr>
            <w:r>
              <w:rPr>
                <w:rFonts w:ascii="Times New Roman"/>
                <w:sz w:val="18"/>
              </w:rPr>
              <w:t>0.00</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947,472,4</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06.38</w:t>
            </w:r>
          </w:p>
        </w:tc>
        <w:tc>
          <w:tcPr>
            <w:tcW w:w="797" w:type="dxa"/>
            <w:vMerge w:val="restart"/>
            <w:tcBorders>
              <w:top w:val="single" w:sz="22" w:space="0" w:color="D2D2D2"/>
              <w:left w:val="single" w:sz="4" w:space="0" w:color="000000"/>
              <w:right w:val="single" w:sz="4" w:space="0" w:color="000000"/>
            </w:tcBorders>
          </w:tcPr>
          <w:p>
            <w:pPr>
              <w:pStyle w:val="TableParagraph"/>
              <w:spacing w:line="240" w:lineRule="auto" w:before="68"/>
              <w:ind w:left="45" w:right="0"/>
              <w:jc w:val="left"/>
              <w:rPr>
                <w:rFonts w:ascii="Times New Roman" w:hAnsi="Times New Roman" w:cs="Times New Roman" w:eastAsia="Times New Roman" w:hint="default"/>
                <w:sz w:val="18"/>
                <w:szCs w:val="18"/>
              </w:rPr>
            </w:pPr>
            <w:r>
              <w:rPr>
                <w:rFonts w:ascii="Times New Roman"/>
                <w:sz w:val="18"/>
              </w:rPr>
              <w:t>157,907,4</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97.44</w:t>
            </w:r>
          </w:p>
        </w:tc>
        <w:tc>
          <w:tcPr>
            <w:tcW w:w="797" w:type="dxa"/>
            <w:vMerge w:val="restart"/>
            <w:tcBorders>
              <w:top w:val="single" w:sz="22" w:space="0" w:color="D2D2D2"/>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451" w:right="0"/>
              <w:jc w:val="left"/>
              <w:rPr>
                <w:rFonts w:ascii="Times New Roman" w:hAnsi="Times New Roman" w:cs="Times New Roman" w:eastAsia="Times New Roman" w:hint="default"/>
                <w:sz w:val="18"/>
                <w:szCs w:val="18"/>
              </w:rPr>
            </w:pPr>
            <w:r>
              <w:rPr>
                <w:rFonts w:ascii="Times New Roman"/>
                <w:sz w:val="18"/>
              </w:rPr>
              <w:t>0.00</w:t>
            </w:r>
          </w:p>
        </w:tc>
        <w:tc>
          <w:tcPr>
            <w:tcW w:w="799"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1" w:right="0"/>
              <w:jc w:val="left"/>
              <w:rPr>
                <w:rFonts w:ascii="Times New Roman" w:hAnsi="Times New Roman" w:cs="Times New Roman" w:eastAsia="Times New Roman" w:hint="default"/>
                <w:sz w:val="18"/>
                <w:szCs w:val="18"/>
              </w:rPr>
            </w:pPr>
            <w:r>
              <w:rPr>
                <w:rFonts w:ascii="Times New Roman"/>
                <w:sz w:val="18"/>
              </w:rPr>
              <w:t>0.00</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1"/>
              <w:ind w:left="59" w:right="0"/>
              <w:jc w:val="left"/>
              <w:rPr>
                <w:rFonts w:ascii="Times New Roman" w:hAnsi="Times New Roman" w:cs="Times New Roman" w:eastAsia="Times New Roman" w:hint="default"/>
                <w:sz w:val="18"/>
                <w:szCs w:val="18"/>
              </w:rPr>
            </w:pPr>
            <w:r>
              <w:rPr>
                <w:rFonts w:ascii="Times New Roman"/>
                <w:sz w:val="18"/>
              </w:rPr>
              <w:t>119,118,3</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34.23</w:t>
            </w:r>
          </w:p>
        </w:tc>
        <w:tc>
          <w:tcPr>
            <w:tcW w:w="677" w:type="dxa"/>
            <w:vMerge w:val="restart"/>
            <w:tcBorders>
              <w:top w:val="single" w:sz="22" w:space="0" w:color="D2D2D2"/>
              <w:left w:val="single" w:sz="4" w:space="0" w:color="000000"/>
              <w:right w:val="single" w:sz="4" w:space="0" w:color="000000"/>
            </w:tcBorders>
          </w:tcPr>
          <w:p>
            <w:pPr>
              <w:pStyle w:val="TableParagraph"/>
              <w:spacing w:line="240" w:lineRule="auto" w:before="68"/>
              <w:ind w:left="57" w:right="0"/>
              <w:jc w:val="left"/>
              <w:rPr>
                <w:rFonts w:ascii="Times New Roman" w:hAnsi="Times New Roman" w:cs="Times New Roman" w:eastAsia="Times New Roman" w:hint="default"/>
                <w:sz w:val="18"/>
                <w:szCs w:val="18"/>
              </w:rPr>
            </w:pPr>
            <w:r>
              <w:rPr>
                <w:rFonts w:ascii="Times New Roman"/>
                <w:sz w:val="18"/>
              </w:rPr>
              <w:t>734,959</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,435.33</w:t>
            </w:r>
          </w:p>
        </w:tc>
        <w:tc>
          <w:tcPr>
            <w:tcW w:w="780" w:type="dxa"/>
            <w:vMerge w:val="restart"/>
            <w:tcBorders>
              <w:top w:val="single" w:sz="22" w:space="0" w:color="D2D2D2"/>
              <w:left w:val="single" w:sz="4" w:space="0" w:color="000000"/>
              <w:right w:val="single" w:sz="4" w:space="0" w:color="000000"/>
            </w:tcBorders>
          </w:tcPr>
          <w:p>
            <w:pPr>
              <w:pStyle w:val="TableParagraph"/>
              <w:spacing w:line="240" w:lineRule="auto" w:before="68"/>
              <w:ind w:left="7" w:right="0"/>
              <w:jc w:val="center"/>
              <w:rPr>
                <w:rFonts w:ascii="Times New Roman" w:hAnsi="Times New Roman" w:cs="Times New Roman" w:eastAsia="Times New Roman" w:hint="default"/>
                <w:sz w:val="18"/>
                <w:szCs w:val="18"/>
              </w:rPr>
            </w:pPr>
            <w:r>
              <w:rPr>
                <w:rFonts w:ascii="Times New Roman"/>
                <w:sz w:val="18"/>
              </w:rPr>
              <w:t>2,710,169</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,943.50</w:t>
            </w:r>
          </w:p>
        </w:tc>
      </w:tr>
      <w:tr>
        <w:trPr>
          <w:trHeight w:val="394" w:hRule="exact"/>
        </w:trPr>
        <w:tc>
          <w:tcPr>
            <w:tcW w:w="142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7"/>
                <w:sz w:val="18"/>
                <w:szCs w:val="18"/>
              </w:rPr>
              <w:t>一、上年期末余额</w:t>
            </w:r>
          </w:p>
        </w:tc>
        <w:tc>
          <w:tcPr>
            <w:tcW w:w="691" w:type="dxa"/>
            <w:vMerge/>
            <w:tcBorders>
              <w:left w:val="single" w:sz="10" w:space="0" w:color="D2D2D2"/>
              <w:right w:val="single" w:sz="4" w:space="0" w:color="000000"/>
            </w:tcBorders>
          </w:tcPr>
          <w:p>
            <w:pPr/>
          </w:p>
        </w:tc>
        <w:tc>
          <w:tcPr>
            <w:tcW w:w="665" w:type="dxa"/>
            <w:vMerge/>
            <w:tcBorders>
              <w:left w:val="single" w:sz="4" w:space="0" w:color="000000"/>
              <w:right w:val="single" w:sz="4" w:space="0" w:color="000000"/>
            </w:tcBorders>
          </w:tcPr>
          <w:p>
            <w:pPr/>
          </w:p>
        </w:tc>
        <w:tc>
          <w:tcPr>
            <w:tcW w:w="668"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9"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677"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r>
      <w:tr>
        <w:trPr>
          <w:trHeight w:val="161" w:hRule="exact"/>
        </w:trPr>
        <w:tc>
          <w:tcPr>
            <w:tcW w:w="1428" w:type="dxa"/>
            <w:tcBorders>
              <w:top w:val="nil" w:sz="6" w:space="0" w:color="auto"/>
              <w:left w:val="single" w:sz="4" w:space="0" w:color="000000"/>
              <w:bottom w:val="single" w:sz="4" w:space="0" w:color="000000"/>
              <w:right w:val="single" w:sz="4" w:space="0" w:color="000000"/>
            </w:tcBorders>
            <w:shd w:val="clear" w:color="auto" w:fill="D2D2D2"/>
          </w:tcPr>
          <w:p>
            <w:pPr/>
          </w:p>
        </w:tc>
        <w:tc>
          <w:tcPr>
            <w:tcW w:w="691" w:type="dxa"/>
            <w:vMerge/>
            <w:tcBorders>
              <w:left w:val="single" w:sz="10" w:space="0" w:color="D2D2D2"/>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8"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9"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677"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r>
      <w:tr>
        <w:trPr>
          <w:trHeight w:val="713" w:hRule="exact"/>
        </w:trPr>
        <w:tc>
          <w:tcPr>
            <w:tcW w:w="14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12" w:right="19"/>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pacing w:val="-10"/>
                <w:sz w:val="18"/>
                <w:szCs w:val="18"/>
              </w:rPr>
              <w:t>加：会计政策</w:t>
            </w:r>
            <w:r>
              <w:rPr>
                <w:rFonts w:ascii="宋体" w:hAnsi="宋体" w:cs="宋体" w:eastAsia="宋体" w:hint="default"/>
                <w:sz w:val="18"/>
                <w:szCs w:val="18"/>
              </w:rPr>
              <w:t> 变更</w:t>
            </w:r>
          </w:p>
        </w:tc>
        <w:tc>
          <w:tcPr>
            <w:tcW w:w="69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4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44"/>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前期差 错更正</w:t>
            </w:r>
          </w:p>
        </w:tc>
        <w:tc>
          <w:tcPr>
            <w:tcW w:w="69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14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其他</w:t>
            </w:r>
          </w:p>
        </w:tc>
        <w:tc>
          <w:tcPr>
            <w:tcW w:w="69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61" w:hRule="exact"/>
        </w:trPr>
        <w:tc>
          <w:tcPr>
            <w:tcW w:w="1428" w:type="dxa"/>
            <w:tcBorders>
              <w:top w:val="single" w:sz="4" w:space="0" w:color="000000"/>
              <w:left w:val="single" w:sz="4" w:space="0" w:color="000000"/>
              <w:bottom w:val="nil" w:sz="6" w:space="0" w:color="auto"/>
              <w:right w:val="single" w:sz="4" w:space="0" w:color="000000"/>
            </w:tcBorders>
            <w:shd w:val="clear" w:color="auto" w:fill="D2D2D2"/>
          </w:tcPr>
          <w:p>
            <w:pPr/>
          </w:p>
        </w:tc>
        <w:tc>
          <w:tcPr>
            <w:tcW w:w="691" w:type="dxa"/>
            <w:vMerge w:val="restart"/>
            <w:tcBorders>
              <w:top w:val="single" w:sz="4" w:space="0" w:color="000000"/>
              <w:left w:val="single" w:sz="10" w:space="0" w:color="D2D2D2"/>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1,066,52</w:t>
            </w:r>
          </w:p>
          <w:p>
            <w:pPr>
              <w:pStyle w:val="TableParagraph"/>
              <w:spacing w:line="240" w:lineRule="auto" w:before="105"/>
              <w:ind w:left="23" w:right="0"/>
              <w:jc w:val="left"/>
              <w:rPr>
                <w:rFonts w:ascii="Times New Roman" w:hAnsi="Times New Roman" w:cs="Times New Roman" w:eastAsia="Times New Roman" w:hint="default"/>
                <w:sz w:val="18"/>
                <w:szCs w:val="18"/>
              </w:rPr>
            </w:pPr>
            <w:r>
              <w:rPr>
                <w:rFonts w:ascii="Times New Roman"/>
                <w:sz w:val="18"/>
              </w:rPr>
              <w:t>7,265.00</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19" w:right="0"/>
              <w:jc w:val="left"/>
              <w:rPr>
                <w:rFonts w:ascii="Times New Roman" w:hAnsi="Times New Roman" w:cs="Times New Roman" w:eastAsia="Times New Roman" w:hint="default"/>
                <w:sz w:val="18"/>
                <w:szCs w:val="18"/>
              </w:rPr>
            </w:pPr>
            <w:r>
              <w:rPr>
                <w:rFonts w:ascii="Times New Roman"/>
                <w:sz w:val="18"/>
              </w:rPr>
              <w:t>0.00</w:t>
            </w:r>
          </w:p>
        </w:tc>
        <w:tc>
          <w:tcPr>
            <w:tcW w:w="668"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21" w:right="0"/>
              <w:jc w:val="left"/>
              <w:rPr>
                <w:rFonts w:ascii="Times New Roman" w:hAnsi="Times New Roman" w:cs="Times New Roman" w:eastAsia="Times New Roman" w:hint="default"/>
                <w:sz w:val="18"/>
                <w:szCs w:val="18"/>
              </w:rPr>
            </w:pPr>
            <w:r>
              <w:rPr>
                <w:rFonts w:ascii="Times New Roman"/>
                <w:sz w:val="18"/>
              </w:rPr>
              <w:t>0.00</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19" w:right="0"/>
              <w:jc w:val="left"/>
              <w:rPr>
                <w:rFonts w:ascii="Times New Roman" w:hAnsi="Times New Roman" w:cs="Times New Roman" w:eastAsia="Times New Roman" w:hint="default"/>
                <w:sz w:val="18"/>
                <w:szCs w:val="18"/>
              </w:rPr>
            </w:pPr>
            <w:r>
              <w:rPr>
                <w:rFonts w:ascii="Times New Roman"/>
                <w:sz w:val="18"/>
              </w:rPr>
              <w:t>0.00</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947,472,4</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06.38</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157,907,4</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97.44</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1" w:right="0"/>
              <w:jc w:val="left"/>
              <w:rPr>
                <w:rFonts w:ascii="Times New Roman" w:hAnsi="Times New Roman" w:cs="Times New Roman" w:eastAsia="Times New Roman" w:hint="default"/>
                <w:sz w:val="18"/>
                <w:szCs w:val="18"/>
              </w:rPr>
            </w:pPr>
            <w:r>
              <w:rPr>
                <w:rFonts w:ascii="Times New Roman"/>
                <w:sz w:val="18"/>
              </w:rPr>
              <w:t>0.00</w:t>
            </w:r>
          </w:p>
        </w:tc>
        <w:tc>
          <w:tcPr>
            <w:tcW w:w="799"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1" w:right="0"/>
              <w:jc w:val="left"/>
              <w:rPr>
                <w:rFonts w:ascii="Times New Roman" w:hAnsi="Times New Roman" w:cs="Times New Roman" w:eastAsia="Times New Roman" w:hint="default"/>
                <w:sz w:val="18"/>
                <w:szCs w:val="18"/>
              </w:rPr>
            </w:pPr>
            <w:r>
              <w:rPr>
                <w:rFonts w:ascii="Times New Roman"/>
                <w:sz w:val="18"/>
              </w:rPr>
              <w:t>0.00</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1"/>
              <w:ind w:left="59" w:right="0"/>
              <w:jc w:val="left"/>
              <w:rPr>
                <w:rFonts w:ascii="Times New Roman" w:hAnsi="Times New Roman" w:cs="Times New Roman" w:eastAsia="Times New Roman" w:hint="default"/>
                <w:sz w:val="18"/>
                <w:szCs w:val="18"/>
              </w:rPr>
            </w:pPr>
            <w:r>
              <w:rPr>
                <w:rFonts w:ascii="Times New Roman"/>
                <w:sz w:val="18"/>
              </w:rPr>
              <w:t>119,118,3</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34.23</w:t>
            </w:r>
          </w:p>
        </w:tc>
        <w:tc>
          <w:tcPr>
            <w:tcW w:w="677" w:type="dxa"/>
            <w:vMerge w:val="restart"/>
            <w:tcBorders>
              <w:top w:val="single" w:sz="4" w:space="0" w:color="000000"/>
              <w:left w:val="single" w:sz="4" w:space="0" w:color="000000"/>
              <w:right w:val="single" w:sz="4" w:space="0" w:color="000000"/>
            </w:tcBorders>
          </w:tcPr>
          <w:p>
            <w:pPr>
              <w:pStyle w:val="TableParagraph"/>
              <w:spacing w:line="240" w:lineRule="auto" w:before="91"/>
              <w:ind w:left="57" w:right="0"/>
              <w:jc w:val="left"/>
              <w:rPr>
                <w:rFonts w:ascii="Times New Roman" w:hAnsi="Times New Roman" w:cs="Times New Roman" w:eastAsia="Times New Roman" w:hint="default"/>
                <w:sz w:val="18"/>
                <w:szCs w:val="18"/>
              </w:rPr>
            </w:pPr>
            <w:r>
              <w:rPr>
                <w:rFonts w:ascii="Times New Roman"/>
                <w:sz w:val="18"/>
              </w:rPr>
              <w:t>734,959</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,435.33</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2,710,169</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,943.50</w:t>
            </w:r>
          </w:p>
        </w:tc>
      </w:tr>
      <w:tr>
        <w:trPr>
          <w:trHeight w:val="394" w:hRule="exact"/>
        </w:trPr>
        <w:tc>
          <w:tcPr>
            <w:tcW w:w="142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7"/>
                <w:sz w:val="18"/>
                <w:szCs w:val="18"/>
              </w:rPr>
              <w:t>二、本年期初余额</w:t>
            </w:r>
          </w:p>
        </w:tc>
        <w:tc>
          <w:tcPr>
            <w:tcW w:w="691" w:type="dxa"/>
            <w:vMerge/>
            <w:tcBorders>
              <w:left w:val="single" w:sz="10" w:space="0" w:color="D2D2D2"/>
              <w:right w:val="single" w:sz="4" w:space="0" w:color="000000"/>
            </w:tcBorders>
          </w:tcPr>
          <w:p>
            <w:pPr/>
          </w:p>
        </w:tc>
        <w:tc>
          <w:tcPr>
            <w:tcW w:w="665" w:type="dxa"/>
            <w:vMerge/>
            <w:tcBorders>
              <w:left w:val="single" w:sz="4" w:space="0" w:color="000000"/>
              <w:right w:val="single" w:sz="4" w:space="0" w:color="000000"/>
            </w:tcBorders>
          </w:tcPr>
          <w:p>
            <w:pPr/>
          </w:p>
        </w:tc>
        <w:tc>
          <w:tcPr>
            <w:tcW w:w="668"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9"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677"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r>
      <w:tr>
        <w:trPr>
          <w:trHeight w:val="161" w:hRule="exact"/>
        </w:trPr>
        <w:tc>
          <w:tcPr>
            <w:tcW w:w="1428" w:type="dxa"/>
            <w:tcBorders>
              <w:top w:val="nil" w:sz="6" w:space="0" w:color="auto"/>
              <w:left w:val="single" w:sz="4" w:space="0" w:color="000000"/>
              <w:bottom w:val="single" w:sz="4" w:space="0" w:color="000000"/>
              <w:right w:val="single" w:sz="4" w:space="0" w:color="000000"/>
            </w:tcBorders>
            <w:shd w:val="clear" w:color="auto" w:fill="D2D2D2"/>
          </w:tcPr>
          <w:p>
            <w:pPr/>
          </w:p>
        </w:tc>
        <w:tc>
          <w:tcPr>
            <w:tcW w:w="691" w:type="dxa"/>
            <w:vMerge/>
            <w:tcBorders>
              <w:left w:val="single" w:sz="10" w:space="0" w:color="D2D2D2"/>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8"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9"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677"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r>
      <w:tr>
        <w:trPr>
          <w:trHeight w:val="1025" w:hRule="exact"/>
        </w:trPr>
        <w:tc>
          <w:tcPr>
            <w:tcW w:w="14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7" w:lineRule="auto" w:before="49"/>
              <w:ind w:left="12" w:right="18"/>
              <w:jc w:val="both"/>
              <w:rPr>
                <w:rFonts w:ascii="宋体" w:hAnsi="宋体" w:cs="宋体" w:eastAsia="宋体" w:hint="default"/>
                <w:sz w:val="18"/>
                <w:szCs w:val="18"/>
              </w:rPr>
            </w:pPr>
            <w:r>
              <w:rPr>
                <w:rFonts w:ascii="宋体" w:hAnsi="宋体" w:cs="宋体" w:eastAsia="宋体" w:hint="default"/>
                <w:spacing w:val="-7"/>
                <w:sz w:val="18"/>
                <w:szCs w:val="18"/>
              </w:rPr>
              <w:t>三、本期增减变动</w:t>
            </w:r>
            <w:r>
              <w:rPr>
                <w:rFonts w:ascii="宋体" w:hAnsi="宋体" w:cs="宋体" w:eastAsia="宋体" w:hint="default"/>
                <w:sz w:val="18"/>
                <w:szCs w:val="18"/>
              </w:rPr>
              <w:t> </w:t>
            </w:r>
            <w:r>
              <w:rPr>
                <w:rFonts w:ascii="宋体" w:hAnsi="宋体" w:cs="宋体" w:eastAsia="宋体" w:hint="default"/>
                <w:spacing w:val="-4"/>
                <w:sz w:val="18"/>
                <w:szCs w:val="18"/>
              </w:rPr>
              <w:t>金额（减少以</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号填列）</w:t>
            </w:r>
          </w:p>
        </w:tc>
        <w:tc>
          <w:tcPr>
            <w:tcW w:w="69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 w:right="0"/>
              <w:jc w:val="center"/>
              <w:rPr>
                <w:rFonts w:ascii="Times New Roman" w:hAnsi="Times New Roman" w:cs="Times New Roman" w:eastAsia="Times New Roman" w:hint="default"/>
                <w:sz w:val="18"/>
                <w:szCs w:val="18"/>
              </w:rPr>
            </w:pPr>
            <w:r>
              <w:rPr>
                <w:rFonts w:ascii="Times New Roman"/>
                <w:sz w:val="18"/>
              </w:rPr>
              <w:t>216,087,</w:t>
            </w:r>
          </w:p>
          <w:p>
            <w:pPr>
              <w:pStyle w:val="TableParagraph"/>
              <w:spacing w:line="240" w:lineRule="auto" w:before="102"/>
              <w:ind w:left="142" w:right="0"/>
              <w:jc w:val="center"/>
              <w:rPr>
                <w:rFonts w:ascii="Times New Roman" w:hAnsi="Times New Roman" w:cs="Times New Roman" w:eastAsia="Times New Roman" w:hint="default"/>
                <w:sz w:val="18"/>
                <w:szCs w:val="18"/>
              </w:rPr>
            </w:pPr>
            <w:r>
              <w:rPr>
                <w:rFonts w:ascii="Times New Roman"/>
                <w:sz w:val="18"/>
              </w:rPr>
              <w:t>748.00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 w:right="0"/>
              <w:jc w:val="center"/>
              <w:rPr>
                <w:rFonts w:ascii="Times New Roman" w:hAnsi="Times New Roman" w:cs="Times New Roman" w:eastAsia="Times New Roman" w:hint="default"/>
                <w:sz w:val="18"/>
                <w:szCs w:val="18"/>
              </w:rPr>
            </w:pPr>
            <w:r>
              <w:rPr>
                <w:rFonts w:ascii="Times New Roman"/>
                <w:sz w:val="18"/>
              </w:rPr>
              <w:t>3,465,468</w:t>
            </w:r>
          </w:p>
          <w:p>
            <w:pPr>
              <w:pStyle w:val="TableParagraph"/>
              <w:spacing w:line="240" w:lineRule="auto" w:before="102"/>
              <w:ind w:left="204" w:right="0"/>
              <w:jc w:val="center"/>
              <w:rPr>
                <w:rFonts w:ascii="Times New Roman" w:hAnsi="Times New Roman" w:cs="Times New Roman" w:eastAsia="Times New Roman" w:hint="default"/>
                <w:sz w:val="18"/>
                <w:szCs w:val="18"/>
              </w:rPr>
            </w:pPr>
            <w:r>
              <w:rPr>
                <w:rFonts w:ascii="Times New Roman"/>
                <w:sz w:val="18"/>
              </w:rPr>
              <w:t>,062.19</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6" w:right="0"/>
              <w:jc w:val="left"/>
              <w:rPr>
                <w:rFonts w:ascii="Times New Roman" w:hAnsi="Times New Roman" w:cs="Times New Roman" w:eastAsia="Times New Roman" w:hint="default"/>
                <w:sz w:val="18"/>
                <w:szCs w:val="18"/>
              </w:rPr>
            </w:pPr>
            <w:r>
              <w:rPr>
                <w:rFonts w:ascii="Times New Roman"/>
                <w:sz w:val="18"/>
              </w:rPr>
              <w:t>-79,934,3</w:t>
            </w:r>
          </w:p>
          <w:p>
            <w:pPr>
              <w:pStyle w:val="TableParagraph"/>
              <w:spacing w:line="240" w:lineRule="auto" w:before="102"/>
              <w:ind w:left="359" w:right="0"/>
              <w:jc w:val="left"/>
              <w:rPr>
                <w:rFonts w:ascii="Times New Roman" w:hAnsi="Times New Roman" w:cs="Times New Roman" w:eastAsia="Times New Roman" w:hint="default"/>
                <w:sz w:val="18"/>
                <w:szCs w:val="18"/>
              </w:rPr>
            </w:pPr>
            <w:r>
              <w:rPr>
                <w:rFonts w:ascii="Times New Roman"/>
                <w:sz w:val="18"/>
              </w:rPr>
              <w:t>20.42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2,901,553</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.17</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0" w:right="0"/>
              <w:jc w:val="center"/>
              <w:rPr>
                <w:rFonts w:ascii="Times New Roman" w:hAnsi="Times New Roman" w:cs="Times New Roman" w:eastAsia="Times New Roman" w:hint="default"/>
                <w:sz w:val="18"/>
                <w:szCs w:val="18"/>
              </w:rPr>
            </w:pPr>
            <w:r>
              <w:rPr>
                <w:rFonts w:ascii="Times New Roman"/>
                <w:sz w:val="18"/>
              </w:rPr>
              <w:t>-23,093,</w:t>
            </w:r>
          </w:p>
          <w:p>
            <w:pPr>
              <w:pStyle w:val="TableParagraph"/>
              <w:spacing w:line="240" w:lineRule="auto" w:before="102"/>
              <w:ind w:left="125" w:right="0"/>
              <w:jc w:val="center"/>
              <w:rPr>
                <w:rFonts w:ascii="Times New Roman" w:hAnsi="Times New Roman" w:cs="Times New Roman" w:eastAsia="Times New Roman" w:hint="default"/>
                <w:sz w:val="18"/>
                <w:szCs w:val="18"/>
              </w:rPr>
            </w:pPr>
            <w:r>
              <w:rPr>
                <w:rFonts w:ascii="Times New Roman"/>
                <w:sz w:val="18"/>
              </w:rPr>
              <w:t>997.10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3,741,297</w:t>
            </w:r>
          </w:p>
          <w:p>
            <w:pPr>
              <w:pStyle w:val="TableParagraph"/>
              <w:spacing w:line="240" w:lineRule="auto" w:before="102"/>
              <w:ind w:left="187" w:right="0"/>
              <w:jc w:val="center"/>
              <w:rPr>
                <w:rFonts w:ascii="Times New Roman" w:hAnsi="Times New Roman" w:cs="Times New Roman" w:eastAsia="Times New Roman" w:hint="default"/>
                <w:sz w:val="18"/>
                <w:szCs w:val="18"/>
              </w:rPr>
            </w:pPr>
            <w:r>
              <w:rPr>
                <w:rFonts w:ascii="Times New Roman"/>
                <w:sz w:val="18"/>
              </w:rPr>
              <w:t>,686.68</w:t>
            </w:r>
          </w:p>
        </w:tc>
      </w:tr>
      <w:tr>
        <w:trPr>
          <w:trHeight w:val="715" w:hRule="exact"/>
        </w:trPr>
        <w:tc>
          <w:tcPr>
            <w:tcW w:w="14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20"/>
              <w:jc w:val="left"/>
              <w:rPr>
                <w:rFonts w:ascii="宋体" w:hAnsi="宋体" w:cs="宋体" w:eastAsia="宋体" w:hint="default"/>
                <w:sz w:val="18"/>
                <w:szCs w:val="18"/>
              </w:rPr>
            </w:pPr>
            <w:r>
              <w:rPr>
                <w:rFonts w:ascii="宋体" w:hAnsi="宋体" w:cs="宋体" w:eastAsia="宋体" w:hint="default"/>
                <w:spacing w:val="-7"/>
                <w:sz w:val="18"/>
                <w:szCs w:val="18"/>
              </w:rPr>
              <w:t>（一）综合收益总</w:t>
            </w:r>
            <w:r>
              <w:rPr>
                <w:rFonts w:ascii="宋体" w:hAnsi="宋体" w:cs="宋体" w:eastAsia="宋体" w:hint="default"/>
                <w:sz w:val="18"/>
                <w:szCs w:val="18"/>
              </w:rPr>
              <w:t> 额</w:t>
            </w:r>
          </w:p>
        </w:tc>
        <w:tc>
          <w:tcPr>
            <w:tcW w:w="69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29,015,</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531.67</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8" w:right="0"/>
              <w:jc w:val="left"/>
              <w:rPr>
                <w:rFonts w:ascii="Times New Roman" w:hAnsi="Times New Roman" w:cs="Times New Roman" w:eastAsia="Times New Roman" w:hint="default"/>
                <w:sz w:val="18"/>
                <w:szCs w:val="18"/>
              </w:rPr>
            </w:pPr>
            <w:r>
              <w:rPr>
                <w:rFonts w:ascii="Times New Roman"/>
                <w:sz w:val="18"/>
              </w:rPr>
              <w:t>29,015,53</w:t>
            </w:r>
          </w:p>
          <w:p>
            <w:pPr>
              <w:pStyle w:val="TableParagraph"/>
              <w:spacing w:line="240" w:lineRule="auto" w:before="105"/>
              <w:ind w:left="434" w:right="0"/>
              <w:jc w:val="left"/>
              <w:rPr>
                <w:rFonts w:ascii="Times New Roman" w:hAnsi="Times New Roman" w:cs="Times New Roman" w:eastAsia="Times New Roman" w:hint="default"/>
                <w:sz w:val="18"/>
                <w:szCs w:val="18"/>
              </w:rPr>
            </w:pPr>
            <w:r>
              <w:rPr>
                <w:rFonts w:ascii="Times New Roman"/>
                <w:sz w:val="18"/>
              </w:rPr>
              <w:t>1.67</w:t>
            </w:r>
          </w:p>
        </w:tc>
      </w:tr>
      <w:tr>
        <w:trPr>
          <w:trHeight w:val="713" w:hRule="exact"/>
        </w:trPr>
        <w:tc>
          <w:tcPr>
            <w:tcW w:w="14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12" w:right="20"/>
              <w:jc w:val="left"/>
              <w:rPr>
                <w:rFonts w:ascii="宋体" w:hAnsi="宋体" w:cs="宋体" w:eastAsia="宋体" w:hint="default"/>
                <w:sz w:val="18"/>
                <w:szCs w:val="18"/>
              </w:rPr>
            </w:pPr>
            <w:r>
              <w:rPr>
                <w:rFonts w:ascii="宋体" w:hAnsi="宋体" w:cs="宋体" w:eastAsia="宋体" w:hint="default"/>
                <w:spacing w:val="-7"/>
                <w:sz w:val="18"/>
                <w:szCs w:val="18"/>
              </w:rPr>
              <w:t>（二）所有者投入</w:t>
            </w:r>
            <w:r>
              <w:rPr>
                <w:rFonts w:ascii="宋体" w:hAnsi="宋体" w:cs="宋体" w:eastAsia="宋体" w:hint="default"/>
                <w:sz w:val="18"/>
                <w:szCs w:val="18"/>
              </w:rPr>
              <w:t> 和减少资本</w:t>
            </w:r>
          </w:p>
        </w:tc>
        <w:tc>
          <w:tcPr>
            <w:tcW w:w="69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5" w:right="0"/>
              <w:jc w:val="center"/>
              <w:rPr>
                <w:rFonts w:ascii="Times New Roman" w:hAnsi="Times New Roman" w:cs="Times New Roman" w:eastAsia="Times New Roman" w:hint="default"/>
                <w:sz w:val="18"/>
                <w:szCs w:val="18"/>
              </w:rPr>
            </w:pPr>
            <w:r>
              <w:rPr>
                <w:rFonts w:ascii="Times New Roman"/>
                <w:sz w:val="18"/>
              </w:rPr>
              <w:t>216,087,</w:t>
            </w:r>
          </w:p>
          <w:p>
            <w:pPr>
              <w:pStyle w:val="TableParagraph"/>
              <w:spacing w:line="240" w:lineRule="auto" w:before="102"/>
              <w:ind w:left="142" w:right="0"/>
              <w:jc w:val="center"/>
              <w:rPr>
                <w:rFonts w:ascii="Times New Roman" w:hAnsi="Times New Roman" w:cs="Times New Roman" w:eastAsia="Times New Roman" w:hint="default"/>
                <w:sz w:val="18"/>
                <w:szCs w:val="18"/>
              </w:rPr>
            </w:pPr>
            <w:r>
              <w:rPr>
                <w:rFonts w:ascii="Times New Roman"/>
                <w:sz w:val="18"/>
              </w:rPr>
              <w:t>748.00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center"/>
              <w:rPr>
                <w:rFonts w:ascii="Times New Roman" w:hAnsi="Times New Roman" w:cs="Times New Roman" w:eastAsia="Times New Roman" w:hint="default"/>
                <w:sz w:val="18"/>
                <w:szCs w:val="18"/>
              </w:rPr>
            </w:pPr>
            <w:r>
              <w:rPr>
                <w:rFonts w:ascii="Times New Roman"/>
                <w:sz w:val="18"/>
              </w:rPr>
              <w:t>3,465,468</w:t>
            </w:r>
          </w:p>
          <w:p>
            <w:pPr>
              <w:pStyle w:val="TableParagraph"/>
              <w:spacing w:line="240" w:lineRule="auto" w:before="102"/>
              <w:ind w:left="204" w:right="0"/>
              <w:jc w:val="center"/>
              <w:rPr>
                <w:rFonts w:ascii="Times New Roman" w:hAnsi="Times New Roman" w:cs="Times New Roman" w:eastAsia="Times New Roman" w:hint="default"/>
                <w:sz w:val="18"/>
                <w:szCs w:val="18"/>
              </w:rPr>
            </w:pPr>
            <w:r>
              <w:rPr>
                <w:rFonts w:ascii="Times New Roman"/>
                <w:sz w:val="18"/>
              </w:rPr>
              <w:t>,062.19</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6" w:right="0"/>
              <w:jc w:val="left"/>
              <w:rPr>
                <w:rFonts w:ascii="Times New Roman" w:hAnsi="Times New Roman" w:cs="Times New Roman" w:eastAsia="Times New Roman" w:hint="default"/>
                <w:sz w:val="18"/>
                <w:szCs w:val="18"/>
              </w:rPr>
            </w:pPr>
            <w:r>
              <w:rPr>
                <w:rFonts w:ascii="Times New Roman"/>
                <w:sz w:val="18"/>
              </w:rPr>
              <w:t>-79,934,3</w:t>
            </w:r>
          </w:p>
          <w:p>
            <w:pPr>
              <w:pStyle w:val="TableParagraph"/>
              <w:spacing w:line="240" w:lineRule="auto" w:before="102"/>
              <w:ind w:left="359" w:right="0"/>
              <w:jc w:val="left"/>
              <w:rPr>
                <w:rFonts w:ascii="Times New Roman" w:hAnsi="Times New Roman" w:cs="Times New Roman" w:eastAsia="Times New Roman" w:hint="default"/>
                <w:sz w:val="18"/>
                <w:szCs w:val="18"/>
              </w:rPr>
            </w:pPr>
            <w:r>
              <w:rPr>
                <w:rFonts w:ascii="Times New Roman"/>
                <w:sz w:val="18"/>
              </w:rPr>
              <w:t>20.42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9" w:right="0"/>
              <w:jc w:val="center"/>
              <w:rPr>
                <w:rFonts w:ascii="Times New Roman" w:hAnsi="Times New Roman" w:cs="Times New Roman" w:eastAsia="Times New Roman" w:hint="default"/>
                <w:sz w:val="18"/>
                <w:szCs w:val="18"/>
              </w:rPr>
            </w:pPr>
            <w:r>
              <w:rPr>
                <w:rFonts w:ascii="Times New Roman"/>
                <w:sz w:val="18"/>
              </w:rPr>
              <w:t>-1,751,2</w:t>
            </w:r>
          </w:p>
          <w:p>
            <w:pPr>
              <w:pStyle w:val="TableParagraph"/>
              <w:spacing w:line="240" w:lineRule="auto" w:before="102"/>
              <w:ind w:left="214" w:right="0"/>
              <w:jc w:val="center"/>
              <w:rPr>
                <w:rFonts w:ascii="Times New Roman" w:hAnsi="Times New Roman" w:cs="Times New Roman" w:eastAsia="Times New Roman" w:hint="default"/>
                <w:sz w:val="18"/>
                <w:szCs w:val="18"/>
              </w:rPr>
            </w:pPr>
            <w:r>
              <w:rPr>
                <w:rFonts w:ascii="Times New Roman"/>
                <w:sz w:val="18"/>
              </w:rPr>
              <w:t>20.12</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3,759,738</w:t>
            </w:r>
          </w:p>
          <w:p>
            <w:pPr>
              <w:pStyle w:val="TableParagraph"/>
              <w:spacing w:line="240" w:lineRule="auto" w:before="102"/>
              <w:ind w:left="187" w:right="0"/>
              <w:jc w:val="center"/>
              <w:rPr>
                <w:rFonts w:ascii="Times New Roman" w:hAnsi="Times New Roman" w:cs="Times New Roman" w:eastAsia="Times New Roman" w:hint="default"/>
                <w:sz w:val="18"/>
                <w:szCs w:val="18"/>
              </w:rPr>
            </w:pPr>
            <w:r>
              <w:rPr>
                <w:rFonts w:ascii="Times New Roman"/>
                <w:sz w:val="18"/>
              </w:rPr>
              <w:t>,910.49</w:t>
            </w:r>
          </w:p>
        </w:tc>
      </w:tr>
      <w:tr>
        <w:trPr>
          <w:trHeight w:val="715" w:hRule="exact"/>
        </w:trPr>
        <w:tc>
          <w:tcPr>
            <w:tcW w:w="14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1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．所有者投入的 普通股</w:t>
            </w:r>
          </w:p>
        </w:tc>
        <w:tc>
          <w:tcPr>
            <w:tcW w:w="69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5" w:right="0"/>
              <w:jc w:val="center"/>
              <w:rPr>
                <w:rFonts w:ascii="Times New Roman" w:hAnsi="Times New Roman" w:cs="Times New Roman" w:eastAsia="Times New Roman" w:hint="default"/>
                <w:sz w:val="18"/>
                <w:szCs w:val="18"/>
              </w:rPr>
            </w:pPr>
            <w:r>
              <w:rPr>
                <w:rFonts w:ascii="Times New Roman"/>
                <w:sz w:val="18"/>
              </w:rPr>
              <w:t>216,087,</w:t>
            </w:r>
          </w:p>
          <w:p>
            <w:pPr>
              <w:pStyle w:val="TableParagraph"/>
              <w:spacing w:line="240" w:lineRule="auto" w:before="105"/>
              <w:ind w:left="142" w:right="0"/>
              <w:jc w:val="center"/>
              <w:rPr>
                <w:rFonts w:ascii="Times New Roman" w:hAnsi="Times New Roman" w:cs="Times New Roman" w:eastAsia="Times New Roman" w:hint="default"/>
                <w:sz w:val="18"/>
                <w:szCs w:val="18"/>
              </w:rPr>
            </w:pPr>
            <w:r>
              <w:rPr>
                <w:rFonts w:ascii="Times New Roman"/>
                <w:sz w:val="18"/>
              </w:rPr>
              <w:t>748.00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center"/>
              <w:rPr>
                <w:rFonts w:ascii="Times New Roman" w:hAnsi="Times New Roman" w:cs="Times New Roman" w:eastAsia="Times New Roman" w:hint="default"/>
                <w:sz w:val="18"/>
                <w:szCs w:val="18"/>
              </w:rPr>
            </w:pPr>
            <w:r>
              <w:rPr>
                <w:rFonts w:ascii="Times New Roman"/>
                <w:sz w:val="18"/>
              </w:rPr>
              <w:t>3,439,614</w:t>
            </w:r>
          </w:p>
          <w:p>
            <w:pPr>
              <w:pStyle w:val="TableParagraph"/>
              <w:spacing w:line="240" w:lineRule="auto" w:before="105"/>
              <w:ind w:left="204" w:right="0"/>
              <w:jc w:val="center"/>
              <w:rPr>
                <w:rFonts w:ascii="Times New Roman" w:hAnsi="Times New Roman" w:cs="Times New Roman" w:eastAsia="Times New Roman" w:hint="default"/>
                <w:sz w:val="18"/>
                <w:szCs w:val="18"/>
              </w:rPr>
            </w:pPr>
            <w:r>
              <w:rPr>
                <w:rFonts w:ascii="Times New Roman"/>
                <w:sz w:val="18"/>
              </w:rPr>
              <w:t>,014.33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6" w:right="0"/>
              <w:jc w:val="left"/>
              <w:rPr>
                <w:rFonts w:ascii="Times New Roman" w:hAnsi="Times New Roman" w:cs="Times New Roman" w:eastAsia="Times New Roman" w:hint="default"/>
                <w:sz w:val="18"/>
                <w:szCs w:val="18"/>
              </w:rPr>
            </w:pPr>
            <w:r>
              <w:rPr>
                <w:rFonts w:ascii="Times New Roman"/>
                <w:sz w:val="18"/>
              </w:rPr>
              <w:t>-79,934,3</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20.42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3,735,636</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,082.75</w:t>
            </w:r>
          </w:p>
        </w:tc>
      </w:tr>
      <w:tr>
        <w:trPr>
          <w:trHeight w:val="713" w:hRule="exact"/>
        </w:trPr>
        <w:tc>
          <w:tcPr>
            <w:tcW w:w="14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49"/>
              <w:ind w:left="1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69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7" w:hRule="exact"/>
        </w:trPr>
        <w:tc>
          <w:tcPr>
            <w:tcW w:w="14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1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 额</w:t>
            </w:r>
          </w:p>
        </w:tc>
        <w:tc>
          <w:tcPr>
            <w:tcW w:w="69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25,854,04</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7.86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8" w:right="0"/>
              <w:jc w:val="left"/>
              <w:rPr>
                <w:rFonts w:ascii="Times New Roman" w:hAnsi="Times New Roman" w:cs="Times New Roman" w:eastAsia="Times New Roman" w:hint="default"/>
                <w:sz w:val="18"/>
                <w:szCs w:val="18"/>
              </w:rPr>
            </w:pPr>
            <w:r>
              <w:rPr>
                <w:rFonts w:ascii="Times New Roman"/>
                <w:sz w:val="18"/>
              </w:rPr>
              <w:t>25,854,04</w:t>
            </w:r>
          </w:p>
          <w:p>
            <w:pPr>
              <w:pStyle w:val="TableParagraph"/>
              <w:spacing w:line="240" w:lineRule="auto" w:before="105"/>
              <w:ind w:left="434" w:right="0"/>
              <w:jc w:val="left"/>
              <w:rPr>
                <w:rFonts w:ascii="Times New Roman" w:hAnsi="Times New Roman" w:cs="Times New Roman" w:eastAsia="Times New Roman" w:hint="default"/>
                <w:sz w:val="18"/>
                <w:szCs w:val="18"/>
              </w:rPr>
            </w:pPr>
            <w:r>
              <w:rPr>
                <w:rFonts w:ascii="Times New Roman"/>
                <w:sz w:val="18"/>
              </w:rPr>
              <w:t>7.86</w:t>
            </w:r>
          </w:p>
        </w:tc>
      </w:tr>
      <w:tr>
        <w:trPr>
          <w:trHeight w:val="161" w:hRule="exact"/>
        </w:trPr>
        <w:tc>
          <w:tcPr>
            <w:tcW w:w="1428" w:type="dxa"/>
            <w:tcBorders>
              <w:top w:val="single" w:sz="4" w:space="0" w:color="000000"/>
              <w:left w:val="single" w:sz="4" w:space="0" w:color="000000"/>
              <w:bottom w:val="nil" w:sz="6" w:space="0" w:color="auto"/>
              <w:right w:val="single" w:sz="4" w:space="0" w:color="000000"/>
            </w:tcBorders>
            <w:shd w:val="clear" w:color="auto" w:fill="D2D2D2"/>
          </w:tcPr>
          <w:p>
            <w:pPr/>
          </w:p>
        </w:tc>
        <w:tc>
          <w:tcPr>
            <w:tcW w:w="691" w:type="dxa"/>
            <w:vMerge w:val="restart"/>
            <w:tcBorders>
              <w:top w:val="single" w:sz="4" w:space="0" w:color="000000"/>
              <w:left w:val="single" w:sz="10" w:space="0" w:color="D2D2D2"/>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40" w:right="0"/>
              <w:jc w:val="left"/>
              <w:rPr>
                <w:rFonts w:ascii="Times New Roman" w:hAnsi="Times New Roman" w:cs="Times New Roman" w:eastAsia="Times New Roman" w:hint="default"/>
                <w:sz w:val="18"/>
                <w:szCs w:val="18"/>
              </w:rPr>
            </w:pPr>
            <w:r>
              <w:rPr>
                <w:rFonts w:ascii="Times New Roman"/>
                <w:sz w:val="18"/>
              </w:rPr>
              <w:t>0.00</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19" w:right="0"/>
              <w:jc w:val="left"/>
              <w:rPr>
                <w:rFonts w:ascii="Times New Roman" w:hAnsi="Times New Roman" w:cs="Times New Roman" w:eastAsia="Times New Roman" w:hint="default"/>
                <w:sz w:val="18"/>
                <w:szCs w:val="18"/>
              </w:rPr>
            </w:pPr>
            <w:r>
              <w:rPr>
                <w:rFonts w:ascii="Times New Roman"/>
                <w:sz w:val="18"/>
              </w:rPr>
              <w:t>0.00</w:t>
            </w:r>
          </w:p>
        </w:tc>
        <w:tc>
          <w:tcPr>
            <w:tcW w:w="668"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21" w:right="0"/>
              <w:jc w:val="left"/>
              <w:rPr>
                <w:rFonts w:ascii="Times New Roman" w:hAnsi="Times New Roman" w:cs="Times New Roman" w:eastAsia="Times New Roman" w:hint="default"/>
                <w:sz w:val="18"/>
                <w:szCs w:val="18"/>
              </w:rPr>
            </w:pPr>
            <w:r>
              <w:rPr>
                <w:rFonts w:ascii="Times New Roman"/>
                <w:sz w:val="18"/>
              </w:rPr>
              <w:t>0.00</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19" w:right="0"/>
              <w:jc w:val="left"/>
              <w:rPr>
                <w:rFonts w:ascii="Times New Roman" w:hAnsi="Times New Roman" w:cs="Times New Roman" w:eastAsia="Times New Roman" w:hint="default"/>
                <w:sz w:val="18"/>
                <w:szCs w:val="18"/>
              </w:rPr>
            </w:pPr>
            <w:r>
              <w:rPr>
                <w:rFonts w:ascii="Times New Roman"/>
                <w:sz w:val="18"/>
              </w:rPr>
              <w:t>0.00</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1" w:right="0"/>
              <w:jc w:val="left"/>
              <w:rPr>
                <w:rFonts w:ascii="Times New Roman" w:hAnsi="Times New Roman" w:cs="Times New Roman" w:eastAsia="Times New Roman" w:hint="default"/>
                <w:sz w:val="18"/>
                <w:szCs w:val="18"/>
              </w:rPr>
            </w:pPr>
            <w:r>
              <w:rPr>
                <w:rFonts w:ascii="Times New Roman"/>
                <w:sz w:val="18"/>
              </w:rPr>
              <w:t>0.00</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1" w:right="0"/>
              <w:jc w:val="left"/>
              <w:rPr>
                <w:rFonts w:ascii="Times New Roman" w:hAnsi="Times New Roman" w:cs="Times New Roman" w:eastAsia="Times New Roman" w:hint="default"/>
                <w:sz w:val="18"/>
                <w:szCs w:val="18"/>
              </w:rPr>
            </w:pPr>
            <w:r>
              <w:rPr>
                <w:rFonts w:ascii="Times New Roman"/>
                <w:sz w:val="18"/>
              </w:rPr>
              <w:t>0.00</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1" w:right="0"/>
              <w:jc w:val="left"/>
              <w:rPr>
                <w:rFonts w:ascii="Times New Roman" w:hAnsi="Times New Roman" w:cs="Times New Roman" w:eastAsia="Times New Roman" w:hint="default"/>
                <w:sz w:val="18"/>
                <w:szCs w:val="18"/>
              </w:rPr>
            </w:pPr>
            <w:r>
              <w:rPr>
                <w:rFonts w:ascii="Times New Roman"/>
                <w:sz w:val="18"/>
              </w:rPr>
              <w:t>0.00</w:t>
            </w:r>
          </w:p>
        </w:tc>
        <w:tc>
          <w:tcPr>
            <w:tcW w:w="799"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1" w:right="0"/>
              <w:jc w:val="left"/>
              <w:rPr>
                <w:rFonts w:ascii="Times New Roman" w:hAnsi="Times New Roman" w:cs="Times New Roman" w:eastAsia="Times New Roman" w:hint="default"/>
                <w:sz w:val="18"/>
                <w:szCs w:val="18"/>
              </w:rPr>
            </w:pPr>
            <w:r>
              <w:rPr>
                <w:rFonts w:ascii="Times New Roman"/>
                <w:sz w:val="18"/>
              </w:rPr>
              <w:t>0.00</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1" w:right="0"/>
              <w:jc w:val="left"/>
              <w:rPr>
                <w:rFonts w:ascii="Times New Roman" w:hAnsi="Times New Roman" w:cs="Times New Roman" w:eastAsia="Times New Roman" w:hint="default"/>
                <w:sz w:val="18"/>
                <w:szCs w:val="18"/>
              </w:rPr>
            </w:pPr>
            <w:r>
              <w:rPr>
                <w:rFonts w:ascii="Times New Roman"/>
                <w:sz w:val="18"/>
              </w:rPr>
              <w:t>0.00</w:t>
            </w:r>
          </w:p>
        </w:tc>
        <w:tc>
          <w:tcPr>
            <w:tcW w:w="677" w:type="dxa"/>
            <w:vMerge w:val="restart"/>
            <w:tcBorders>
              <w:top w:val="single" w:sz="4" w:space="0" w:color="000000"/>
              <w:left w:val="single" w:sz="4" w:space="0" w:color="000000"/>
              <w:right w:val="single" w:sz="4" w:space="0" w:color="000000"/>
            </w:tcBorders>
          </w:tcPr>
          <w:p>
            <w:pPr>
              <w:pStyle w:val="TableParagraph"/>
              <w:spacing w:line="240" w:lineRule="auto" w:before="91"/>
              <w:ind w:left="19" w:right="0"/>
              <w:jc w:val="center"/>
              <w:rPr>
                <w:rFonts w:ascii="Times New Roman" w:hAnsi="Times New Roman" w:cs="Times New Roman" w:eastAsia="Times New Roman" w:hint="default"/>
                <w:sz w:val="18"/>
                <w:szCs w:val="18"/>
              </w:rPr>
            </w:pPr>
            <w:r>
              <w:rPr>
                <w:rFonts w:ascii="Times New Roman"/>
                <w:sz w:val="18"/>
              </w:rPr>
              <w:t>-1,751,2</w:t>
            </w:r>
          </w:p>
          <w:p>
            <w:pPr>
              <w:pStyle w:val="TableParagraph"/>
              <w:spacing w:line="240" w:lineRule="auto" w:before="102"/>
              <w:ind w:left="214" w:right="0"/>
              <w:jc w:val="center"/>
              <w:rPr>
                <w:rFonts w:ascii="Times New Roman" w:hAnsi="Times New Roman" w:cs="Times New Roman" w:eastAsia="Times New Roman" w:hint="default"/>
                <w:sz w:val="18"/>
                <w:szCs w:val="18"/>
              </w:rPr>
            </w:pPr>
            <w:r>
              <w:rPr>
                <w:rFonts w:ascii="Times New Roman"/>
                <w:sz w:val="18"/>
              </w:rPr>
              <w:t>20.12</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91"/>
              <w:ind w:left="59" w:right="0"/>
              <w:jc w:val="left"/>
              <w:rPr>
                <w:rFonts w:ascii="Times New Roman" w:hAnsi="Times New Roman" w:cs="Times New Roman" w:eastAsia="Times New Roman" w:hint="default"/>
                <w:sz w:val="18"/>
                <w:szCs w:val="18"/>
              </w:rPr>
            </w:pPr>
            <w:r>
              <w:rPr>
                <w:rFonts w:ascii="Times New Roman"/>
                <w:sz w:val="18"/>
              </w:rPr>
              <w:t>-1,751,22</w:t>
            </w:r>
          </w:p>
          <w:p>
            <w:pPr>
              <w:pStyle w:val="TableParagraph"/>
              <w:spacing w:line="240" w:lineRule="auto" w:before="102"/>
              <w:ind w:left="434" w:right="0"/>
              <w:jc w:val="left"/>
              <w:rPr>
                <w:rFonts w:ascii="Times New Roman" w:hAnsi="Times New Roman" w:cs="Times New Roman" w:eastAsia="Times New Roman" w:hint="default"/>
                <w:sz w:val="18"/>
                <w:szCs w:val="18"/>
              </w:rPr>
            </w:pPr>
            <w:r>
              <w:rPr>
                <w:rFonts w:ascii="Times New Roman"/>
                <w:sz w:val="18"/>
              </w:rPr>
              <w:t>0.12</w:t>
            </w:r>
          </w:p>
        </w:tc>
      </w:tr>
      <w:tr>
        <w:trPr>
          <w:trHeight w:val="391" w:hRule="exact"/>
        </w:trPr>
        <w:tc>
          <w:tcPr>
            <w:tcW w:w="142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91" w:type="dxa"/>
            <w:vMerge/>
            <w:tcBorders>
              <w:left w:val="single" w:sz="10" w:space="0" w:color="D2D2D2"/>
              <w:right w:val="single" w:sz="4" w:space="0" w:color="000000"/>
            </w:tcBorders>
          </w:tcPr>
          <w:p>
            <w:pPr/>
          </w:p>
        </w:tc>
        <w:tc>
          <w:tcPr>
            <w:tcW w:w="665" w:type="dxa"/>
            <w:vMerge/>
            <w:tcBorders>
              <w:left w:val="single" w:sz="4" w:space="0" w:color="000000"/>
              <w:right w:val="single" w:sz="4" w:space="0" w:color="000000"/>
            </w:tcBorders>
          </w:tcPr>
          <w:p>
            <w:pPr/>
          </w:p>
        </w:tc>
        <w:tc>
          <w:tcPr>
            <w:tcW w:w="668"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9"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677"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r>
      <w:tr>
        <w:trPr>
          <w:trHeight w:val="161" w:hRule="exact"/>
        </w:trPr>
        <w:tc>
          <w:tcPr>
            <w:tcW w:w="1428" w:type="dxa"/>
            <w:tcBorders>
              <w:top w:val="nil" w:sz="6" w:space="0" w:color="auto"/>
              <w:left w:val="single" w:sz="4" w:space="0" w:color="000000"/>
              <w:bottom w:val="single" w:sz="4" w:space="0" w:color="000000"/>
              <w:right w:val="single" w:sz="4" w:space="0" w:color="000000"/>
            </w:tcBorders>
            <w:shd w:val="clear" w:color="auto" w:fill="D2D2D2"/>
          </w:tcPr>
          <w:p>
            <w:pPr/>
          </w:p>
        </w:tc>
        <w:tc>
          <w:tcPr>
            <w:tcW w:w="691" w:type="dxa"/>
            <w:vMerge/>
            <w:tcBorders>
              <w:left w:val="single" w:sz="10" w:space="0" w:color="D2D2D2"/>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8"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9"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677"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r>
      <w:tr>
        <w:trPr>
          <w:trHeight w:val="161" w:hRule="exact"/>
        </w:trPr>
        <w:tc>
          <w:tcPr>
            <w:tcW w:w="1428" w:type="dxa"/>
            <w:tcBorders>
              <w:top w:val="single" w:sz="4" w:space="0" w:color="000000"/>
              <w:left w:val="single" w:sz="4" w:space="0" w:color="000000"/>
              <w:bottom w:val="nil" w:sz="6" w:space="0" w:color="auto"/>
              <w:right w:val="single" w:sz="4" w:space="0" w:color="000000"/>
            </w:tcBorders>
            <w:shd w:val="clear" w:color="auto" w:fill="D2D2D2"/>
          </w:tcPr>
          <w:p>
            <w:pPr/>
          </w:p>
        </w:tc>
        <w:tc>
          <w:tcPr>
            <w:tcW w:w="691" w:type="dxa"/>
            <w:vMerge w:val="restart"/>
            <w:tcBorders>
              <w:top w:val="single" w:sz="4" w:space="0" w:color="000000"/>
              <w:left w:val="single" w:sz="10" w:space="0" w:color="D2D2D2"/>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40" w:right="0"/>
              <w:jc w:val="left"/>
              <w:rPr>
                <w:rFonts w:ascii="Times New Roman" w:hAnsi="Times New Roman" w:cs="Times New Roman" w:eastAsia="Times New Roman" w:hint="default"/>
                <w:sz w:val="18"/>
                <w:szCs w:val="18"/>
              </w:rPr>
            </w:pPr>
            <w:r>
              <w:rPr>
                <w:rFonts w:ascii="Times New Roman"/>
                <w:sz w:val="18"/>
              </w:rPr>
              <w:t>0.00</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19" w:right="0"/>
              <w:jc w:val="left"/>
              <w:rPr>
                <w:rFonts w:ascii="Times New Roman" w:hAnsi="Times New Roman" w:cs="Times New Roman" w:eastAsia="Times New Roman" w:hint="default"/>
                <w:sz w:val="18"/>
                <w:szCs w:val="18"/>
              </w:rPr>
            </w:pPr>
            <w:r>
              <w:rPr>
                <w:rFonts w:ascii="Times New Roman"/>
                <w:sz w:val="18"/>
              </w:rPr>
              <w:t>0.00</w:t>
            </w:r>
          </w:p>
        </w:tc>
        <w:tc>
          <w:tcPr>
            <w:tcW w:w="668"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21" w:right="0"/>
              <w:jc w:val="left"/>
              <w:rPr>
                <w:rFonts w:ascii="Times New Roman" w:hAnsi="Times New Roman" w:cs="Times New Roman" w:eastAsia="Times New Roman" w:hint="default"/>
                <w:sz w:val="18"/>
                <w:szCs w:val="18"/>
              </w:rPr>
            </w:pPr>
            <w:r>
              <w:rPr>
                <w:rFonts w:ascii="Times New Roman"/>
                <w:sz w:val="18"/>
              </w:rPr>
              <w:t>0.00</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19" w:right="0"/>
              <w:jc w:val="left"/>
              <w:rPr>
                <w:rFonts w:ascii="Times New Roman" w:hAnsi="Times New Roman" w:cs="Times New Roman" w:eastAsia="Times New Roman" w:hint="default"/>
                <w:sz w:val="18"/>
                <w:szCs w:val="18"/>
              </w:rPr>
            </w:pPr>
            <w:r>
              <w:rPr>
                <w:rFonts w:ascii="Times New Roman"/>
                <w:sz w:val="18"/>
              </w:rPr>
              <w:t>0.00</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1" w:right="0"/>
              <w:jc w:val="left"/>
              <w:rPr>
                <w:rFonts w:ascii="Times New Roman" w:hAnsi="Times New Roman" w:cs="Times New Roman" w:eastAsia="Times New Roman" w:hint="default"/>
                <w:sz w:val="18"/>
                <w:szCs w:val="18"/>
              </w:rPr>
            </w:pPr>
            <w:r>
              <w:rPr>
                <w:rFonts w:ascii="Times New Roman"/>
                <w:sz w:val="18"/>
              </w:rPr>
              <w:t>0.00</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1" w:right="0"/>
              <w:jc w:val="left"/>
              <w:rPr>
                <w:rFonts w:ascii="Times New Roman" w:hAnsi="Times New Roman" w:cs="Times New Roman" w:eastAsia="Times New Roman" w:hint="default"/>
                <w:sz w:val="18"/>
                <w:szCs w:val="18"/>
              </w:rPr>
            </w:pPr>
            <w:r>
              <w:rPr>
                <w:rFonts w:ascii="Times New Roman"/>
                <w:sz w:val="18"/>
              </w:rPr>
              <w:t>0.00</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1" w:right="0"/>
              <w:jc w:val="left"/>
              <w:rPr>
                <w:rFonts w:ascii="Times New Roman" w:hAnsi="Times New Roman" w:cs="Times New Roman" w:eastAsia="Times New Roman" w:hint="default"/>
                <w:sz w:val="18"/>
                <w:szCs w:val="18"/>
              </w:rPr>
            </w:pPr>
            <w:r>
              <w:rPr>
                <w:rFonts w:ascii="Times New Roman"/>
                <w:sz w:val="18"/>
              </w:rPr>
              <w:t>0.00</w:t>
            </w:r>
          </w:p>
        </w:tc>
        <w:tc>
          <w:tcPr>
            <w:tcW w:w="799"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1" w:right="0"/>
              <w:jc w:val="left"/>
              <w:rPr>
                <w:rFonts w:ascii="Times New Roman" w:hAnsi="Times New Roman" w:cs="Times New Roman" w:eastAsia="Times New Roman" w:hint="default"/>
                <w:sz w:val="18"/>
                <w:szCs w:val="18"/>
              </w:rPr>
            </w:pPr>
            <w:r>
              <w:rPr>
                <w:rFonts w:ascii="Times New Roman"/>
                <w:sz w:val="18"/>
              </w:rPr>
              <w:t>0.00</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2,901,553</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.17</w:t>
            </w:r>
          </w:p>
        </w:tc>
        <w:tc>
          <w:tcPr>
            <w:tcW w:w="677" w:type="dxa"/>
            <w:vMerge w:val="restart"/>
            <w:tcBorders>
              <w:top w:val="single" w:sz="4" w:space="0" w:color="000000"/>
              <w:left w:val="single" w:sz="4" w:space="0" w:color="000000"/>
              <w:right w:val="single" w:sz="4" w:space="0" w:color="000000"/>
            </w:tcBorders>
          </w:tcPr>
          <w:p>
            <w:pPr>
              <w:pStyle w:val="TableParagraph"/>
              <w:spacing w:line="240" w:lineRule="auto" w:before="91"/>
              <w:ind w:left="20" w:right="0"/>
              <w:jc w:val="center"/>
              <w:rPr>
                <w:rFonts w:ascii="Times New Roman" w:hAnsi="Times New Roman" w:cs="Times New Roman" w:eastAsia="Times New Roman" w:hint="default"/>
                <w:sz w:val="18"/>
                <w:szCs w:val="18"/>
              </w:rPr>
            </w:pPr>
            <w:r>
              <w:rPr>
                <w:rFonts w:ascii="Times New Roman"/>
                <w:sz w:val="18"/>
              </w:rPr>
              <w:t>-50,358,</w:t>
            </w:r>
          </w:p>
          <w:p>
            <w:pPr>
              <w:pStyle w:val="TableParagraph"/>
              <w:spacing w:line="240" w:lineRule="auto" w:before="105"/>
              <w:ind w:left="125" w:right="0"/>
              <w:jc w:val="center"/>
              <w:rPr>
                <w:rFonts w:ascii="Times New Roman" w:hAnsi="Times New Roman" w:cs="Times New Roman" w:eastAsia="Times New Roman" w:hint="default"/>
                <w:sz w:val="18"/>
                <w:szCs w:val="18"/>
              </w:rPr>
            </w:pPr>
            <w:r>
              <w:rPr>
                <w:rFonts w:ascii="Times New Roman"/>
                <w:sz w:val="18"/>
              </w:rPr>
              <w:t>308.65</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91"/>
              <w:ind w:left="59" w:right="0"/>
              <w:jc w:val="left"/>
              <w:rPr>
                <w:rFonts w:ascii="Times New Roman" w:hAnsi="Times New Roman" w:cs="Times New Roman" w:eastAsia="Times New Roman" w:hint="default"/>
                <w:sz w:val="18"/>
                <w:szCs w:val="18"/>
              </w:rPr>
            </w:pPr>
            <w:r>
              <w:rPr>
                <w:rFonts w:ascii="Times New Roman"/>
                <w:sz w:val="18"/>
              </w:rPr>
              <w:t>-47,456,7</w:t>
            </w:r>
          </w:p>
          <w:p>
            <w:pPr>
              <w:pStyle w:val="TableParagraph"/>
              <w:spacing w:line="240" w:lineRule="auto" w:before="105"/>
              <w:ind w:left="343" w:right="0"/>
              <w:jc w:val="left"/>
              <w:rPr>
                <w:rFonts w:ascii="Times New Roman" w:hAnsi="Times New Roman" w:cs="Times New Roman" w:eastAsia="Times New Roman" w:hint="default"/>
                <w:sz w:val="18"/>
                <w:szCs w:val="18"/>
              </w:rPr>
            </w:pPr>
            <w:r>
              <w:rPr>
                <w:rFonts w:ascii="Times New Roman"/>
                <w:sz w:val="18"/>
              </w:rPr>
              <w:t>55.48</w:t>
            </w:r>
          </w:p>
        </w:tc>
      </w:tr>
      <w:tr>
        <w:trPr>
          <w:trHeight w:val="394" w:hRule="exact"/>
        </w:trPr>
        <w:tc>
          <w:tcPr>
            <w:tcW w:w="142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691" w:type="dxa"/>
            <w:vMerge/>
            <w:tcBorders>
              <w:left w:val="single" w:sz="10" w:space="0" w:color="D2D2D2"/>
              <w:right w:val="single" w:sz="4" w:space="0" w:color="000000"/>
            </w:tcBorders>
          </w:tcPr>
          <w:p>
            <w:pPr/>
          </w:p>
        </w:tc>
        <w:tc>
          <w:tcPr>
            <w:tcW w:w="665" w:type="dxa"/>
            <w:vMerge/>
            <w:tcBorders>
              <w:left w:val="single" w:sz="4" w:space="0" w:color="000000"/>
              <w:right w:val="single" w:sz="4" w:space="0" w:color="000000"/>
            </w:tcBorders>
          </w:tcPr>
          <w:p>
            <w:pPr/>
          </w:p>
        </w:tc>
        <w:tc>
          <w:tcPr>
            <w:tcW w:w="668"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9"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677"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r>
      <w:tr>
        <w:trPr>
          <w:trHeight w:val="161" w:hRule="exact"/>
        </w:trPr>
        <w:tc>
          <w:tcPr>
            <w:tcW w:w="1428" w:type="dxa"/>
            <w:tcBorders>
              <w:top w:val="nil" w:sz="6" w:space="0" w:color="auto"/>
              <w:left w:val="single" w:sz="4" w:space="0" w:color="000000"/>
              <w:bottom w:val="single" w:sz="4" w:space="0" w:color="000000"/>
              <w:right w:val="single" w:sz="4" w:space="0" w:color="000000"/>
            </w:tcBorders>
            <w:shd w:val="clear" w:color="auto" w:fill="D2D2D2"/>
          </w:tcPr>
          <w:p>
            <w:pPr/>
          </w:p>
        </w:tc>
        <w:tc>
          <w:tcPr>
            <w:tcW w:w="691" w:type="dxa"/>
            <w:vMerge/>
            <w:tcBorders>
              <w:left w:val="single" w:sz="10" w:space="0" w:color="D2D2D2"/>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8"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9"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677"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r>
      <w:tr>
        <w:trPr>
          <w:trHeight w:val="401" w:hRule="exact"/>
        </w:trPr>
        <w:tc>
          <w:tcPr>
            <w:tcW w:w="14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69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9"/>
              <w:jc w:val="right"/>
              <w:rPr>
                <w:rFonts w:ascii="Times New Roman" w:hAnsi="Times New Roman" w:cs="Times New Roman" w:eastAsia="Times New Roman" w:hint="default"/>
                <w:sz w:val="18"/>
                <w:szCs w:val="18"/>
              </w:rPr>
            </w:pPr>
            <w:r>
              <w:rPr>
                <w:rFonts w:ascii="Times New Roman"/>
                <w:spacing w:val="-1"/>
                <w:sz w:val="18"/>
              </w:rPr>
              <w:t>2,901,553</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21"/>
              <w:jc w:val="right"/>
              <w:rPr>
                <w:rFonts w:ascii="Times New Roman" w:hAnsi="Times New Roman" w:cs="Times New Roman" w:eastAsia="Times New Roman" w:hint="default"/>
                <w:sz w:val="18"/>
                <w:szCs w:val="18"/>
              </w:rPr>
            </w:pPr>
            <w:r>
              <w:rPr>
                <w:rFonts w:ascii="Times New Roman"/>
                <w:spacing w:val="-1"/>
                <w:sz w:val="18"/>
              </w:rPr>
              <w:t>-2,901,5</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439"/>
        <w:gridCol w:w="691"/>
        <w:gridCol w:w="665"/>
        <w:gridCol w:w="668"/>
        <w:gridCol w:w="665"/>
        <w:gridCol w:w="797"/>
        <w:gridCol w:w="797"/>
        <w:gridCol w:w="797"/>
        <w:gridCol w:w="799"/>
        <w:gridCol w:w="797"/>
        <w:gridCol w:w="677"/>
        <w:gridCol w:w="780"/>
      </w:tblGrid>
      <w:tr>
        <w:trPr>
          <w:trHeight w:val="36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.17</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53.17</w:t>
            </w: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．对所有者（或 股东）的分配</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 w:right="0"/>
              <w:jc w:val="center"/>
              <w:rPr>
                <w:rFonts w:ascii="Times New Roman" w:hAnsi="Times New Roman" w:cs="Times New Roman" w:eastAsia="Times New Roman" w:hint="default"/>
                <w:sz w:val="18"/>
                <w:szCs w:val="18"/>
              </w:rPr>
            </w:pPr>
            <w:r>
              <w:rPr>
                <w:rFonts w:ascii="Times New Roman"/>
                <w:sz w:val="18"/>
              </w:rPr>
              <w:t>-47,456,</w:t>
            </w:r>
          </w:p>
          <w:p>
            <w:pPr>
              <w:pStyle w:val="TableParagraph"/>
              <w:spacing w:line="240" w:lineRule="auto" w:before="105"/>
              <w:ind w:left="125" w:right="0"/>
              <w:jc w:val="center"/>
              <w:rPr>
                <w:rFonts w:ascii="Times New Roman" w:hAnsi="Times New Roman" w:cs="Times New Roman" w:eastAsia="Times New Roman" w:hint="default"/>
                <w:sz w:val="18"/>
                <w:szCs w:val="18"/>
              </w:rPr>
            </w:pPr>
            <w:r>
              <w:rPr>
                <w:rFonts w:ascii="Times New Roman"/>
                <w:sz w:val="18"/>
              </w:rPr>
              <w:t>755.48</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9" w:right="0"/>
              <w:jc w:val="left"/>
              <w:rPr>
                <w:rFonts w:ascii="Times New Roman" w:hAnsi="Times New Roman" w:cs="Times New Roman" w:eastAsia="Times New Roman" w:hint="default"/>
                <w:sz w:val="18"/>
                <w:szCs w:val="18"/>
              </w:rPr>
            </w:pPr>
            <w:r>
              <w:rPr>
                <w:rFonts w:ascii="Times New Roman"/>
                <w:sz w:val="18"/>
              </w:rPr>
              <w:t>-47,456,7</w:t>
            </w:r>
          </w:p>
          <w:p>
            <w:pPr>
              <w:pStyle w:val="TableParagraph"/>
              <w:spacing w:line="240" w:lineRule="auto" w:before="105"/>
              <w:ind w:left="343" w:right="0"/>
              <w:jc w:val="left"/>
              <w:rPr>
                <w:rFonts w:ascii="Times New Roman" w:hAnsi="Times New Roman" w:cs="Times New Roman" w:eastAsia="Times New Roman" w:hint="default"/>
                <w:sz w:val="18"/>
                <w:szCs w:val="18"/>
              </w:rPr>
            </w:pPr>
            <w:r>
              <w:rPr>
                <w:rFonts w:ascii="Times New Roman"/>
                <w:sz w:val="18"/>
              </w:rPr>
              <w:t>55.48</w:t>
            </w:r>
          </w:p>
        </w:tc>
      </w:tr>
      <w:tr>
        <w:trPr>
          <w:trHeight w:val="40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20"/>
              <w:jc w:val="left"/>
              <w:rPr>
                <w:rFonts w:ascii="宋体" w:hAnsi="宋体" w:cs="宋体" w:eastAsia="宋体" w:hint="default"/>
                <w:sz w:val="18"/>
                <w:szCs w:val="18"/>
              </w:rPr>
            </w:pPr>
            <w:r>
              <w:rPr>
                <w:rFonts w:ascii="宋体" w:hAnsi="宋体" w:cs="宋体" w:eastAsia="宋体" w:hint="default"/>
                <w:spacing w:val="-7"/>
                <w:sz w:val="18"/>
                <w:szCs w:val="18"/>
              </w:rPr>
              <w:t>（四）所有者权益</w:t>
            </w:r>
            <w:r>
              <w:rPr>
                <w:rFonts w:ascii="宋体" w:hAnsi="宋体" w:cs="宋体" w:eastAsia="宋体" w:hint="default"/>
                <w:sz w:val="18"/>
                <w:szCs w:val="18"/>
              </w:rPr>
              <w:t> 内部结转</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 资本（或股本）</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6"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5"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．设定受益计划 变动额结转留存 收益</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4"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pacing w:val="-7"/>
                <w:sz w:val="18"/>
                <w:szCs w:val="18"/>
              </w:rPr>
              <w:t>四、本期期末余额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1" w:right="0"/>
              <w:jc w:val="left"/>
              <w:rPr>
                <w:rFonts w:ascii="Times New Roman" w:hAnsi="Times New Roman" w:cs="Times New Roman" w:eastAsia="Times New Roman" w:hint="default"/>
                <w:sz w:val="18"/>
                <w:szCs w:val="18"/>
              </w:rPr>
            </w:pPr>
            <w:r>
              <w:rPr>
                <w:rFonts w:ascii="Times New Roman"/>
                <w:sz w:val="18"/>
              </w:rPr>
              <w:t>1,282,61</w:t>
            </w:r>
          </w:p>
          <w:p>
            <w:pPr>
              <w:pStyle w:val="TableParagraph"/>
              <w:spacing w:line="240" w:lineRule="auto" w:before="105"/>
              <w:ind w:left="31" w:right="0"/>
              <w:jc w:val="left"/>
              <w:rPr>
                <w:rFonts w:ascii="Times New Roman" w:hAnsi="Times New Roman" w:cs="Times New Roman" w:eastAsia="Times New Roman" w:hint="default"/>
                <w:sz w:val="18"/>
                <w:szCs w:val="18"/>
              </w:rPr>
            </w:pPr>
            <w:r>
              <w:rPr>
                <w:rFonts w:ascii="Times New Roman"/>
                <w:sz w:val="18"/>
              </w:rPr>
              <w:t>5,013.00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center"/>
              <w:rPr>
                <w:rFonts w:ascii="Times New Roman" w:hAnsi="Times New Roman" w:cs="Times New Roman" w:eastAsia="Times New Roman" w:hint="default"/>
                <w:sz w:val="18"/>
                <w:szCs w:val="18"/>
              </w:rPr>
            </w:pPr>
            <w:r>
              <w:rPr>
                <w:rFonts w:ascii="Times New Roman"/>
                <w:sz w:val="18"/>
              </w:rPr>
              <w:t>4,412,940</w:t>
            </w:r>
          </w:p>
          <w:p>
            <w:pPr>
              <w:pStyle w:val="TableParagraph"/>
              <w:spacing w:line="240" w:lineRule="auto" w:before="105"/>
              <w:ind w:left="204" w:right="0"/>
              <w:jc w:val="center"/>
              <w:rPr>
                <w:rFonts w:ascii="Times New Roman" w:hAnsi="Times New Roman" w:cs="Times New Roman" w:eastAsia="Times New Roman" w:hint="default"/>
                <w:sz w:val="18"/>
                <w:szCs w:val="18"/>
              </w:rPr>
            </w:pPr>
            <w:r>
              <w:rPr>
                <w:rFonts w:ascii="Times New Roman"/>
                <w:sz w:val="18"/>
              </w:rPr>
              <w:t>,468.57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77,973,17</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7.02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122,019,8</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87.40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4" w:right="0"/>
              <w:jc w:val="left"/>
              <w:rPr>
                <w:rFonts w:ascii="Times New Roman" w:hAnsi="Times New Roman" w:cs="Times New Roman" w:eastAsia="Times New Roman" w:hint="default"/>
                <w:sz w:val="18"/>
                <w:szCs w:val="18"/>
              </w:rPr>
            </w:pPr>
            <w:r>
              <w:rPr>
                <w:rFonts w:ascii="Times New Roman"/>
                <w:sz w:val="18"/>
              </w:rPr>
              <w:t>711,865</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,438.23</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6,451,467</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,630.18</w:t>
            </w:r>
          </w:p>
        </w:tc>
      </w:tr>
    </w:tbl>
    <w:p>
      <w:pPr>
        <w:spacing w:line="240" w:lineRule="auto" w:before="1"/>
        <w:rPr>
          <w:rFonts w:ascii="宋体" w:hAnsi="宋体" w:cs="宋体" w:eastAsia="宋体" w:hint="default"/>
          <w:sz w:val="18"/>
          <w:szCs w:val="18"/>
        </w:rPr>
      </w:pPr>
    </w:p>
    <w:p>
      <w:pPr>
        <w:pStyle w:val="Heading2"/>
        <w:spacing w:line="240" w:lineRule="auto" w:before="26"/>
        <w:ind w:right="982"/>
        <w:jc w:val="left"/>
        <w:rPr>
          <w:b w:val="0"/>
          <w:bCs w:val="0"/>
        </w:rPr>
      </w:pPr>
      <w:r>
        <w:rPr/>
        <w:t>三、公司基本情况</w:t>
      </w:r>
      <w:r>
        <w:rPr>
          <w:b w:val="0"/>
          <w:bCs w:val="0"/>
        </w:rPr>
      </w:r>
    </w:p>
    <w:p>
      <w:pPr>
        <w:spacing w:line="240" w:lineRule="auto" w:before="6"/>
        <w:rPr>
          <w:rFonts w:ascii="宋体" w:hAnsi="宋体" w:cs="宋体" w:eastAsia="宋体" w:hint="default"/>
          <w:b/>
          <w:bCs/>
          <w:sz w:val="26"/>
          <w:szCs w:val="26"/>
        </w:rPr>
      </w:pPr>
    </w:p>
    <w:p>
      <w:pPr>
        <w:pStyle w:val="BodyText"/>
        <w:spacing w:line="316" w:lineRule="auto"/>
        <w:ind w:right="1132" w:firstLine="360"/>
        <w:jc w:val="both"/>
      </w:pPr>
      <w:r>
        <w:rPr>
          <w:spacing w:val="-2"/>
        </w:rPr>
        <w:t>北京四维图新科技股份有限公司（以下简称本公司或公司，在包含子公司时简称本集团）系由北京四维图新导航信息技</w:t>
      </w:r>
      <w:r>
        <w:rPr/>
        <w:t> 术有限公司（以下简称四维有限）整体变更设立。四维有限成立于</w:t>
      </w:r>
      <w:r>
        <w:rPr>
          <w:rFonts w:ascii="Times New Roman" w:hAnsi="Times New Roman" w:cs="Times New Roman" w:eastAsia="Times New Roman" w:hint="default"/>
        </w:rPr>
        <w:t>2002</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w:t>
      </w:r>
      <w:r>
        <w:rPr/>
        <w:t>日，设立时注册资本为</w:t>
      </w:r>
      <w:r>
        <w:rPr>
          <w:rFonts w:ascii="Times New Roman" w:hAnsi="Times New Roman" w:cs="Times New Roman" w:eastAsia="Times New Roman" w:hint="default"/>
        </w:rPr>
        <w:t>2,950.00</w:t>
      </w:r>
      <w:r>
        <w:rPr/>
        <w:t>万元。</w:t>
      </w:r>
    </w:p>
    <w:p>
      <w:pPr>
        <w:pStyle w:val="BodyText"/>
        <w:spacing w:line="302" w:lineRule="auto"/>
        <w:ind w:right="1129" w:firstLine="360"/>
        <w:jc w:val="both"/>
      </w:pPr>
      <w:r>
        <w:rPr>
          <w:rFonts w:ascii="Times New Roman" w:hAnsi="Times New Roman" w:cs="Times New Roman" w:eastAsia="Times New Roman" w:hint="default"/>
        </w:rPr>
        <w:t>2008</w:t>
      </w:r>
      <w:r>
        <w:rPr/>
        <w:t>年</w:t>
      </w:r>
      <w:r>
        <w:rPr>
          <w:rFonts w:ascii="Times New Roman" w:hAnsi="Times New Roman" w:cs="Times New Roman" w:eastAsia="Times New Roman" w:hint="default"/>
        </w:rPr>
        <w:t>1</w:t>
      </w:r>
      <w:r>
        <w:rPr/>
        <w:t>月，根据中国四维测绘技术总公司、上海明海商务咨询有限公司、四维航空遥感有限公司、北京商络数据系统 </w:t>
      </w:r>
      <w:r>
        <w:rPr>
          <w:spacing w:val="-2"/>
        </w:rPr>
        <w:t>有限责任公司、上海赛众投资有限公司、广州新维投资咨询有限公司、北京商络数据系统有限责任公司以及孙玉国、曾胜利</w:t>
      </w:r>
      <w:r>
        <w:rPr>
          <w:spacing w:val="-65"/>
        </w:rPr>
        <w:t> </w:t>
      </w:r>
      <w:r>
        <w:rPr>
          <w:spacing w:val="-65"/>
        </w:rPr>
      </w:r>
      <w:r>
        <w:rPr>
          <w:spacing w:val="-2"/>
        </w:rPr>
        <w:t>等共</w:t>
      </w:r>
      <w:r>
        <w:rPr>
          <w:rFonts w:ascii="Times New Roman" w:hAnsi="Times New Roman" w:cs="Times New Roman" w:eastAsia="Times New Roman" w:hint="default"/>
          <w:spacing w:val="-2"/>
        </w:rPr>
        <w:t>29</w:t>
      </w:r>
      <w:r>
        <w:rPr>
          <w:spacing w:val="-2"/>
        </w:rPr>
        <w:t>位自然人签订的发起人协议、国务院国有资产监督管理委员会《关于北京四维图新科技股份有限公司国有股权管理有</w:t>
      </w:r>
      <w:r>
        <w:rPr>
          <w:spacing w:val="-63"/>
        </w:rPr>
        <w:t> </w:t>
      </w:r>
      <w:r>
        <w:rPr>
          <w:spacing w:val="-63"/>
        </w:rPr>
      </w:r>
      <w:r>
        <w:rPr>
          <w:spacing w:val="-1"/>
        </w:rPr>
        <w:t>关问题的批复》（国资产权</w:t>
      </w:r>
      <w:r>
        <w:rPr>
          <w:rFonts w:ascii="Times New Roman" w:hAnsi="Times New Roman" w:cs="Times New Roman" w:eastAsia="Times New Roman" w:hint="default"/>
          <w:spacing w:val="-1"/>
        </w:rPr>
        <w:t>[2008]30</w:t>
      </w:r>
      <w:r>
        <w:rPr>
          <w:spacing w:val="-1"/>
        </w:rPr>
        <w:t>号）和中国卫星通信集团公司《关于同意北京四维图新导航信息技术有限公司整体变更</w:t>
      </w:r>
      <w:r>
        <w:rPr>
          <w:spacing w:val="-58"/>
        </w:rPr>
        <w:t> </w:t>
      </w:r>
      <w:r>
        <w:rPr>
          <w:spacing w:val="-58"/>
        </w:rPr>
      </w:r>
      <w:r>
        <w:rPr/>
        <w:t>为北京四维图新股份有限公司的批复》（中国卫通财</w:t>
      </w:r>
      <w:r>
        <w:rPr>
          <w:rFonts w:ascii="Times New Roman" w:hAnsi="Times New Roman" w:cs="Times New Roman" w:eastAsia="Times New Roman" w:hint="default"/>
        </w:rPr>
        <w:t>[2007]342</w:t>
      </w:r>
      <w:r>
        <w:rPr/>
        <w:t>号），各发起人股东以其各自持有的四维有限截止</w:t>
      </w:r>
      <w:r>
        <w:rPr>
          <w:rFonts w:ascii="Times New Roman" w:hAnsi="Times New Roman" w:cs="Times New Roman" w:eastAsia="Times New Roman" w:hint="default"/>
        </w:rPr>
        <w:t>2007</w:t>
      </w:r>
      <w:r>
        <w:rPr/>
        <w:t>年</w:t>
      </w:r>
      <w:r>
        <w:rPr>
          <w:rFonts w:ascii="Times New Roman" w:hAnsi="Times New Roman" w:cs="Times New Roman" w:eastAsia="Times New Roman" w:hint="default"/>
        </w:rPr>
        <w:t>11</w:t>
      </w:r>
      <w:r>
        <w:rPr>
          <w:rFonts w:ascii="Times New Roman" w:hAnsi="Times New Roman" w:cs="Times New Roman" w:eastAsia="Times New Roman" w:hint="default"/>
          <w:spacing w:val="13"/>
        </w:rPr>
        <w:t> </w:t>
      </w:r>
      <w:r>
        <w:rPr/>
        <w:t>月</w:t>
      </w:r>
      <w:r>
        <w:rPr>
          <w:rFonts w:ascii="Times New Roman" w:hAnsi="Times New Roman" w:cs="Times New Roman" w:eastAsia="Times New Roman" w:hint="default"/>
        </w:rPr>
        <w:t>30</w:t>
      </w:r>
      <w:r>
        <w:rPr/>
        <w:t>日经审计的净资产出资，将四维有限整体变更设立为本公司。本公司于</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23</w:t>
      </w:r>
      <w:r>
        <w:rPr/>
        <w:t>日在北京市工商行政管理局办理了</w:t>
      </w:r>
      <w:r>
        <w:rPr>
          <w:spacing w:val="-85"/>
        </w:rPr>
        <w:t> </w:t>
      </w:r>
      <w:r>
        <w:rPr>
          <w:spacing w:val="-85"/>
        </w:rPr>
      </w:r>
      <w:r>
        <w:rPr>
          <w:spacing w:val="-2"/>
        </w:rPr>
        <w:t>工商注册登记手续，注册资本</w:t>
      </w:r>
      <w:r>
        <w:rPr>
          <w:rFonts w:ascii="Times New Roman" w:hAnsi="Times New Roman" w:cs="Times New Roman" w:eastAsia="Times New Roman" w:hint="default"/>
          <w:spacing w:val="-2"/>
        </w:rPr>
        <w:t>344,229,579.00</w:t>
      </w:r>
      <w:r>
        <w:rPr>
          <w:spacing w:val="-2"/>
        </w:rPr>
        <w:t>元，其中：中国四维测绘技术总公司出资</w:t>
      </w:r>
      <w:r>
        <w:rPr>
          <w:rFonts w:ascii="Times New Roman" w:hAnsi="Times New Roman" w:cs="Times New Roman" w:eastAsia="Times New Roman" w:hint="default"/>
          <w:spacing w:val="-2"/>
        </w:rPr>
        <w:t>99,923,995.00</w:t>
      </w:r>
      <w:r>
        <w:rPr>
          <w:spacing w:val="-2"/>
        </w:rPr>
        <w:t>元；上海明海商务咨询有</w:t>
      </w:r>
      <w:r>
        <w:rPr>
          <w:spacing w:val="-40"/>
        </w:rPr>
        <w:t> </w:t>
      </w:r>
      <w:r>
        <w:rPr>
          <w:spacing w:val="-40"/>
        </w:rPr>
      </w:r>
      <w:r>
        <w:rPr/>
        <w:t>限公司出资</w:t>
      </w:r>
      <w:r>
        <w:rPr>
          <w:rFonts w:ascii="Times New Roman" w:hAnsi="Times New Roman" w:cs="Times New Roman" w:eastAsia="Times New Roman" w:hint="default"/>
        </w:rPr>
        <w:t>56,762,081.00</w:t>
      </w:r>
      <w:r>
        <w:rPr/>
        <w:t>元；四维航空遥感有限公司</w:t>
      </w:r>
      <w:r>
        <w:rPr>
          <w:rFonts w:ascii="Times New Roman" w:hAnsi="Times New Roman" w:cs="Times New Roman" w:eastAsia="Times New Roman" w:hint="default"/>
        </w:rPr>
        <w:t>31,428,505.00</w:t>
      </w:r>
      <w:r>
        <w:rPr/>
        <w:t>元；上海赛众投资有限公司</w:t>
      </w:r>
      <w:r>
        <w:rPr>
          <w:rFonts w:ascii="Times New Roman" w:hAnsi="Times New Roman" w:cs="Times New Roman" w:eastAsia="Times New Roman" w:hint="default"/>
        </w:rPr>
        <w:t>29,009,604.00</w:t>
      </w:r>
      <w:r>
        <w:rPr/>
        <w:t>元；广州新维投</w:t>
      </w:r>
      <w:r>
        <w:rPr>
          <w:spacing w:val="-52"/>
        </w:rPr>
        <w:t> </w:t>
      </w:r>
      <w:r>
        <w:rPr>
          <w:spacing w:val="-52"/>
        </w:rPr>
      </w:r>
      <w:r>
        <w:rPr>
          <w:spacing w:val="5"/>
        </w:rPr>
        <w:t>资咨询有限公司</w:t>
      </w:r>
      <w:r>
        <w:rPr>
          <w:rFonts w:ascii="Times New Roman" w:hAnsi="Times New Roman" w:cs="Times New Roman" w:eastAsia="Times New Roman" w:hint="default"/>
          <w:spacing w:val="5"/>
        </w:rPr>
        <w:t>29,009,604.00</w:t>
      </w:r>
      <w:r>
        <w:rPr>
          <w:spacing w:val="5"/>
        </w:rPr>
        <w:t>元；北京商络数据系统有限责任公司</w:t>
      </w:r>
      <w:r>
        <w:rPr>
          <w:rFonts w:ascii="Times New Roman" w:hAnsi="Times New Roman" w:cs="Times New Roman" w:eastAsia="Times New Roman" w:hint="default"/>
          <w:spacing w:val="5"/>
        </w:rPr>
        <w:t>24,190,389.00</w:t>
      </w:r>
      <w:r>
        <w:rPr>
          <w:spacing w:val="5"/>
        </w:rPr>
        <w:t>元；孙玉国、曾胜利等</w:t>
      </w:r>
      <w:r>
        <w:rPr>
          <w:rFonts w:ascii="Times New Roman" w:hAnsi="Times New Roman" w:cs="Times New Roman" w:eastAsia="Times New Roman" w:hint="default"/>
          <w:spacing w:val="5"/>
        </w:rPr>
        <w:t>29</w:t>
      </w:r>
      <w:r>
        <w:rPr>
          <w:spacing w:val="5"/>
        </w:rPr>
        <w:t>位自然人出资</w:t>
      </w:r>
      <w:r>
        <w:rPr>
          <w:spacing w:val="-78"/>
        </w:rPr>
        <w:t> </w:t>
      </w:r>
      <w:r>
        <w:rPr>
          <w:spacing w:val="-78"/>
        </w:rPr>
      </w:r>
      <w:r>
        <w:rPr>
          <w:rFonts w:ascii="Times New Roman" w:hAnsi="Times New Roman" w:cs="Times New Roman" w:eastAsia="Times New Roman" w:hint="default"/>
        </w:rPr>
        <w:t>73,905,401.00</w:t>
      </w:r>
      <w:r>
        <w:rPr/>
        <w:t>元。</w:t>
      </w:r>
    </w:p>
    <w:p>
      <w:pPr>
        <w:pStyle w:val="BodyText"/>
        <w:spacing w:line="300" w:lineRule="auto" w:before="11"/>
        <w:ind w:right="1129" w:firstLine="360"/>
        <w:jc w:val="both"/>
      </w:pPr>
      <w:r>
        <w:rPr>
          <w:spacing w:val="-2"/>
        </w:rPr>
        <w:t>经中国证券监督管理委员会证监许可</w:t>
      </w:r>
      <w:r>
        <w:rPr>
          <w:rFonts w:ascii="Times New Roman" w:hAnsi="Times New Roman" w:cs="Times New Roman" w:eastAsia="Times New Roman" w:hint="default"/>
          <w:spacing w:val="-2"/>
        </w:rPr>
        <w:t>[2010]438</w:t>
      </w:r>
      <w:r>
        <w:rPr>
          <w:spacing w:val="-2"/>
        </w:rPr>
        <w:t>号文核准，</w:t>
      </w:r>
      <w:r>
        <w:rPr>
          <w:rFonts w:ascii="Times New Roman" w:hAnsi="Times New Roman" w:cs="Times New Roman" w:eastAsia="Times New Roman" w:hint="default"/>
          <w:spacing w:val="-2"/>
        </w:rPr>
        <w:t>2010</w:t>
      </w:r>
      <w:r>
        <w:rPr>
          <w:spacing w:val="-2"/>
        </w:rPr>
        <w:t>年</w:t>
      </w:r>
      <w:r>
        <w:rPr>
          <w:rFonts w:ascii="Times New Roman" w:hAnsi="Times New Roman" w:cs="Times New Roman" w:eastAsia="Times New Roman" w:hint="default"/>
          <w:spacing w:val="-2"/>
        </w:rPr>
        <w:t>5</w:t>
      </w:r>
      <w:r>
        <w:rPr>
          <w:spacing w:val="-2"/>
        </w:rPr>
        <w:t>月本公司向社会首次公开发行人民币普通股股票</w:t>
      </w:r>
      <w:r>
        <w:rPr>
          <w:rFonts w:ascii="Times New Roman" w:hAnsi="Times New Roman" w:cs="Times New Roman" w:eastAsia="Times New Roman" w:hint="default"/>
          <w:spacing w:val="-2"/>
        </w:rPr>
        <w:t>5,600</w:t>
      </w:r>
      <w:r>
        <w:rPr>
          <w:rFonts w:ascii="Times New Roman" w:hAnsi="Times New Roman" w:cs="Times New Roman" w:eastAsia="Times New Roman" w:hint="default"/>
        </w:rPr>
        <w:t> </w:t>
      </w:r>
      <w:r>
        <w:rPr/>
        <w:t>万股（每股面值</w:t>
      </w:r>
      <w:r>
        <w:rPr>
          <w:rFonts w:ascii="Times New Roman" w:hAnsi="Times New Roman" w:cs="Times New Roman" w:eastAsia="Times New Roman" w:hint="default"/>
        </w:rPr>
        <w:t>1</w:t>
      </w:r>
      <w:r>
        <w:rPr/>
        <w:t>元），增加注册资本</w:t>
      </w:r>
      <w:r>
        <w:rPr>
          <w:rFonts w:ascii="Times New Roman" w:hAnsi="Times New Roman" w:cs="Times New Roman" w:eastAsia="Times New Roman" w:hint="default"/>
        </w:rPr>
        <w:t>56,000,000.00</w:t>
      </w:r>
      <w:r>
        <w:rPr/>
        <w:t>元。信永中和会计师事务所对本公司首次公开发行人民币普通股股票的</w:t>
      </w:r>
      <w:r>
        <w:rPr>
          <w:spacing w:val="-48"/>
        </w:rPr>
        <w:t> </w:t>
      </w:r>
      <w:r>
        <w:rPr>
          <w:spacing w:val="-48"/>
        </w:rPr>
      </w:r>
      <w:r>
        <w:rPr>
          <w:spacing w:val="-1"/>
        </w:rPr>
        <w:t>资金到位情况进行了审验，并于</w:t>
      </w:r>
      <w:r>
        <w:rPr>
          <w:rFonts w:ascii="Times New Roman" w:hAnsi="Times New Roman" w:cs="Times New Roman" w:eastAsia="Times New Roman" w:hint="default"/>
          <w:spacing w:val="-1"/>
        </w:rPr>
        <w:t>2010</w:t>
      </w:r>
      <w:r>
        <w:rPr>
          <w:spacing w:val="-1"/>
        </w:rPr>
        <w:t>年</w:t>
      </w:r>
      <w:r>
        <w:rPr>
          <w:rFonts w:ascii="Times New Roman" w:hAnsi="Times New Roman" w:cs="Times New Roman" w:eastAsia="Times New Roman" w:hint="default"/>
          <w:spacing w:val="-1"/>
        </w:rPr>
        <w:t>5</w:t>
      </w:r>
      <w:r>
        <w:rPr>
          <w:spacing w:val="-1"/>
        </w:rPr>
        <w:t>月</w:t>
      </w:r>
      <w:r>
        <w:rPr>
          <w:rFonts w:ascii="Times New Roman" w:hAnsi="Times New Roman" w:cs="Times New Roman" w:eastAsia="Times New Roman" w:hint="default"/>
          <w:spacing w:val="-1"/>
        </w:rPr>
        <w:t>7</w:t>
      </w:r>
      <w:r>
        <w:rPr>
          <w:spacing w:val="-1"/>
        </w:rPr>
        <w:t>日出具</w:t>
      </w:r>
      <w:r>
        <w:rPr>
          <w:rFonts w:ascii="Times New Roman" w:hAnsi="Times New Roman" w:cs="Times New Roman" w:eastAsia="Times New Roman" w:hint="default"/>
          <w:spacing w:val="-1"/>
        </w:rPr>
        <w:t>“XYZH/2009A7057</w:t>
      </w:r>
      <w:r>
        <w:rPr>
          <w:spacing w:val="-1"/>
        </w:rPr>
        <w:t>号</w:t>
      </w:r>
      <w:r>
        <w:rPr>
          <w:rFonts w:ascii="Times New Roman" w:hAnsi="Times New Roman" w:cs="Times New Roman" w:eastAsia="Times New Roman" w:hint="default"/>
          <w:spacing w:val="-1"/>
        </w:rPr>
        <w:t>”</w:t>
      </w:r>
      <w:r>
        <w:rPr>
          <w:spacing w:val="-1"/>
        </w:rPr>
        <w:t>验资报告。</w:t>
      </w:r>
      <w:r>
        <w:rPr>
          <w:rFonts w:ascii="Times New Roman" w:hAnsi="Times New Roman" w:cs="Times New Roman" w:eastAsia="Times New Roman" w:hint="default"/>
          <w:spacing w:val="-1"/>
        </w:rPr>
        <w:t>2010</w:t>
      </w:r>
      <w:r>
        <w:rPr>
          <w:spacing w:val="-1"/>
        </w:rPr>
        <w:t>年</w:t>
      </w:r>
      <w:r>
        <w:rPr>
          <w:rFonts w:ascii="Times New Roman" w:hAnsi="Times New Roman" w:cs="Times New Roman" w:eastAsia="Times New Roman" w:hint="default"/>
          <w:spacing w:val="-1"/>
        </w:rPr>
        <w:t>7</w:t>
      </w:r>
      <w:r>
        <w:rPr>
          <w:spacing w:val="-1"/>
        </w:rPr>
        <w:t>月</w:t>
      </w:r>
      <w:r>
        <w:rPr>
          <w:rFonts w:ascii="Times New Roman" w:hAnsi="Times New Roman" w:cs="Times New Roman" w:eastAsia="Times New Roman" w:hint="default"/>
          <w:spacing w:val="-1"/>
        </w:rPr>
        <w:t>9</w:t>
      </w:r>
      <w:r>
        <w:rPr>
          <w:spacing w:val="-1"/>
        </w:rPr>
        <w:t>日，本公司取得了北京市工</w:t>
      </w:r>
    </w:p>
    <w:p>
      <w:pPr>
        <w:spacing w:after="0" w:line="300" w:lineRule="auto"/>
        <w:jc w:val="both"/>
        <w:sectPr>
          <w:pgSz w:w="11910" w:h="16840"/>
          <w:pgMar w:header="745" w:footer="979" w:top="1060" w:bottom="1160" w:left="980" w:right="0"/>
        </w:sectPr>
      </w:pPr>
    </w:p>
    <w:p>
      <w:pPr>
        <w:spacing w:line="240" w:lineRule="auto" w:before="9"/>
        <w:rPr>
          <w:rFonts w:ascii="宋体" w:hAnsi="宋体" w:cs="宋体" w:eastAsia="宋体" w:hint="default"/>
          <w:sz w:val="25"/>
          <w:szCs w:val="25"/>
        </w:rPr>
      </w:pPr>
    </w:p>
    <w:p>
      <w:pPr>
        <w:pStyle w:val="BodyText"/>
        <w:spacing w:line="300" w:lineRule="auto" w:before="44"/>
        <w:ind w:left="513" w:right="982" w:hanging="361"/>
        <w:jc w:val="left"/>
      </w:pPr>
      <w:r>
        <w:rPr/>
        <w:t>商行政管理局换发的《企业法人营业执照》，变更后的注册资本为</w:t>
      </w:r>
      <w:r>
        <w:rPr>
          <w:rFonts w:ascii="Times New Roman" w:hAnsi="Times New Roman" w:cs="Times New Roman" w:eastAsia="Times New Roman" w:hint="default"/>
        </w:rPr>
        <w:t>400,229,579.00</w:t>
      </w:r>
      <w:r>
        <w:rPr/>
        <w:t>元。 </w:t>
      </w:r>
      <w:r>
        <w:rPr>
          <w:spacing w:val="-3"/>
        </w:rPr>
        <w:t>经深圳证券交易所《关于北京四维图新科技股份有限公司人民币普通股股票上市的通知》（深证上</w:t>
      </w:r>
      <w:r>
        <w:rPr>
          <w:rFonts w:ascii="Times New Roman" w:hAnsi="Times New Roman" w:cs="Times New Roman" w:eastAsia="Times New Roman" w:hint="default"/>
          <w:spacing w:val="-3"/>
        </w:rPr>
        <w:t>[2010]151</w:t>
      </w:r>
      <w:r>
        <w:rPr>
          <w:spacing w:val="-3"/>
        </w:rPr>
        <w:t>号）同意，</w:t>
      </w:r>
    </w:p>
    <w:p>
      <w:pPr>
        <w:pStyle w:val="BodyText"/>
        <w:spacing w:line="240" w:lineRule="auto" w:before="13"/>
        <w:ind w:right="0"/>
        <w:jc w:val="left"/>
      </w:pPr>
      <w:r>
        <w:rPr>
          <w:spacing w:val="-3"/>
        </w:rPr>
        <w:t>本公司首次公开发行的人民币普通股股票于</w:t>
      </w:r>
      <w:r>
        <w:rPr>
          <w:rFonts w:ascii="Times New Roman" w:hAnsi="Times New Roman" w:cs="Times New Roman" w:eastAsia="Times New Roman" w:hint="default"/>
          <w:spacing w:val="-3"/>
        </w:rPr>
        <w:t>2010</w:t>
      </w:r>
      <w:r>
        <w:rPr>
          <w:spacing w:val="-3"/>
        </w:rPr>
        <w:t>年</w:t>
      </w:r>
      <w:r>
        <w:rPr>
          <w:rFonts w:ascii="Times New Roman" w:hAnsi="Times New Roman" w:cs="Times New Roman" w:eastAsia="Times New Roman" w:hint="default"/>
          <w:spacing w:val="-3"/>
        </w:rPr>
        <w:t>5</w:t>
      </w:r>
      <w:r>
        <w:rPr>
          <w:spacing w:val="-3"/>
        </w:rPr>
        <w:t>月</w:t>
      </w:r>
      <w:r>
        <w:rPr>
          <w:rFonts w:ascii="Times New Roman" w:hAnsi="Times New Roman" w:cs="Times New Roman" w:eastAsia="Times New Roman" w:hint="default"/>
          <w:spacing w:val="-3"/>
        </w:rPr>
        <w:t>18</w:t>
      </w:r>
      <w:r>
        <w:rPr>
          <w:spacing w:val="-3"/>
        </w:rPr>
        <w:t>日在深圳证券交易所上市，股票简称</w:t>
      </w:r>
      <w:r>
        <w:rPr>
          <w:rFonts w:ascii="Times New Roman" w:hAnsi="Times New Roman" w:cs="Times New Roman" w:eastAsia="Times New Roman" w:hint="default"/>
          <w:spacing w:val="-3"/>
        </w:rPr>
        <w:t>“</w:t>
      </w:r>
      <w:r>
        <w:rPr>
          <w:spacing w:val="-3"/>
        </w:rPr>
        <w:t>四维图新</w:t>
      </w:r>
      <w:r>
        <w:rPr>
          <w:rFonts w:ascii="Times New Roman" w:hAnsi="Times New Roman" w:cs="Times New Roman" w:eastAsia="Times New Roman" w:hint="default"/>
          <w:spacing w:val="-3"/>
        </w:rPr>
        <w:t>”</w:t>
      </w:r>
      <w:r>
        <w:rPr>
          <w:spacing w:val="-3"/>
        </w:rPr>
        <w:t>，股票代码</w:t>
      </w:r>
      <w:r>
        <w:rPr>
          <w:rFonts w:ascii="Times New Roman" w:hAnsi="Times New Roman" w:cs="Times New Roman" w:eastAsia="Times New Roman" w:hint="default"/>
          <w:spacing w:val="-3"/>
        </w:rPr>
        <w:t>“002405”</w:t>
      </w:r>
      <w:r>
        <w:rPr>
          <w:spacing w:val="-3"/>
        </w:rPr>
        <w:t>。</w:t>
      </w:r>
    </w:p>
    <w:p>
      <w:pPr>
        <w:pStyle w:val="BodyText"/>
        <w:spacing w:line="300" w:lineRule="auto" w:before="63"/>
        <w:ind w:right="1128" w:firstLine="360"/>
        <w:jc w:val="both"/>
      </w:pPr>
      <w:r>
        <w:rPr>
          <w:rFonts w:ascii="Times New Roman" w:hAnsi="Times New Roman" w:cs="Times New Roman" w:eastAsia="Times New Roman" w:hint="default"/>
          <w:spacing w:val="-2"/>
        </w:rPr>
        <w:t>2011</w:t>
      </w:r>
      <w:r>
        <w:rPr>
          <w:spacing w:val="-2"/>
        </w:rPr>
        <w:t>年</w:t>
      </w:r>
      <w:r>
        <w:rPr>
          <w:rFonts w:ascii="Times New Roman" w:hAnsi="Times New Roman" w:cs="Times New Roman" w:eastAsia="Times New Roman" w:hint="default"/>
          <w:spacing w:val="-2"/>
        </w:rPr>
        <w:t>3</w:t>
      </w:r>
      <w:r>
        <w:rPr>
          <w:spacing w:val="-2"/>
        </w:rPr>
        <w:t>月</w:t>
      </w:r>
      <w:r>
        <w:rPr>
          <w:rFonts w:ascii="Times New Roman" w:hAnsi="Times New Roman" w:cs="Times New Roman" w:eastAsia="Times New Roman" w:hint="default"/>
          <w:spacing w:val="-2"/>
        </w:rPr>
        <w:t>29</w:t>
      </w:r>
      <w:r>
        <w:rPr>
          <w:spacing w:val="-2"/>
        </w:rPr>
        <w:t>日，经本公司</w:t>
      </w:r>
      <w:r>
        <w:rPr>
          <w:rFonts w:ascii="Times New Roman" w:hAnsi="Times New Roman" w:cs="Times New Roman" w:eastAsia="Times New Roman" w:hint="default"/>
          <w:spacing w:val="-2"/>
        </w:rPr>
        <w:t>2010</w:t>
      </w:r>
      <w:r>
        <w:rPr>
          <w:spacing w:val="-2"/>
        </w:rPr>
        <w:t>年度股东大会审议批准，本公司以资本公积向全体股东每</w:t>
      </w:r>
      <w:r>
        <w:rPr>
          <w:rFonts w:ascii="Times New Roman" w:hAnsi="Times New Roman" w:cs="Times New Roman" w:eastAsia="Times New Roman" w:hint="default"/>
          <w:spacing w:val="-2"/>
        </w:rPr>
        <w:t>10</w:t>
      </w:r>
      <w:r>
        <w:rPr>
          <w:spacing w:val="-2"/>
        </w:rPr>
        <w:t>股转增</w:t>
      </w:r>
      <w:r>
        <w:rPr>
          <w:rFonts w:ascii="Times New Roman" w:hAnsi="Times New Roman" w:cs="Times New Roman" w:eastAsia="Times New Roman" w:hint="default"/>
          <w:spacing w:val="-2"/>
        </w:rPr>
        <w:t>2</w:t>
      </w:r>
      <w:r>
        <w:rPr>
          <w:spacing w:val="-2"/>
        </w:rPr>
        <w:t>股，转增后公司注册</w:t>
      </w:r>
      <w:r>
        <w:rPr/>
        <w:t> </w:t>
      </w:r>
      <w:r>
        <w:rPr>
          <w:spacing w:val="2"/>
        </w:rPr>
        <w:t>资本由</w:t>
      </w:r>
      <w:r>
        <w:rPr>
          <w:rFonts w:ascii="Times New Roman" w:hAnsi="Times New Roman" w:cs="Times New Roman" w:eastAsia="Times New Roman" w:hint="default"/>
          <w:spacing w:val="2"/>
        </w:rPr>
        <w:t>400,229,579.00</w:t>
      </w:r>
      <w:r>
        <w:rPr>
          <w:spacing w:val="2"/>
        </w:rPr>
        <w:t>元增加至</w:t>
      </w:r>
      <w:r>
        <w:rPr>
          <w:rFonts w:ascii="Times New Roman" w:hAnsi="Times New Roman" w:cs="Times New Roman" w:eastAsia="Times New Roman" w:hint="default"/>
          <w:spacing w:val="2"/>
        </w:rPr>
        <w:t>480,275,494.00</w:t>
      </w:r>
      <w:r>
        <w:rPr>
          <w:spacing w:val="2"/>
        </w:rPr>
        <w:t>元。本公司本次资本公积转增资本已经信永中和会计师事务所审验，并出具</w:t>
      </w:r>
      <w:r>
        <w:rPr>
          <w:spacing w:val="-74"/>
        </w:rPr>
        <w:t> </w:t>
      </w:r>
      <w:r>
        <w:rPr>
          <w:spacing w:val="-74"/>
        </w:rPr>
      </w:r>
      <w:r>
        <w:rPr>
          <w:rFonts w:ascii="Times New Roman" w:hAnsi="Times New Roman" w:cs="Times New Roman" w:eastAsia="Times New Roman" w:hint="default"/>
        </w:rPr>
        <w:t>“XYZH/2010A7046</w:t>
      </w:r>
      <w:r>
        <w:rPr/>
        <w:t>号</w:t>
      </w:r>
      <w:r>
        <w:rPr>
          <w:rFonts w:ascii="Times New Roman" w:hAnsi="Times New Roman" w:cs="Times New Roman" w:eastAsia="Times New Roman" w:hint="default"/>
        </w:rPr>
        <w:t>”</w:t>
      </w:r>
      <w:r>
        <w:rPr/>
        <w:t>验资报告予以确认。</w:t>
      </w:r>
    </w:p>
    <w:p>
      <w:pPr>
        <w:pStyle w:val="BodyText"/>
        <w:spacing w:line="300" w:lineRule="auto" w:before="13"/>
        <w:ind w:right="1128" w:firstLine="360"/>
        <w:jc w:val="both"/>
      </w:pPr>
      <w:r>
        <w:rPr>
          <w:rFonts w:ascii="Times New Roman" w:hAnsi="Times New Roman" w:cs="Times New Roman" w:eastAsia="Times New Roman" w:hint="default"/>
          <w:spacing w:val="-2"/>
        </w:rPr>
        <w:t>2012</w:t>
      </w:r>
      <w:r>
        <w:rPr>
          <w:spacing w:val="-2"/>
        </w:rPr>
        <w:t>年</w:t>
      </w:r>
      <w:r>
        <w:rPr>
          <w:rFonts w:ascii="Times New Roman" w:hAnsi="Times New Roman" w:cs="Times New Roman" w:eastAsia="Times New Roman" w:hint="default"/>
          <w:spacing w:val="-2"/>
        </w:rPr>
        <w:t>3</w:t>
      </w:r>
      <w:r>
        <w:rPr>
          <w:spacing w:val="-2"/>
        </w:rPr>
        <w:t>月</w:t>
      </w:r>
      <w:r>
        <w:rPr>
          <w:rFonts w:ascii="Times New Roman" w:hAnsi="Times New Roman" w:cs="Times New Roman" w:eastAsia="Times New Roman" w:hint="default"/>
          <w:spacing w:val="-2"/>
        </w:rPr>
        <w:t>29</w:t>
      </w:r>
      <w:r>
        <w:rPr>
          <w:spacing w:val="-2"/>
        </w:rPr>
        <w:t>日，经本公司</w:t>
      </w:r>
      <w:r>
        <w:rPr>
          <w:rFonts w:ascii="Times New Roman" w:hAnsi="Times New Roman" w:cs="Times New Roman" w:eastAsia="Times New Roman" w:hint="default"/>
          <w:spacing w:val="-2"/>
        </w:rPr>
        <w:t>2011</w:t>
      </w:r>
      <w:r>
        <w:rPr>
          <w:spacing w:val="-2"/>
        </w:rPr>
        <w:t>年度股东大会审议批准，本公司以资本公积向全体股东每</w:t>
      </w:r>
      <w:r>
        <w:rPr>
          <w:rFonts w:ascii="Times New Roman" w:hAnsi="Times New Roman" w:cs="Times New Roman" w:eastAsia="Times New Roman" w:hint="default"/>
          <w:spacing w:val="-2"/>
        </w:rPr>
        <w:t>10</w:t>
      </w:r>
      <w:r>
        <w:rPr>
          <w:spacing w:val="-2"/>
        </w:rPr>
        <w:t>股转增</w:t>
      </w:r>
      <w:r>
        <w:rPr>
          <w:rFonts w:ascii="Times New Roman" w:hAnsi="Times New Roman" w:cs="Times New Roman" w:eastAsia="Times New Roman" w:hint="default"/>
          <w:spacing w:val="-2"/>
        </w:rPr>
        <w:t>2</w:t>
      </w:r>
      <w:r>
        <w:rPr>
          <w:spacing w:val="-2"/>
        </w:rPr>
        <w:t>股，转增后公司注册</w:t>
      </w:r>
      <w:r>
        <w:rPr/>
        <w:t> </w:t>
      </w:r>
      <w:r>
        <w:rPr>
          <w:spacing w:val="2"/>
        </w:rPr>
        <w:t>资本由</w:t>
      </w:r>
      <w:r>
        <w:rPr>
          <w:rFonts w:ascii="Times New Roman" w:hAnsi="Times New Roman" w:cs="Times New Roman" w:eastAsia="Times New Roman" w:hint="default"/>
          <w:spacing w:val="2"/>
        </w:rPr>
        <w:t>480,275,494.00</w:t>
      </w:r>
      <w:r>
        <w:rPr>
          <w:spacing w:val="2"/>
        </w:rPr>
        <w:t>元增加至</w:t>
      </w:r>
      <w:r>
        <w:rPr>
          <w:rFonts w:ascii="Times New Roman" w:hAnsi="Times New Roman" w:cs="Times New Roman" w:eastAsia="Times New Roman" w:hint="default"/>
          <w:spacing w:val="2"/>
        </w:rPr>
        <w:t>576,330,592.00</w:t>
      </w:r>
      <w:r>
        <w:rPr>
          <w:spacing w:val="2"/>
        </w:rPr>
        <w:t>元。本公司本次资本公积转增资本已经信永中和会计师事务所审验，并出具</w:t>
      </w:r>
      <w:r>
        <w:rPr>
          <w:spacing w:val="-74"/>
        </w:rPr>
        <w:t> </w:t>
      </w:r>
      <w:r>
        <w:rPr>
          <w:spacing w:val="-74"/>
        </w:rPr>
      </w:r>
      <w:r>
        <w:rPr>
          <w:rFonts w:ascii="Times New Roman" w:hAnsi="Times New Roman" w:cs="Times New Roman" w:eastAsia="Times New Roman" w:hint="default"/>
        </w:rPr>
        <w:t>“XYZH/2012A7017</w:t>
      </w:r>
      <w:r>
        <w:rPr/>
        <w:t>号</w:t>
      </w:r>
      <w:r>
        <w:rPr>
          <w:rFonts w:ascii="Times New Roman" w:hAnsi="Times New Roman" w:cs="Times New Roman" w:eastAsia="Times New Roman" w:hint="default"/>
        </w:rPr>
        <w:t>”</w:t>
      </w:r>
      <w:r>
        <w:rPr/>
        <w:t>验资报告予以确认。</w:t>
      </w:r>
    </w:p>
    <w:p>
      <w:pPr>
        <w:pStyle w:val="BodyText"/>
        <w:spacing w:line="300" w:lineRule="auto" w:before="13"/>
        <w:ind w:right="1128" w:firstLine="360"/>
        <w:jc w:val="both"/>
      </w:pPr>
      <w:r>
        <w:rPr>
          <w:rFonts w:ascii="Times New Roman" w:hAnsi="Times New Roman" w:cs="Times New Roman" w:eastAsia="Times New Roman" w:hint="default"/>
          <w:spacing w:val="-2"/>
        </w:rPr>
        <w:t>2013</w:t>
      </w:r>
      <w:r>
        <w:rPr>
          <w:spacing w:val="-2"/>
        </w:rPr>
        <w:t>年</w:t>
      </w:r>
      <w:r>
        <w:rPr>
          <w:rFonts w:ascii="Times New Roman" w:hAnsi="Times New Roman" w:cs="Times New Roman" w:eastAsia="Times New Roman" w:hint="default"/>
          <w:spacing w:val="-2"/>
        </w:rPr>
        <w:t>3</w:t>
      </w:r>
      <w:r>
        <w:rPr>
          <w:spacing w:val="-2"/>
        </w:rPr>
        <w:t>月</w:t>
      </w:r>
      <w:r>
        <w:rPr>
          <w:rFonts w:ascii="Times New Roman" w:hAnsi="Times New Roman" w:cs="Times New Roman" w:eastAsia="Times New Roman" w:hint="default"/>
          <w:spacing w:val="-2"/>
        </w:rPr>
        <w:t>22</w:t>
      </w:r>
      <w:r>
        <w:rPr>
          <w:spacing w:val="-2"/>
        </w:rPr>
        <w:t>日，经本公司</w:t>
      </w:r>
      <w:r>
        <w:rPr>
          <w:rFonts w:ascii="Times New Roman" w:hAnsi="Times New Roman" w:cs="Times New Roman" w:eastAsia="Times New Roman" w:hint="default"/>
          <w:spacing w:val="-2"/>
        </w:rPr>
        <w:t>2012</w:t>
      </w:r>
      <w:r>
        <w:rPr>
          <w:spacing w:val="-2"/>
        </w:rPr>
        <w:t>年度股东大会审议批准，本公司以资本公积向全体股东每</w:t>
      </w:r>
      <w:r>
        <w:rPr>
          <w:rFonts w:ascii="Times New Roman" w:hAnsi="Times New Roman" w:cs="Times New Roman" w:eastAsia="Times New Roman" w:hint="default"/>
          <w:spacing w:val="-2"/>
        </w:rPr>
        <w:t>10</w:t>
      </w:r>
      <w:r>
        <w:rPr>
          <w:spacing w:val="-2"/>
        </w:rPr>
        <w:t>股转增</w:t>
      </w:r>
      <w:r>
        <w:rPr>
          <w:rFonts w:ascii="Times New Roman" w:hAnsi="Times New Roman" w:cs="Times New Roman" w:eastAsia="Times New Roman" w:hint="default"/>
          <w:spacing w:val="-2"/>
        </w:rPr>
        <w:t>2</w:t>
      </w:r>
      <w:r>
        <w:rPr>
          <w:spacing w:val="-2"/>
        </w:rPr>
        <w:t>股，转增后公司注册</w:t>
      </w:r>
      <w:r>
        <w:rPr/>
        <w:t> </w:t>
      </w:r>
      <w:r>
        <w:rPr>
          <w:spacing w:val="2"/>
        </w:rPr>
        <w:t>资本由</w:t>
      </w:r>
      <w:r>
        <w:rPr>
          <w:rFonts w:ascii="Times New Roman" w:hAnsi="Times New Roman" w:cs="Times New Roman" w:eastAsia="Times New Roman" w:hint="default"/>
          <w:spacing w:val="2"/>
        </w:rPr>
        <w:t>576,330,592.00</w:t>
      </w:r>
      <w:r>
        <w:rPr>
          <w:spacing w:val="2"/>
        </w:rPr>
        <w:t>元增加至</w:t>
      </w:r>
      <w:r>
        <w:rPr>
          <w:rFonts w:ascii="Times New Roman" w:hAnsi="Times New Roman" w:cs="Times New Roman" w:eastAsia="Times New Roman" w:hint="default"/>
          <w:spacing w:val="2"/>
        </w:rPr>
        <w:t>691,596,710.00</w:t>
      </w:r>
      <w:r>
        <w:rPr>
          <w:spacing w:val="2"/>
        </w:rPr>
        <w:t>元。本公司本次资本公积转增资本已经信永中和会计师事务所审验，并出具</w:t>
      </w:r>
      <w:r>
        <w:rPr>
          <w:spacing w:val="-74"/>
        </w:rPr>
        <w:t> </w:t>
      </w:r>
      <w:r>
        <w:rPr>
          <w:spacing w:val="-74"/>
        </w:rPr>
      </w:r>
      <w:r>
        <w:rPr>
          <w:rFonts w:ascii="Times New Roman" w:hAnsi="Times New Roman" w:cs="Times New Roman" w:eastAsia="Times New Roman" w:hint="default"/>
        </w:rPr>
        <w:t>“XYZH/2012A4086</w:t>
      </w:r>
      <w:r>
        <w:rPr/>
        <w:t>号</w:t>
      </w:r>
      <w:r>
        <w:rPr>
          <w:rFonts w:ascii="Times New Roman" w:hAnsi="Times New Roman" w:cs="Times New Roman" w:eastAsia="Times New Roman" w:hint="default"/>
        </w:rPr>
        <w:t>”</w:t>
      </w:r>
      <w:r>
        <w:rPr/>
        <w:t>验资报告予以确认。</w:t>
      </w:r>
    </w:p>
    <w:p>
      <w:pPr>
        <w:pStyle w:val="BodyText"/>
        <w:spacing w:line="300" w:lineRule="auto" w:before="13"/>
        <w:ind w:right="1134" w:firstLine="360"/>
        <w:jc w:val="both"/>
      </w:pPr>
      <w:r>
        <w:rPr>
          <w:rFonts w:ascii="Times New Roman" w:hAnsi="Times New Roman" w:cs="Times New Roman" w:eastAsia="Times New Roman" w:hint="default"/>
        </w:rPr>
        <w:t>2014</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29</w:t>
      </w:r>
      <w:r>
        <w:rPr/>
        <w:t>日，中国四维测绘技术有限公司与深圳市腾讯产业投资基金有限公司签署了股份转让协议，转让中国四维 测绘技术有限公司持有的本公司股份</w:t>
      </w:r>
      <w:r>
        <w:rPr>
          <w:rFonts w:ascii="Times New Roman" w:hAnsi="Times New Roman" w:cs="Times New Roman" w:eastAsia="Times New Roman" w:hint="default"/>
        </w:rPr>
        <w:t>78,000,000.00</w:t>
      </w:r>
      <w:r>
        <w:rPr/>
        <w:t>股。</w:t>
      </w:r>
      <w:r>
        <w:rPr>
          <w:rFonts w:ascii="Times New Roman" w:hAnsi="Times New Roman" w:cs="Times New Roman" w:eastAsia="Times New Roman" w:hint="default"/>
        </w:rPr>
        <w:t>2014</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17</w:t>
      </w:r>
      <w:r>
        <w:rPr/>
        <w:t>日，公司收到中国四维测绘技术有限公司转来的中国证</w:t>
      </w:r>
      <w:r>
        <w:rPr>
          <w:spacing w:val="-48"/>
        </w:rPr>
        <w:t> </w:t>
      </w:r>
      <w:r>
        <w:rPr>
          <w:spacing w:val="-48"/>
        </w:rPr>
      </w:r>
      <w:r>
        <w:rPr/>
        <w:t>券登记结算有限责任公司深圳分公司出具的过户登记确认书，确认过户登记手续于</w:t>
      </w:r>
      <w:r>
        <w:rPr>
          <w:rFonts w:ascii="Times New Roman" w:hAnsi="Times New Roman" w:cs="Times New Roman" w:eastAsia="Times New Roman" w:hint="default"/>
        </w:rPr>
        <w:t>2014</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13</w:t>
      </w:r>
      <w:r>
        <w:rPr/>
        <w:t>日办理完毕。</w:t>
      </w:r>
    </w:p>
    <w:p>
      <w:pPr>
        <w:pStyle w:val="BodyText"/>
        <w:spacing w:line="304" w:lineRule="auto" w:before="13"/>
        <w:ind w:right="1128" w:firstLine="360"/>
        <w:jc w:val="both"/>
      </w:pPr>
      <w:r>
        <w:rPr>
          <w:spacing w:val="-5"/>
        </w:rPr>
        <w:t>经本公司</w:t>
      </w:r>
      <w:r>
        <w:rPr>
          <w:rFonts w:ascii="Times New Roman" w:hAnsi="Times New Roman" w:cs="Times New Roman" w:eastAsia="Times New Roman" w:hint="default"/>
          <w:spacing w:val="-5"/>
        </w:rPr>
        <w:t>2015</w:t>
      </w:r>
      <w:r>
        <w:rPr>
          <w:spacing w:val="-5"/>
        </w:rPr>
        <w:t>年第一次临时股东大会审议通过的《北京四维图新科技股份有限公司限制性股票激励计划（草案修订稿）》</w:t>
      </w:r>
      <w:r>
        <w:rPr/>
        <w:t> </w:t>
      </w:r>
      <w:r>
        <w:rPr>
          <w:spacing w:val="-2"/>
        </w:rPr>
        <w:t>及其摘要、第三届董事会第十三次会议审议通过的《关于向激励对象授予限制性股票的议案》、《关于调整限制性股票激励</w:t>
      </w:r>
      <w:r>
        <w:rPr>
          <w:spacing w:val="-65"/>
        </w:rPr>
        <w:t> </w:t>
      </w:r>
      <w:r>
        <w:rPr>
          <w:spacing w:val="-65"/>
        </w:rPr>
      </w:r>
      <w:r>
        <w:rPr/>
        <w:t>计划授予价格的议案》，本公司以</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24</w:t>
      </w:r>
      <w:r>
        <w:rPr/>
        <w:t>日为授予日，按</w:t>
      </w:r>
      <w:r>
        <w:rPr>
          <w:rFonts w:ascii="Times New Roman" w:hAnsi="Times New Roman" w:cs="Times New Roman" w:eastAsia="Times New Roman" w:hint="default"/>
        </w:rPr>
        <w:t>11.279</w:t>
      </w:r>
      <w:r>
        <w:rPr/>
        <w:t>元</w:t>
      </w:r>
      <w:r>
        <w:rPr>
          <w:rFonts w:ascii="Times New Roman" w:hAnsi="Times New Roman" w:cs="Times New Roman" w:eastAsia="Times New Roman" w:hint="default"/>
        </w:rPr>
        <w:t>/</w:t>
      </w:r>
      <w:r>
        <w:rPr/>
        <w:t>股授予价格，向</w:t>
      </w:r>
      <w:r>
        <w:rPr>
          <w:rFonts w:ascii="Times New Roman" w:hAnsi="Times New Roman" w:cs="Times New Roman" w:eastAsia="Times New Roman" w:hint="default"/>
        </w:rPr>
        <w:t>482</w:t>
      </w:r>
      <w:r>
        <w:rPr/>
        <w:t>名激励对象授予</w:t>
      </w:r>
      <w:r>
        <w:rPr>
          <w:rFonts w:ascii="Times New Roman" w:hAnsi="Times New Roman" w:cs="Times New Roman" w:eastAsia="Times New Roman" w:hint="default"/>
        </w:rPr>
        <w:t>1,780.68</w:t>
      </w:r>
      <w:r>
        <w:rPr/>
        <w:t>万股限 </w:t>
      </w:r>
      <w:r>
        <w:rPr>
          <w:spacing w:val="-2"/>
        </w:rPr>
        <w:t>制性股票。此次变更实际增加股本</w:t>
      </w:r>
      <w:r>
        <w:rPr>
          <w:rFonts w:ascii="Times New Roman" w:hAnsi="Times New Roman" w:cs="Times New Roman" w:eastAsia="Times New Roman" w:hint="default"/>
          <w:spacing w:val="-2"/>
        </w:rPr>
        <w:t>17,806,800.00</w:t>
      </w:r>
      <w:r>
        <w:rPr>
          <w:spacing w:val="-2"/>
        </w:rPr>
        <w:t>元，其余</w:t>
      </w:r>
      <w:r>
        <w:rPr>
          <w:rFonts w:ascii="Times New Roman" w:hAnsi="Times New Roman" w:cs="Times New Roman" w:eastAsia="Times New Roman" w:hint="default"/>
          <w:spacing w:val="-2"/>
        </w:rPr>
        <w:t>183,036,097.20</w:t>
      </w:r>
      <w:r>
        <w:rPr>
          <w:spacing w:val="-2"/>
        </w:rPr>
        <w:t>元作为股本溢价，变更后的股本为</w:t>
      </w:r>
      <w:r>
        <w:rPr>
          <w:rFonts w:ascii="Times New Roman" w:hAnsi="Times New Roman" w:cs="Times New Roman" w:eastAsia="Times New Roman" w:hint="default"/>
          <w:spacing w:val="-2"/>
        </w:rPr>
        <w:t>709,403,510.00</w:t>
      </w:r>
      <w:r>
        <w:rPr>
          <w:spacing w:val="-2"/>
        </w:rPr>
        <w:t>元。</w:t>
      </w:r>
      <w:r>
        <w:rPr>
          <w:spacing w:val="-81"/>
        </w:rPr>
        <w:t> </w:t>
      </w:r>
      <w:r>
        <w:rPr/>
        <w:t>此次变更业经信永中和会计师事务所（特殊普通合伙）出具</w:t>
      </w:r>
      <w:r>
        <w:rPr>
          <w:rFonts w:ascii="Times New Roman" w:hAnsi="Times New Roman" w:cs="Times New Roman" w:eastAsia="Times New Roman" w:hint="default"/>
        </w:rPr>
        <w:t>XYZH/2015BJA70103</w:t>
      </w:r>
      <w:r>
        <w:rPr/>
        <w:t>号《验资报告》予以审验。</w:t>
      </w:r>
    </w:p>
    <w:p>
      <w:pPr>
        <w:pStyle w:val="BodyText"/>
        <w:spacing w:line="300" w:lineRule="auto" w:before="9"/>
        <w:ind w:right="1128" w:firstLine="360"/>
        <w:jc w:val="both"/>
      </w:pPr>
      <w:r>
        <w:rPr>
          <w:spacing w:val="-5"/>
        </w:rPr>
        <w:t>经本公司</w:t>
      </w:r>
      <w:r>
        <w:rPr>
          <w:rFonts w:ascii="Times New Roman" w:hAnsi="Times New Roman" w:cs="Times New Roman" w:eastAsia="Times New Roman" w:hint="default"/>
          <w:spacing w:val="-5"/>
        </w:rPr>
        <w:t>2015</w:t>
      </w:r>
      <w:r>
        <w:rPr>
          <w:spacing w:val="-5"/>
        </w:rPr>
        <w:t>年第一次临时股东大会审议通过的《北京四维图新科技股份有限公司限制性股票激励计划（草案修订稿）》</w:t>
      </w:r>
      <w:r>
        <w:rPr/>
        <w:t> 及其摘要、第三届董事会第十五次会议审议通过的《关于向激励对象授予预留限制性股票的议案》，本公司以</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25</w:t>
      </w:r>
      <w:r>
        <w:rPr>
          <w:rFonts w:ascii="Times New Roman" w:hAnsi="Times New Roman" w:cs="Times New Roman" w:eastAsia="Times New Roman" w:hint="default"/>
          <w:spacing w:val="-37"/>
        </w:rPr>
        <w:t> </w:t>
      </w:r>
      <w:r>
        <w:rPr/>
        <w:t>日为授予日，按</w:t>
      </w:r>
      <w:r>
        <w:rPr>
          <w:rFonts w:ascii="Times New Roman" w:hAnsi="Times New Roman" w:cs="Times New Roman" w:eastAsia="Times New Roman" w:hint="default"/>
        </w:rPr>
        <w:t>13.87</w:t>
      </w:r>
      <w:r>
        <w:rPr/>
        <w:t>元</w:t>
      </w:r>
      <w:r>
        <w:rPr>
          <w:rFonts w:ascii="Times New Roman" w:hAnsi="Times New Roman" w:cs="Times New Roman" w:eastAsia="Times New Roman" w:hint="default"/>
        </w:rPr>
        <w:t>/</w:t>
      </w:r>
      <w:r>
        <w:rPr/>
        <w:t>股授予价格，向</w:t>
      </w:r>
      <w:r>
        <w:rPr>
          <w:rFonts w:ascii="Times New Roman" w:hAnsi="Times New Roman" w:cs="Times New Roman" w:eastAsia="Times New Roman" w:hint="default"/>
        </w:rPr>
        <w:t>77</w:t>
      </w:r>
      <w:r>
        <w:rPr/>
        <w:t>名激励对象授予</w:t>
      </w:r>
      <w:r>
        <w:rPr>
          <w:rFonts w:ascii="Times New Roman" w:hAnsi="Times New Roman" w:cs="Times New Roman" w:eastAsia="Times New Roman" w:hint="default"/>
        </w:rPr>
        <w:t>203.30</w:t>
      </w:r>
      <w:r>
        <w:rPr/>
        <w:t>万股限制性股票。此次变更实际增加股本</w:t>
      </w:r>
      <w:r>
        <w:rPr>
          <w:rFonts w:ascii="Times New Roman" w:hAnsi="Times New Roman" w:cs="Times New Roman" w:eastAsia="Times New Roman" w:hint="default"/>
        </w:rPr>
        <w:t>2,033,000.00</w:t>
      </w:r>
      <w:r>
        <w:rPr/>
        <w:t>元， </w:t>
      </w:r>
      <w:r>
        <w:rPr>
          <w:spacing w:val="-4"/>
        </w:rPr>
        <w:t>其余</w:t>
      </w:r>
      <w:r>
        <w:rPr>
          <w:rFonts w:ascii="Times New Roman" w:hAnsi="Times New Roman" w:cs="Times New Roman" w:eastAsia="Times New Roman" w:hint="default"/>
          <w:spacing w:val="-4"/>
        </w:rPr>
        <w:t>26,164,710.00</w:t>
      </w:r>
      <w:r>
        <w:rPr>
          <w:spacing w:val="-4"/>
        </w:rPr>
        <w:t>元作为股本溢价，变更后的股本为</w:t>
      </w:r>
      <w:r>
        <w:rPr>
          <w:rFonts w:ascii="Times New Roman" w:hAnsi="Times New Roman" w:cs="Times New Roman" w:eastAsia="Times New Roman" w:hint="default"/>
          <w:spacing w:val="-4"/>
        </w:rPr>
        <w:t>711,436,510.00</w:t>
      </w:r>
      <w:r>
        <w:rPr>
          <w:spacing w:val="-4"/>
        </w:rPr>
        <w:t>元。此次变更业经信永中和会计师事务所（特殊普通合伙）</w:t>
      </w:r>
      <w:r>
        <w:rPr>
          <w:spacing w:val="-84"/>
        </w:rPr>
        <w:t> </w:t>
      </w:r>
      <w:r>
        <w:rPr>
          <w:spacing w:val="-84"/>
        </w:rPr>
      </w:r>
      <w:r>
        <w:rPr/>
        <w:t>出具</w:t>
      </w:r>
      <w:r>
        <w:rPr>
          <w:rFonts w:ascii="Times New Roman" w:hAnsi="Times New Roman" w:cs="Times New Roman" w:eastAsia="Times New Roman" w:hint="default"/>
        </w:rPr>
        <w:t>XYZH/2015BJA70117</w:t>
      </w:r>
      <w:r>
        <w:rPr/>
        <w:t>号《验资报告》予以审验。</w:t>
      </w:r>
    </w:p>
    <w:p>
      <w:pPr>
        <w:pStyle w:val="BodyText"/>
        <w:spacing w:line="300" w:lineRule="auto" w:before="13"/>
        <w:ind w:right="1124" w:firstLine="360"/>
        <w:jc w:val="both"/>
      </w:pPr>
      <w:r>
        <w:rPr>
          <w:spacing w:val="-2"/>
        </w:rPr>
        <w:t>经本公司</w:t>
      </w:r>
      <w:r>
        <w:rPr>
          <w:rFonts w:ascii="Times New Roman" w:hAnsi="Times New Roman" w:cs="Times New Roman" w:eastAsia="Times New Roman" w:hint="default"/>
          <w:spacing w:val="-2"/>
        </w:rPr>
        <w:t>2016</w:t>
      </w:r>
      <w:r>
        <w:rPr>
          <w:spacing w:val="-2"/>
        </w:rPr>
        <w:t>年第三届董事会第十九次会议审议通过的《关于回购注销部分限制性股票的议案》，公司申请减少注册资</w:t>
      </w:r>
      <w:r>
        <w:rPr/>
        <w:t> 本人民币</w:t>
      </w:r>
      <w:r>
        <w:rPr>
          <w:rFonts w:ascii="Times New Roman" w:hAnsi="Times New Roman" w:cs="Times New Roman" w:eastAsia="Times New Roman" w:hint="default"/>
        </w:rPr>
        <w:t>279,000.00</w:t>
      </w:r>
      <w:r>
        <w:rPr/>
        <w:t>元，回购有限售条件股份</w:t>
      </w:r>
      <w:r>
        <w:rPr>
          <w:rFonts w:ascii="Times New Roman" w:hAnsi="Times New Roman" w:cs="Times New Roman" w:eastAsia="Times New Roman" w:hint="default"/>
        </w:rPr>
        <w:t>279,000</w:t>
      </w:r>
      <w:r>
        <w:rPr/>
        <w:t>股后予以注销，注册资本由</w:t>
      </w:r>
      <w:r>
        <w:rPr>
          <w:rFonts w:ascii="Times New Roman" w:hAnsi="Times New Roman" w:cs="Times New Roman" w:eastAsia="Times New Roman" w:hint="default"/>
        </w:rPr>
        <w:t>711,436,510.00</w:t>
      </w:r>
      <w:r>
        <w:rPr/>
        <w:t>元减少至</w:t>
      </w:r>
      <w:r>
        <w:rPr>
          <w:rFonts w:ascii="Times New Roman" w:hAnsi="Times New Roman" w:cs="Times New Roman" w:eastAsia="Times New Roman" w:hint="default"/>
        </w:rPr>
        <w:t>711,157,510.00</w:t>
      </w:r>
      <w:r>
        <w:rPr/>
        <w:t>元。</w:t>
      </w:r>
      <w:r>
        <w:rPr>
          <w:spacing w:val="-49"/>
        </w:rPr>
        <w:t> </w:t>
      </w:r>
      <w:r>
        <w:rPr/>
        <w:t>此次变更业经信永中和会计师事务所（特殊普通合伙）出具</w:t>
      </w:r>
      <w:r>
        <w:rPr>
          <w:rFonts w:ascii="Times New Roman" w:hAnsi="Times New Roman" w:cs="Times New Roman" w:eastAsia="Times New Roman" w:hint="default"/>
        </w:rPr>
        <w:t>“XYZH/2015BJA70178”</w:t>
      </w:r>
      <w:r>
        <w:rPr/>
        <w:t>号验资报告予以审验。</w:t>
      </w:r>
    </w:p>
    <w:p>
      <w:pPr>
        <w:pStyle w:val="BodyText"/>
        <w:spacing w:line="300" w:lineRule="auto" w:before="13"/>
        <w:ind w:right="1131" w:firstLine="360"/>
        <w:jc w:val="both"/>
      </w:pPr>
      <w:r>
        <w:rPr>
          <w:rFonts w:ascii="Times New Roman" w:hAnsi="Times New Roman" w:cs="Times New Roman" w:eastAsia="Times New Roman" w:hint="default"/>
        </w:rPr>
        <w:t>2016</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7</w:t>
      </w:r>
      <w:r>
        <w:rPr/>
        <w:t>日，经本公司</w:t>
      </w:r>
      <w:r>
        <w:rPr>
          <w:rFonts w:ascii="Times New Roman" w:hAnsi="Times New Roman" w:cs="Times New Roman" w:eastAsia="Times New Roman" w:hint="default"/>
        </w:rPr>
        <w:t>2015</w:t>
      </w:r>
      <w:r>
        <w:rPr/>
        <w:t>年度股东大会审议批准，本公司以资本公积金向全体股东每</w:t>
      </w:r>
      <w:r>
        <w:rPr>
          <w:rFonts w:ascii="Times New Roman" w:hAnsi="Times New Roman" w:cs="Times New Roman" w:eastAsia="Times New Roman" w:hint="default"/>
        </w:rPr>
        <w:t>10</w:t>
      </w:r>
      <w:r>
        <w:rPr/>
        <w:t>股转增</w:t>
      </w:r>
      <w:r>
        <w:rPr>
          <w:rFonts w:ascii="Times New Roman" w:hAnsi="Times New Roman" w:cs="Times New Roman" w:eastAsia="Times New Roman" w:hint="default"/>
        </w:rPr>
        <w:t>5</w:t>
      </w:r>
      <w:r>
        <w:rPr/>
        <w:t>股，转增后本公司 注册资本由</w:t>
      </w:r>
      <w:r>
        <w:rPr>
          <w:rFonts w:ascii="Times New Roman" w:hAnsi="Times New Roman" w:cs="Times New Roman" w:eastAsia="Times New Roman" w:hint="default"/>
        </w:rPr>
        <w:t>711,157,510.00</w:t>
      </w:r>
      <w:r>
        <w:rPr/>
        <w:t>元增加至</w:t>
      </w:r>
      <w:r>
        <w:rPr>
          <w:rFonts w:ascii="Times New Roman" w:hAnsi="Times New Roman" w:cs="Times New Roman" w:eastAsia="Times New Roman" w:hint="default"/>
        </w:rPr>
        <w:t>1,066,736,265.00</w:t>
      </w:r>
      <w:r>
        <w:rPr/>
        <w:t>元。</w:t>
      </w:r>
    </w:p>
    <w:p>
      <w:pPr>
        <w:pStyle w:val="BodyText"/>
        <w:spacing w:line="304" w:lineRule="auto" w:before="13"/>
        <w:ind w:right="1034" w:firstLine="360"/>
        <w:jc w:val="left"/>
      </w:pPr>
      <w:r>
        <w:rPr>
          <w:rFonts w:ascii="Times New Roman" w:hAnsi="Times New Roman" w:cs="Times New Roman" w:eastAsia="Times New Roman" w:hint="default"/>
          <w:spacing w:val="-2"/>
        </w:rPr>
        <w:t>2016</w:t>
      </w:r>
      <w:r>
        <w:rPr>
          <w:spacing w:val="-2"/>
        </w:rPr>
        <w:t>年</w:t>
      </w:r>
      <w:r>
        <w:rPr>
          <w:rFonts w:ascii="Times New Roman" w:hAnsi="Times New Roman" w:cs="Times New Roman" w:eastAsia="Times New Roman" w:hint="default"/>
          <w:spacing w:val="-2"/>
        </w:rPr>
        <w:t>11</w:t>
      </w:r>
      <w:r>
        <w:rPr>
          <w:spacing w:val="-2"/>
        </w:rPr>
        <w:t>月</w:t>
      </w:r>
      <w:r>
        <w:rPr>
          <w:rFonts w:ascii="Times New Roman" w:hAnsi="Times New Roman" w:cs="Times New Roman" w:eastAsia="Times New Roman" w:hint="default"/>
          <w:spacing w:val="-2"/>
        </w:rPr>
        <w:t>15</w:t>
      </w:r>
      <w:r>
        <w:rPr>
          <w:spacing w:val="-2"/>
        </w:rPr>
        <w:t>日，根据本公司</w:t>
      </w:r>
      <w:r>
        <w:rPr>
          <w:rFonts w:ascii="Times New Roman" w:hAnsi="Times New Roman" w:cs="Times New Roman" w:eastAsia="Times New Roman" w:hint="default"/>
          <w:spacing w:val="-2"/>
        </w:rPr>
        <w:t>2015</w:t>
      </w:r>
      <w:r>
        <w:rPr>
          <w:spacing w:val="-2"/>
        </w:rPr>
        <w:t>年第一次临时股东大会审议通过的《北京四维图新科技股份有限公司限制性股票激励</w:t>
      </w:r>
      <w:r>
        <w:rPr/>
        <w:t> 计划（草案修订稿）》及其摘要、公司第三届董事会第二十五次会议审议通过的《关于回购注销部分限制性股票的议案》，</w:t>
      </w:r>
      <w:r>
        <w:rPr>
          <w:spacing w:val="-83"/>
        </w:rPr>
        <w:t> </w:t>
      </w:r>
      <w:r>
        <w:rPr>
          <w:spacing w:val="-83"/>
        </w:rPr>
      </w:r>
      <w:r>
        <w:rPr>
          <w:spacing w:val="7"/>
        </w:rPr>
        <w:t>本公司申请减少注册资本人民币</w:t>
      </w:r>
      <w:r>
        <w:rPr>
          <w:rFonts w:ascii="Times New Roman" w:hAnsi="Times New Roman" w:cs="Times New Roman" w:eastAsia="Times New Roman" w:hint="default"/>
          <w:spacing w:val="7"/>
        </w:rPr>
        <w:t>209,000.00</w:t>
      </w:r>
      <w:r>
        <w:rPr>
          <w:spacing w:val="7"/>
        </w:rPr>
        <w:t>元， </w:t>
      </w:r>
      <w:r>
        <w:rPr>
          <w:spacing w:val="8"/>
        </w:rPr>
        <w:t>回购有限售条件股份</w:t>
      </w:r>
      <w:r>
        <w:rPr>
          <w:rFonts w:ascii="Times New Roman" w:hAnsi="Times New Roman" w:cs="Times New Roman" w:eastAsia="Times New Roman" w:hint="default"/>
          <w:spacing w:val="8"/>
        </w:rPr>
        <w:t>209,000.00</w:t>
      </w:r>
      <w:r>
        <w:rPr>
          <w:spacing w:val="8"/>
        </w:rPr>
        <w:t>股后予以注销</w:t>
      </w:r>
      <w:r>
        <w:rPr>
          <w:rFonts w:ascii="Times New Roman" w:hAnsi="Times New Roman" w:cs="Times New Roman" w:eastAsia="Times New Roman" w:hint="default"/>
          <w:spacing w:val="8"/>
        </w:rPr>
        <w:t>,</w:t>
      </w:r>
      <w:r>
        <w:rPr>
          <w:spacing w:val="8"/>
        </w:rPr>
        <w:t>变更后本公司的股本为</w:t>
      </w:r>
      <w:r>
        <w:rPr>
          <w:spacing w:val="-85"/>
        </w:rPr>
        <w:t> </w:t>
      </w:r>
      <w:r>
        <w:rPr>
          <w:spacing w:val="-85"/>
        </w:rPr>
      </w:r>
      <w:r>
        <w:rPr>
          <w:rFonts w:ascii="Times New Roman" w:hAnsi="Times New Roman" w:cs="Times New Roman" w:eastAsia="Times New Roman" w:hint="default"/>
        </w:rPr>
        <w:t>1,066,527,265.00</w:t>
      </w:r>
      <w:r>
        <w:rPr/>
        <w:t>元。此次变更业经信永中和会计师事务所（特殊普通合伙）出具</w:t>
      </w:r>
      <w:r>
        <w:rPr>
          <w:rFonts w:ascii="Times New Roman" w:hAnsi="Times New Roman" w:cs="Times New Roman" w:eastAsia="Times New Roman" w:hint="default"/>
        </w:rPr>
        <w:t>“XYZH/2016BJA70264”</w:t>
      </w:r>
      <w:r>
        <w:rPr>
          <w:rFonts w:ascii="Times New Roman" w:hAnsi="Times New Roman" w:cs="Times New Roman" w:eastAsia="Times New Roman" w:hint="default"/>
          <w:spacing w:val="18"/>
        </w:rPr>
        <w:t> </w:t>
      </w:r>
      <w:r>
        <w:rPr/>
        <w:t>号验资报告予以审 验。</w:t>
      </w:r>
    </w:p>
    <w:p>
      <w:pPr>
        <w:pStyle w:val="BodyText"/>
        <w:spacing w:line="307" w:lineRule="auto" w:before="28"/>
        <w:ind w:right="1129" w:firstLine="360"/>
        <w:jc w:val="both"/>
      </w:pP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3</w:t>
      </w:r>
      <w:r>
        <w:rPr>
          <w:spacing w:val="-2"/>
        </w:rPr>
        <w:t>月</w:t>
      </w:r>
      <w:r>
        <w:rPr>
          <w:rFonts w:ascii="Times New Roman" w:hAnsi="Times New Roman" w:cs="Times New Roman" w:eastAsia="Times New Roman" w:hint="default"/>
          <w:spacing w:val="-2"/>
        </w:rPr>
        <w:t>7</w:t>
      </w:r>
      <w:r>
        <w:rPr>
          <w:spacing w:val="-2"/>
        </w:rPr>
        <w:t>日，根据本公司</w:t>
      </w:r>
      <w:r>
        <w:rPr>
          <w:rFonts w:ascii="Times New Roman" w:hAnsi="Times New Roman" w:cs="Times New Roman" w:eastAsia="Times New Roman" w:hint="default"/>
          <w:spacing w:val="-2"/>
        </w:rPr>
        <w:t>2016</w:t>
      </w:r>
      <w:r>
        <w:rPr>
          <w:spacing w:val="-2"/>
        </w:rPr>
        <w:t>年第三届董事会第二十一次会议、</w:t>
      </w:r>
      <w:r>
        <w:rPr>
          <w:rFonts w:ascii="Times New Roman" w:hAnsi="Times New Roman" w:cs="Times New Roman" w:eastAsia="Times New Roman" w:hint="default"/>
          <w:spacing w:val="-2"/>
        </w:rPr>
        <w:t>2015</w:t>
      </w:r>
      <w:r>
        <w:rPr>
          <w:spacing w:val="-2"/>
        </w:rPr>
        <w:t>年度股东大会审议批准，并经中国证券监督管理</w:t>
      </w:r>
      <w:r>
        <w:rPr/>
        <w:t> </w:t>
      </w:r>
      <w:r>
        <w:rPr>
          <w:spacing w:val="-2"/>
        </w:rPr>
        <w:t>委员会《关于核准北京四维图新科技股份有限公司向合肥高新科技创业投资有限公司等发行股份购买资产并募集配套资金的</w:t>
      </w:r>
      <w:r>
        <w:rPr>
          <w:spacing w:val="-64"/>
        </w:rPr>
        <w:t> </w:t>
      </w:r>
      <w:r>
        <w:rPr>
          <w:spacing w:val="-64"/>
        </w:rPr>
      </w:r>
      <w:r>
        <w:rPr>
          <w:spacing w:val="-1"/>
        </w:rPr>
        <w:t>批复》（证监许可</w:t>
      </w:r>
      <w:r>
        <w:rPr>
          <w:rFonts w:ascii="Times New Roman" w:hAnsi="Times New Roman" w:cs="Times New Roman" w:eastAsia="Times New Roman" w:hint="default"/>
          <w:spacing w:val="-1"/>
        </w:rPr>
        <w:t>[2017]22</w:t>
      </w:r>
      <w:r>
        <w:rPr>
          <w:spacing w:val="-1"/>
        </w:rPr>
        <w:t>号）的核准，同意本公司向合肥高新科技创业投资有限公司、宁波杰康投资管理合伙企业（有限</w:t>
      </w:r>
      <w:r>
        <w:rPr>
          <w:spacing w:val="-57"/>
        </w:rPr>
        <w:t> </w:t>
      </w:r>
      <w:r>
        <w:rPr>
          <w:spacing w:val="-57"/>
        </w:rPr>
      </w:r>
      <w:r>
        <w:rPr>
          <w:spacing w:val="-2"/>
        </w:rPr>
        <w:t>合伙）、宁波杰浩投资管理合伙企业（有限合伙）、宁波杰朗投资管理合伙企业（有限合伙）、宁波杰晟投资管理合伙企业</w:t>
      </w:r>
    </w:p>
    <w:p>
      <w:pPr>
        <w:pStyle w:val="BodyText"/>
        <w:spacing w:line="300" w:lineRule="auto" w:before="26"/>
        <w:ind w:right="1129"/>
        <w:jc w:val="both"/>
      </w:pPr>
      <w:r>
        <w:rPr>
          <w:spacing w:val="-2"/>
        </w:rPr>
        <w:t>（有限合伙）共</w:t>
      </w:r>
      <w:r>
        <w:rPr>
          <w:rFonts w:ascii="Times New Roman" w:hAnsi="Times New Roman" w:cs="Times New Roman" w:eastAsia="Times New Roman" w:hint="default"/>
          <w:spacing w:val="-2"/>
        </w:rPr>
        <w:t>5</w:t>
      </w:r>
      <w:r>
        <w:rPr>
          <w:spacing w:val="-2"/>
        </w:rPr>
        <w:t>位交易对方共计发行</w:t>
      </w:r>
      <w:r>
        <w:rPr>
          <w:rFonts w:ascii="Times New Roman" w:hAnsi="Times New Roman" w:cs="Times New Roman" w:eastAsia="Times New Roman" w:hint="default"/>
          <w:spacing w:val="-2"/>
        </w:rPr>
        <w:t>19,418,723</w:t>
      </w:r>
      <w:r>
        <w:rPr>
          <w:spacing w:val="-2"/>
        </w:rPr>
        <w:t>股新股购买其持有的合肥杰发科技有限公司（原名杰发科技（合肥）有限公</w:t>
      </w:r>
      <w:r>
        <w:rPr>
          <w:spacing w:val="-57"/>
        </w:rPr>
        <w:t> </w:t>
      </w:r>
      <w:r>
        <w:rPr>
          <w:spacing w:val="-57"/>
        </w:rPr>
      </w:r>
      <w:r>
        <w:rPr/>
        <w:t>司，以下简称杰发科技）股权。本公司本次实际发行数量为</w:t>
      </w:r>
      <w:r>
        <w:rPr>
          <w:rFonts w:ascii="Times New Roman" w:hAnsi="Times New Roman" w:cs="Times New Roman" w:eastAsia="Times New Roman" w:hint="default"/>
        </w:rPr>
        <w:t>19,418,723</w:t>
      </w:r>
      <w:r>
        <w:rPr/>
        <w:t>股新股，股票的每股面值人民币</w:t>
      </w:r>
      <w:r>
        <w:rPr>
          <w:rFonts w:ascii="Times New Roman" w:hAnsi="Times New Roman" w:cs="Times New Roman" w:eastAsia="Times New Roman" w:hint="default"/>
        </w:rPr>
        <w:t>1.00</w:t>
      </w:r>
      <w:r>
        <w:rPr/>
        <w:t>元，发行价格为</w:t>
      </w:r>
      <w:r>
        <w:rPr>
          <w:spacing w:val="-43"/>
        </w:rPr>
        <w:t> </w:t>
      </w:r>
      <w:r>
        <w:rPr>
          <w:spacing w:val="-43"/>
        </w:rPr>
      </w:r>
      <w:r>
        <w:rPr>
          <w:spacing w:val="-2"/>
        </w:rPr>
        <w:t>每股人民币</w:t>
      </w:r>
      <w:r>
        <w:rPr>
          <w:rFonts w:ascii="Times New Roman" w:hAnsi="Times New Roman" w:cs="Times New Roman" w:eastAsia="Times New Roman" w:hint="default"/>
          <w:spacing w:val="-2"/>
        </w:rPr>
        <w:t>17.02</w:t>
      </w:r>
      <w:r>
        <w:rPr>
          <w:spacing w:val="-2"/>
        </w:rPr>
        <w:t>元，本次实际增加股本人民币</w:t>
      </w:r>
      <w:r>
        <w:rPr>
          <w:rFonts w:ascii="Times New Roman" w:hAnsi="Times New Roman" w:cs="Times New Roman" w:eastAsia="Times New Roman" w:hint="default"/>
          <w:spacing w:val="-2"/>
        </w:rPr>
        <w:t>19,418,723.00</w:t>
      </w:r>
      <w:r>
        <w:rPr>
          <w:spacing w:val="-2"/>
        </w:rPr>
        <w:t>元，变更后的股本为</w:t>
      </w:r>
      <w:r>
        <w:rPr>
          <w:rFonts w:ascii="Times New Roman" w:hAnsi="Times New Roman" w:cs="Times New Roman" w:eastAsia="Times New Roman" w:hint="default"/>
          <w:spacing w:val="-2"/>
        </w:rPr>
        <w:t>1,085,945,988.00</w:t>
      </w:r>
      <w:r>
        <w:rPr>
          <w:spacing w:val="-2"/>
        </w:rPr>
        <w:t>元。此次变更业经信永中和</w:t>
      </w:r>
      <w:r>
        <w:rPr>
          <w:spacing w:val="-43"/>
        </w:rPr>
        <w:t> </w:t>
      </w:r>
      <w:r>
        <w:rPr>
          <w:spacing w:val="-43"/>
        </w:rPr>
      </w:r>
      <w:r>
        <w:rPr/>
        <w:t>会计师事务所（特殊普通合伙）出具</w:t>
      </w:r>
      <w:r>
        <w:rPr>
          <w:rFonts w:ascii="Times New Roman" w:hAnsi="Times New Roman" w:cs="Times New Roman" w:eastAsia="Times New Roman" w:hint="default"/>
        </w:rPr>
        <w:t>“XYZH/2017BJA70061”</w:t>
      </w:r>
      <w:r>
        <w:rPr>
          <w:rFonts w:ascii="Times New Roman" w:hAnsi="Times New Roman" w:cs="Times New Roman" w:eastAsia="Times New Roman" w:hint="default"/>
          <w:spacing w:val="24"/>
        </w:rPr>
        <w:t> </w:t>
      </w:r>
      <w:r>
        <w:rPr/>
        <w:t>号验资报告予以审验。</w:t>
      </w:r>
    </w:p>
    <w:p>
      <w:pPr>
        <w:pStyle w:val="BodyText"/>
        <w:spacing w:line="240" w:lineRule="auto" w:before="13"/>
        <w:ind w:left="513" w:right="982"/>
        <w:jc w:val="left"/>
      </w:pPr>
      <w:r>
        <w:rPr>
          <w:rFonts w:ascii="Times New Roman" w:hAnsi="Times New Roman" w:cs="Times New Roman" w:eastAsia="Times New Roman" w:hint="default"/>
        </w:rPr>
        <w:t>2017</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10</w:t>
      </w:r>
      <w:r>
        <w:rPr/>
        <w:t>日，根据本公司</w:t>
      </w:r>
      <w:r>
        <w:rPr>
          <w:rFonts w:ascii="Times New Roman" w:hAnsi="Times New Roman" w:cs="Times New Roman" w:eastAsia="Times New Roman" w:hint="default"/>
        </w:rPr>
        <w:t>2016</w:t>
      </w:r>
      <w:r>
        <w:rPr/>
        <w:t>年第三届董事会第二十一次会议、</w:t>
      </w:r>
      <w:r>
        <w:rPr>
          <w:rFonts w:ascii="Times New Roman" w:hAnsi="Times New Roman" w:cs="Times New Roman" w:eastAsia="Times New Roman" w:hint="default"/>
        </w:rPr>
        <w:t>2015</w:t>
      </w:r>
      <w:r>
        <w:rPr/>
        <w:t>年度股东大会审议批准，并经中国证券监督管</w:t>
      </w:r>
    </w:p>
    <w:p>
      <w:pPr>
        <w:spacing w:after="0" w:line="240" w:lineRule="auto"/>
        <w:jc w:val="left"/>
        <w:sectPr>
          <w:pgSz w:w="11910" w:h="16840"/>
          <w:pgMar w:header="745" w:footer="979" w:top="1060" w:bottom="1160" w:left="980" w:right="0"/>
        </w:sectPr>
      </w:pPr>
    </w:p>
    <w:p>
      <w:pPr>
        <w:spacing w:line="240" w:lineRule="auto" w:before="9"/>
        <w:rPr>
          <w:rFonts w:ascii="宋体" w:hAnsi="宋体" w:cs="宋体" w:eastAsia="宋体" w:hint="default"/>
          <w:sz w:val="25"/>
          <w:szCs w:val="25"/>
        </w:rPr>
      </w:pPr>
    </w:p>
    <w:p>
      <w:pPr>
        <w:pStyle w:val="BodyText"/>
        <w:spacing w:line="304" w:lineRule="auto" w:before="44"/>
        <w:ind w:right="1131"/>
        <w:jc w:val="both"/>
      </w:pPr>
      <w:r>
        <w:rPr>
          <w:spacing w:val="-2"/>
        </w:rPr>
        <w:t>理委员会《关于核准北京四维图新科技股份有限公司向合肥高新科技创业投资有限公司等发行股份购买资产并募集配套资金</w:t>
      </w:r>
      <w:r>
        <w:rPr>
          <w:spacing w:val="-64"/>
        </w:rPr>
        <w:t> </w:t>
      </w:r>
      <w:r>
        <w:rPr>
          <w:spacing w:val="-64"/>
        </w:rPr>
      </w:r>
      <w:r>
        <w:rPr>
          <w:spacing w:val="2"/>
        </w:rPr>
        <w:t>的批复》（证监许可</w:t>
      </w:r>
      <w:r>
        <w:rPr>
          <w:rFonts w:ascii="Times New Roman" w:hAnsi="Times New Roman" w:cs="Times New Roman" w:eastAsia="Times New Roman" w:hint="default"/>
          <w:spacing w:val="2"/>
        </w:rPr>
        <w:t>[2017]22</w:t>
      </w:r>
      <w:r>
        <w:rPr>
          <w:spacing w:val="2"/>
        </w:rPr>
        <w:t>号）的核准，同意本公司非公开发行不超过</w:t>
      </w:r>
      <w:r>
        <w:rPr>
          <w:rFonts w:ascii="Times New Roman" w:hAnsi="Times New Roman" w:cs="Times New Roman" w:eastAsia="Times New Roman" w:hint="default"/>
          <w:spacing w:val="2"/>
        </w:rPr>
        <w:t>223,266,740</w:t>
      </w:r>
      <w:r>
        <w:rPr>
          <w:spacing w:val="2"/>
        </w:rPr>
        <w:t>股新股。本公司本次实际发行数量为</w:t>
      </w:r>
      <w:r>
        <w:rPr>
          <w:spacing w:val="-84"/>
        </w:rPr>
        <w:t> </w:t>
      </w:r>
      <w:r>
        <w:rPr>
          <w:spacing w:val="-84"/>
        </w:rPr>
      </w:r>
      <w:r>
        <w:rPr>
          <w:rFonts w:ascii="Times New Roman" w:hAnsi="Times New Roman" w:cs="Times New Roman" w:eastAsia="Times New Roman" w:hint="default"/>
          <w:spacing w:val="-2"/>
        </w:rPr>
        <w:t>196,923,025</w:t>
      </w:r>
      <w:r>
        <w:rPr>
          <w:spacing w:val="-2"/>
        </w:rPr>
        <w:t>股新股，股票的每股面值人民币</w:t>
      </w:r>
      <w:r>
        <w:rPr>
          <w:rFonts w:ascii="Times New Roman" w:hAnsi="Times New Roman" w:cs="Times New Roman" w:eastAsia="Times New Roman" w:hint="default"/>
          <w:spacing w:val="-2"/>
        </w:rPr>
        <w:t>1.00</w:t>
      </w:r>
      <w:r>
        <w:rPr>
          <w:spacing w:val="-2"/>
        </w:rPr>
        <w:t>元，发行价格为每股人民币</w:t>
      </w:r>
      <w:r>
        <w:rPr>
          <w:rFonts w:ascii="Times New Roman" w:hAnsi="Times New Roman" w:cs="Times New Roman" w:eastAsia="Times New Roman" w:hint="default"/>
          <w:spacing w:val="-2"/>
        </w:rPr>
        <w:t>17.02</w:t>
      </w:r>
      <w:r>
        <w:rPr>
          <w:spacing w:val="-2"/>
        </w:rPr>
        <w:t>元，本次实际增加股本人民币</w:t>
      </w:r>
      <w:r>
        <w:rPr>
          <w:rFonts w:ascii="Times New Roman" w:hAnsi="Times New Roman" w:cs="Times New Roman" w:eastAsia="Times New Roman" w:hint="default"/>
          <w:spacing w:val="-2"/>
        </w:rPr>
        <w:t>196,923,025.00</w:t>
      </w:r>
      <w:r>
        <w:rPr>
          <w:rFonts w:ascii="Times New Roman" w:hAnsi="Times New Roman" w:cs="Times New Roman" w:eastAsia="Times New Roman" w:hint="default"/>
          <w:spacing w:val="-39"/>
        </w:rPr>
        <w:t> </w:t>
      </w:r>
      <w:r>
        <w:rPr>
          <w:rFonts w:ascii="Times New Roman" w:hAnsi="Times New Roman" w:cs="Times New Roman" w:eastAsia="Times New Roman" w:hint="default"/>
          <w:spacing w:val="-39"/>
        </w:rPr>
      </w:r>
      <w:r>
        <w:rPr>
          <w:spacing w:val="-2"/>
        </w:rPr>
        <w:t>元，变更后的股本为</w:t>
      </w:r>
      <w:r>
        <w:rPr>
          <w:rFonts w:ascii="Times New Roman" w:hAnsi="Times New Roman" w:cs="Times New Roman" w:eastAsia="Times New Roman" w:hint="default"/>
          <w:spacing w:val="-2"/>
        </w:rPr>
        <w:t>1,282,869,013.00</w:t>
      </w:r>
      <w:r>
        <w:rPr>
          <w:spacing w:val="-2"/>
        </w:rPr>
        <w:t>元。此次变更业经信永中和会计师事务所（特殊普通合伙）出具</w:t>
      </w:r>
      <w:r>
        <w:rPr>
          <w:rFonts w:ascii="Times New Roman" w:hAnsi="Times New Roman" w:cs="Times New Roman" w:eastAsia="Times New Roman" w:hint="default"/>
          <w:spacing w:val="-2"/>
        </w:rPr>
        <w:t>“XYZH/2017BJA70066”</w:t>
      </w:r>
      <w:r>
        <w:rPr>
          <w:rFonts w:ascii="Times New Roman" w:hAnsi="Times New Roman" w:cs="Times New Roman" w:eastAsia="Times New Roman" w:hint="default"/>
          <w:spacing w:val="-35"/>
        </w:rPr>
        <w:t> </w:t>
      </w:r>
      <w:r>
        <w:rPr>
          <w:rFonts w:ascii="Times New Roman" w:hAnsi="Times New Roman" w:cs="Times New Roman" w:eastAsia="Times New Roman" w:hint="default"/>
          <w:spacing w:val="-35"/>
        </w:rPr>
      </w:r>
      <w:r>
        <w:rPr/>
        <w:t>号验资报告予以审验。</w:t>
      </w:r>
    </w:p>
    <w:p>
      <w:pPr>
        <w:pStyle w:val="BodyText"/>
        <w:spacing w:line="300" w:lineRule="auto" w:before="28"/>
        <w:ind w:right="1131" w:firstLine="360"/>
        <w:jc w:val="both"/>
      </w:pPr>
      <w:r>
        <w:rPr>
          <w:rFonts w:ascii="Times New Roman" w:hAnsi="Times New Roman" w:cs="Times New Roman" w:eastAsia="Times New Roman" w:hint="default"/>
        </w:rPr>
        <w:t>2017</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15</w:t>
      </w:r>
      <w:r>
        <w:rPr/>
        <w:t>日，根据本公司第三届董事会第二十八次会议审议通过的《关于回购注销部分限制性股票的议案》，本公 </w:t>
      </w:r>
      <w:r>
        <w:rPr>
          <w:spacing w:val="15"/>
        </w:rPr>
        <w:t>司申请减少注册资本人民币</w:t>
      </w:r>
      <w:r>
        <w:rPr>
          <w:spacing w:val="-69"/>
        </w:rPr>
        <w:t> </w:t>
      </w:r>
      <w:r>
        <w:rPr>
          <w:rFonts w:ascii="Times New Roman" w:hAnsi="Times New Roman" w:cs="Times New Roman" w:eastAsia="Times New Roman" w:hint="default"/>
        </w:rPr>
        <w:t>254,000.00</w:t>
      </w:r>
      <w:r>
        <w:rPr>
          <w:rFonts w:ascii="Times New Roman" w:hAnsi="Times New Roman" w:cs="Times New Roman" w:eastAsia="Times New Roman" w:hint="default"/>
          <w:spacing w:val="2"/>
        </w:rPr>
        <w:t> </w:t>
      </w:r>
      <w:r>
        <w:rPr>
          <w:spacing w:val="8"/>
        </w:rPr>
        <w:t>元，</w:t>
      </w:r>
      <w:r>
        <w:rPr>
          <w:spacing w:val="20"/>
        </w:rPr>
        <w:t> </w:t>
      </w:r>
      <w:r>
        <w:rPr>
          <w:spacing w:val="14"/>
        </w:rPr>
        <w:t>回购有限售条件股份</w:t>
      </w:r>
      <w:r>
        <w:rPr>
          <w:spacing w:val="-73"/>
        </w:rPr>
        <w:t> </w:t>
      </w:r>
      <w:r>
        <w:rPr>
          <w:rFonts w:ascii="Times New Roman" w:hAnsi="Times New Roman" w:cs="Times New Roman" w:eastAsia="Times New Roman" w:hint="default"/>
        </w:rPr>
        <w:t>254,000</w:t>
      </w:r>
      <w:r>
        <w:rPr>
          <w:rFonts w:ascii="Times New Roman" w:hAnsi="Times New Roman" w:cs="Times New Roman" w:eastAsia="Times New Roman" w:hint="default"/>
          <w:spacing w:val="1"/>
        </w:rPr>
        <w:t> </w:t>
      </w:r>
      <w:r>
        <w:rPr>
          <w:spacing w:val="14"/>
        </w:rPr>
        <w:t>股后予以注销，</w:t>
      </w:r>
      <w:r>
        <w:rPr>
          <w:spacing w:val="21"/>
        </w:rPr>
        <w:t> </w:t>
      </w:r>
      <w:r>
        <w:rPr>
          <w:spacing w:val="15"/>
        </w:rPr>
        <w:t>变更后本公司的股本为</w:t>
      </w:r>
      <w:r>
        <w:rPr/>
        <w:t> </w:t>
      </w:r>
      <w:r>
        <w:rPr>
          <w:rFonts w:ascii="Times New Roman" w:hAnsi="Times New Roman" w:cs="Times New Roman" w:eastAsia="Times New Roman" w:hint="default"/>
        </w:rPr>
        <w:t>1,282,615,013.00</w:t>
      </w:r>
      <w:r>
        <w:rPr/>
        <w:t>元。此次变更业经信永中和会计师事务所（特殊普通合伙）出具</w:t>
      </w:r>
      <w:r>
        <w:rPr>
          <w:rFonts w:ascii="Times New Roman" w:hAnsi="Times New Roman" w:cs="Times New Roman" w:eastAsia="Times New Roman" w:hint="default"/>
        </w:rPr>
        <w:t>“XYZH/2017BJA70231”</w:t>
      </w:r>
      <w:r>
        <w:rPr>
          <w:rFonts w:ascii="Times New Roman" w:hAnsi="Times New Roman" w:cs="Times New Roman" w:eastAsia="Times New Roman" w:hint="default"/>
          <w:spacing w:val="9"/>
        </w:rPr>
        <w:t> </w:t>
      </w:r>
      <w:r>
        <w:rPr/>
        <w:t>号验资报告予以审 验。</w:t>
      </w:r>
    </w:p>
    <w:p>
      <w:pPr>
        <w:pStyle w:val="BodyText"/>
        <w:spacing w:line="300" w:lineRule="auto" w:before="31"/>
        <w:ind w:right="982" w:firstLine="360"/>
        <w:jc w:val="left"/>
      </w:pPr>
      <w:r>
        <w:rPr>
          <w:rFonts w:ascii="Times New Roman" w:hAnsi="Times New Roman" w:cs="Times New Roman" w:eastAsia="Times New Roman" w:hint="default"/>
        </w:rPr>
        <w:t>2018</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11</w:t>
      </w:r>
      <w:r>
        <w:rPr/>
        <w:t>日，根据本公司第四届董事会第七次会议审议通过的《关于回购注销部分限制性股票的议案》，本公司申 </w:t>
      </w:r>
      <w:r>
        <w:rPr>
          <w:spacing w:val="-2"/>
        </w:rPr>
        <w:t>请减少注册资本人民币</w:t>
      </w:r>
      <w:r>
        <w:rPr>
          <w:rFonts w:ascii="Times New Roman" w:hAnsi="Times New Roman" w:cs="Times New Roman" w:eastAsia="Times New Roman" w:hint="default"/>
          <w:spacing w:val="-2"/>
        </w:rPr>
        <w:t>190,500.00</w:t>
      </w:r>
      <w:r>
        <w:rPr>
          <w:spacing w:val="-2"/>
        </w:rPr>
        <w:t>元，回购有限售条件股份</w:t>
      </w:r>
      <w:r>
        <w:rPr>
          <w:rFonts w:ascii="Times New Roman" w:hAnsi="Times New Roman" w:cs="Times New Roman" w:eastAsia="Times New Roman" w:hint="default"/>
          <w:spacing w:val="-2"/>
        </w:rPr>
        <w:t>190,500</w:t>
      </w:r>
      <w:r>
        <w:rPr>
          <w:spacing w:val="-2"/>
        </w:rPr>
        <w:t>股后予以注销，变更后本公司的股本为</w:t>
      </w:r>
      <w:r>
        <w:rPr>
          <w:rFonts w:ascii="Times New Roman" w:hAnsi="Times New Roman" w:cs="Times New Roman" w:eastAsia="Times New Roman" w:hint="default"/>
          <w:spacing w:val="-2"/>
        </w:rPr>
        <w:t>1,282,424,513.00</w:t>
      </w:r>
      <w:r>
        <w:rPr>
          <w:spacing w:val="-2"/>
        </w:rPr>
        <w:t>元。</w:t>
      </w:r>
      <w:r>
        <w:rPr>
          <w:spacing w:val="-79"/>
        </w:rPr>
        <w:t> </w:t>
      </w:r>
      <w:r>
        <w:rPr/>
        <w:t>此次变更业经信永中和会计师事务所（特殊普通合伙）出具</w:t>
      </w:r>
      <w:r>
        <w:rPr>
          <w:rFonts w:ascii="Times New Roman" w:hAnsi="Times New Roman" w:cs="Times New Roman" w:eastAsia="Times New Roman" w:hint="default"/>
        </w:rPr>
        <w:t>“XYZH/2018BJA70221”</w:t>
      </w:r>
      <w:r>
        <w:rPr>
          <w:rFonts w:ascii="Times New Roman" w:hAnsi="Times New Roman" w:cs="Times New Roman" w:eastAsia="Times New Roman" w:hint="default"/>
          <w:spacing w:val="20"/>
        </w:rPr>
        <w:t> </w:t>
      </w:r>
      <w:r>
        <w:rPr/>
        <w:t>号验资报告予以审验。</w:t>
      </w:r>
    </w:p>
    <w:p>
      <w:pPr>
        <w:pStyle w:val="BodyText"/>
        <w:spacing w:line="300" w:lineRule="auto" w:before="13"/>
        <w:ind w:right="1130" w:firstLine="360"/>
        <w:jc w:val="both"/>
      </w:pPr>
      <w:r>
        <w:rPr>
          <w:spacing w:val="-2"/>
        </w:rPr>
        <w:t>经本公司</w:t>
      </w:r>
      <w:r>
        <w:rPr>
          <w:rFonts w:ascii="Times New Roman" w:hAnsi="Times New Roman" w:cs="Times New Roman" w:eastAsia="Times New Roman" w:hint="default"/>
          <w:spacing w:val="-2"/>
        </w:rPr>
        <w:t>2018</w:t>
      </w:r>
      <w:r>
        <w:rPr>
          <w:spacing w:val="-2"/>
        </w:rPr>
        <w:t>年第一次临时股东大会审议通过的《北京四维图新科技股份有限公司</w:t>
      </w:r>
      <w:r>
        <w:rPr>
          <w:rFonts w:ascii="Times New Roman" w:hAnsi="Times New Roman" w:cs="Times New Roman" w:eastAsia="Times New Roman" w:hint="default"/>
          <w:spacing w:val="-2"/>
        </w:rPr>
        <w:t>2018</w:t>
      </w:r>
      <w:r>
        <w:rPr>
          <w:spacing w:val="-2"/>
        </w:rPr>
        <w:t>年度限制性股票激励计划（草案</w:t>
      </w:r>
      <w:r>
        <w:rPr/>
        <w:t> </w:t>
      </w:r>
      <w:r>
        <w:rPr>
          <w:spacing w:val="-8"/>
        </w:rPr>
        <w:t>修订稿）》、第四届董事会第九次会议审议通过的《关于向</w:t>
      </w:r>
      <w:r>
        <w:rPr>
          <w:rFonts w:ascii="Times New Roman" w:hAnsi="Times New Roman" w:cs="Times New Roman" w:eastAsia="Times New Roman" w:hint="default"/>
          <w:spacing w:val="-8"/>
        </w:rPr>
        <w:t>2018</w:t>
      </w:r>
      <w:r>
        <w:rPr>
          <w:spacing w:val="-8"/>
        </w:rPr>
        <w:t>年限制性股票激励计划激励对象首次授予限制性股票的议案》，</w:t>
      </w:r>
      <w:r>
        <w:rPr>
          <w:spacing w:val="-70"/>
        </w:rPr>
        <w:t> </w:t>
      </w:r>
      <w:r>
        <w:rPr>
          <w:spacing w:val="-70"/>
        </w:rPr>
      </w:r>
      <w:r>
        <w:rPr/>
        <w:t>本公司以</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11</w:t>
      </w:r>
      <w:r>
        <w:rPr/>
        <w:t>日为授予日，按</w:t>
      </w:r>
      <w:r>
        <w:rPr>
          <w:rFonts w:ascii="Times New Roman" w:hAnsi="Times New Roman" w:cs="Times New Roman" w:eastAsia="Times New Roman" w:hint="default"/>
        </w:rPr>
        <w:t>12.15</w:t>
      </w:r>
      <w:r>
        <w:rPr/>
        <w:t>元</w:t>
      </w:r>
      <w:r>
        <w:rPr>
          <w:rFonts w:ascii="Times New Roman" w:hAnsi="Times New Roman" w:cs="Times New Roman" w:eastAsia="Times New Roman" w:hint="default"/>
        </w:rPr>
        <w:t>/</w:t>
      </w:r>
      <w:r>
        <w:rPr/>
        <w:t>股授予价格，拟向</w:t>
      </w:r>
      <w:r>
        <w:rPr>
          <w:rFonts w:ascii="Times New Roman" w:hAnsi="Times New Roman" w:cs="Times New Roman" w:eastAsia="Times New Roman" w:hint="default"/>
        </w:rPr>
        <w:t>385</w:t>
      </w:r>
      <w:r>
        <w:rPr/>
        <w:t>名激励对象授予</w:t>
      </w:r>
      <w:r>
        <w:rPr>
          <w:rFonts w:ascii="Times New Roman" w:hAnsi="Times New Roman" w:cs="Times New Roman" w:eastAsia="Times New Roman" w:hint="default"/>
        </w:rPr>
        <w:t>2,945.00</w:t>
      </w:r>
      <w:r>
        <w:rPr/>
        <w:t>万股限制性股票。截至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6 </w:t>
      </w:r>
      <w:r>
        <w:rPr/>
        <w:t>月</w:t>
      </w:r>
      <w:r>
        <w:rPr>
          <w:rFonts w:ascii="Times New Roman" w:hAnsi="Times New Roman" w:cs="Times New Roman" w:eastAsia="Times New Roman" w:hint="default"/>
        </w:rPr>
        <w:t>26</w:t>
      </w:r>
      <w:r>
        <w:rPr/>
        <w:t>日止，本公司已收到</w:t>
      </w:r>
      <w:r>
        <w:rPr>
          <w:rFonts w:ascii="Times New Roman" w:hAnsi="Times New Roman" w:cs="Times New Roman" w:eastAsia="Times New Roman" w:hint="default"/>
        </w:rPr>
        <w:t>360</w:t>
      </w:r>
      <w:r>
        <w:rPr/>
        <w:t>名激励对象缴付的</w:t>
      </w:r>
      <w:r>
        <w:rPr>
          <w:rFonts w:ascii="Times New Roman" w:hAnsi="Times New Roman" w:cs="Times New Roman" w:eastAsia="Times New Roman" w:hint="default"/>
        </w:rPr>
        <w:t>27,046,469</w:t>
      </w:r>
      <w:r>
        <w:rPr/>
        <w:t>股限制性股票的出资款人民币</w:t>
      </w:r>
      <w:r>
        <w:rPr>
          <w:rFonts w:ascii="Times New Roman" w:hAnsi="Times New Roman" w:cs="Times New Roman" w:eastAsia="Times New Roman" w:hint="default"/>
        </w:rPr>
        <w:t>328,614,598.35</w:t>
      </w:r>
      <w:r>
        <w:rPr/>
        <w:t>元，均以货币出资，</w:t>
      </w:r>
      <w:r>
        <w:rPr>
          <w:spacing w:val="-51"/>
        </w:rPr>
        <w:t> </w:t>
      </w:r>
      <w:r>
        <w:rPr>
          <w:spacing w:val="-51"/>
        </w:rPr>
      </w:r>
      <w:r>
        <w:rPr>
          <w:spacing w:val="-2"/>
        </w:rPr>
        <w:t>其余</w:t>
      </w:r>
      <w:r>
        <w:rPr>
          <w:rFonts w:ascii="Times New Roman" w:hAnsi="Times New Roman" w:cs="Times New Roman" w:eastAsia="Times New Roman" w:hint="default"/>
          <w:spacing w:val="-2"/>
        </w:rPr>
        <w:t>25</w:t>
      </w:r>
      <w:r>
        <w:rPr>
          <w:spacing w:val="-2"/>
        </w:rPr>
        <w:t>名激励对象放弃本次限制性股权激励资格。本次实际增加股本人民币</w:t>
      </w:r>
      <w:r>
        <w:rPr>
          <w:rFonts w:ascii="Times New Roman" w:hAnsi="Times New Roman" w:cs="Times New Roman" w:eastAsia="Times New Roman" w:hint="default"/>
          <w:spacing w:val="-2"/>
        </w:rPr>
        <w:t>27,046,469.00</w:t>
      </w:r>
      <w:r>
        <w:rPr>
          <w:spacing w:val="-2"/>
        </w:rPr>
        <w:t>元，其余</w:t>
      </w:r>
      <w:r>
        <w:rPr>
          <w:rFonts w:ascii="Times New Roman" w:hAnsi="Times New Roman" w:cs="Times New Roman" w:eastAsia="Times New Roman" w:hint="default"/>
          <w:spacing w:val="-2"/>
        </w:rPr>
        <w:t>301,568,129.35</w:t>
      </w:r>
      <w:r>
        <w:rPr>
          <w:spacing w:val="-2"/>
        </w:rPr>
        <w:t>元作为股本</w:t>
      </w:r>
      <w:r>
        <w:rPr>
          <w:spacing w:val="-42"/>
        </w:rPr>
        <w:t> </w:t>
      </w:r>
      <w:r>
        <w:rPr>
          <w:spacing w:val="-42"/>
        </w:rPr>
      </w:r>
      <w:r>
        <w:rPr>
          <w:spacing w:val="-3"/>
        </w:rPr>
        <w:t>溢价，变更后的股本为</w:t>
      </w:r>
      <w:r>
        <w:rPr>
          <w:rFonts w:ascii="Times New Roman" w:hAnsi="Times New Roman" w:cs="Times New Roman" w:eastAsia="Times New Roman" w:hint="default"/>
          <w:spacing w:val="-3"/>
        </w:rPr>
        <w:t>1,309,470,982.00</w:t>
      </w:r>
      <w:r>
        <w:rPr>
          <w:spacing w:val="-3"/>
        </w:rPr>
        <w:t>元。此次变更业经信永中和会计师事务所（特殊普通合伙）出具</w:t>
      </w:r>
      <w:r>
        <w:rPr>
          <w:rFonts w:ascii="Times New Roman" w:hAnsi="Times New Roman" w:cs="Times New Roman" w:eastAsia="Times New Roman" w:hint="default"/>
          <w:spacing w:val="-3"/>
        </w:rPr>
        <w:t>XYZH/2018BJA70228</w:t>
      </w:r>
      <w:r>
        <w:rPr>
          <w:rFonts w:ascii="Times New Roman" w:hAnsi="Times New Roman" w:cs="Times New Roman" w:eastAsia="Times New Roman" w:hint="default"/>
          <w:spacing w:val="17"/>
        </w:rPr>
        <w:t> </w:t>
      </w:r>
      <w:r>
        <w:rPr>
          <w:rFonts w:ascii="Times New Roman" w:hAnsi="Times New Roman" w:cs="Times New Roman" w:eastAsia="Times New Roman" w:hint="default"/>
          <w:spacing w:val="17"/>
        </w:rPr>
      </w:r>
      <w:r>
        <w:rPr/>
        <w:t>号《验资报告》予以审验。</w:t>
      </w:r>
    </w:p>
    <w:p>
      <w:pPr>
        <w:pStyle w:val="BodyText"/>
        <w:spacing w:line="300" w:lineRule="auto" w:before="31"/>
        <w:ind w:right="1128" w:firstLine="360"/>
        <w:jc w:val="both"/>
      </w:pPr>
      <w:r>
        <w:rPr>
          <w:spacing w:val="-3"/>
        </w:rPr>
        <w:t>截至</w:t>
      </w:r>
      <w:r>
        <w:rPr>
          <w:rFonts w:ascii="Times New Roman" w:hAnsi="Times New Roman" w:cs="Times New Roman" w:eastAsia="Times New Roman" w:hint="default"/>
          <w:spacing w:val="-3"/>
        </w:rPr>
        <w:t>2018</w:t>
      </w:r>
      <w:r>
        <w:rPr>
          <w:spacing w:val="-3"/>
        </w:rPr>
        <w:t>年</w:t>
      </w:r>
      <w:r>
        <w:rPr>
          <w:rFonts w:ascii="Times New Roman" w:hAnsi="Times New Roman" w:cs="Times New Roman" w:eastAsia="Times New Roman" w:hint="default"/>
          <w:spacing w:val="-3"/>
        </w:rPr>
        <w:t>12</w:t>
      </w:r>
      <w:r>
        <w:rPr>
          <w:spacing w:val="-3"/>
        </w:rPr>
        <w:t>月</w:t>
      </w:r>
      <w:r>
        <w:rPr>
          <w:rFonts w:ascii="Times New Roman" w:hAnsi="Times New Roman" w:cs="Times New Roman" w:eastAsia="Times New Roman" w:hint="default"/>
          <w:spacing w:val="-3"/>
        </w:rPr>
        <w:t>31</w:t>
      </w:r>
      <w:r>
        <w:rPr>
          <w:spacing w:val="-3"/>
        </w:rPr>
        <w:t>日，公司股本总额</w:t>
      </w:r>
      <w:r>
        <w:rPr>
          <w:rFonts w:ascii="Times New Roman" w:hAnsi="Times New Roman" w:cs="Times New Roman" w:eastAsia="Times New Roman" w:hint="default"/>
          <w:spacing w:val="-3"/>
        </w:rPr>
        <w:t>1,309,470,982.00</w:t>
      </w:r>
      <w:r>
        <w:rPr>
          <w:spacing w:val="-3"/>
        </w:rPr>
        <w:t>元，股份总数</w:t>
      </w:r>
      <w:r>
        <w:rPr>
          <w:rFonts w:ascii="Times New Roman" w:hAnsi="Times New Roman" w:cs="Times New Roman" w:eastAsia="Times New Roman" w:hint="default"/>
          <w:spacing w:val="-3"/>
        </w:rPr>
        <w:t>1,309,470,982</w:t>
      </w:r>
      <w:r>
        <w:rPr>
          <w:spacing w:val="-3"/>
        </w:rPr>
        <w:t>股，其中有限售条件股份</w:t>
      </w:r>
      <w:r>
        <w:rPr>
          <w:rFonts w:ascii="Times New Roman" w:hAnsi="Times New Roman" w:cs="Times New Roman" w:eastAsia="Times New Roman" w:hint="default"/>
          <w:spacing w:val="-3"/>
        </w:rPr>
        <w:t>267,016,494</w:t>
      </w:r>
      <w:r>
        <w:rPr>
          <w:spacing w:val="-3"/>
        </w:rPr>
        <w:t>股，</w:t>
      </w:r>
      <w:r>
        <w:rPr/>
        <w:t> 占股份总数的</w:t>
      </w:r>
      <w:r>
        <w:rPr>
          <w:rFonts w:ascii="Times New Roman" w:hAnsi="Times New Roman" w:cs="Times New Roman" w:eastAsia="Times New Roman" w:hint="default"/>
        </w:rPr>
        <w:t>20.39%</w:t>
      </w:r>
      <w:r>
        <w:rPr/>
        <w:t>；无限售条件股份</w:t>
      </w:r>
      <w:r>
        <w:rPr>
          <w:rFonts w:ascii="Times New Roman" w:hAnsi="Times New Roman" w:cs="Times New Roman" w:eastAsia="Times New Roman" w:hint="default"/>
        </w:rPr>
        <w:t>1,042,454,488</w:t>
      </w:r>
      <w:r>
        <w:rPr/>
        <w:t>股，占股份总数的</w:t>
      </w:r>
      <w:r>
        <w:rPr>
          <w:rFonts w:ascii="Times New Roman" w:hAnsi="Times New Roman" w:cs="Times New Roman" w:eastAsia="Times New Roman" w:hint="default"/>
        </w:rPr>
        <w:t>79.61%</w:t>
      </w:r>
      <w:r>
        <w:rPr/>
        <w:t>。</w:t>
      </w:r>
    </w:p>
    <w:p>
      <w:pPr>
        <w:pStyle w:val="BodyText"/>
        <w:spacing w:line="319" w:lineRule="auto" w:before="13"/>
        <w:ind w:right="1130" w:firstLine="360"/>
        <w:jc w:val="both"/>
      </w:pPr>
      <w:r>
        <w:rPr>
          <w:spacing w:val="-5"/>
        </w:rPr>
        <w:t>本公司法定代表人：吴劲风；经营范围：第二类增值电信业务中的信息服务业务；开发、生产导航电子地图、计算机软、</w:t>
      </w:r>
      <w:r>
        <w:rPr/>
        <w:t> </w:t>
      </w:r>
      <w:r>
        <w:rPr>
          <w:spacing w:val="-2"/>
        </w:rPr>
        <w:t>硬件；开发智能交通、航空航天遥感、地理信息系统、自动制图、地图编制、互联网地图服务、设备管理、测绘工程、个人</w:t>
      </w:r>
      <w:r>
        <w:rPr>
          <w:spacing w:val="-70"/>
        </w:rPr>
        <w:t> </w:t>
      </w:r>
      <w:r>
        <w:rPr>
          <w:spacing w:val="-70"/>
        </w:rPr>
      </w:r>
      <w:r>
        <w:rPr/>
        <w:t>数字助理的技术及产品；销售自产产品；技术进出口、货物进出口。</w:t>
      </w:r>
    </w:p>
    <w:p>
      <w:pPr>
        <w:pStyle w:val="BodyText"/>
        <w:spacing w:line="316" w:lineRule="auto" w:before="17"/>
        <w:ind w:right="1134" w:firstLine="360"/>
        <w:jc w:val="both"/>
      </w:pPr>
      <w:r>
        <w:rPr>
          <w:spacing w:val="-2"/>
        </w:rPr>
        <w:t>股东大会是本公司的权力机构，依法行使公司经营方针、筹资、投资、利润分配等重大事项决议权。董事会对股东大会</w:t>
      </w:r>
      <w:r>
        <w:rPr/>
        <w:t> 负责，依法行使公司的经营决策权；经理层负责组织实施股东大会、董事会决议事项，主持企业的生产经营管理工作。</w:t>
      </w:r>
    </w:p>
    <w:p>
      <w:pPr>
        <w:pStyle w:val="BodyText"/>
        <w:spacing w:line="307" w:lineRule="auto" w:before="19"/>
        <w:ind w:right="1128" w:firstLine="360"/>
        <w:jc w:val="both"/>
      </w:pPr>
      <w:r>
        <w:rPr/>
        <w:t>本集团合并财务报表范围包括上海纳维信息技术有限公司、北京世纪高通科技有限公司、合肥杰发科技有限公司等</w:t>
      </w:r>
      <w:r>
        <w:rPr>
          <w:rFonts w:ascii="Times New Roman" w:hAnsi="Times New Roman" w:cs="Times New Roman" w:eastAsia="Times New Roman" w:hint="default"/>
        </w:rPr>
        <w:t>19</w:t>
      </w:r>
      <w:r>
        <w:rPr>
          <w:rFonts w:ascii="Times New Roman" w:hAnsi="Times New Roman" w:cs="Times New Roman" w:eastAsia="Times New Roman" w:hint="default"/>
          <w:spacing w:val="-2"/>
        </w:rPr>
        <w:t> </w:t>
      </w:r>
      <w:r>
        <w:rPr>
          <w:spacing w:val="-2"/>
        </w:rPr>
        <w:t>家公司。与上年相比，本年合并财务报表范围因投资设立增加北京六分科技有限公司和四维图新日本有限公司，因处置减少</w:t>
      </w:r>
      <w:r>
        <w:rPr>
          <w:spacing w:val="-66"/>
        </w:rPr>
        <w:t> </w:t>
      </w:r>
      <w:r>
        <w:rPr>
          <w:spacing w:val="-66"/>
        </w:rPr>
      </w:r>
      <w:r>
        <w:rPr>
          <w:spacing w:val="7"/>
        </w:rPr>
        <w:t>北京图新智盛信息技术有限公司，因注销减少西安四维图新实业有限公司，因少数股东增资丧失控制权致减少</w:t>
      </w:r>
      <w:r>
        <w:rPr>
          <w:rFonts w:ascii="Times New Roman" w:hAnsi="Times New Roman" w:cs="Times New Roman" w:eastAsia="Times New Roman" w:hint="default"/>
          <w:spacing w:val="7"/>
        </w:rPr>
        <w:t>Mapbar</w:t>
      </w:r>
      <w:r>
        <w:rPr>
          <w:rFonts w:ascii="Times New Roman" w:hAnsi="Times New Roman" w:cs="Times New Roman" w:eastAsia="Times New Roman" w:hint="default"/>
          <w:spacing w:val="3"/>
        </w:rPr>
        <w:t> </w:t>
      </w:r>
      <w:r>
        <w:rPr>
          <w:rFonts w:ascii="Times New Roman" w:hAnsi="Times New Roman" w:cs="Times New Roman" w:eastAsia="Times New Roman" w:hint="default"/>
          <w:spacing w:val="3"/>
        </w:rPr>
      </w:r>
      <w:r>
        <w:rPr>
          <w:rFonts w:ascii="Times New Roman" w:hAnsi="Times New Roman" w:cs="Times New Roman" w:eastAsia="Times New Roman" w:hint="default"/>
        </w:rPr>
        <w:t>Technology</w:t>
      </w:r>
      <w:r>
        <w:rPr>
          <w:rFonts w:ascii="Times New Roman" w:hAnsi="Times New Roman" w:cs="Times New Roman" w:eastAsia="Times New Roman" w:hint="default"/>
          <w:spacing w:val="-6"/>
        </w:rPr>
        <w:t> </w:t>
      </w:r>
      <w:r>
        <w:rPr>
          <w:rFonts w:ascii="Times New Roman" w:hAnsi="Times New Roman" w:cs="Times New Roman" w:eastAsia="Times New Roman" w:hint="default"/>
        </w:rPr>
        <w:t>Limited</w:t>
      </w:r>
      <w:r>
        <w:rPr/>
        <w:t>。</w:t>
      </w:r>
    </w:p>
    <w:p>
      <w:pPr>
        <w:pStyle w:val="BodyText"/>
        <w:spacing w:line="240" w:lineRule="auto" w:before="7"/>
        <w:ind w:left="513" w:right="982"/>
        <w:jc w:val="left"/>
      </w:pPr>
      <w:r>
        <w:rPr/>
        <w:t>报告期合并范围的变化详见本附注</w:t>
      </w:r>
      <w:r>
        <w:rPr>
          <w:rFonts w:ascii="Times New Roman" w:hAnsi="Times New Roman" w:cs="Times New Roman" w:eastAsia="Times New Roman" w:hint="default"/>
        </w:rPr>
        <w:t>“</w:t>
      </w:r>
      <w:r>
        <w:rPr/>
        <w:t>八、合并范围的变化</w:t>
      </w:r>
      <w:r>
        <w:rPr>
          <w:rFonts w:ascii="Times New Roman" w:hAnsi="Times New Roman" w:cs="Times New Roman" w:eastAsia="Times New Roman" w:hint="default"/>
        </w:rPr>
        <w:t>”</w:t>
      </w:r>
      <w:r>
        <w:rPr/>
        <w:t>及本附注</w:t>
      </w:r>
      <w:r>
        <w:rPr>
          <w:rFonts w:ascii="Times New Roman" w:hAnsi="Times New Roman" w:cs="Times New Roman" w:eastAsia="Times New Roman" w:hint="default"/>
        </w:rPr>
        <w:t>“</w:t>
      </w:r>
      <w:r>
        <w:rPr/>
        <w:t>九、在其他主体中的权益</w:t>
      </w:r>
      <w:r>
        <w:rPr>
          <w:rFonts w:ascii="Times New Roman" w:hAnsi="Times New Roman" w:cs="Times New Roman" w:eastAsia="Times New Roman" w:hint="default"/>
        </w:rPr>
        <w:t>”</w:t>
      </w:r>
      <w:r>
        <w:rPr/>
        <w:t>相关内容。</w:t>
      </w:r>
    </w:p>
    <w:p>
      <w:pPr>
        <w:spacing w:line="240" w:lineRule="auto" w:before="3"/>
        <w:rPr>
          <w:rFonts w:ascii="宋体" w:hAnsi="宋体" w:cs="宋体" w:eastAsia="宋体" w:hint="default"/>
          <w:sz w:val="24"/>
          <w:szCs w:val="24"/>
        </w:rPr>
      </w:pPr>
    </w:p>
    <w:p>
      <w:pPr>
        <w:pStyle w:val="Heading2"/>
        <w:spacing w:line="240" w:lineRule="auto"/>
        <w:ind w:right="982"/>
        <w:jc w:val="left"/>
        <w:rPr>
          <w:b w:val="0"/>
          <w:bCs w:val="0"/>
        </w:rPr>
      </w:pPr>
      <w:r>
        <w:rPr/>
        <w:t>四、财务报表的编制基础</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982"/>
        <w:jc w:val="left"/>
        <w:rPr>
          <w:b w:val="0"/>
          <w:bCs w:val="0"/>
        </w:rPr>
      </w:pPr>
      <w:r>
        <w:rPr>
          <w:rFonts w:ascii="Times New Roman" w:hAnsi="Times New Roman" w:cs="Times New Roman" w:eastAsia="Times New Roman" w:hint="default"/>
        </w:rPr>
        <w:t>1</w:t>
      </w:r>
      <w:r>
        <w:rPr/>
        <w:t>、编制基础</w:t>
      </w:r>
      <w:r>
        <w:rPr>
          <w:b w:val="0"/>
          <w:bCs w:val="0"/>
        </w:rPr>
      </w:r>
    </w:p>
    <w:p>
      <w:pPr>
        <w:spacing w:line="240" w:lineRule="auto" w:before="2"/>
        <w:rPr>
          <w:rFonts w:ascii="宋体" w:hAnsi="宋体" w:cs="宋体" w:eastAsia="宋体" w:hint="default"/>
          <w:b/>
          <w:bCs/>
          <w:sz w:val="26"/>
          <w:szCs w:val="26"/>
        </w:rPr>
      </w:pPr>
    </w:p>
    <w:p>
      <w:pPr>
        <w:pStyle w:val="BodyText"/>
        <w:spacing w:line="316" w:lineRule="auto"/>
        <w:ind w:right="1134" w:firstLine="360"/>
        <w:jc w:val="both"/>
      </w:pPr>
      <w:r>
        <w:rPr>
          <w:spacing w:val="-2"/>
        </w:rPr>
        <w:t>本集团财务报表以持续经营为基础，根据实际发生的交易和事项，按照财政部颁布的《企业会计准则》及相关规定，并</w:t>
      </w:r>
      <w:r>
        <w:rPr/>
        <w:t> 基于本附注</w:t>
      </w:r>
      <w:r>
        <w:rPr>
          <w:rFonts w:ascii="Times New Roman" w:hAnsi="Times New Roman" w:cs="Times New Roman" w:eastAsia="Times New Roman" w:hint="default"/>
        </w:rPr>
        <w:t>“</w:t>
      </w:r>
      <w:r>
        <w:rPr/>
        <w:t>五、重要会计政策及会计估计</w:t>
      </w:r>
      <w:r>
        <w:rPr>
          <w:rFonts w:ascii="Times New Roman" w:hAnsi="Times New Roman" w:cs="Times New Roman" w:eastAsia="Times New Roman" w:hint="default"/>
        </w:rPr>
        <w:t>”</w:t>
      </w:r>
      <w:r>
        <w:rPr/>
        <w:t>所述会计政策和会计估计编制。</w:t>
      </w:r>
    </w:p>
    <w:p>
      <w:pPr>
        <w:spacing w:line="240" w:lineRule="auto" w:before="4"/>
        <w:rPr>
          <w:rFonts w:ascii="宋体" w:hAnsi="宋体" w:cs="宋体" w:eastAsia="宋体" w:hint="default"/>
          <w:sz w:val="21"/>
          <w:szCs w:val="21"/>
        </w:rPr>
      </w:pPr>
    </w:p>
    <w:p>
      <w:pPr>
        <w:pStyle w:val="Heading4"/>
        <w:spacing w:line="240" w:lineRule="auto"/>
        <w:ind w:right="982"/>
        <w:jc w:val="left"/>
        <w:rPr>
          <w:b w:val="0"/>
          <w:bCs w:val="0"/>
        </w:rPr>
      </w:pPr>
      <w:r>
        <w:rPr>
          <w:rFonts w:ascii="Times New Roman" w:hAnsi="Times New Roman" w:cs="Times New Roman" w:eastAsia="Times New Roman" w:hint="default"/>
        </w:rPr>
        <w:t>2</w:t>
      </w:r>
      <w:r>
        <w:rPr/>
        <w:t>、持续经营</w:t>
      </w:r>
      <w:r>
        <w:rPr>
          <w:b w:val="0"/>
          <w:bCs w:val="0"/>
        </w:rPr>
      </w:r>
    </w:p>
    <w:p>
      <w:pPr>
        <w:spacing w:line="240" w:lineRule="auto" w:before="4"/>
        <w:rPr>
          <w:rFonts w:ascii="宋体" w:hAnsi="宋体" w:cs="宋体" w:eastAsia="宋体" w:hint="default"/>
          <w:b/>
          <w:bCs/>
          <w:sz w:val="26"/>
          <w:szCs w:val="26"/>
        </w:rPr>
      </w:pPr>
    </w:p>
    <w:p>
      <w:pPr>
        <w:pStyle w:val="BodyText"/>
        <w:spacing w:line="300" w:lineRule="auto"/>
        <w:ind w:right="1131" w:firstLine="360"/>
        <w:jc w:val="both"/>
      </w:pPr>
      <w:r>
        <w:rPr>
          <w:spacing w:val="-2"/>
        </w:rPr>
        <w:t>本集团有近期获利经营的历史且有财务资源支持，自本报告期末至少</w:t>
      </w:r>
      <w:r>
        <w:rPr>
          <w:rFonts w:ascii="Times New Roman" w:hAnsi="Times New Roman" w:cs="Times New Roman" w:eastAsia="Times New Roman" w:hint="default"/>
          <w:spacing w:val="-2"/>
        </w:rPr>
        <w:t>12</w:t>
      </w:r>
      <w:r>
        <w:rPr>
          <w:spacing w:val="-2"/>
        </w:rPr>
        <w:t>个月内具备持续经营能力，无影响持续经营能力</w:t>
      </w:r>
      <w:r>
        <w:rPr/>
        <w:t> 的重大事项，因此本财务报表以持续经营假设为基础编制。</w:t>
      </w:r>
    </w:p>
    <w:p>
      <w:pPr>
        <w:spacing w:after="0" w:line="300" w:lineRule="auto"/>
        <w:jc w:val="both"/>
        <w:sectPr>
          <w:pgSz w:w="11910" w:h="16840"/>
          <w:pgMar w:header="745" w:footer="979" w:top="1060" w:bottom="116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982"/>
        <w:jc w:val="left"/>
        <w:rPr>
          <w:b w:val="0"/>
          <w:bCs w:val="0"/>
        </w:rPr>
      </w:pPr>
      <w:r>
        <w:rPr/>
        <w:t>五、重要会计政策及会计估计</w:t>
      </w:r>
      <w:r>
        <w:rPr>
          <w:b w:val="0"/>
          <w:bCs w:val="0"/>
        </w:rPr>
      </w:r>
    </w:p>
    <w:p>
      <w:pPr>
        <w:spacing w:line="240" w:lineRule="auto" w:before="7"/>
        <w:rPr>
          <w:rFonts w:ascii="宋体" w:hAnsi="宋体" w:cs="宋体" w:eastAsia="宋体" w:hint="default"/>
          <w:b/>
          <w:bCs/>
          <w:sz w:val="26"/>
          <w:szCs w:val="26"/>
        </w:rPr>
      </w:pPr>
    </w:p>
    <w:p>
      <w:pPr>
        <w:pStyle w:val="BodyText"/>
        <w:spacing w:line="357" w:lineRule="auto"/>
        <w:ind w:right="7694"/>
        <w:jc w:val="left"/>
      </w:pPr>
      <w:r>
        <w:rPr/>
        <w:t>公司是否需要遵守特殊行业的披露要求 是</w:t>
      </w:r>
    </w:p>
    <w:p>
      <w:pPr>
        <w:pStyle w:val="BodyText"/>
        <w:spacing w:line="360" w:lineRule="auto" w:before="29"/>
        <w:ind w:right="8234"/>
        <w:jc w:val="left"/>
      </w:pPr>
      <w:r>
        <w:rPr/>
        <w:t>软件与信息技术服务业 具体会计政策和会计估计提示：</w:t>
      </w:r>
    </w:p>
    <w:p>
      <w:pPr>
        <w:pStyle w:val="BodyText"/>
        <w:spacing w:line="316" w:lineRule="auto" w:before="106"/>
        <w:ind w:right="982" w:firstLine="360"/>
        <w:jc w:val="left"/>
      </w:pPr>
      <w:r>
        <w:rPr>
          <w:spacing w:val="-2"/>
        </w:rPr>
        <w:t>本集团根据实际生产经营特点制定的具体会计政策和会计估计包括应收款项坏账准备的确认和计量、发出存货计量、固</w:t>
      </w:r>
      <w:r>
        <w:rPr/>
        <w:t> 定资产分类及折旧方法、无形资产摊销、收入确认和计量等。</w:t>
      </w:r>
    </w:p>
    <w:p>
      <w:pPr>
        <w:spacing w:line="240" w:lineRule="auto" w:before="10"/>
        <w:rPr>
          <w:rFonts w:ascii="宋体" w:hAnsi="宋体" w:cs="宋体" w:eastAsia="宋体" w:hint="default"/>
          <w:sz w:val="22"/>
          <w:szCs w:val="22"/>
        </w:rPr>
      </w:pPr>
    </w:p>
    <w:p>
      <w:pPr>
        <w:pStyle w:val="Heading4"/>
        <w:spacing w:line="240" w:lineRule="auto"/>
        <w:ind w:right="982"/>
        <w:jc w:val="left"/>
        <w:rPr>
          <w:b w:val="0"/>
          <w:bCs w:val="0"/>
        </w:rPr>
      </w:pPr>
      <w:r>
        <w:rPr>
          <w:rFonts w:ascii="Times New Roman" w:hAnsi="Times New Roman" w:cs="Times New Roman" w:eastAsia="Times New Roman" w:hint="default"/>
        </w:rPr>
        <w:t>1</w:t>
      </w:r>
      <w:r>
        <w:rPr/>
        <w:t>、遵循企业会计准则的声明</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513" w:right="982"/>
        <w:jc w:val="left"/>
      </w:pPr>
      <w:r>
        <w:rPr/>
        <w:t>本财务报表符合企业会计准则的要求，真实、完整地反映了本公司及本集团的财务状况、经营成果和现金流量等有关信</w:t>
      </w:r>
    </w:p>
    <w:p>
      <w:pPr>
        <w:pStyle w:val="BodyText"/>
        <w:spacing w:line="240" w:lineRule="auto" w:before="76"/>
        <w:ind w:right="982"/>
        <w:jc w:val="left"/>
      </w:pPr>
      <w:r>
        <w:rPr/>
        <w:t>息。</w:t>
      </w:r>
    </w:p>
    <w:p>
      <w:pPr>
        <w:spacing w:line="240" w:lineRule="auto" w:before="6"/>
        <w:rPr>
          <w:rFonts w:ascii="宋体" w:hAnsi="宋体" w:cs="宋体" w:eastAsia="宋体" w:hint="default"/>
          <w:sz w:val="24"/>
          <w:szCs w:val="24"/>
        </w:rPr>
      </w:pPr>
    </w:p>
    <w:p>
      <w:pPr>
        <w:pStyle w:val="Heading4"/>
        <w:spacing w:line="240" w:lineRule="auto" w:before="36"/>
        <w:ind w:right="982"/>
        <w:jc w:val="left"/>
        <w:rPr>
          <w:b w:val="0"/>
          <w:bCs w:val="0"/>
        </w:rPr>
      </w:pPr>
      <w:r>
        <w:rPr>
          <w:rFonts w:ascii="Times New Roman" w:hAnsi="Times New Roman" w:cs="Times New Roman" w:eastAsia="Times New Roman" w:hint="default"/>
        </w:rPr>
        <w:t>2</w:t>
      </w:r>
      <w:r>
        <w:rPr/>
        <w:t>、会计期间</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513" w:right="982"/>
        <w:jc w:val="left"/>
      </w:pPr>
      <w:r>
        <w:rPr/>
        <w:t>本集团的会计期间为公历</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w:t>
      </w:r>
      <w:r>
        <w:rPr/>
        <w:t>日至</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w:t>
      </w:r>
    </w:p>
    <w:p>
      <w:pPr>
        <w:spacing w:line="240" w:lineRule="auto" w:before="2"/>
        <w:rPr>
          <w:rFonts w:ascii="宋体" w:hAnsi="宋体" w:cs="宋体" w:eastAsia="宋体" w:hint="default"/>
          <w:sz w:val="26"/>
          <w:szCs w:val="26"/>
        </w:rPr>
      </w:pPr>
    </w:p>
    <w:p>
      <w:pPr>
        <w:pStyle w:val="Heading4"/>
        <w:spacing w:line="240" w:lineRule="auto"/>
        <w:ind w:right="982"/>
        <w:jc w:val="left"/>
        <w:rPr>
          <w:b w:val="0"/>
          <w:bCs w:val="0"/>
        </w:rPr>
      </w:pPr>
      <w:r>
        <w:rPr>
          <w:rFonts w:ascii="Times New Roman" w:hAnsi="Times New Roman" w:cs="Times New Roman" w:eastAsia="Times New Roman" w:hint="default"/>
        </w:rPr>
        <w:t>3</w:t>
      </w:r>
      <w:r>
        <w:rPr/>
        <w:t>、营业周期</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left="513" w:right="982"/>
        <w:jc w:val="left"/>
      </w:pPr>
      <w:r>
        <w:rPr/>
        <w:t>不适用</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rFonts w:ascii="Times New Roman" w:hAnsi="Times New Roman" w:cs="Times New Roman" w:eastAsia="Times New Roman" w:hint="default"/>
        </w:rPr>
        <w:t>4</w:t>
      </w:r>
      <w:r>
        <w:rPr/>
        <w:t>、记账本位币</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513" w:right="982"/>
        <w:jc w:val="left"/>
      </w:pPr>
      <w:r>
        <w:rPr/>
        <w:t>本集团以人民币为记账本位币。</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rFonts w:ascii="Times New Roman" w:hAnsi="Times New Roman" w:cs="Times New Roman" w:eastAsia="Times New Roman" w:hint="default"/>
        </w:rPr>
        <w:t>5</w:t>
      </w:r>
      <w:r>
        <w:rPr/>
        <w:t>、同一控制下和非同一控制下企业合并的会计处理方法</w:t>
      </w:r>
      <w:r>
        <w:rPr>
          <w:b w:val="0"/>
          <w:bCs w:val="0"/>
        </w:rPr>
      </w:r>
    </w:p>
    <w:p>
      <w:pPr>
        <w:spacing w:line="240" w:lineRule="auto" w:before="2"/>
        <w:rPr>
          <w:rFonts w:ascii="宋体" w:hAnsi="宋体" w:cs="宋体" w:eastAsia="宋体" w:hint="default"/>
          <w:b/>
          <w:bCs/>
          <w:sz w:val="26"/>
          <w:szCs w:val="26"/>
        </w:rPr>
      </w:pPr>
    </w:p>
    <w:p>
      <w:pPr>
        <w:pStyle w:val="BodyText"/>
        <w:spacing w:line="316" w:lineRule="auto"/>
        <w:ind w:right="1132" w:firstLine="360"/>
        <w:jc w:val="right"/>
      </w:pPr>
      <w:r>
        <w:rPr>
          <w:spacing w:val="-2"/>
        </w:rPr>
        <w:t>本集团作为合并方，在同一控制下企业合并中取得的资产和负债，在合并日按被合并方在最终控制方合并报表中的账面</w:t>
      </w:r>
      <w:r>
        <w:rPr/>
        <w:t> </w:t>
      </w:r>
      <w:r>
        <w:rPr>
          <w:spacing w:val="-5"/>
        </w:rPr>
        <w:t>价值计量。取得的净资产账面价值与支付的合并对价账面价值的差额，调整资本公积；资本公积不足冲减的，调整留存收益。</w:t>
      </w:r>
    </w:p>
    <w:p>
      <w:pPr>
        <w:pStyle w:val="BodyText"/>
        <w:spacing w:line="319" w:lineRule="auto" w:before="139"/>
        <w:ind w:right="1130" w:firstLine="360"/>
        <w:jc w:val="both"/>
      </w:pPr>
      <w:r>
        <w:rPr>
          <w:spacing w:val="-2"/>
        </w:rPr>
        <w:t>在非同一控制下企业合并中取得的被购买方可辨认资产、负债及或有负债在收购日以公允价值计量。合并成本为本集团</w:t>
      </w:r>
      <w:r>
        <w:rPr/>
        <w:t> </w:t>
      </w:r>
      <w:r>
        <w:rPr>
          <w:spacing w:val="-2"/>
        </w:rPr>
        <w:t>在购买日为取得对被购买方的控制权而支付的现金或非现金资产、发行或承担的负债、发行的权益性证券等的公允价值以及</w:t>
      </w:r>
      <w:r>
        <w:rPr>
          <w:spacing w:val="-64"/>
        </w:rPr>
        <w:t> </w:t>
      </w:r>
      <w:r>
        <w:rPr>
          <w:spacing w:val="-64"/>
        </w:rPr>
      </w:r>
      <w:r>
        <w:rPr>
          <w:spacing w:val="-5"/>
        </w:rPr>
        <w:t>在企业合并中发生的各项直接相关费用之和（通过多次交易分步实现的企业合并，其合并成本为每一单项交易的成本之和）。</w:t>
      </w:r>
      <w:r>
        <w:rPr>
          <w:spacing w:val="-76"/>
        </w:rPr>
        <w:t> </w:t>
      </w:r>
      <w:r>
        <w:rPr>
          <w:spacing w:val="-76"/>
        </w:rPr>
      </w:r>
      <w:r>
        <w:rPr>
          <w:spacing w:val="-2"/>
        </w:rPr>
        <w:t>合并成本大于合并中取得的被购买方可辨认净资产公允价值份额的差额，确认为商誉；合并成本小于合并中取得的被购买方</w:t>
      </w:r>
      <w:r>
        <w:rPr>
          <w:spacing w:val="-64"/>
        </w:rPr>
        <w:t> </w:t>
      </w:r>
      <w:r>
        <w:rPr>
          <w:spacing w:val="-64"/>
        </w:rPr>
      </w:r>
      <w:r>
        <w:rPr>
          <w:spacing w:val="-2"/>
        </w:rPr>
        <w:t>可辨认净资产公允价值份额的，首先对合并中取得的各项可辨认资产、负债及或有负债的公允价值、以及合并对价的非现金</w:t>
      </w:r>
      <w:r>
        <w:rPr>
          <w:spacing w:val="-63"/>
        </w:rPr>
        <w:t> </w:t>
      </w:r>
      <w:r>
        <w:rPr>
          <w:spacing w:val="-63"/>
        </w:rPr>
      </w:r>
      <w:r>
        <w:rPr>
          <w:spacing w:val="-2"/>
        </w:rPr>
        <w:t>资产或发行的权益性证券等的公允价值进行复核，经复核后，合并成本仍小于合并中取得的被购买方可辨认净资产公允价值</w:t>
      </w:r>
      <w:r>
        <w:rPr>
          <w:spacing w:val="-64"/>
        </w:rPr>
        <w:t> </w:t>
      </w:r>
      <w:r>
        <w:rPr>
          <w:spacing w:val="-64"/>
        </w:rPr>
      </w:r>
      <w:r>
        <w:rPr/>
        <w:t>份额的，将其差额计入合并当期营业外收入。</w:t>
      </w:r>
    </w:p>
    <w:p>
      <w:pPr>
        <w:spacing w:line="240" w:lineRule="auto" w:before="9"/>
        <w:rPr>
          <w:rFonts w:ascii="宋体" w:hAnsi="宋体" w:cs="宋体" w:eastAsia="宋体" w:hint="default"/>
          <w:sz w:val="22"/>
          <w:szCs w:val="22"/>
        </w:rPr>
      </w:pPr>
    </w:p>
    <w:p>
      <w:pPr>
        <w:pStyle w:val="Heading4"/>
        <w:spacing w:line="240" w:lineRule="auto"/>
        <w:ind w:right="982"/>
        <w:jc w:val="left"/>
        <w:rPr>
          <w:b w:val="0"/>
          <w:bCs w:val="0"/>
        </w:rPr>
      </w:pPr>
      <w:r>
        <w:rPr>
          <w:rFonts w:ascii="Times New Roman" w:hAnsi="Times New Roman" w:cs="Times New Roman" w:eastAsia="Times New Roman" w:hint="default"/>
        </w:rPr>
        <w:t>6</w:t>
      </w:r>
      <w:r>
        <w:rPr/>
        <w:t>、合并财务报表的编制方法</w:t>
      </w:r>
      <w:r>
        <w:rPr>
          <w:b w:val="0"/>
          <w:bCs w:val="0"/>
        </w:rPr>
      </w:r>
    </w:p>
    <w:p>
      <w:pPr>
        <w:pStyle w:val="BodyText"/>
        <w:spacing w:line="550" w:lineRule="atLeast" w:before="30"/>
        <w:ind w:left="592" w:right="1134"/>
        <w:jc w:val="left"/>
      </w:pPr>
      <w:r>
        <w:rPr/>
        <w:t>本集团将所有控制的子公司纳入合并财务报表范围。 在编制合并财务报表时，子公司与本公司采用的会计政策或会计期间不一致的，按照本公司的会计政策或会计期间对</w:t>
      </w:r>
    </w:p>
    <w:p>
      <w:pPr>
        <w:pStyle w:val="BodyText"/>
        <w:spacing w:line="240" w:lineRule="auto" w:before="76"/>
        <w:ind w:right="982"/>
        <w:jc w:val="left"/>
      </w:pPr>
      <w:r>
        <w:rPr/>
        <w:t>子公司财务报表进行必要的调整。</w:t>
      </w:r>
    </w:p>
    <w:p>
      <w:pPr>
        <w:spacing w:after="0" w:line="240" w:lineRule="auto"/>
        <w:jc w:val="left"/>
        <w:sectPr>
          <w:pgSz w:w="11910" w:h="16840"/>
          <w:pgMar w:header="745" w:footer="979" w:top="1060" w:bottom="1160" w:left="980" w:right="0"/>
        </w:sectPr>
      </w:pPr>
    </w:p>
    <w:p>
      <w:pPr>
        <w:spacing w:line="240" w:lineRule="auto" w:before="9"/>
        <w:rPr>
          <w:rFonts w:ascii="宋体" w:hAnsi="宋体" w:cs="宋体" w:eastAsia="宋体" w:hint="default"/>
          <w:sz w:val="25"/>
          <w:szCs w:val="25"/>
        </w:rPr>
      </w:pPr>
    </w:p>
    <w:p>
      <w:pPr>
        <w:pStyle w:val="BodyText"/>
        <w:spacing w:line="309" w:lineRule="auto" w:before="44"/>
        <w:ind w:right="1131" w:firstLine="439"/>
        <w:jc w:val="both"/>
      </w:pPr>
      <w:r>
        <w:rPr/>
        <w:t>合并范围内的所有重大内部交易、往来余额及未实现利润在合并报表编制时予以抵销。子公司的所有者权益中不属于 母公司的份额以及当期净损益、其他综合收益及综合收益总额中属于少数股东权益的份额，分别在合并财务报表</w:t>
      </w:r>
      <w:r>
        <w:rPr>
          <w:rFonts w:ascii="Times New Roman" w:hAnsi="Times New Roman" w:cs="Times New Roman" w:eastAsia="Times New Roman" w:hint="default"/>
        </w:rPr>
        <w:t>“</w:t>
      </w:r>
      <w:r>
        <w:rPr/>
        <w:t>少数股东</w:t>
      </w:r>
      <w:r>
        <w:rPr>
          <w:spacing w:val="-73"/>
        </w:rPr>
        <w:t> </w:t>
      </w:r>
      <w:r>
        <w:rPr>
          <w:spacing w:val="-73"/>
        </w:rPr>
      </w:r>
      <w:r>
        <w:rPr/>
        <w:t>权益、少数股东损益、归属于少数股东的其他综合收益及归属于少数股东的综合收益总额</w:t>
      </w:r>
      <w:r>
        <w:rPr>
          <w:rFonts w:ascii="Times New Roman" w:hAnsi="Times New Roman" w:cs="Times New Roman" w:eastAsia="Times New Roman" w:hint="default"/>
        </w:rPr>
        <w:t>”</w:t>
      </w:r>
      <w:r>
        <w:rPr/>
        <w:t>项目列示。</w:t>
      </w:r>
    </w:p>
    <w:p>
      <w:pPr>
        <w:spacing w:line="240" w:lineRule="auto" w:before="9"/>
        <w:rPr>
          <w:rFonts w:ascii="宋体" w:hAnsi="宋体" w:cs="宋体" w:eastAsia="宋体" w:hint="default"/>
          <w:sz w:val="18"/>
          <w:szCs w:val="18"/>
        </w:rPr>
      </w:pPr>
    </w:p>
    <w:p>
      <w:pPr>
        <w:pStyle w:val="BodyText"/>
        <w:spacing w:line="316" w:lineRule="auto"/>
        <w:ind w:right="1136" w:firstLine="439"/>
        <w:jc w:val="both"/>
      </w:pPr>
      <w:r>
        <w:rPr/>
        <w:t>对于同一控制下企业合并取得的子公司，其经营成果和现金流量自合并当期期初纳入合并财务报表。编制比较合并财 务报表时，对上年财务报表的相关项目进行调整，视同合并后形成的报告主体自最终控制方开始控制时点起一直存在。</w:t>
      </w:r>
    </w:p>
    <w:p>
      <w:pPr>
        <w:spacing w:line="240" w:lineRule="auto" w:before="10"/>
        <w:rPr>
          <w:rFonts w:ascii="宋体" w:hAnsi="宋体" w:cs="宋体" w:eastAsia="宋体" w:hint="default"/>
          <w:sz w:val="19"/>
          <w:szCs w:val="19"/>
        </w:rPr>
      </w:pPr>
    </w:p>
    <w:p>
      <w:pPr>
        <w:pStyle w:val="BodyText"/>
        <w:spacing w:line="319" w:lineRule="auto"/>
        <w:ind w:right="1128" w:firstLine="439"/>
        <w:jc w:val="both"/>
      </w:pPr>
      <w:r>
        <w:rPr/>
        <w:t>通过多次交易分步取得同一控制下被投资单位的股权，最终形成企业合并，编制合并报表时，视同在最终控制方开始 </w:t>
      </w:r>
      <w:r>
        <w:rPr>
          <w:spacing w:val="-2"/>
        </w:rPr>
        <w:t>控制时即以目前的状态存在进行调整，在编制比较报表时，以不早于本集团和被合并方同处于最终控制方的控制之下的时点</w:t>
      </w:r>
      <w:r>
        <w:rPr>
          <w:spacing w:val="-64"/>
        </w:rPr>
        <w:t> </w:t>
      </w:r>
      <w:r>
        <w:rPr>
          <w:spacing w:val="-64"/>
        </w:rPr>
      </w:r>
      <w:r>
        <w:rPr>
          <w:spacing w:val="-2"/>
        </w:rPr>
        <w:t>为限，将被合并方的有关资产、负债并入本集团合并财务报表的比较报表中，并将合并而增加的净资产在比较报表中调整所</w:t>
      </w:r>
      <w:r>
        <w:rPr>
          <w:spacing w:val="-61"/>
        </w:rPr>
        <w:t> </w:t>
      </w:r>
      <w:r>
        <w:rPr>
          <w:spacing w:val="-61"/>
        </w:rPr>
      </w:r>
      <w:r>
        <w:rPr>
          <w:spacing w:val="-2"/>
        </w:rPr>
        <w:t>有者权益项下的相关项目。为避免对被合并方净资产的价值进行重复计算，本集团在达到合并之前持有的长期股权投资，在</w:t>
      </w:r>
      <w:r>
        <w:rPr>
          <w:spacing w:val="-63"/>
        </w:rPr>
        <w:t> </w:t>
      </w:r>
      <w:r>
        <w:rPr>
          <w:spacing w:val="-63"/>
        </w:rPr>
      </w:r>
      <w:r>
        <w:rPr>
          <w:spacing w:val="-2"/>
        </w:rPr>
        <w:t>取得原股权之日与本集团和被合并方处于同一方最终控制之日孰晚日起至合并日之间已确认有关损益、其他综合收益和其他</w:t>
      </w:r>
      <w:r>
        <w:rPr>
          <w:spacing w:val="-64"/>
        </w:rPr>
        <w:t> </w:t>
      </w:r>
      <w:r>
        <w:rPr>
          <w:spacing w:val="-64"/>
        </w:rPr>
      </w:r>
      <w:r>
        <w:rPr/>
        <w:t>净资产变动，应分别冲减比较报表期间的期初留存收益和当期损益。</w:t>
      </w:r>
    </w:p>
    <w:p>
      <w:pPr>
        <w:spacing w:line="240" w:lineRule="auto" w:before="8"/>
        <w:rPr>
          <w:rFonts w:ascii="宋体" w:hAnsi="宋体" w:cs="宋体" w:eastAsia="宋体" w:hint="default"/>
          <w:sz w:val="19"/>
          <w:szCs w:val="19"/>
        </w:rPr>
      </w:pPr>
    </w:p>
    <w:p>
      <w:pPr>
        <w:pStyle w:val="BodyText"/>
        <w:spacing w:line="316" w:lineRule="auto"/>
        <w:ind w:right="1136" w:firstLine="439"/>
        <w:jc w:val="both"/>
      </w:pPr>
      <w:r>
        <w:rPr/>
        <w:t>对于非同一控制下企业合并取得子公司，经营成果和现金流量自本集团取得控制权之日起纳入合并财务报表。在编制 合并财务报表时，以购买日确定的各项可辨认资产、负债及或有负债的公允价值为基础对子公司的财务报表进行调整。</w:t>
      </w:r>
    </w:p>
    <w:p>
      <w:pPr>
        <w:spacing w:line="240" w:lineRule="auto" w:before="10"/>
        <w:rPr>
          <w:rFonts w:ascii="宋体" w:hAnsi="宋体" w:cs="宋体" w:eastAsia="宋体" w:hint="default"/>
          <w:sz w:val="19"/>
          <w:szCs w:val="19"/>
        </w:rPr>
      </w:pPr>
    </w:p>
    <w:p>
      <w:pPr>
        <w:pStyle w:val="BodyText"/>
        <w:spacing w:line="316" w:lineRule="auto"/>
        <w:ind w:right="1130" w:firstLine="439"/>
        <w:jc w:val="both"/>
      </w:pPr>
      <w:r>
        <w:rPr/>
        <w:t>通过多次交易分步取得非同一控制下被投资单位的股权，最终形成企业合并，编制合并报表时，对于购买日之前持有 </w:t>
      </w:r>
      <w:r>
        <w:rPr>
          <w:spacing w:val="-2"/>
        </w:rPr>
        <w:t>的被购买方的股权，按照该股权在购买日的公允价值进行重新计量，公允价值与其账面价值的差额计入当期投资收益；与其</w:t>
      </w:r>
      <w:r>
        <w:rPr>
          <w:spacing w:val="-63"/>
        </w:rPr>
        <w:t> </w:t>
      </w:r>
      <w:r>
        <w:rPr>
          <w:spacing w:val="-63"/>
        </w:rPr>
      </w:r>
      <w:r>
        <w:rPr>
          <w:spacing w:val="-2"/>
        </w:rPr>
        <w:t>相关的购买日之前持有的被购买方的股权涉及权益法核算下的其他综合收益以及除净损益、其他综合收益和利润分配外的其</w:t>
      </w:r>
      <w:r>
        <w:rPr>
          <w:spacing w:val="-64"/>
        </w:rPr>
        <w:t> </w:t>
      </w:r>
      <w:r>
        <w:rPr>
          <w:spacing w:val="-64"/>
        </w:rPr>
      </w:r>
      <w:r>
        <w:rPr>
          <w:spacing w:val="-2"/>
        </w:rPr>
        <w:t>他所有者权益变动，在购买日所属当期转为投资损益，由于被投资方重新计量设定受益计划净负债或净资产变动而产生的其</w:t>
      </w:r>
      <w:r>
        <w:rPr>
          <w:spacing w:val="-64"/>
        </w:rPr>
        <w:t> </w:t>
      </w:r>
      <w:r>
        <w:rPr>
          <w:spacing w:val="-64"/>
        </w:rPr>
      </w:r>
      <w:r>
        <w:rPr/>
        <w:t>他综合收益除外。</w:t>
      </w:r>
    </w:p>
    <w:p>
      <w:pPr>
        <w:spacing w:line="240" w:lineRule="auto" w:before="10"/>
        <w:rPr>
          <w:rFonts w:ascii="宋体" w:hAnsi="宋体" w:cs="宋体" w:eastAsia="宋体" w:hint="default"/>
          <w:sz w:val="19"/>
          <w:szCs w:val="19"/>
        </w:rPr>
      </w:pPr>
    </w:p>
    <w:p>
      <w:pPr>
        <w:pStyle w:val="BodyText"/>
        <w:spacing w:line="319" w:lineRule="auto"/>
        <w:ind w:right="1133" w:firstLine="439"/>
        <w:jc w:val="both"/>
      </w:pPr>
      <w:r>
        <w:rPr/>
        <w:t>本集团在不丧失控制权的情况下部分处置对子公司的长期股权投资，在合并财务报表中，处置价款与处置长期股权投 </w:t>
      </w:r>
      <w:r>
        <w:rPr>
          <w:spacing w:val="-2"/>
        </w:rPr>
        <w:t>资相对应享有子公司自购买日或合并日开始持续计算的净资产份额之间的差额，调整资本溢价或股本溢价，资本公积不足冲</w:t>
      </w:r>
      <w:r>
        <w:rPr>
          <w:spacing w:val="-64"/>
        </w:rPr>
        <w:t> </w:t>
      </w:r>
      <w:r>
        <w:rPr>
          <w:spacing w:val="-64"/>
        </w:rPr>
      </w:r>
      <w:r>
        <w:rPr/>
        <w:t>减的，调整留存收益。</w:t>
      </w:r>
    </w:p>
    <w:p>
      <w:pPr>
        <w:spacing w:line="240" w:lineRule="auto" w:before="8"/>
        <w:rPr>
          <w:rFonts w:ascii="宋体" w:hAnsi="宋体" w:cs="宋体" w:eastAsia="宋体" w:hint="default"/>
          <w:sz w:val="19"/>
          <w:szCs w:val="19"/>
        </w:rPr>
      </w:pPr>
    </w:p>
    <w:p>
      <w:pPr>
        <w:pStyle w:val="BodyText"/>
        <w:spacing w:line="316" w:lineRule="auto"/>
        <w:ind w:right="1133" w:firstLine="439"/>
        <w:jc w:val="both"/>
      </w:pPr>
      <w:r>
        <w:rPr/>
        <w:t>本集团因处置部分股权投资等原因丧失了对被投资方的控制权的，在编制合并财务报表时，对于剩余股权，按照其在 </w:t>
      </w:r>
      <w:r>
        <w:rPr>
          <w:spacing w:val="-2"/>
        </w:rPr>
        <w:t>丧失控制权日的公允价值进行重新计量。处置股权取得的对价与剩余股权公允价值之和，减去按原持股比例计算应享有原有</w:t>
      </w:r>
      <w:r>
        <w:rPr>
          <w:spacing w:val="-64"/>
        </w:rPr>
        <w:t> </w:t>
      </w:r>
      <w:r>
        <w:rPr>
          <w:spacing w:val="-64"/>
        </w:rPr>
      </w:r>
      <w:r>
        <w:rPr>
          <w:spacing w:val="-2"/>
        </w:rPr>
        <w:t>子公司自购买日或合并日开始持续计算的净资产的份额之间的差额，计入丧失控制权当期的投资损益，同时冲减商誉。与原</w:t>
      </w:r>
      <w:r>
        <w:rPr>
          <w:spacing w:val="-65"/>
        </w:rPr>
        <w:t> </w:t>
      </w:r>
      <w:r>
        <w:rPr>
          <w:spacing w:val="-65"/>
        </w:rPr>
      </w:r>
      <w:r>
        <w:rPr/>
        <w:t>有子公司股权投资相关的其他综合收益等，在丧失控制权时转为当期投资损益。</w:t>
      </w:r>
    </w:p>
    <w:p>
      <w:pPr>
        <w:spacing w:line="240" w:lineRule="auto" w:before="10"/>
        <w:rPr>
          <w:rFonts w:ascii="宋体" w:hAnsi="宋体" w:cs="宋体" w:eastAsia="宋体" w:hint="default"/>
          <w:sz w:val="19"/>
          <w:szCs w:val="19"/>
        </w:rPr>
      </w:pPr>
    </w:p>
    <w:p>
      <w:pPr>
        <w:pStyle w:val="BodyText"/>
        <w:spacing w:line="316" w:lineRule="auto"/>
        <w:ind w:right="1133" w:firstLine="439"/>
        <w:jc w:val="both"/>
      </w:pPr>
      <w:r>
        <w:rPr/>
        <w:t>本集团通过多次交易分步处置对子公司股权投资直至丧失控制权的，如果处置对子公司股权投资直至丧失控制权的各 </w:t>
      </w:r>
      <w:r>
        <w:rPr>
          <w:spacing w:val="-2"/>
        </w:rPr>
        <w:t>项交易属于一揽子交易的，应当将各项交易作为一项处置子公司并丧失控制权的交易进行会计处理；但是，在丧失控制权之</w:t>
      </w:r>
      <w:r>
        <w:rPr>
          <w:spacing w:val="-66"/>
        </w:rPr>
        <w:t> </w:t>
      </w:r>
      <w:r>
        <w:rPr>
          <w:spacing w:val="-66"/>
        </w:rPr>
      </w:r>
      <w:r>
        <w:rPr>
          <w:spacing w:val="-2"/>
        </w:rPr>
        <w:t>前每一次处置价款与处置投资对应的享有该子公司净资产份额的差额，在合并财务报表中确认为其他综合收益，在丧失控制</w:t>
      </w:r>
      <w:r>
        <w:rPr>
          <w:spacing w:val="-64"/>
        </w:rPr>
        <w:t> </w:t>
      </w:r>
      <w:r>
        <w:rPr>
          <w:spacing w:val="-64"/>
        </w:rPr>
      </w:r>
      <w:r>
        <w:rPr/>
        <w:t>权时一并转入丧失控制权当期的投资损益。</w:t>
      </w:r>
    </w:p>
    <w:p>
      <w:pPr>
        <w:spacing w:line="240" w:lineRule="auto" w:before="11"/>
        <w:rPr>
          <w:rFonts w:ascii="宋体" w:hAnsi="宋体" w:cs="宋体" w:eastAsia="宋体" w:hint="default"/>
          <w:sz w:val="22"/>
          <w:szCs w:val="22"/>
        </w:rPr>
      </w:pPr>
    </w:p>
    <w:p>
      <w:pPr>
        <w:pStyle w:val="Heading4"/>
        <w:spacing w:line="240" w:lineRule="auto"/>
        <w:ind w:right="982"/>
        <w:jc w:val="left"/>
        <w:rPr>
          <w:b w:val="0"/>
          <w:bCs w:val="0"/>
        </w:rPr>
      </w:pPr>
      <w:r>
        <w:rPr>
          <w:rFonts w:ascii="Times New Roman" w:hAnsi="Times New Roman" w:cs="Times New Roman" w:eastAsia="Times New Roman" w:hint="default"/>
        </w:rPr>
        <w:t>7</w:t>
      </w:r>
      <w:r>
        <w:rPr/>
        <w:t>、合营安排分类及共同经营会计处理方法</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t>不适用</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rFonts w:ascii="Times New Roman" w:hAnsi="Times New Roman" w:cs="Times New Roman" w:eastAsia="Times New Roman" w:hint="default"/>
        </w:rPr>
        <w:t>8</w:t>
      </w:r>
      <w:r>
        <w:rPr/>
        <w:t>、现金及现金等价物的确定标准</w:t>
      </w:r>
      <w:r>
        <w:rPr>
          <w:b w:val="0"/>
          <w:bCs w:val="0"/>
        </w:rPr>
      </w:r>
    </w:p>
    <w:p>
      <w:pPr>
        <w:spacing w:line="240" w:lineRule="auto" w:before="2"/>
        <w:rPr>
          <w:rFonts w:ascii="宋体" w:hAnsi="宋体" w:cs="宋体" w:eastAsia="宋体" w:hint="default"/>
          <w:b/>
          <w:bCs/>
          <w:sz w:val="26"/>
          <w:szCs w:val="26"/>
        </w:rPr>
      </w:pPr>
    </w:p>
    <w:p>
      <w:pPr>
        <w:pStyle w:val="BodyText"/>
        <w:spacing w:line="300" w:lineRule="auto"/>
        <w:ind w:right="982" w:firstLine="300"/>
        <w:jc w:val="left"/>
      </w:pPr>
      <w:r>
        <w:rPr>
          <w:spacing w:val="-1"/>
        </w:rPr>
        <w:t>本集团现金流量表之现金指库存现金以及可以随时用于支付的存款。现金流量表之现金等价物指持有期限不超过</w:t>
      </w:r>
      <w:r>
        <w:rPr>
          <w:rFonts w:ascii="Times New Roman" w:hAnsi="Times New Roman" w:cs="Times New Roman" w:eastAsia="Times New Roman" w:hint="default"/>
          <w:spacing w:val="-1"/>
        </w:rPr>
        <w:t>3</w:t>
      </w:r>
      <w:r>
        <w:rPr>
          <w:spacing w:val="-1"/>
        </w:rPr>
        <w:t>个月、</w:t>
      </w:r>
      <w:r>
        <w:rPr/>
        <w:t> 流动性强、易于转换为已知金额现金且价值变动风险很小的投资。</w:t>
      </w:r>
    </w:p>
    <w:p>
      <w:pPr>
        <w:spacing w:after="0" w:line="300" w:lineRule="auto"/>
        <w:jc w:val="left"/>
        <w:sectPr>
          <w:pgSz w:w="11910" w:h="16840"/>
          <w:pgMar w:header="745" w:footer="979"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2"/>
        <w:jc w:val="left"/>
        <w:rPr>
          <w:b w:val="0"/>
          <w:bCs w:val="0"/>
        </w:rPr>
      </w:pPr>
      <w:r>
        <w:rPr>
          <w:rFonts w:ascii="Times New Roman" w:hAnsi="Times New Roman" w:cs="Times New Roman" w:eastAsia="Times New Roman" w:hint="default"/>
        </w:rPr>
        <w:t>9</w:t>
      </w:r>
      <w:r>
        <w:rPr/>
        <w:t>、外币业务和外币报表折算</w:t>
      </w:r>
      <w:r>
        <w:rPr>
          <w:b w:val="0"/>
          <w:bCs w:val="0"/>
        </w:rPr>
      </w:r>
    </w:p>
    <w:p>
      <w:pPr>
        <w:pStyle w:val="BodyText"/>
        <w:spacing w:line="420" w:lineRule="atLeast" w:before="174"/>
        <w:ind w:left="513" w:right="982"/>
        <w:jc w:val="left"/>
      </w:pPr>
      <w:r>
        <w:rPr/>
        <w:t>（</w:t>
      </w:r>
      <w:r>
        <w:rPr>
          <w:rFonts w:ascii="Times New Roman" w:hAnsi="Times New Roman" w:cs="Times New Roman" w:eastAsia="Times New Roman" w:hint="default"/>
        </w:rPr>
        <w:t>1</w:t>
      </w:r>
      <w:r>
        <w:rPr/>
        <w:t>）外币交易 </w:t>
      </w:r>
      <w:r>
        <w:rPr>
          <w:spacing w:val="-2"/>
        </w:rPr>
        <w:t>本集团外币交易按交易发生日的即期汇率将外币金额折算为人民币金额。于资产负债表日，外币货币性项目采用资产负</w:t>
      </w:r>
    </w:p>
    <w:p>
      <w:pPr>
        <w:pStyle w:val="BodyText"/>
        <w:spacing w:line="316" w:lineRule="auto" w:before="76"/>
        <w:ind w:right="982"/>
        <w:jc w:val="left"/>
      </w:pPr>
      <w:r>
        <w:rPr>
          <w:spacing w:val="-2"/>
        </w:rPr>
        <w:t>债表日的即期汇率折算为人民币，所产生的折算差额除了为购建或生产符合资本化条件的资产而借入的外币专门借款产生的</w:t>
      </w:r>
      <w:r>
        <w:rPr>
          <w:spacing w:val="-64"/>
        </w:rPr>
        <w:t> </w:t>
      </w:r>
      <w:r>
        <w:rPr>
          <w:spacing w:val="-64"/>
        </w:rPr>
      </w:r>
      <w:r>
        <w:rPr/>
        <w:t>汇兑差额按资本化的原则处理外，直接计入当期损益。</w:t>
      </w:r>
    </w:p>
    <w:p>
      <w:pPr>
        <w:pStyle w:val="BodyText"/>
        <w:spacing w:line="432" w:lineRule="exact" w:before="3"/>
        <w:ind w:left="513" w:right="982"/>
        <w:jc w:val="left"/>
      </w:pPr>
      <w:r>
        <w:rPr/>
        <w:t>（</w:t>
      </w:r>
      <w:r>
        <w:rPr>
          <w:rFonts w:ascii="Times New Roman" w:hAnsi="Times New Roman" w:cs="Times New Roman" w:eastAsia="Times New Roman" w:hint="default"/>
        </w:rPr>
        <w:t>2</w:t>
      </w:r>
      <w:r>
        <w:rPr/>
        <w:t>）外币财务报表的折算 </w:t>
      </w:r>
      <w:r>
        <w:rPr>
          <w:spacing w:val="-2"/>
        </w:rPr>
        <w:t>外币资产负债表中资产、负债类项目采用资产负债表日的即期汇率折算；所有者权益类项目除</w:t>
      </w:r>
      <w:r>
        <w:rPr>
          <w:rFonts w:ascii="Times New Roman" w:hAnsi="Times New Roman" w:cs="Times New Roman" w:eastAsia="Times New Roman" w:hint="default"/>
          <w:spacing w:val="-2"/>
        </w:rPr>
        <w:t>“</w:t>
      </w:r>
      <w:r>
        <w:rPr>
          <w:spacing w:val="-2"/>
        </w:rPr>
        <w:t>未分配利润</w:t>
      </w:r>
      <w:r>
        <w:rPr>
          <w:rFonts w:ascii="Times New Roman" w:hAnsi="Times New Roman" w:cs="Times New Roman" w:eastAsia="Times New Roman" w:hint="default"/>
          <w:spacing w:val="-2"/>
        </w:rPr>
        <w:t>”</w:t>
      </w:r>
      <w:r>
        <w:rPr>
          <w:spacing w:val="-2"/>
        </w:rPr>
        <w:t>外，均按业</w:t>
      </w:r>
    </w:p>
    <w:p>
      <w:pPr>
        <w:pStyle w:val="BodyText"/>
        <w:spacing w:line="316" w:lineRule="auto" w:before="15"/>
        <w:ind w:right="1130"/>
        <w:jc w:val="both"/>
      </w:pPr>
      <w:r>
        <w:rPr>
          <w:spacing w:val="-2"/>
        </w:rPr>
        <w:t>务发生时的即期汇率折算；利润表中的收入与费用项目，采用交易发生日的即期汇率折算。上述折算产生的外币报表折算差</w:t>
      </w:r>
      <w:r>
        <w:rPr>
          <w:spacing w:val="-63"/>
        </w:rPr>
        <w:t> </w:t>
      </w:r>
      <w:r>
        <w:rPr>
          <w:spacing w:val="-63"/>
        </w:rPr>
      </w:r>
      <w:r>
        <w:rPr>
          <w:spacing w:val="-2"/>
        </w:rPr>
        <w:t>额，在所有者权益项目下单独列示。外币现金流量采用现金流量发生日的即期汇率折算。汇率变动对现金的影响额，在现金</w:t>
      </w:r>
      <w:r>
        <w:rPr>
          <w:spacing w:val="-65"/>
        </w:rPr>
        <w:t> </w:t>
      </w:r>
      <w:r>
        <w:rPr>
          <w:spacing w:val="-65"/>
        </w:rPr>
      </w:r>
      <w:r>
        <w:rPr/>
        <w:t>流量表中单独列示。</w:t>
      </w:r>
    </w:p>
    <w:p>
      <w:pPr>
        <w:spacing w:line="240" w:lineRule="auto" w:before="11"/>
        <w:rPr>
          <w:rFonts w:ascii="宋体" w:hAnsi="宋体" w:cs="宋体" w:eastAsia="宋体" w:hint="default"/>
          <w:sz w:val="22"/>
          <w:szCs w:val="22"/>
        </w:rPr>
      </w:pPr>
    </w:p>
    <w:p>
      <w:pPr>
        <w:pStyle w:val="Heading4"/>
        <w:spacing w:line="240" w:lineRule="auto"/>
        <w:ind w:right="982"/>
        <w:jc w:val="left"/>
        <w:rPr>
          <w:b w:val="0"/>
          <w:bCs w:val="0"/>
        </w:rPr>
      </w:pPr>
      <w:r>
        <w:rPr>
          <w:rFonts w:ascii="Times New Roman" w:hAnsi="Times New Roman" w:cs="Times New Roman" w:eastAsia="Times New Roman" w:hint="default"/>
        </w:rPr>
        <w:t>10</w:t>
      </w:r>
      <w:r>
        <w:rPr/>
        <w:t>、金融工具</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left="592" w:right="982"/>
        <w:jc w:val="left"/>
      </w:pPr>
      <w:r>
        <w:rPr/>
        <w:t>本集团成为金融工具合同的一方时确认一项金融资产或金融负债。</w:t>
      </w:r>
    </w:p>
    <w:p>
      <w:pPr>
        <w:spacing w:line="240" w:lineRule="auto" w:before="2"/>
        <w:rPr>
          <w:rFonts w:ascii="宋体" w:hAnsi="宋体" w:cs="宋体" w:eastAsia="宋体" w:hint="default"/>
          <w:sz w:val="24"/>
          <w:szCs w:val="24"/>
        </w:rPr>
      </w:pPr>
    </w:p>
    <w:p>
      <w:pPr>
        <w:pStyle w:val="BodyText"/>
        <w:spacing w:line="240" w:lineRule="auto"/>
        <w:ind w:left="592" w:right="982"/>
        <w:jc w:val="left"/>
      </w:pPr>
      <w:r>
        <w:rPr/>
        <w:t>（</w:t>
      </w:r>
      <w:r>
        <w:rPr>
          <w:rFonts w:ascii="Times New Roman" w:hAnsi="Times New Roman" w:cs="Times New Roman" w:eastAsia="Times New Roman" w:hint="default"/>
        </w:rPr>
        <w:t>1</w:t>
      </w:r>
      <w:r>
        <w:rPr/>
        <w:t>）金融资产</w:t>
      </w:r>
    </w:p>
    <w:p>
      <w:pPr>
        <w:pStyle w:val="BodyText"/>
        <w:spacing w:line="540" w:lineRule="atLeast" w:before="12"/>
        <w:ind w:left="592" w:right="1134" w:hanging="8"/>
        <w:jc w:val="left"/>
      </w:pPr>
      <w:r>
        <w:rPr>
          <w:rFonts w:ascii="Times New Roman" w:hAnsi="Times New Roman" w:cs="Times New Roman" w:eastAsia="Times New Roman" w:hint="default"/>
        </w:rPr>
        <w:t>1</w:t>
      </w:r>
      <w:r>
        <w:rPr/>
        <w:t>）金融资产分类、确认依据和计量方法 本集团按投资目的和经济实质对拥有的金融资产分为以公允价值计量且其变动计入当期损益的金融资产、持有至到期</w:t>
      </w:r>
    </w:p>
    <w:p>
      <w:pPr>
        <w:pStyle w:val="BodyText"/>
        <w:spacing w:line="240" w:lineRule="auto" w:before="76"/>
        <w:ind w:right="982"/>
        <w:jc w:val="left"/>
      </w:pPr>
      <w:r>
        <w:rPr/>
        <w:t>投资、贷款和应收款项及可供出售金融资产。</w:t>
      </w:r>
    </w:p>
    <w:p>
      <w:pPr>
        <w:spacing w:line="240" w:lineRule="auto" w:before="3"/>
        <w:rPr>
          <w:rFonts w:ascii="宋体" w:hAnsi="宋体" w:cs="宋体" w:eastAsia="宋体" w:hint="default"/>
          <w:sz w:val="24"/>
          <w:szCs w:val="24"/>
        </w:rPr>
      </w:pPr>
    </w:p>
    <w:p>
      <w:pPr>
        <w:pStyle w:val="BodyText"/>
        <w:spacing w:line="316" w:lineRule="auto"/>
        <w:ind w:right="1130" w:firstLine="439"/>
        <w:jc w:val="both"/>
      </w:pPr>
      <w:r>
        <w:rPr/>
        <w:t>以公允价值计量且其变动计入当期损益的金融资产，包括交易性金融资产和在初始确认时指定为以公允价值计量且其 </w:t>
      </w:r>
      <w:r>
        <w:rPr>
          <w:spacing w:val="-2"/>
        </w:rPr>
        <w:t>变动计入当期损益的金融资产。本集团将满足下列条件之一的金融资产归类为交易性金融资产：取得该金融资产的目的是为</w:t>
      </w:r>
      <w:r>
        <w:rPr>
          <w:spacing w:val="-64"/>
        </w:rPr>
        <w:t> </w:t>
      </w:r>
      <w:r>
        <w:rPr>
          <w:spacing w:val="-64"/>
        </w:rPr>
      </w:r>
      <w:r>
        <w:rPr>
          <w:spacing w:val="-2"/>
        </w:rPr>
        <w:t>了在短期内出售；属于进行集中管理的可辨认金融工具组合的一部分，且有客观证据表明公司近期采用短期获利方式对该组</w:t>
      </w:r>
      <w:r>
        <w:rPr>
          <w:spacing w:val="-64"/>
        </w:rPr>
        <w:t> </w:t>
      </w:r>
      <w:r>
        <w:rPr>
          <w:spacing w:val="-64"/>
        </w:rPr>
      </w:r>
      <w:r>
        <w:rPr>
          <w:spacing w:val="-2"/>
        </w:rPr>
        <w:t>合进行管理；属于衍生工具，但是，被指定且为有效套期工具的衍生工具、属于财务担保合同的衍生工具、与在活跃市场中</w:t>
      </w:r>
      <w:r>
        <w:rPr>
          <w:spacing w:val="-67"/>
        </w:rPr>
        <w:t> </w:t>
      </w:r>
      <w:r>
        <w:rPr>
          <w:spacing w:val="-67"/>
        </w:rPr>
      </w:r>
      <w:r>
        <w:rPr>
          <w:spacing w:val="-2"/>
        </w:rPr>
        <w:t>没有报价且其公允价值不能可靠计量的权益工具投资挂钩并须通过交付该权益工具结算的衍生工具除外。本集团将只有符合</w:t>
      </w:r>
      <w:r>
        <w:rPr>
          <w:spacing w:val="-64"/>
        </w:rPr>
        <w:t> </w:t>
      </w:r>
      <w:r>
        <w:rPr>
          <w:spacing w:val="-64"/>
        </w:rPr>
      </w:r>
      <w:r>
        <w:rPr>
          <w:spacing w:val="-2"/>
        </w:rPr>
        <w:t>下列条件之一的金融工具，才可在初始确认时指定为以公允价值计量且其变动计入当期损益的金融资产：该指定可以消除或</w:t>
      </w:r>
      <w:r>
        <w:rPr>
          <w:spacing w:val="-64"/>
        </w:rPr>
        <w:t> </w:t>
      </w:r>
      <w:r>
        <w:rPr>
          <w:spacing w:val="-64"/>
        </w:rPr>
      </w:r>
      <w:r>
        <w:rPr>
          <w:spacing w:val="-2"/>
        </w:rPr>
        <w:t>明显减少由于该金融工具的计量基础不同所导致的相关利得或损失在确认或计量方面不一致的情况；公司风险管理或投资策</w:t>
      </w:r>
      <w:r>
        <w:rPr>
          <w:spacing w:val="-64"/>
        </w:rPr>
        <w:t> </w:t>
      </w:r>
      <w:r>
        <w:rPr>
          <w:spacing w:val="-64"/>
        </w:rPr>
      </w:r>
      <w:r>
        <w:rPr>
          <w:spacing w:val="-2"/>
        </w:rPr>
        <w:t>略的正式书面文件已载明，该金融工具组合以公允价值为基础进行管理、评价并向关键管理人员报告；包含一项或多项嵌入</w:t>
      </w:r>
      <w:r>
        <w:rPr>
          <w:spacing w:val="-63"/>
        </w:rPr>
        <w:t> </w:t>
      </w:r>
      <w:r>
        <w:rPr>
          <w:spacing w:val="-63"/>
        </w:rPr>
      </w:r>
      <w:r>
        <w:rPr>
          <w:spacing w:val="-2"/>
        </w:rPr>
        <w:t>衍生工具的混合工具，除非嵌入衍生工具对混合工具的现金流量没有重大改变，或所嵌入的衍生工具明显不应当从相关混合</w:t>
      </w:r>
      <w:r>
        <w:rPr>
          <w:spacing w:val="-64"/>
        </w:rPr>
        <w:t> </w:t>
      </w:r>
      <w:r>
        <w:rPr>
          <w:spacing w:val="-64"/>
        </w:rPr>
      </w:r>
      <w:r>
        <w:rPr>
          <w:spacing w:val="-2"/>
        </w:rPr>
        <w:t>工具中分拆；包含需要分拆但无法在取得时或后续的资产负债表日对其进行单独计量的嵌入衍生工具的混合工具。本集团对</w:t>
      </w:r>
      <w:r>
        <w:rPr>
          <w:spacing w:val="-64"/>
        </w:rPr>
        <w:t> </w:t>
      </w:r>
      <w:r>
        <w:rPr>
          <w:spacing w:val="-64"/>
        </w:rPr>
      </w:r>
      <w:r>
        <w:rPr>
          <w:spacing w:val="-2"/>
        </w:rPr>
        <w:t>此类金融资产，采用公允价值进行后续计量。公允价值变动计入公允价值变动损益；在资产持有期间所取得的利息或现金股</w:t>
      </w:r>
      <w:r>
        <w:rPr>
          <w:spacing w:val="-63"/>
        </w:rPr>
        <w:t> </w:t>
      </w:r>
      <w:r>
        <w:rPr>
          <w:spacing w:val="-63"/>
        </w:rPr>
      </w:r>
      <w:r>
        <w:rPr/>
        <w:t>利，确认为投资收益；处置时，其公允价值与初始入账金额之间的差额确认为投资损益，同时调整公允价值变动损益。</w:t>
      </w:r>
    </w:p>
    <w:p>
      <w:pPr>
        <w:pStyle w:val="BodyText"/>
        <w:spacing w:line="552" w:lineRule="exact" w:before="27"/>
        <w:ind w:left="592" w:right="982"/>
        <w:jc w:val="left"/>
      </w:pPr>
      <w:r>
        <w:rPr>
          <w:spacing w:val="-4"/>
        </w:rPr>
        <w:t>持有至到期投资是指到期日固定、回收金额固定或可确定，且本集团有明确意图和能力持有至到期的非衍生金融资产。</w:t>
      </w:r>
      <w:r>
        <w:rPr>
          <w:spacing w:val="-44"/>
        </w:rPr>
        <w:t> </w:t>
      </w:r>
      <w:r>
        <w:rPr>
          <w:spacing w:val="-44"/>
        </w:rPr>
      </w:r>
      <w:r>
        <w:rPr/>
        <w:t>应收款项，是指在活跃市场中没有报价，回收金额固定或可确定的非衍生金融资产。 可供出售金融资产，是指初始确认时即被指定为可供出售的非衍生金融资产，以及未被划分为其他类的金融资产。这</w:t>
      </w:r>
    </w:p>
    <w:p>
      <w:pPr>
        <w:pStyle w:val="BodyText"/>
        <w:spacing w:line="316" w:lineRule="auto"/>
        <w:ind w:right="1034"/>
        <w:jc w:val="left"/>
      </w:pPr>
      <w:r>
        <w:rPr>
          <w:spacing w:val="-2"/>
        </w:rPr>
        <w:t>类资产中，在活跃市场中没有报价且其公允价值不能可靠计量的权益工具投资以及与该权益工具挂钩并须通过交付该权益工</w:t>
      </w:r>
      <w:r>
        <w:rPr>
          <w:spacing w:val="-64"/>
        </w:rPr>
        <w:t> </w:t>
      </w:r>
      <w:r>
        <w:rPr>
          <w:spacing w:val="-64"/>
        </w:rPr>
      </w:r>
      <w:r>
        <w:rPr/>
        <w:t>具结算的衍生金融资产，按成本进行后续计量；其他存在活跃市场报价或虽没有活跃市场报价但公允价值能够可靠计量的，</w:t>
      </w:r>
      <w:r>
        <w:rPr>
          <w:spacing w:val="-83"/>
        </w:rPr>
        <w:t> </w:t>
      </w:r>
      <w:r>
        <w:rPr>
          <w:spacing w:val="-83"/>
        </w:rPr>
      </w:r>
      <w:r>
        <w:rPr>
          <w:spacing w:val="-2"/>
        </w:rPr>
        <w:t>按公允价值计量，公允价值变动计入其他综合收益。对于此类金融资产采用公允价值进行后续计量，除减值损失及外币货币</w:t>
      </w:r>
      <w:r>
        <w:rPr>
          <w:spacing w:val="-63"/>
        </w:rPr>
        <w:t> </w:t>
      </w:r>
      <w:r>
        <w:rPr>
          <w:spacing w:val="-63"/>
        </w:rPr>
      </w:r>
      <w:r>
        <w:rPr>
          <w:spacing w:val="-2"/>
        </w:rPr>
        <w:t>性金融资产形成的汇兑损益外，可供出售金融资产公允价值变动直接计入股东权益，待该金融资产终止确认时，原直接计入</w:t>
      </w:r>
    </w:p>
    <w:p>
      <w:pPr>
        <w:spacing w:after="0" w:line="316" w:lineRule="auto"/>
        <w:jc w:val="left"/>
        <w:sectPr>
          <w:pgSz w:w="11910" w:h="16840"/>
          <w:pgMar w:header="745" w:footer="979" w:top="1060" w:bottom="1160" w:left="980" w:right="0"/>
        </w:sectPr>
      </w:pPr>
    </w:p>
    <w:p>
      <w:pPr>
        <w:spacing w:line="240" w:lineRule="auto" w:before="9"/>
        <w:rPr>
          <w:rFonts w:ascii="宋体" w:hAnsi="宋体" w:cs="宋体" w:eastAsia="宋体" w:hint="default"/>
          <w:sz w:val="25"/>
          <w:szCs w:val="25"/>
        </w:rPr>
      </w:pPr>
    </w:p>
    <w:p>
      <w:pPr>
        <w:pStyle w:val="BodyText"/>
        <w:spacing w:line="319" w:lineRule="auto" w:before="44"/>
        <w:ind w:right="1133"/>
        <w:jc w:val="both"/>
      </w:pPr>
      <w:r>
        <w:rPr>
          <w:spacing w:val="-2"/>
        </w:rPr>
        <w:t>权益的公允价值变动累计额转入当期损益。可供出售债务工具投资在持有期间按实际利率法计算的利息，以及被投资单位宣</w:t>
      </w:r>
      <w:r>
        <w:rPr>
          <w:spacing w:val="-64"/>
        </w:rPr>
        <w:t> </w:t>
      </w:r>
      <w:r>
        <w:rPr>
          <w:spacing w:val="-64"/>
        </w:rPr>
      </w:r>
      <w:r>
        <w:rPr>
          <w:spacing w:val="-2"/>
        </w:rPr>
        <w:t>告发放的与可供出售权益工具投资相关的现金股利，作为投资收益计入当期损益。对于在活跃市场中没有报价且其公允价值</w:t>
      </w:r>
      <w:r>
        <w:rPr>
          <w:spacing w:val="-64"/>
        </w:rPr>
        <w:t> </w:t>
      </w:r>
      <w:r>
        <w:rPr>
          <w:spacing w:val="-64"/>
        </w:rPr>
      </w:r>
      <w:r>
        <w:rPr/>
        <w:t>不能可靠计量的权益工具投资，按成本计量。</w:t>
      </w:r>
    </w:p>
    <w:p>
      <w:pPr>
        <w:pStyle w:val="BodyText"/>
        <w:spacing w:line="552" w:lineRule="exact" w:before="25"/>
        <w:ind w:left="592" w:right="1134" w:hanging="8"/>
        <w:jc w:val="left"/>
      </w:pPr>
      <w:r>
        <w:rPr>
          <w:rFonts w:ascii="Times New Roman" w:hAnsi="Times New Roman" w:cs="Times New Roman" w:eastAsia="Times New Roman" w:hint="default"/>
        </w:rPr>
        <w:t>2</w:t>
      </w:r>
      <w:r>
        <w:rPr/>
        <w:t>）金融资产转移的确认依据和计量方法 金融资产满足下列条件之一的，予以终止确认：①收取该金融资产现金流量的合同权利终止；②该金融资产已转移，</w:t>
      </w:r>
    </w:p>
    <w:p>
      <w:pPr>
        <w:pStyle w:val="BodyText"/>
        <w:spacing w:line="316" w:lineRule="auto"/>
        <w:ind w:right="1130"/>
        <w:jc w:val="both"/>
      </w:pPr>
      <w:r>
        <w:rPr/>
        <w:t>且本集团将金融资产所有权上几乎所有的风险和报酬转移给转入方； ③该金融资产已转移，虽然本集团既没有转移也没有</w:t>
      </w:r>
      <w:r>
        <w:rPr>
          <w:spacing w:val="-83"/>
        </w:rPr>
        <w:t> </w:t>
      </w:r>
      <w:r>
        <w:rPr>
          <w:spacing w:val="-83"/>
        </w:rPr>
      </w:r>
      <w:r>
        <w:rPr/>
        <w:t>保留金融资产所有权上几乎所有的风险和报酬，但是放弃了对该金融资产控制。</w:t>
      </w:r>
    </w:p>
    <w:p>
      <w:pPr>
        <w:spacing w:line="240" w:lineRule="auto" w:before="10"/>
        <w:rPr>
          <w:rFonts w:ascii="宋体" w:hAnsi="宋体" w:cs="宋体" w:eastAsia="宋体" w:hint="default"/>
          <w:sz w:val="19"/>
          <w:szCs w:val="19"/>
        </w:rPr>
      </w:pPr>
    </w:p>
    <w:p>
      <w:pPr>
        <w:pStyle w:val="BodyText"/>
        <w:spacing w:line="316" w:lineRule="auto"/>
        <w:ind w:right="1136" w:firstLine="439"/>
        <w:jc w:val="both"/>
      </w:pPr>
      <w:r>
        <w:rPr/>
        <w:t>公司既没有转移也没有保留金融资产所有权上几乎所有的风险和报酬，且未放弃对该金融资产控制的，则按照其继续 涉入所转移金融资产的程度确认有关金融资产，并相应确认有关负债。</w:t>
      </w:r>
    </w:p>
    <w:p>
      <w:pPr>
        <w:spacing w:line="240" w:lineRule="auto" w:before="11"/>
        <w:rPr>
          <w:rFonts w:ascii="宋体" w:hAnsi="宋体" w:cs="宋体" w:eastAsia="宋体" w:hint="default"/>
          <w:sz w:val="19"/>
          <w:szCs w:val="19"/>
        </w:rPr>
      </w:pPr>
    </w:p>
    <w:p>
      <w:pPr>
        <w:pStyle w:val="BodyText"/>
        <w:spacing w:line="316" w:lineRule="auto"/>
        <w:ind w:right="1136" w:firstLine="439"/>
        <w:jc w:val="both"/>
      </w:pPr>
      <w:r>
        <w:rPr/>
        <w:t>金融资产整体转移满足终止确认条件的，将所转移金融资产的账面价值，与因转移而收到的对价及原计入其他综合收 益的公允价值变动累计额之和的差额计入当期损益。</w:t>
      </w:r>
    </w:p>
    <w:p>
      <w:pPr>
        <w:spacing w:line="240" w:lineRule="auto" w:before="10"/>
        <w:rPr>
          <w:rFonts w:ascii="宋体" w:hAnsi="宋体" w:cs="宋体" w:eastAsia="宋体" w:hint="default"/>
          <w:sz w:val="19"/>
          <w:szCs w:val="19"/>
        </w:rPr>
      </w:pPr>
    </w:p>
    <w:p>
      <w:pPr>
        <w:pStyle w:val="BodyText"/>
        <w:spacing w:line="316" w:lineRule="auto"/>
        <w:ind w:right="1133" w:firstLine="439"/>
        <w:jc w:val="both"/>
      </w:pPr>
      <w:r>
        <w:rPr>
          <w:spacing w:val="-4"/>
        </w:rPr>
        <w:t>金融资产部分转移满足终止确认条件的，将所转移金融资产整体的账面价值，在终止确认部分和未终止确认部分之间，</w:t>
      </w:r>
      <w:r>
        <w:rPr/>
        <w:t> </w:t>
      </w:r>
      <w:r>
        <w:rPr>
          <w:spacing w:val="-2"/>
        </w:rPr>
        <w:t>按照各自的相对公允价值进行分摊，并将因转移而收到的对价及应分摊至终止确认部分的原计入其他综合收益的公允价值变</w:t>
      </w:r>
      <w:r>
        <w:rPr>
          <w:spacing w:val="-64"/>
        </w:rPr>
        <w:t> </w:t>
      </w:r>
      <w:r>
        <w:rPr>
          <w:spacing w:val="-64"/>
        </w:rPr>
      </w:r>
      <w:r>
        <w:rPr/>
        <w:t>动累计额之和，与分摊的前述账面金额的差额计入当期损益。</w:t>
      </w:r>
    </w:p>
    <w:p>
      <w:pPr>
        <w:pStyle w:val="BodyText"/>
        <w:spacing w:line="552" w:lineRule="exact" w:before="27"/>
        <w:ind w:left="592" w:right="982" w:hanging="8"/>
        <w:jc w:val="left"/>
      </w:pPr>
      <w:r>
        <w:rPr>
          <w:rFonts w:ascii="Times New Roman" w:hAnsi="Times New Roman" w:cs="Times New Roman" w:eastAsia="Times New Roman" w:hint="default"/>
        </w:rPr>
        <w:t>3</w:t>
      </w:r>
      <w:r>
        <w:rPr/>
        <w:t>）金融资产减值的测试方法及会计处理方法 </w:t>
      </w:r>
      <w:r>
        <w:rPr>
          <w:spacing w:val="-2"/>
        </w:rPr>
        <w:t>除以公允价值计量且其变动计入当期损益的金融资产外，本集团于资产负债表日对其他金融资产的账面价值进行检查，</w:t>
      </w:r>
    </w:p>
    <w:p>
      <w:pPr>
        <w:pStyle w:val="BodyText"/>
        <w:spacing w:line="227" w:lineRule="exact"/>
        <w:ind w:right="0"/>
        <w:jc w:val="both"/>
      </w:pPr>
      <w:r>
        <w:rPr/>
        <w:t>如果有客观证据表明某项金融资产发生减值的，计提减值准备。</w:t>
      </w:r>
    </w:p>
    <w:p>
      <w:pPr>
        <w:spacing w:line="240" w:lineRule="auto" w:before="1"/>
        <w:rPr>
          <w:rFonts w:ascii="宋体" w:hAnsi="宋体" w:cs="宋体" w:eastAsia="宋体" w:hint="default"/>
          <w:sz w:val="15"/>
          <w:szCs w:val="15"/>
        </w:rPr>
      </w:pPr>
    </w:p>
    <w:p>
      <w:pPr>
        <w:pStyle w:val="BodyText"/>
        <w:spacing w:line="316" w:lineRule="auto"/>
        <w:ind w:right="1131" w:firstLine="439"/>
        <w:jc w:val="both"/>
      </w:pPr>
      <w:r>
        <w:rPr/>
        <w:t>以摊余成本计量的金融资产发生减值时，按预计未来现金流量（不包括尚未发生的未来信用损失）现值低于账面价值 </w:t>
      </w:r>
      <w:r>
        <w:rPr>
          <w:spacing w:val="-2"/>
        </w:rPr>
        <w:t>的差额，计提减值准备。如果有客观证据表明该金融资产价值已恢复，且客观上与确认该损失后发生的事项有关，原确认的</w:t>
      </w:r>
      <w:r>
        <w:rPr>
          <w:spacing w:val="-64"/>
        </w:rPr>
        <w:t> </w:t>
      </w:r>
      <w:r>
        <w:rPr>
          <w:spacing w:val="-64"/>
        </w:rPr>
      </w:r>
      <w:r>
        <w:rPr/>
        <w:t>减值损失予以转回，计入当期损益。</w:t>
      </w:r>
    </w:p>
    <w:p>
      <w:pPr>
        <w:pStyle w:val="BodyText"/>
        <w:spacing w:line="316" w:lineRule="auto" w:before="139"/>
        <w:ind w:right="1042" w:firstLine="439"/>
        <w:jc w:val="both"/>
      </w:pPr>
      <w:r>
        <w:rPr/>
        <w:t>当可供出售金融资产发生减值，原直接计入所有者权益的因公允价值下降形成的累计损失予以转出并计入减值损失。 </w:t>
      </w:r>
      <w:r>
        <w:rPr>
          <w:spacing w:val="-2"/>
        </w:rPr>
        <w:t>对已确认减值损失的可供出售债务工具投资，在期后公允价值上升且客观上与确认原减值损失后发生的事项有关的，原确认</w:t>
      </w:r>
      <w:r>
        <w:rPr>
          <w:spacing w:val="-64"/>
        </w:rPr>
        <w:t> </w:t>
      </w:r>
      <w:r>
        <w:rPr>
          <w:spacing w:val="-64"/>
        </w:rPr>
      </w:r>
      <w:r>
        <w:rPr>
          <w:spacing w:val="-4"/>
        </w:rPr>
        <w:t>的减值损失予以转回并计入当期损益。对已确认减值损失的可供出售权益工具投资，期后公允价值上升直接计入所有者权益。</w:t>
      </w:r>
    </w:p>
    <w:p>
      <w:pPr>
        <w:pStyle w:val="BodyText"/>
        <w:spacing w:line="240" w:lineRule="auto" w:before="139"/>
        <w:ind w:left="592" w:right="982"/>
        <w:jc w:val="left"/>
      </w:pPr>
      <w:r>
        <w:rPr/>
        <w:t>（</w:t>
      </w:r>
      <w:r>
        <w:rPr>
          <w:rFonts w:ascii="Times New Roman" w:hAnsi="Times New Roman" w:cs="Times New Roman" w:eastAsia="Times New Roman" w:hint="default"/>
        </w:rPr>
        <w:t>2</w:t>
      </w:r>
      <w:r>
        <w:rPr/>
        <w:t>）金融负债</w:t>
      </w:r>
    </w:p>
    <w:p>
      <w:pPr>
        <w:spacing w:line="240" w:lineRule="auto" w:before="13"/>
        <w:rPr>
          <w:rFonts w:ascii="宋体" w:hAnsi="宋体" w:cs="宋体" w:eastAsia="宋体" w:hint="default"/>
          <w:sz w:val="13"/>
          <w:szCs w:val="13"/>
        </w:rPr>
      </w:pPr>
    </w:p>
    <w:p>
      <w:pPr>
        <w:pStyle w:val="BodyText"/>
        <w:spacing w:line="415" w:lineRule="auto"/>
        <w:ind w:left="592" w:right="982" w:hanging="8"/>
        <w:jc w:val="left"/>
      </w:pPr>
      <w:r>
        <w:rPr>
          <w:rFonts w:ascii="Times New Roman" w:hAnsi="Times New Roman" w:cs="Times New Roman" w:eastAsia="Times New Roman" w:hint="default"/>
        </w:rPr>
        <w:t>1</w:t>
      </w:r>
      <w:r>
        <w:rPr/>
        <w:t>）金融负债分类、确认依据和计量方法 本集团的金融负债于初始确认时分类为以公允价值计量且其变动计入当期损益的金融负债和其他金融负债。</w:t>
      </w:r>
    </w:p>
    <w:p>
      <w:pPr>
        <w:pStyle w:val="BodyText"/>
        <w:spacing w:line="316" w:lineRule="auto" w:before="65"/>
        <w:ind w:right="1133" w:firstLine="439"/>
        <w:jc w:val="both"/>
      </w:pPr>
      <w:r>
        <w:rPr/>
        <w:t>以公允价值计量且其变动计入当期损益的金融负债，包括交易性金融负债和初始确认时指定为以公允价值计量且其变 </w:t>
      </w:r>
      <w:r>
        <w:rPr>
          <w:spacing w:val="-2"/>
        </w:rPr>
        <w:t>动计入当期损益的金融负债，按照公允价值进行后续计量，公允价值变动形成的利得或损失以及与该金融负债相关的股利和</w:t>
      </w:r>
      <w:r>
        <w:rPr>
          <w:spacing w:val="-64"/>
        </w:rPr>
        <w:t> </w:t>
      </w:r>
      <w:r>
        <w:rPr>
          <w:spacing w:val="-64"/>
        </w:rPr>
      </w:r>
      <w:r>
        <w:rPr/>
        <w:t>利息支出计入当期损益。</w:t>
      </w:r>
    </w:p>
    <w:p>
      <w:pPr>
        <w:pStyle w:val="BodyText"/>
        <w:spacing w:line="240" w:lineRule="auto" w:before="139"/>
        <w:ind w:left="592" w:right="982"/>
        <w:jc w:val="left"/>
      </w:pPr>
      <w:r>
        <w:rPr/>
        <w:t>其他金融负债采用实际利率法，按照摊余成本进行后续计量。</w:t>
      </w:r>
    </w:p>
    <w:p>
      <w:pPr>
        <w:pStyle w:val="BodyText"/>
        <w:spacing w:line="420" w:lineRule="atLeast" w:before="25"/>
        <w:ind w:left="618" w:right="982" w:hanging="27"/>
        <w:jc w:val="left"/>
      </w:pPr>
      <w:r>
        <w:rPr>
          <w:rFonts w:ascii="Times New Roman" w:hAnsi="Times New Roman" w:cs="Times New Roman" w:eastAsia="Times New Roman" w:hint="default"/>
        </w:rPr>
        <w:t>2</w:t>
      </w:r>
      <w:r>
        <w:rPr/>
        <w:t>）金融负债终止确认条件 </w:t>
      </w:r>
      <w:r>
        <w:rPr>
          <w:spacing w:val="-1"/>
        </w:rPr>
        <w:t>当金融负债的现时义务全部或部分已经解除时，终止确认该金融负债或义务已解除的部分。公司与债权人之间签订协</w:t>
      </w:r>
    </w:p>
    <w:p>
      <w:pPr>
        <w:pStyle w:val="BodyText"/>
        <w:spacing w:line="316" w:lineRule="auto" w:before="76"/>
        <w:ind w:right="1130"/>
        <w:jc w:val="both"/>
      </w:pPr>
      <w:r>
        <w:rPr>
          <w:spacing w:val="-2"/>
        </w:rPr>
        <w:t>议，以承担新金融负债方式替换现存金融负债，且新金融负债与现存金融负债的合同条款实质上不同的，终止确认现存金融</w:t>
      </w:r>
      <w:r>
        <w:rPr>
          <w:spacing w:val="-63"/>
        </w:rPr>
        <w:t> </w:t>
      </w:r>
      <w:r>
        <w:rPr>
          <w:spacing w:val="-63"/>
        </w:rPr>
      </w:r>
      <w:r>
        <w:rPr>
          <w:spacing w:val="-2"/>
        </w:rPr>
        <w:t>负债，并同时确认新金融负债。公司对现存金融负债全部或部分的合同条款作出实质性修改的，终止确认现存金融负债或其</w:t>
      </w:r>
      <w:r>
        <w:rPr>
          <w:spacing w:val="-63"/>
        </w:rPr>
        <w:t> </w:t>
      </w:r>
      <w:r>
        <w:rPr>
          <w:spacing w:val="-63"/>
        </w:rPr>
      </w:r>
      <w:r>
        <w:rPr>
          <w:spacing w:val="-2"/>
        </w:rPr>
        <w:t>一部分，同时将修改条款后的金融负债确认为一项新金融负债。终止确认部分的账面价值与支付的对价之间的差额，计入当</w:t>
      </w:r>
      <w:r>
        <w:rPr>
          <w:spacing w:val="-63"/>
        </w:rPr>
        <w:t> </w:t>
      </w:r>
      <w:r>
        <w:rPr>
          <w:spacing w:val="-63"/>
        </w:rPr>
      </w:r>
      <w:r>
        <w:rPr/>
        <w:t>期损益。</w:t>
      </w:r>
    </w:p>
    <w:p>
      <w:pPr>
        <w:spacing w:after="0" w:line="316" w:lineRule="auto"/>
        <w:jc w:val="both"/>
        <w:sectPr>
          <w:pgSz w:w="11910" w:h="16840"/>
          <w:pgMar w:header="745" w:footer="979" w:top="1060" w:bottom="1160" w:left="980" w:right="0"/>
        </w:sectPr>
      </w:pPr>
    </w:p>
    <w:p>
      <w:pPr>
        <w:spacing w:line="240" w:lineRule="auto" w:before="9"/>
        <w:rPr>
          <w:rFonts w:ascii="宋体" w:hAnsi="宋体" w:cs="宋体" w:eastAsia="宋体" w:hint="default"/>
          <w:sz w:val="25"/>
          <w:szCs w:val="25"/>
        </w:rPr>
      </w:pPr>
    </w:p>
    <w:p>
      <w:pPr>
        <w:pStyle w:val="BodyText"/>
        <w:spacing w:line="240" w:lineRule="auto" w:before="44"/>
        <w:ind w:left="592" w:right="982"/>
        <w:jc w:val="left"/>
      </w:pPr>
      <w:r>
        <w:rPr/>
        <w:t>（</w:t>
      </w:r>
      <w:r>
        <w:rPr>
          <w:rFonts w:ascii="Times New Roman" w:hAnsi="Times New Roman" w:cs="Times New Roman" w:eastAsia="Times New Roman" w:hint="default"/>
        </w:rPr>
        <w:t>3</w:t>
      </w:r>
      <w:r>
        <w:rPr/>
        <w:t>）金融资产和金融负债的公允价值确定方法</w:t>
      </w:r>
    </w:p>
    <w:p>
      <w:pPr>
        <w:spacing w:line="240" w:lineRule="auto" w:before="0"/>
        <w:rPr>
          <w:rFonts w:ascii="宋体" w:hAnsi="宋体" w:cs="宋体" w:eastAsia="宋体" w:hint="default"/>
          <w:sz w:val="14"/>
          <w:szCs w:val="14"/>
        </w:rPr>
      </w:pPr>
    </w:p>
    <w:p>
      <w:pPr>
        <w:pStyle w:val="BodyText"/>
        <w:spacing w:line="316" w:lineRule="auto"/>
        <w:ind w:right="1130"/>
        <w:jc w:val="both"/>
      </w:pPr>
      <w:r>
        <w:rPr>
          <w:spacing w:val="-2"/>
        </w:rPr>
        <w:t>本集团以主要市场的价格计量金融资产和金融负债的公允价值，不存在主要市场的，以最有利市场的价格计量金融资产和金</w:t>
      </w:r>
      <w:r>
        <w:rPr>
          <w:spacing w:val="-63"/>
        </w:rPr>
        <w:t> </w:t>
      </w:r>
      <w:r>
        <w:rPr>
          <w:spacing w:val="-63"/>
        </w:rPr>
      </w:r>
      <w:r>
        <w:rPr>
          <w:spacing w:val="-2"/>
        </w:rPr>
        <w:t>融负债的公允价值，并且采用当时适用并且有足够可利用数据和其他信息支持的估值技术。公允价值计量所使用的输入值分</w:t>
      </w:r>
      <w:r>
        <w:rPr>
          <w:spacing w:val="-64"/>
        </w:rPr>
        <w:t> </w:t>
      </w:r>
      <w:r>
        <w:rPr>
          <w:spacing w:val="-64"/>
        </w:rPr>
      </w:r>
      <w:r>
        <w:rPr>
          <w:spacing w:val="-2"/>
        </w:rPr>
        <w:t>为三个层次，即第一层次输入值是计量日能够取得的相同资产或负债在活跃市场上未经调整的报价；第二层次输入值是除第</w:t>
      </w:r>
      <w:r>
        <w:rPr>
          <w:spacing w:val="-64"/>
        </w:rPr>
        <w:t> </w:t>
      </w:r>
      <w:r>
        <w:rPr>
          <w:spacing w:val="-64"/>
        </w:rPr>
      </w:r>
      <w:r>
        <w:rPr>
          <w:spacing w:val="-2"/>
        </w:rPr>
        <w:t>一层次输入值外相关资产或负债直接或间接可观察的输入值；第三层次输入值是相关资产或负债的不可观察输入值。本集团</w:t>
      </w:r>
      <w:r>
        <w:rPr>
          <w:spacing w:val="-64"/>
        </w:rPr>
        <w:t> </w:t>
      </w:r>
      <w:r>
        <w:rPr>
          <w:spacing w:val="-64"/>
        </w:rPr>
      </w:r>
      <w:r>
        <w:rPr>
          <w:spacing w:val="-2"/>
        </w:rPr>
        <w:t>优先使用第一层次输入值，最后再使用第三层次输入值。公允价值计量结果所属的层次，由对公允价值计量整体而言具有重</w:t>
      </w:r>
      <w:r>
        <w:rPr>
          <w:spacing w:val="-63"/>
        </w:rPr>
        <w:t> </w:t>
      </w:r>
      <w:r>
        <w:rPr>
          <w:spacing w:val="-63"/>
        </w:rPr>
      </w:r>
      <w:r>
        <w:rPr/>
        <w:t>大意义的输入值所属的最低层次决定。</w:t>
      </w:r>
    </w:p>
    <w:p>
      <w:pPr>
        <w:spacing w:line="240" w:lineRule="auto" w:before="10"/>
        <w:rPr>
          <w:rFonts w:ascii="宋体" w:hAnsi="宋体" w:cs="宋体" w:eastAsia="宋体" w:hint="default"/>
          <w:sz w:val="22"/>
          <w:szCs w:val="22"/>
        </w:rPr>
      </w:pPr>
    </w:p>
    <w:p>
      <w:pPr>
        <w:pStyle w:val="Heading4"/>
        <w:spacing w:line="240" w:lineRule="auto"/>
        <w:ind w:right="0"/>
        <w:jc w:val="both"/>
        <w:rPr>
          <w:b w:val="0"/>
          <w:bCs w:val="0"/>
        </w:rPr>
      </w:pPr>
      <w:r>
        <w:rPr>
          <w:rFonts w:ascii="Times New Roman" w:hAnsi="Times New Roman" w:cs="Times New Roman" w:eastAsia="Times New Roman" w:hint="default"/>
        </w:rPr>
        <w:t>11</w:t>
      </w:r>
      <w:r>
        <w:rPr/>
        <w:t>、应收票据及应收账款</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0"/>
        <w:jc w:val="both"/>
        <w:rPr>
          <w:b w:val="0"/>
          <w:bCs w:val="0"/>
        </w:rPr>
      </w:pPr>
      <w:r>
        <w:rPr/>
        <w:t>（</w:t>
      </w:r>
      <w:r>
        <w:rPr>
          <w:rFonts w:ascii="Times New Roman" w:hAnsi="Times New Roman" w:cs="Times New Roman" w:eastAsia="Times New Roman" w:hint="default"/>
        </w:rPr>
        <w:t>1</w:t>
      </w:r>
      <w:r>
        <w:rPr/>
        <w:t>）单项金额重大并单独计提坏账准备的应收款项</w:t>
      </w:r>
      <w:r>
        <w:rPr>
          <w:b w:val="0"/>
          <w:bCs w:val="0"/>
        </w:rPr>
      </w:r>
    </w:p>
    <w:p>
      <w:pPr>
        <w:spacing w:line="240" w:lineRule="auto" w:before="7"/>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4783"/>
        <w:gridCol w:w="4787"/>
      </w:tblGrid>
      <w:tr>
        <w:trPr>
          <w:trHeight w:val="403"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单项金额重大的判断依据或金额标准</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单项金额超过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万元的应收款项视为重大应收款项</w:t>
            </w:r>
          </w:p>
        </w:tc>
      </w:tr>
      <w:tr>
        <w:trPr>
          <w:trHeight w:val="713"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单项金额重大并单项计提坏账准备的计提方法</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3" w:right="72"/>
              <w:jc w:val="left"/>
              <w:rPr>
                <w:rFonts w:ascii="宋体" w:hAnsi="宋体" w:cs="宋体" w:eastAsia="宋体" w:hint="default"/>
                <w:sz w:val="18"/>
                <w:szCs w:val="18"/>
              </w:rPr>
            </w:pPr>
            <w:r>
              <w:rPr>
                <w:rFonts w:ascii="宋体" w:hAnsi="宋体" w:cs="宋体" w:eastAsia="宋体" w:hint="default"/>
                <w:sz w:val="18"/>
                <w:szCs w:val="18"/>
              </w:rPr>
              <w:t>根据其未来现金流量现值低于其账面价值的差额，计提坏账 准备</w:t>
            </w:r>
          </w:p>
        </w:tc>
      </w:tr>
    </w:tbl>
    <w:p>
      <w:pPr>
        <w:spacing w:line="240" w:lineRule="auto" w:before="3"/>
        <w:rPr>
          <w:rFonts w:ascii="宋体" w:hAnsi="宋体" w:cs="宋体" w:eastAsia="宋体" w:hint="default"/>
          <w:b/>
          <w:bCs/>
          <w:sz w:val="19"/>
          <w:szCs w:val="19"/>
        </w:rPr>
      </w:pPr>
    </w:p>
    <w:p>
      <w:pPr>
        <w:pStyle w:val="Heading4"/>
        <w:spacing w:line="240" w:lineRule="auto" w:before="36"/>
        <w:ind w:right="982"/>
        <w:jc w:val="left"/>
        <w:rPr>
          <w:b w:val="0"/>
          <w:bCs w:val="0"/>
        </w:rPr>
      </w:pPr>
      <w:r>
        <w:rPr/>
        <w:t>（</w:t>
      </w:r>
      <w:r>
        <w:rPr>
          <w:rFonts w:ascii="Times New Roman" w:hAnsi="Times New Roman" w:cs="Times New Roman" w:eastAsia="Times New Roman" w:hint="default"/>
        </w:rPr>
        <w:t>2</w:t>
      </w:r>
      <w:r>
        <w:rPr/>
        <w:t>）按信用风险特征组合计提坏账准备的应收款项</w:t>
      </w:r>
      <w:r>
        <w:rPr>
          <w:b w:val="0"/>
          <w:bCs w:val="0"/>
        </w:rPr>
      </w:r>
    </w:p>
    <w:p>
      <w:pPr>
        <w:spacing w:line="240" w:lineRule="auto" w:before="9"/>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4784"/>
        <w:gridCol w:w="4787"/>
      </w:tblGrid>
      <w:tr>
        <w:trPr>
          <w:trHeight w:val="401"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组合名称</w:t>
            </w:r>
          </w:p>
        </w:tc>
        <w:tc>
          <w:tcPr>
            <w:tcW w:w="47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坏账准备计提方法</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账龄组合</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账龄分析法</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款项性质组合</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其他方法</w:t>
            </w:r>
          </w:p>
        </w:tc>
      </w:tr>
      <w:tr>
        <w:trPr>
          <w:trHeight w:val="404"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交易风险组合</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其他方法</w:t>
            </w:r>
          </w:p>
        </w:tc>
      </w:tr>
    </w:tbl>
    <w:p>
      <w:pPr>
        <w:pStyle w:val="BodyText"/>
        <w:spacing w:line="240" w:lineRule="auto" w:before="49"/>
        <w:ind w:right="982"/>
        <w:jc w:val="left"/>
      </w:pPr>
      <w:r>
        <w:rPr/>
        <w:t>组合中，采用账龄分析法计提坏账准备的：</w:t>
      </w:r>
    </w:p>
    <w:p>
      <w:pPr>
        <w:pStyle w:val="BodyText"/>
        <w:spacing w:line="240" w:lineRule="auto" w:before="115"/>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4"/>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8"/>
        <w:gridCol w:w="3201"/>
        <w:gridCol w:w="3190"/>
      </w:tblGrid>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3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882" w:right="0"/>
              <w:jc w:val="left"/>
              <w:rPr>
                <w:rFonts w:ascii="宋体" w:hAnsi="宋体" w:cs="宋体" w:eastAsia="宋体" w:hint="default"/>
                <w:sz w:val="18"/>
                <w:szCs w:val="18"/>
              </w:rPr>
            </w:pPr>
            <w:r>
              <w:rPr>
                <w:rFonts w:ascii="宋体" w:hAnsi="宋体" w:cs="宋体" w:eastAsia="宋体" w:hint="default"/>
                <w:sz w:val="18"/>
                <w:szCs w:val="18"/>
              </w:rPr>
              <w:t>应收账款计提比例</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79" w:right="0"/>
              <w:jc w:val="left"/>
              <w:rPr>
                <w:rFonts w:ascii="宋体" w:hAnsi="宋体" w:cs="宋体" w:eastAsia="宋体" w:hint="default"/>
                <w:sz w:val="18"/>
                <w:szCs w:val="18"/>
              </w:rPr>
            </w:pPr>
            <w:r>
              <w:rPr>
                <w:rFonts w:ascii="宋体" w:hAnsi="宋体" w:cs="宋体" w:eastAsia="宋体" w:hint="default"/>
                <w:sz w:val="18"/>
                <w:szCs w:val="18"/>
              </w:rPr>
              <w:t>其他应收款计提比例</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1.00%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1.00%</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10.00%</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50.00%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50.00%</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4"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100.00%</w:t>
            </w:r>
          </w:p>
        </w:tc>
      </w:tr>
    </w:tbl>
    <w:p>
      <w:pPr>
        <w:pStyle w:val="BodyText"/>
        <w:spacing w:line="240" w:lineRule="auto" w:before="49"/>
        <w:ind w:right="982"/>
        <w:jc w:val="left"/>
      </w:pPr>
      <w:r>
        <w:rPr/>
        <w:t>组合中，采用余额百分比法计提坏账准备的：</w:t>
      </w:r>
    </w:p>
    <w:p>
      <w:pPr>
        <w:pStyle w:val="BodyText"/>
        <w:spacing w:line="340" w:lineRule="auto" w:before="115"/>
        <w:ind w:right="751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组合中，采用其他方法计提坏账准备的：</w:t>
      </w:r>
    </w:p>
    <w:p>
      <w:pPr>
        <w:pStyle w:val="BodyText"/>
        <w:spacing w:line="240" w:lineRule="auto" w:before="41"/>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2"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组合名称</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871" w:right="0"/>
              <w:jc w:val="left"/>
              <w:rPr>
                <w:rFonts w:ascii="宋体" w:hAnsi="宋体" w:cs="宋体" w:eastAsia="宋体" w:hint="default"/>
                <w:sz w:val="18"/>
                <w:szCs w:val="18"/>
              </w:rPr>
            </w:pPr>
            <w:r>
              <w:rPr>
                <w:rFonts w:ascii="宋体" w:hAnsi="宋体" w:cs="宋体" w:eastAsia="宋体" w:hint="default"/>
                <w:sz w:val="18"/>
                <w:szCs w:val="18"/>
              </w:rPr>
              <w:t>应收账款计提比例</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779" w:right="0"/>
              <w:jc w:val="left"/>
              <w:rPr>
                <w:rFonts w:ascii="宋体" w:hAnsi="宋体" w:cs="宋体" w:eastAsia="宋体" w:hint="default"/>
                <w:sz w:val="18"/>
                <w:szCs w:val="18"/>
              </w:rPr>
            </w:pPr>
            <w:r>
              <w:rPr>
                <w:rFonts w:ascii="宋体" w:hAnsi="宋体" w:cs="宋体" w:eastAsia="宋体" w:hint="default"/>
                <w:sz w:val="18"/>
                <w:szCs w:val="18"/>
              </w:rPr>
              <w:t>其他应收款计提比例</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款项性质组合</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4"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交易风险组合</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t>（</w:t>
      </w:r>
      <w:r>
        <w:rPr>
          <w:rFonts w:ascii="Times New Roman" w:hAnsi="Times New Roman" w:cs="Times New Roman" w:eastAsia="Times New Roman" w:hint="default"/>
        </w:rPr>
        <w:t>3</w:t>
      </w:r>
      <w:r>
        <w:rPr/>
        <w:t>）单项金额不重大但单独计提坏账准备的应收款项</w:t>
      </w:r>
      <w:r>
        <w:rPr>
          <w:b w:val="0"/>
          <w:bCs w:val="0"/>
        </w:rPr>
      </w:r>
    </w:p>
    <w:p>
      <w:pPr>
        <w:spacing w:line="240" w:lineRule="auto" w:before="7"/>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4253"/>
        <w:gridCol w:w="5317"/>
      </w:tblGrid>
      <w:tr>
        <w:trPr>
          <w:trHeight w:val="715" w:hRule="exact"/>
        </w:trPr>
        <w:tc>
          <w:tcPr>
            <w:tcW w:w="4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单项计提坏账准备的理由</w:t>
            </w:r>
          </w:p>
        </w:tc>
        <w:tc>
          <w:tcPr>
            <w:tcW w:w="531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61"/>
              <w:jc w:val="left"/>
              <w:rPr>
                <w:rFonts w:ascii="宋体" w:hAnsi="宋体" w:cs="宋体" w:eastAsia="宋体" w:hint="default"/>
                <w:sz w:val="18"/>
                <w:szCs w:val="18"/>
              </w:rPr>
            </w:pPr>
            <w:r>
              <w:rPr>
                <w:rFonts w:ascii="宋体" w:hAnsi="宋体" w:cs="宋体" w:eastAsia="宋体" w:hint="default"/>
                <w:sz w:val="18"/>
                <w:szCs w:val="18"/>
              </w:rPr>
              <w:t>单项金额不重大且按照组合计提坏账准备不能反映其风险特征的应 收款项</w:t>
            </w:r>
          </w:p>
        </w:tc>
      </w:tr>
      <w:tr>
        <w:trPr>
          <w:trHeight w:val="401" w:hRule="exact"/>
        </w:trPr>
        <w:tc>
          <w:tcPr>
            <w:tcW w:w="4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坏账准备的计提方法</w:t>
            </w:r>
          </w:p>
        </w:tc>
        <w:tc>
          <w:tcPr>
            <w:tcW w:w="5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根据其未来现金流量现值低于其账面价值的差额，计提坏账准备</w:t>
            </w:r>
          </w:p>
        </w:tc>
      </w:tr>
    </w:tbl>
    <w:p>
      <w:pPr>
        <w:spacing w:line="240" w:lineRule="auto" w:before="3"/>
        <w:rPr>
          <w:rFonts w:ascii="宋体" w:hAnsi="宋体" w:cs="宋体" w:eastAsia="宋体" w:hint="default"/>
          <w:b/>
          <w:bCs/>
          <w:sz w:val="19"/>
          <w:szCs w:val="19"/>
        </w:rPr>
      </w:pPr>
    </w:p>
    <w:p>
      <w:pPr>
        <w:pStyle w:val="Heading4"/>
        <w:spacing w:line="240" w:lineRule="auto" w:before="36"/>
        <w:ind w:right="982"/>
        <w:jc w:val="left"/>
        <w:rPr>
          <w:b w:val="0"/>
          <w:bCs w:val="0"/>
        </w:rPr>
      </w:pPr>
      <w:r>
        <w:rPr>
          <w:rFonts w:ascii="Times New Roman" w:hAnsi="Times New Roman" w:cs="Times New Roman" w:eastAsia="Times New Roman" w:hint="default"/>
        </w:rPr>
        <w:t>12</w:t>
      </w:r>
      <w:r>
        <w:rPr/>
        <w:t>、存货</w:t>
      </w:r>
      <w:r>
        <w:rPr>
          <w:b w:val="0"/>
          <w:bCs w:val="0"/>
        </w:rPr>
      </w:r>
    </w:p>
    <w:p>
      <w:pPr>
        <w:spacing w:line="240" w:lineRule="auto" w:before="4"/>
        <w:rPr>
          <w:rFonts w:ascii="宋体" w:hAnsi="宋体" w:cs="宋体" w:eastAsia="宋体" w:hint="default"/>
          <w:b/>
          <w:bCs/>
          <w:sz w:val="26"/>
          <w:szCs w:val="26"/>
        </w:rPr>
      </w:pPr>
    </w:p>
    <w:p>
      <w:pPr>
        <w:pStyle w:val="BodyText"/>
        <w:spacing w:line="360" w:lineRule="auto"/>
        <w:ind w:right="7694"/>
        <w:jc w:val="left"/>
      </w:pPr>
      <w:r>
        <w:rPr/>
        <w:t>公司是否需要遵守特殊行业的披露要求 是</w:t>
      </w:r>
    </w:p>
    <w:p>
      <w:pPr>
        <w:pStyle w:val="BodyText"/>
        <w:spacing w:line="240" w:lineRule="auto" w:before="25"/>
        <w:ind w:right="982"/>
        <w:jc w:val="left"/>
      </w:pPr>
      <w:r>
        <w:rPr/>
        <w:t>软件与信息技术服务业</w:t>
      </w:r>
    </w:p>
    <w:p>
      <w:pPr>
        <w:pStyle w:val="BodyText"/>
        <w:spacing w:line="430" w:lineRule="atLeast" w:before="124"/>
        <w:ind w:left="513" w:right="1118"/>
        <w:jc w:val="left"/>
      </w:pPr>
      <w:r>
        <w:rPr/>
        <w:t>本集团存货主要包括原材料、低值易耗品、在产品、库存商品、劳务成本等。 </w:t>
      </w:r>
      <w:r>
        <w:rPr>
          <w:spacing w:val="-5"/>
        </w:rPr>
        <w:t>存货实行永续盘存制，存货在取得时按实际成本计价，存货成本包括采购成本、加工成本和其他成本；领用或发出存货，</w:t>
      </w:r>
    </w:p>
    <w:p>
      <w:pPr>
        <w:pStyle w:val="BodyText"/>
        <w:spacing w:line="240" w:lineRule="auto" w:before="76"/>
        <w:ind w:right="982"/>
        <w:jc w:val="left"/>
      </w:pPr>
      <w:r>
        <w:rPr/>
        <w:t>采用加权平均法确定其实际成本。低值易耗品和包装物采用一次转销法进行摊销。</w:t>
      </w:r>
    </w:p>
    <w:p>
      <w:pPr>
        <w:spacing w:line="240" w:lineRule="auto" w:before="0"/>
        <w:rPr>
          <w:rFonts w:ascii="宋体" w:hAnsi="宋体" w:cs="宋体" w:eastAsia="宋体" w:hint="default"/>
          <w:sz w:val="15"/>
          <w:szCs w:val="15"/>
        </w:rPr>
      </w:pPr>
    </w:p>
    <w:p>
      <w:pPr>
        <w:pStyle w:val="BodyText"/>
        <w:spacing w:line="316" w:lineRule="auto"/>
        <w:ind w:right="1034" w:firstLine="360"/>
        <w:jc w:val="left"/>
      </w:pPr>
      <w:r>
        <w:rPr/>
        <w:t>年末存货按成本与可变现净值孰低原则计价，对于存货因遭受毁损、全部或部分陈旧过时或销售价格低于成本等原因， </w:t>
      </w:r>
      <w:r>
        <w:rPr>
          <w:spacing w:val="-2"/>
        </w:rPr>
        <w:t>预计其成本不可收回的部分，提取存货跌价准备。库存商品及大宗原材料的存货跌价准备按单个存货项目的成本高于其可变</w:t>
      </w:r>
      <w:r>
        <w:rPr>
          <w:spacing w:val="-64"/>
        </w:rPr>
        <w:t> </w:t>
      </w:r>
      <w:r>
        <w:rPr>
          <w:spacing w:val="-64"/>
        </w:rPr>
      </w:r>
      <w:r>
        <w:rPr/>
        <w:t>现净值的差额提取；其他数量繁多、单价较低的原辅材料按类别提取存货跌价准备。</w:t>
      </w:r>
    </w:p>
    <w:p>
      <w:pPr>
        <w:pStyle w:val="BodyText"/>
        <w:spacing w:line="319" w:lineRule="auto" w:before="139"/>
        <w:ind w:right="1132" w:firstLine="360"/>
        <w:jc w:val="both"/>
      </w:pPr>
      <w:r>
        <w:rPr>
          <w:spacing w:val="-2"/>
        </w:rPr>
        <w:t>库存商品、在产品和用于出售的材料等直接用于出售的商品存货，其可变现净值按该存货的估计售价减去估计的销售费</w:t>
      </w:r>
      <w:r>
        <w:rPr/>
        <w:t> </w:t>
      </w:r>
      <w:r>
        <w:rPr>
          <w:spacing w:val="-2"/>
        </w:rPr>
        <w:t>用和相关税费后的金额确定；用于生产而持有的材料存货，其可变现净值按所生产的产成品的估计售价减去至完工时估计将</w:t>
      </w:r>
      <w:r>
        <w:rPr>
          <w:spacing w:val="-64"/>
        </w:rPr>
        <w:t> </w:t>
      </w:r>
      <w:r>
        <w:rPr>
          <w:spacing w:val="-64"/>
        </w:rPr>
      </w:r>
      <w:r>
        <w:rPr/>
        <w:t>要发生的成本、估计的销售费用和相关税费后的金额确定。</w:t>
      </w:r>
    </w:p>
    <w:p>
      <w:pPr>
        <w:spacing w:line="240" w:lineRule="auto" w:before="9"/>
        <w:rPr>
          <w:rFonts w:ascii="宋体" w:hAnsi="宋体" w:cs="宋体" w:eastAsia="宋体" w:hint="default"/>
          <w:sz w:val="22"/>
          <w:szCs w:val="22"/>
        </w:rPr>
      </w:pPr>
    </w:p>
    <w:p>
      <w:pPr>
        <w:pStyle w:val="Heading4"/>
        <w:spacing w:line="240" w:lineRule="auto"/>
        <w:ind w:right="982"/>
        <w:jc w:val="left"/>
        <w:rPr>
          <w:b w:val="0"/>
          <w:bCs w:val="0"/>
        </w:rPr>
      </w:pPr>
      <w:r>
        <w:rPr>
          <w:rFonts w:ascii="Times New Roman" w:hAnsi="Times New Roman" w:cs="Times New Roman" w:eastAsia="Times New Roman" w:hint="default"/>
        </w:rPr>
        <w:t>13</w:t>
      </w:r>
      <w:r>
        <w:rPr/>
        <w:t>、持有待售资产</w:t>
      </w:r>
      <w:r>
        <w:rPr>
          <w:b w:val="0"/>
          <w:bCs w:val="0"/>
        </w:rPr>
      </w:r>
    </w:p>
    <w:p>
      <w:pPr>
        <w:spacing w:line="240" w:lineRule="auto" w:before="4"/>
        <w:rPr>
          <w:rFonts w:ascii="宋体" w:hAnsi="宋体" w:cs="宋体" w:eastAsia="宋体" w:hint="default"/>
          <w:b/>
          <w:bCs/>
          <w:sz w:val="26"/>
          <w:szCs w:val="26"/>
        </w:rPr>
      </w:pPr>
    </w:p>
    <w:p>
      <w:pPr>
        <w:pStyle w:val="BodyText"/>
        <w:spacing w:line="312" w:lineRule="auto"/>
        <w:ind w:right="1130" w:firstLine="360"/>
        <w:jc w:val="both"/>
      </w:pPr>
      <w:r>
        <w:rPr>
          <w:spacing w:val="-2"/>
        </w:rPr>
        <w:t>（</w:t>
      </w:r>
      <w:r>
        <w:rPr>
          <w:rFonts w:ascii="Times New Roman" w:hAnsi="Times New Roman" w:cs="Times New Roman" w:eastAsia="Times New Roman" w:hint="default"/>
          <w:spacing w:val="-2"/>
        </w:rPr>
        <w:t>1</w:t>
      </w:r>
      <w:r>
        <w:rPr>
          <w:spacing w:val="-2"/>
        </w:rPr>
        <w:t>）本集团将同时符合下列条件的非流动资产或处置组划分为持有待售：</w:t>
      </w:r>
      <w:r>
        <w:rPr>
          <w:rFonts w:ascii="Times New Roman" w:hAnsi="Times New Roman" w:cs="Times New Roman" w:eastAsia="Times New Roman" w:hint="default"/>
          <w:spacing w:val="-2"/>
        </w:rPr>
        <w:t>1</w:t>
      </w:r>
      <w:r>
        <w:rPr>
          <w:spacing w:val="-2"/>
        </w:rPr>
        <w:t>）根据类似交易中出售此类资产或处置组的</w:t>
      </w:r>
      <w:r>
        <w:rPr/>
        <w:t> 惯例，在当前状况下即可立即出售；</w:t>
      </w:r>
      <w:r>
        <w:rPr>
          <w:rFonts w:ascii="Times New Roman" w:hAnsi="Times New Roman" w:cs="Times New Roman" w:eastAsia="Times New Roman" w:hint="default"/>
        </w:rPr>
        <w:t>2</w:t>
      </w:r>
      <w:r>
        <w:rPr/>
        <w:t>）出售极可能发生，即已经就一项出售计划作出决议且获得确定的购买承诺，预计出</w:t>
      </w:r>
      <w:r>
        <w:rPr>
          <w:spacing w:val="-83"/>
        </w:rPr>
        <w:t> </w:t>
      </w:r>
      <w:r>
        <w:rPr>
          <w:spacing w:val="-83"/>
        </w:rPr>
      </w:r>
      <w:r>
        <w:rPr>
          <w:spacing w:val="-2"/>
        </w:rPr>
        <w:t>售将在一年内完成。有关规定要求相关权力机构或者监管部门批准后方可出售的需要获得相关批准。本集团将非流动资产或</w:t>
      </w:r>
      <w:r>
        <w:rPr>
          <w:spacing w:val="-63"/>
        </w:rPr>
        <w:t> </w:t>
      </w:r>
      <w:r>
        <w:rPr>
          <w:spacing w:val="-63"/>
        </w:rPr>
      </w:r>
      <w:r>
        <w:rPr>
          <w:spacing w:val="-2"/>
        </w:rPr>
        <w:t>处置组首次划分为持有待售类别前，按照相关会计准则规定计量非流动资产或处置组中各项资产和负债的账面价值。初始计</w:t>
      </w:r>
      <w:r>
        <w:rPr>
          <w:spacing w:val="-64"/>
        </w:rPr>
        <w:t> </w:t>
      </w:r>
      <w:r>
        <w:rPr>
          <w:spacing w:val="-64"/>
        </w:rPr>
      </w:r>
      <w:r>
        <w:rPr>
          <w:spacing w:val="-2"/>
        </w:rPr>
        <w:t>量或在资产负债表日重新计量持有待售的非流动资产或处置组时，其账面价值高于公允价值减去出售费用后的净额的，将账</w:t>
      </w:r>
      <w:r>
        <w:rPr>
          <w:spacing w:val="-64"/>
        </w:rPr>
        <w:t> </w:t>
      </w:r>
      <w:r>
        <w:rPr>
          <w:spacing w:val="-64"/>
        </w:rPr>
      </w:r>
      <w:r>
        <w:rPr>
          <w:spacing w:val="-2"/>
        </w:rPr>
        <w:t>面价值减记至公允价值减去出售费用后的净额，减记的金额确认为资产减值损失，计入当期损益，同时计提持有待售资产减</w:t>
      </w:r>
      <w:r>
        <w:rPr>
          <w:spacing w:val="-63"/>
        </w:rPr>
        <w:t> </w:t>
      </w:r>
      <w:r>
        <w:rPr>
          <w:spacing w:val="-63"/>
        </w:rPr>
      </w:r>
      <w:r>
        <w:rPr/>
        <w:t>值准备。</w:t>
      </w:r>
    </w:p>
    <w:p>
      <w:pPr>
        <w:pStyle w:val="BodyText"/>
        <w:spacing w:line="309" w:lineRule="auto" w:before="142"/>
        <w:ind w:right="1133" w:firstLine="360"/>
        <w:jc w:val="both"/>
      </w:pPr>
      <w:r>
        <w:rPr>
          <w:spacing w:val="-3"/>
        </w:rPr>
        <w:t>（</w:t>
      </w:r>
      <w:r>
        <w:rPr>
          <w:rFonts w:ascii="Times New Roman" w:hAnsi="Times New Roman" w:cs="Times New Roman" w:eastAsia="Times New Roman" w:hint="default"/>
          <w:spacing w:val="-3"/>
        </w:rPr>
        <w:t>2</w:t>
      </w:r>
      <w:r>
        <w:rPr>
          <w:spacing w:val="-3"/>
        </w:rPr>
        <w:t>）本集团专为转售而取得的非流动资产或处置组，在取得日满足</w:t>
      </w:r>
      <w:r>
        <w:rPr>
          <w:rFonts w:ascii="Times New Roman" w:hAnsi="Times New Roman" w:cs="Times New Roman" w:eastAsia="Times New Roman" w:hint="default"/>
          <w:spacing w:val="-3"/>
        </w:rPr>
        <w:t>“</w:t>
      </w:r>
      <w:r>
        <w:rPr>
          <w:spacing w:val="-3"/>
        </w:rPr>
        <w:t>预计出售将在一年内完成</w:t>
      </w:r>
      <w:r>
        <w:rPr>
          <w:rFonts w:ascii="Times New Roman" w:hAnsi="Times New Roman" w:cs="Times New Roman" w:eastAsia="Times New Roman" w:hint="default"/>
          <w:spacing w:val="-3"/>
        </w:rPr>
        <w:t>”</w:t>
      </w:r>
      <w:r>
        <w:rPr>
          <w:spacing w:val="-3"/>
        </w:rPr>
        <w:t>的规定条件，且短期（通</w:t>
      </w:r>
      <w:r>
        <w:rPr/>
        <w:t> 常为</w:t>
      </w:r>
      <w:r>
        <w:rPr>
          <w:rFonts w:ascii="Times New Roman" w:hAnsi="Times New Roman" w:cs="Times New Roman" w:eastAsia="Times New Roman" w:hint="default"/>
        </w:rPr>
        <w:t>3</w:t>
      </w:r>
      <w:r>
        <w:rPr/>
        <w:t>个月）内很可能满足持有待售类别的其他划分条件的，在取得日将其划分为持有待售类别。在初始计量时，比较假定</w:t>
      </w:r>
      <w:r>
        <w:rPr>
          <w:spacing w:val="-84"/>
        </w:rPr>
        <w:t> </w:t>
      </w:r>
      <w:r>
        <w:rPr>
          <w:spacing w:val="-84"/>
        </w:rPr>
      </w:r>
      <w:r>
        <w:rPr>
          <w:spacing w:val="-2"/>
        </w:rPr>
        <w:t>其不划分为持有待售类别情况下的初始计量金额和公允价值减去出售费用后的净额，以两者孰低计量。除企业合并中取得的</w:t>
      </w:r>
      <w:r>
        <w:rPr>
          <w:spacing w:val="-64"/>
        </w:rPr>
        <w:t> </w:t>
      </w:r>
      <w:r>
        <w:rPr>
          <w:spacing w:val="-64"/>
        </w:rPr>
      </w:r>
      <w:r>
        <w:rPr>
          <w:spacing w:val="-2"/>
        </w:rPr>
        <w:t>非流动资产或处置组外，由非流动资产或处置组以公允价值减去出售费用后的净额作为初始计量金额而产生的差额，计入当</w:t>
      </w:r>
      <w:r>
        <w:rPr>
          <w:spacing w:val="-64"/>
        </w:rPr>
        <w:t> </w:t>
      </w:r>
      <w:r>
        <w:rPr>
          <w:spacing w:val="-64"/>
        </w:rPr>
      </w:r>
      <w:r>
        <w:rPr/>
        <w:t>期损益。</w:t>
      </w:r>
    </w:p>
    <w:p>
      <w:pPr>
        <w:pStyle w:val="BodyText"/>
        <w:spacing w:line="309" w:lineRule="auto" w:before="144"/>
        <w:ind w:right="0" w:firstLine="360"/>
        <w:jc w:val="left"/>
      </w:pPr>
      <w:r>
        <w:rPr/>
        <w:t>（</w:t>
      </w:r>
      <w:r>
        <w:rPr>
          <w:rFonts w:ascii="Times New Roman" w:hAnsi="Times New Roman" w:cs="Times New Roman" w:eastAsia="Times New Roman" w:hint="default"/>
        </w:rPr>
        <w:t>3</w:t>
      </w:r>
      <w:r>
        <w:rPr/>
        <w:t>）本集团因出售对子公司的投资等原因导致丧失对子公司控制权的，无论出售后本集团是否保留部分权益性投资， </w:t>
      </w:r>
      <w:r>
        <w:rPr>
          <w:spacing w:val="-2"/>
        </w:rPr>
        <w:t>在拟出售的对子公司投资满足持有待售类别划分条件时，在母公司个别财务报表中将对子公司投资整体划分为持有待售类别，</w:t>
      </w:r>
      <w:r>
        <w:rPr>
          <w:spacing w:val="-61"/>
        </w:rPr>
        <w:t> </w:t>
      </w:r>
      <w:r>
        <w:rPr>
          <w:spacing w:val="-61"/>
        </w:rPr>
      </w:r>
      <w:r>
        <w:rPr/>
        <w:t>在合并财务报表中将子公司所有资产和负债划分为持有待售类别。</w:t>
      </w:r>
    </w:p>
    <w:p>
      <w:pPr>
        <w:spacing w:after="0" w:line="309" w:lineRule="auto"/>
        <w:jc w:val="left"/>
        <w:sectPr>
          <w:pgSz w:w="11910" w:h="16840"/>
          <w:pgMar w:header="745" w:footer="979" w:top="1060" w:bottom="1160" w:left="980" w:right="0"/>
        </w:sectPr>
      </w:pPr>
    </w:p>
    <w:p>
      <w:pPr>
        <w:spacing w:line="240" w:lineRule="auto" w:before="9"/>
        <w:rPr>
          <w:rFonts w:ascii="宋体" w:hAnsi="宋体" w:cs="宋体" w:eastAsia="宋体" w:hint="default"/>
          <w:sz w:val="25"/>
          <w:szCs w:val="25"/>
        </w:rPr>
      </w:pPr>
    </w:p>
    <w:p>
      <w:pPr>
        <w:pStyle w:val="BodyText"/>
        <w:spacing w:line="309" w:lineRule="auto" w:before="44"/>
        <w:ind w:right="1132" w:firstLine="360"/>
        <w:jc w:val="both"/>
      </w:pPr>
      <w:r>
        <w:rPr>
          <w:spacing w:val="-4"/>
        </w:rPr>
        <w:t>（</w:t>
      </w:r>
      <w:r>
        <w:rPr>
          <w:rFonts w:ascii="Times New Roman" w:hAnsi="Times New Roman" w:cs="Times New Roman" w:eastAsia="Times New Roman" w:hint="default"/>
          <w:spacing w:val="-4"/>
        </w:rPr>
        <w:t>4</w:t>
      </w:r>
      <w:r>
        <w:rPr>
          <w:spacing w:val="-4"/>
        </w:rPr>
        <w:t>）后续资产负债表日持有待售的非流动资产公允价值减去出售费用后的净额增加的，以前减记的金额应当予以恢复，</w:t>
      </w:r>
      <w:r>
        <w:rPr/>
        <w:t> </w:t>
      </w:r>
      <w:r>
        <w:rPr>
          <w:spacing w:val="-2"/>
        </w:rPr>
        <w:t>并在划分为持有待售类别后确认的资产减值损失金额内转回，转回金额计入当期损益。划分为持有待售类别前确认的资产减</w:t>
      </w:r>
      <w:r>
        <w:rPr>
          <w:spacing w:val="-64"/>
        </w:rPr>
        <w:t> </w:t>
      </w:r>
      <w:r>
        <w:rPr>
          <w:spacing w:val="-64"/>
        </w:rPr>
      </w:r>
      <w:r>
        <w:rPr/>
        <w:t>值损失不得转回。</w:t>
      </w:r>
    </w:p>
    <w:p>
      <w:pPr>
        <w:pStyle w:val="BodyText"/>
        <w:spacing w:line="300" w:lineRule="auto" w:before="144"/>
        <w:ind w:right="1133" w:firstLine="360"/>
        <w:jc w:val="both"/>
      </w:pPr>
      <w:r>
        <w:rPr/>
        <w:t>（</w:t>
      </w:r>
      <w:r>
        <w:rPr>
          <w:rFonts w:ascii="Times New Roman" w:hAnsi="Times New Roman" w:cs="Times New Roman" w:eastAsia="Times New Roman" w:hint="default"/>
        </w:rPr>
        <w:t>5</w:t>
      </w:r>
      <w:r>
        <w:rPr/>
        <w:t>）对于持有待售的处置组确认的资产减值损失金额，先抵减处置组中商誉的账面价值，再根据各项非流动资产账面 价值所占比重，按比例抵减其账面价值。</w:t>
      </w:r>
    </w:p>
    <w:p>
      <w:pPr>
        <w:pStyle w:val="BodyText"/>
        <w:spacing w:line="316" w:lineRule="auto" w:before="151"/>
        <w:ind w:right="1132" w:firstLine="360"/>
        <w:jc w:val="both"/>
      </w:pPr>
      <w:r>
        <w:rPr>
          <w:spacing w:val="-2"/>
        </w:rPr>
        <w:t>后续资产负债表日持有待售的处置组公允价值减去出售费用后的净额增加的，以前减记的金额应当予以恢复，并在划分</w:t>
      </w:r>
      <w:r>
        <w:rPr/>
        <w:t> </w:t>
      </w:r>
      <w:r>
        <w:rPr>
          <w:spacing w:val="-2"/>
        </w:rPr>
        <w:t>为持有待售类别后适用相关计量规定的非流动资产确认的资产减值损失金额内转回，转回金额计入当期损益。已抵减的商誉</w:t>
      </w:r>
      <w:r>
        <w:rPr>
          <w:spacing w:val="-64"/>
        </w:rPr>
        <w:t> </w:t>
      </w:r>
      <w:r>
        <w:rPr>
          <w:spacing w:val="-64"/>
        </w:rPr>
      </w:r>
      <w:r>
        <w:rPr/>
        <w:t>账面价值，以及非流动资产在划分为持有待售类别前确认的资产减值损失不得转回。</w:t>
      </w:r>
    </w:p>
    <w:p>
      <w:pPr>
        <w:pStyle w:val="BodyText"/>
        <w:spacing w:line="316" w:lineRule="auto" w:before="139"/>
        <w:ind w:right="1130" w:firstLine="360"/>
        <w:jc w:val="both"/>
      </w:pPr>
      <w:r>
        <w:rPr>
          <w:spacing w:val="-2"/>
        </w:rPr>
        <w:t>持有待售的处置组确认的资产减值损失后续转回金额，根据处置组中除商誉外，各项非流动资产账面价值所占比重，按</w:t>
      </w:r>
      <w:r>
        <w:rPr/>
        <w:t> 比例增加其账面价值。</w:t>
      </w:r>
    </w:p>
    <w:p>
      <w:pPr>
        <w:pStyle w:val="BodyText"/>
        <w:spacing w:line="300" w:lineRule="auto" w:before="139"/>
        <w:ind w:right="1131" w:firstLine="360"/>
        <w:jc w:val="both"/>
      </w:pPr>
      <w:r>
        <w:rPr/>
        <w:t>（</w:t>
      </w:r>
      <w:r>
        <w:rPr>
          <w:rFonts w:ascii="Times New Roman" w:hAnsi="Times New Roman" w:cs="Times New Roman" w:eastAsia="Times New Roman" w:hint="default"/>
        </w:rPr>
        <w:t>6</w:t>
      </w:r>
      <w:r>
        <w:rPr/>
        <w:t>）持有待售的非流动资产或处置组中的非流动资产不计提折旧或摊销，持有待售的处置组中负债的利息和其他费用 继续予以确认。</w:t>
      </w:r>
    </w:p>
    <w:p>
      <w:pPr>
        <w:pStyle w:val="BodyText"/>
        <w:spacing w:line="300" w:lineRule="auto" w:before="151"/>
        <w:ind w:right="1132" w:firstLine="360"/>
        <w:jc w:val="both"/>
      </w:pPr>
      <w:r>
        <w:rPr/>
        <w:t>（</w:t>
      </w:r>
      <w:r>
        <w:rPr>
          <w:rFonts w:ascii="Times New Roman" w:hAnsi="Times New Roman" w:cs="Times New Roman" w:eastAsia="Times New Roman" w:hint="default"/>
        </w:rPr>
        <w:t>7</w:t>
      </w:r>
      <w:r>
        <w:rPr/>
        <w:t>）持有待售的非流动资产或处置组因不再满足持有待售类别的划分条件，而不再继续划分为持有待售类别或非流动 资产从持有待售的处置组中移除时，按照以下两者孰低计量：</w:t>
      </w:r>
      <w:r>
        <w:rPr>
          <w:rFonts w:ascii="Times New Roman" w:hAnsi="Times New Roman" w:cs="Times New Roman" w:eastAsia="Times New Roman" w:hint="default"/>
        </w:rPr>
        <w:t>1</w:t>
      </w:r>
      <w:r>
        <w:rPr/>
        <w:t>）划分为持有待售类别前的账面价值，按照假定不划分为持</w:t>
      </w:r>
      <w:r>
        <w:rPr>
          <w:spacing w:val="-83"/>
        </w:rPr>
        <w:t> </w:t>
      </w:r>
      <w:r>
        <w:rPr>
          <w:spacing w:val="-83"/>
        </w:rPr>
      </w:r>
      <w:r>
        <w:rPr/>
        <w:t>有待售类别情况下本应确认的折旧、摊销或减值等进行调整后的金额；</w:t>
      </w:r>
      <w:r>
        <w:rPr>
          <w:rFonts w:ascii="Times New Roman" w:hAnsi="Times New Roman" w:cs="Times New Roman" w:eastAsia="Times New Roman" w:hint="default"/>
        </w:rPr>
        <w:t>2</w:t>
      </w:r>
      <w:r>
        <w:rPr/>
        <w:t>）</w:t>
      </w:r>
      <w:r>
        <w:rPr>
          <w:spacing w:val="-16"/>
        </w:rPr>
        <w:t> </w:t>
      </w:r>
      <w:r>
        <w:rPr/>
        <w:t>可收回金额。</w:t>
      </w:r>
    </w:p>
    <w:p>
      <w:pPr>
        <w:pStyle w:val="BodyText"/>
        <w:spacing w:line="240" w:lineRule="auto" w:before="133"/>
        <w:ind w:left="513" w:right="982"/>
        <w:jc w:val="left"/>
      </w:pPr>
      <w:r>
        <w:rPr/>
        <w:t>（</w:t>
      </w:r>
      <w:r>
        <w:rPr>
          <w:rFonts w:ascii="Times New Roman" w:hAnsi="Times New Roman" w:cs="Times New Roman" w:eastAsia="Times New Roman" w:hint="default"/>
        </w:rPr>
        <w:t>8</w:t>
      </w:r>
      <w:r>
        <w:rPr/>
        <w:t>）终止确认持有待售的非流动资产或处置组时，将尚未确认的利得或损失计入当期损益。</w:t>
      </w:r>
    </w:p>
    <w:p>
      <w:pPr>
        <w:spacing w:line="240" w:lineRule="auto" w:before="2"/>
        <w:rPr>
          <w:rFonts w:ascii="宋体" w:hAnsi="宋体" w:cs="宋体" w:eastAsia="宋体" w:hint="default"/>
          <w:sz w:val="26"/>
          <w:szCs w:val="26"/>
        </w:rPr>
      </w:pPr>
    </w:p>
    <w:p>
      <w:pPr>
        <w:pStyle w:val="Heading4"/>
        <w:spacing w:line="240" w:lineRule="auto"/>
        <w:ind w:right="982"/>
        <w:jc w:val="left"/>
        <w:rPr>
          <w:b w:val="0"/>
          <w:bCs w:val="0"/>
        </w:rPr>
      </w:pPr>
      <w:r>
        <w:rPr>
          <w:rFonts w:ascii="Times New Roman" w:hAnsi="Times New Roman" w:cs="Times New Roman" w:eastAsia="Times New Roman" w:hint="default"/>
        </w:rPr>
        <w:t>14</w:t>
      </w:r>
      <w:r>
        <w:rPr/>
        <w:t>、长期股权投资</w:t>
      </w:r>
      <w:r>
        <w:rPr>
          <w:b w:val="0"/>
          <w:bCs w:val="0"/>
        </w:rPr>
      </w:r>
    </w:p>
    <w:p>
      <w:pPr>
        <w:pStyle w:val="BodyText"/>
        <w:spacing w:line="550" w:lineRule="atLeast" w:before="30"/>
        <w:ind w:left="592" w:right="1134"/>
        <w:jc w:val="left"/>
      </w:pPr>
      <w:r>
        <w:rPr/>
        <w:t>本集团长期股权投资主要是对子公司的投资、对联营企业的投资和对合营企业的投资。 本集团对共同控制的判断依据是所有参与方或参与方组合集体控制该安排，并且该安排相关活动的政策必须经过这些</w:t>
      </w:r>
    </w:p>
    <w:p>
      <w:pPr>
        <w:pStyle w:val="BodyText"/>
        <w:spacing w:line="240" w:lineRule="auto" w:before="76"/>
        <w:ind w:right="982"/>
        <w:jc w:val="left"/>
      </w:pPr>
      <w:r>
        <w:rPr/>
        <w:t>集体控制该安排的参与方一致同意。</w:t>
      </w:r>
    </w:p>
    <w:p>
      <w:pPr>
        <w:spacing w:line="240" w:lineRule="auto" w:before="2"/>
        <w:rPr>
          <w:rFonts w:ascii="宋体" w:hAnsi="宋体" w:cs="宋体" w:eastAsia="宋体" w:hint="default"/>
          <w:sz w:val="24"/>
          <w:szCs w:val="24"/>
        </w:rPr>
      </w:pPr>
    </w:p>
    <w:p>
      <w:pPr>
        <w:pStyle w:val="BodyText"/>
        <w:spacing w:line="307" w:lineRule="auto"/>
        <w:ind w:right="1130" w:firstLine="439"/>
        <w:jc w:val="both"/>
      </w:pPr>
      <w:r>
        <w:rPr/>
        <w:t>本集团直接或通过子公司间接拥有被投资单位</w:t>
      </w:r>
      <w:r>
        <w:rPr>
          <w:rFonts w:ascii="Times New Roman" w:hAnsi="Times New Roman" w:cs="Times New Roman" w:eastAsia="Times New Roman" w:hint="default"/>
        </w:rPr>
        <w:t>20%</w:t>
      </w:r>
      <w:r>
        <w:rPr/>
        <w:t>（含）以上但低于</w:t>
      </w:r>
      <w:r>
        <w:rPr>
          <w:rFonts w:ascii="Times New Roman" w:hAnsi="Times New Roman" w:cs="Times New Roman" w:eastAsia="Times New Roman" w:hint="default"/>
        </w:rPr>
        <w:t>50%</w:t>
      </w:r>
      <w:r>
        <w:rPr/>
        <w:t>的表决权时，通常认为对被投资单位具有重 </w:t>
      </w:r>
      <w:r>
        <w:rPr>
          <w:spacing w:val="-1"/>
        </w:rPr>
        <w:t>大影响。持有被投资单位</w:t>
      </w:r>
      <w:r>
        <w:rPr>
          <w:rFonts w:ascii="Times New Roman" w:hAnsi="Times New Roman" w:cs="Times New Roman" w:eastAsia="Times New Roman" w:hint="default"/>
          <w:spacing w:val="-1"/>
        </w:rPr>
        <w:t>20%</w:t>
      </w:r>
      <w:r>
        <w:rPr>
          <w:spacing w:val="-1"/>
        </w:rPr>
        <w:t>以下表决权的，还需要综合考虑在被投资单位的董事会或类似权力机构中派有代表、或参与被</w:t>
      </w:r>
      <w:r>
        <w:rPr>
          <w:spacing w:val="-88"/>
        </w:rPr>
        <w:t> </w:t>
      </w:r>
      <w:r>
        <w:rPr>
          <w:spacing w:val="-88"/>
        </w:rPr>
      </w:r>
      <w:r>
        <w:rPr>
          <w:spacing w:val="-2"/>
        </w:rPr>
        <w:t>投资单位财务和经营政策制定过程、或与被投资单位之间发生重要交易、或向被投资单位派出管理人员、或向被投资单位提</w:t>
      </w:r>
      <w:r>
        <w:rPr>
          <w:spacing w:val="-63"/>
        </w:rPr>
        <w:t> </w:t>
      </w:r>
      <w:r>
        <w:rPr>
          <w:spacing w:val="-63"/>
        </w:rPr>
      </w:r>
      <w:r>
        <w:rPr/>
        <w:t>供关键技术资料等事实和情况判断对被投资单位具有重大影响。</w:t>
      </w:r>
    </w:p>
    <w:p>
      <w:pPr>
        <w:spacing w:line="240" w:lineRule="auto" w:before="4"/>
        <w:rPr>
          <w:rFonts w:ascii="宋体" w:hAnsi="宋体" w:cs="宋体" w:eastAsia="宋体" w:hint="default"/>
          <w:sz w:val="20"/>
          <w:szCs w:val="20"/>
        </w:rPr>
      </w:pPr>
    </w:p>
    <w:p>
      <w:pPr>
        <w:pStyle w:val="BodyText"/>
        <w:spacing w:line="316" w:lineRule="auto"/>
        <w:ind w:right="1133" w:firstLine="439"/>
        <w:jc w:val="both"/>
      </w:pPr>
      <w:r>
        <w:rPr/>
        <w:t>对被投资单位形成控制的，为本集团的子公司。通过同一控制下的企业合并取得的长期股权投资，在合并日按照取得 </w:t>
      </w:r>
      <w:r>
        <w:rPr>
          <w:spacing w:val="-2"/>
        </w:rPr>
        <w:t>被合并方在最终控制方合并报表中净资产的账面价值的份额作为长期股权投资的初始投资成本。被合并方在合并日的净资产</w:t>
      </w:r>
      <w:r>
        <w:rPr>
          <w:spacing w:val="-64"/>
        </w:rPr>
        <w:t> </w:t>
      </w:r>
      <w:r>
        <w:rPr>
          <w:spacing w:val="-64"/>
        </w:rPr>
      </w:r>
      <w:r>
        <w:rPr/>
        <w:t>账面价值为负数的，长期股权投资成本按零确定。</w:t>
      </w:r>
    </w:p>
    <w:p>
      <w:pPr>
        <w:spacing w:line="240" w:lineRule="auto" w:before="11"/>
        <w:rPr>
          <w:rFonts w:ascii="宋体" w:hAnsi="宋体" w:cs="宋体" w:eastAsia="宋体" w:hint="default"/>
          <w:sz w:val="19"/>
          <w:szCs w:val="19"/>
        </w:rPr>
      </w:pPr>
    </w:p>
    <w:p>
      <w:pPr>
        <w:pStyle w:val="BodyText"/>
        <w:spacing w:line="316" w:lineRule="auto"/>
        <w:ind w:right="1132" w:firstLine="439"/>
        <w:jc w:val="both"/>
      </w:pPr>
      <w:r>
        <w:rPr/>
        <w:t>通过多次交易分步取得同一控制下被投资单位的股权，最终形成企业合并的，属于一揽子交易的，本集团将各项交易 </w:t>
      </w:r>
      <w:r>
        <w:rPr>
          <w:spacing w:val="-2"/>
        </w:rPr>
        <w:t>作为一项取得控制权的交易进行会计处理。不属于一揽子交易的，在合并日，根据合并后享有被合并方净资产在最终控制方</w:t>
      </w:r>
      <w:r>
        <w:rPr>
          <w:spacing w:val="-66"/>
        </w:rPr>
        <w:t> </w:t>
      </w:r>
      <w:r>
        <w:rPr>
          <w:spacing w:val="-66"/>
        </w:rPr>
      </w:r>
      <w:r>
        <w:rPr>
          <w:spacing w:val="-2"/>
        </w:rPr>
        <w:t>合并财务报表中的账面价值的份额作为长期股权投资的初始投资成本。初始投资成本与达到合并前的长期股权投资账面价值</w:t>
      </w:r>
      <w:r>
        <w:rPr>
          <w:spacing w:val="-63"/>
        </w:rPr>
        <w:t> </w:t>
      </w:r>
      <w:r>
        <w:rPr>
          <w:spacing w:val="-63"/>
        </w:rPr>
      </w:r>
      <w:r>
        <w:rPr/>
        <w:t>加上合并日进一步取得股份新支付对价的账面价值之和的差额，调整资本公积，资本公积不足冲减的，冲减留存收益。</w:t>
      </w:r>
    </w:p>
    <w:p>
      <w:pPr>
        <w:pStyle w:val="BodyText"/>
        <w:spacing w:line="552" w:lineRule="exact" w:before="27"/>
        <w:ind w:left="592" w:right="1134"/>
        <w:jc w:val="left"/>
      </w:pPr>
      <w:r>
        <w:rPr/>
        <w:t>通过非同一控制下的企业合并取得的长期股权投资，以合并成本作为初始投资成本。 通过多次交易分步取得非同一控制下被投资单位的股权，最终形成企业合并的，属于一揽子交易的，本集团将各项交</w:t>
      </w:r>
    </w:p>
    <w:p>
      <w:pPr>
        <w:pStyle w:val="BodyText"/>
        <w:spacing w:line="316" w:lineRule="auto"/>
        <w:ind w:right="982"/>
        <w:jc w:val="left"/>
      </w:pPr>
      <w:r>
        <w:rPr>
          <w:spacing w:val="-4"/>
        </w:rPr>
        <w:t>易作为一项取得控制权的交易进行会计处理。不属于一揽子交易的，按照原持有的股权投资账面价值加上新增投资成本之和，</w:t>
      </w:r>
      <w:r>
        <w:rPr>
          <w:spacing w:val="-44"/>
        </w:rPr>
        <w:t> </w:t>
      </w:r>
      <w:r>
        <w:rPr>
          <w:spacing w:val="-44"/>
        </w:rPr>
      </w:r>
      <w:r>
        <w:rPr>
          <w:spacing w:val="-2"/>
        </w:rPr>
        <w:t>作为改按成本法核算的初始投资成本。购买日之前持有的股权采用权益法核算的，原权益法核算的相关其他综合收益暂不做</w:t>
      </w:r>
      <w:r>
        <w:rPr>
          <w:spacing w:val="-63"/>
        </w:rPr>
        <w:t> </w:t>
      </w:r>
      <w:r>
        <w:rPr>
          <w:spacing w:val="-63"/>
        </w:rPr>
      </w:r>
      <w:r>
        <w:rPr>
          <w:spacing w:val="-2"/>
        </w:rPr>
        <w:t>调整，在处置该项投资时采用与被投资单位直接处置相关资产或负债相同的基础进行会计处理。购买日之前持有的股权在可</w:t>
      </w:r>
    </w:p>
    <w:p>
      <w:pPr>
        <w:spacing w:after="0" w:line="316" w:lineRule="auto"/>
        <w:jc w:val="left"/>
        <w:sectPr>
          <w:pgSz w:w="11910" w:h="16840"/>
          <w:pgMar w:header="745" w:footer="979" w:top="1060" w:bottom="1160" w:left="980" w:right="0"/>
        </w:sectPr>
      </w:pPr>
    </w:p>
    <w:p>
      <w:pPr>
        <w:spacing w:line="240" w:lineRule="auto" w:before="9"/>
        <w:rPr>
          <w:rFonts w:ascii="宋体" w:hAnsi="宋体" w:cs="宋体" w:eastAsia="宋体" w:hint="default"/>
          <w:sz w:val="25"/>
          <w:szCs w:val="25"/>
        </w:rPr>
      </w:pPr>
    </w:p>
    <w:p>
      <w:pPr>
        <w:pStyle w:val="BodyText"/>
        <w:spacing w:line="240" w:lineRule="auto" w:before="44"/>
        <w:ind w:right="982"/>
        <w:jc w:val="left"/>
      </w:pPr>
      <w:r>
        <w:rPr/>
        <w:t>供出售金融资产中采用公允价值核算的，原计入其他综合收益的累计公允价值变动在合并日转入当期投资损益。</w:t>
      </w:r>
    </w:p>
    <w:p>
      <w:pPr>
        <w:spacing w:line="240" w:lineRule="auto" w:before="3"/>
        <w:rPr>
          <w:rFonts w:ascii="宋体" w:hAnsi="宋体" w:cs="宋体" w:eastAsia="宋体" w:hint="default"/>
          <w:sz w:val="24"/>
          <w:szCs w:val="24"/>
        </w:rPr>
      </w:pPr>
    </w:p>
    <w:p>
      <w:pPr>
        <w:pStyle w:val="BodyText"/>
        <w:spacing w:line="316" w:lineRule="auto"/>
        <w:ind w:right="1034" w:firstLine="439"/>
        <w:jc w:val="left"/>
      </w:pPr>
      <w:r>
        <w:rPr/>
        <w:t>除上述通过企业合并取得的长期股权投资外，以支付现金取得的长期股权投资，按照实际支付的购买价款作为投资成 本；以发行权益性证券取得的长期股权投资，按照发行权益性证券的公允价值作为投资成本；投资者投入的长期股权投资，</w:t>
      </w:r>
      <w:r>
        <w:rPr>
          <w:spacing w:val="-83"/>
        </w:rPr>
        <w:t> </w:t>
      </w:r>
      <w:r>
        <w:rPr>
          <w:spacing w:val="-83"/>
        </w:rPr>
      </w:r>
      <w:r>
        <w:rPr/>
        <w:t>按照投资合同或协议约定的价值作为投资成本。</w:t>
      </w:r>
    </w:p>
    <w:p>
      <w:pPr>
        <w:pStyle w:val="BodyText"/>
        <w:spacing w:line="552" w:lineRule="exact" w:before="27"/>
        <w:ind w:left="592" w:right="1134"/>
        <w:jc w:val="left"/>
      </w:pPr>
      <w:r>
        <w:rPr/>
        <w:t>本集团对子公司投资采用成本法核算，对合营企业及联营企业投资采用权益法核算。 后续计量采用成本法核算的长期股权投资，在追加投资时，按照追加投资支付的成本额公允价值及发生的相关交易费</w:t>
      </w:r>
    </w:p>
    <w:p>
      <w:pPr>
        <w:pStyle w:val="BodyText"/>
        <w:spacing w:line="227" w:lineRule="exact"/>
        <w:ind w:right="982"/>
        <w:jc w:val="left"/>
      </w:pPr>
      <w:r>
        <w:rPr/>
        <w:t>用增加长期股权投资成本的账面价值。被投资单位宣告分派的现金股利或利润，按照应享有的金额确认为当期投资收益。</w:t>
      </w:r>
    </w:p>
    <w:p>
      <w:pPr>
        <w:spacing w:line="240" w:lineRule="auto" w:before="2"/>
        <w:rPr>
          <w:rFonts w:ascii="宋体" w:hAnsi="宋体" w:cs="宋体" w:eastAsia="宋体" w:hint="default"/>
          <w:sz w:val="24"/>
          <w:szCs w:val="24"/>
        </w:rPr>
      </w:pPr>
    </w:p>
    <w:p>
      <w:pPr>
        <w:pStyle w:val="BodyText"/>
        <w:spacing w:line="319" w:lineRule="auto"/>
        <w:ind w:right="1034" w:firstLine="439"/>
        <w:jc w:val="left"/>
      </w:pPr>
      <w:r>
        <w:rPr/>
        <w:t>后续计量采用权益法核算的长期股权投资，随着被他投资单位所有者权益的变动相应调整增加或减少长期股权投资的 账面价值。其中在确认应享有被投资单位净损益的份额时，以取得投资时被投资单位各项可辨认资产等的公允价值为基础，</w:t>
      </w:r>
      <w:r>
        <w:rPr>
          <w:spacing w:val="-83"/>
        </w:rPr>
        <w:t> </w:t>
      </w:r>
      <w:r>
        <w:rPr>
          <w:spacing w:val="-83"/>
        </w:rPr>
      </w:r>
      <w:r>
        <w:rPr>
          <w:spacing w:val="-2"/>
        </w:rPr>
        <w:t>按照本集团的会计政策及会计期间，并抵销与联营企业及合营企业之间发生的内部交易损益按照持股比例计算归属于投资企</w:t>
      </w:r>
      <w:r>
        <w:rPr>
          <w:spacing w:val="-64"/>
        </w:rPr>
        <w:t> </w:t>
      </w:r>
      <w:r>
        <w:rPr>
          <w:spacing w:val="-64"/>
        </w:rPr>
      </w:r>
      <w:r>
        <w:rPr/>
        <w:t>业的部分，对被投资单位的净利润进行调整后确认。</w:t>
      </w:r>
    </w:p>
    <w:p>
      <w:pPr>
        <w:spacing w:line="240" w:lineRule="auto" w:before="8"/>
        <w:rPr>
          <w:rFonts w:ascii="宋体" w:hAnsi="宋体" w:cs="宋体" w:eastAsia="宋体" w:hint="default"/>
          <w:sz w:val="19"/>
          <w:szCs w:val="19"/>
        </w:rPr>
      </w:pPr>
    </w:p>
    <w:p>
      <w:pPr>
        <w:pStyle w:val="BodyText"/>
        <w:spacing w:line="316" w:lineRule="auto"/>
        <w:ind w:right="1132" w:firstLine="439"/>
        <w:jc w:val="both"/>
      </w:pPr>
      <w:r>
        <w:rPr/>
        <w:t>处置长期股权投资，其账面价值与实际取得价款的差额，计入当期投资收益。采用权益法核算的长期股权投资，因被 </w:t>
      </w:r>
      <w:r>
        <w:rPr>
          <w:spacing w:val="-2"/>
        </w:rPr>
        <w:t>投资单位除净损益以外所有者权益的其他变动而计入所有者权益的，处置该项投资时将原计入所有者权益的部分按相应比例</w:t>
      </w:r>
      <w:r>
        <w:rPr>
          <w:spacing w:val="-63"/>
        </w:rPr>
        <w:t> </w:t>
      </w:r>
      <w:r>
        <w:rPr>
          <w:spacing w:val="-63"/>
        </w:rPr>
      </w:r>
      <w:r>
        <w:rPr/>
        <w:t>转入当期投资损益。</w:t>
      </w:r>
    </w:p>
    <w:p>
      <w:pPr>
        <w:spacing w:line="240" w:lineRule="auto" w:before="10"/>
        <w:rPr>
          <w:rFonts w:ascii="宋体" w:hAnsi="宋体" w:cs="宋体" w:eastAsia="宋体" w:hint="default"/>
          <w:sz w:val="19"/>
          <w:szCs w:val="19"/>
        </w:rPr>
      </w:pPr>
    </w:p>
    <w:p>
      <w:pPr>
        <w:pStyle w:val="BodyText"/>
        <w:spacing w:line="316" w:lineRule="auto"/>
        <w:ind w:right="0" w:firstLine="439"/>
        <w:jc w:val="left"/>
      </w:pPr>
      <w:r>
        <w:rPr/>
        <w:t>因处置部分股权投资等原因丧失了对被投资单位的共同控制或重大影响的，处置后的剩余股权改按可供出售金融资产 核算，剩余股权在丧失共同控制或重大影响之日的公允价值与账面价值之间的差额计入当期损益。原股权投资因采用权益法 </w:t>
      </w:r>
      <w:r>
        <w:rPr>
          <w:spacing w:val="-2"/>
        </w:rPr>
        <w:t>核算而确认的其他综合收益，在终止采用权益法核算时采用与被投资单位直接处置相关资产或负债相同的基础进行会计处理。</w:t>
      </w:r>
    </w:p>
    <w:p>
      <w:pPr>
        <w:spacing w:line="240" w:lineRule="auto" w:before="11"/>
        <w:rPr>
          <w:rFonts w:ascii="宋体" w:hAnsi="宋体" w:cs="宋体" w:eastAsia="宋体" w:hint="default"/>
          <w:sz w:val="19"/>
          <w:szCs w:val="19"/>
        </w:rPr>
      </w:pPr>
    </w:p>
    <w:p>
      <w:pPr>
        <w:pStyle w:val="BodyText"/>
        <w:spacing w:line="316" w:lineRule="auto"/>
        <w:ind w:right="1132" w:firstLine="439"/>
        <w:jc w:val="both"/>
      </w:pPr>
      <w:r>
        <w:rPr/>
        <w:t>因处置部分长期股权投资丧失了对被投资单位控制的，处置后的剩余股权能够对被投资单位实施共同控制或施加重大 </w:t>
      </w:r>
      <w:r>
        <w:rPr>
          <w:spacing w:val="-2"/>
        </w:rPr>
        <w:t>影响的，改按权益法核算，处置股权账面价值和处置对价的差额计入投资收益，并对该剩余股权视同自取得时即采用权益法</w:t>
      </w:r>
      <w:r>
        <w:rPr>
          <w:spacing w:val="-66"/>
        </w:rPr>
        <w:t> </w:t>
      </w:r>
      <w:r>
        <w:rPr>
          <w:spacing w:val="-66"/>
        </w:rPr>
      </w:r>
      <w:r>
        <w:rPr>
          <w:spacing w:val="-2"/>
        </w:rPr>
        <w:t>核算进行调整；处置后的剩余股权不能对被投资单位实施共同控制或施加重大影响的，改按可供出售金融资产的有关规定进</w:t>
      </w:r>
      <w:r>
        <w:rPr>
          <w:spacing w:val="-64"/>
        </w:rPr>
        <w:t> </w:t>
      </w:r>
      <w:r>
        <w:rPr>
          <w:spacing w:val="-64"/>
        </w:rPr>
      </w:r>
      <w:r>
        <w:rPr>
          <w:spacing w:val="-2"/>
        </w:rPr>
        <w:t>行会计处理，处置股权账面价值和处置对价的差额计入投资收益，剩余股权在丧失控制之日的公允价值与账面价值间的差额</w:t>
      </w:r>
      <w:r>
        <w:rPr>
          <w:spacing w:val="-64"/>
        </w:rPr>
        <w:t> </w:t>
      </w:r>
      <w:r>
        <w:rPr>
          <w:spacing w:val="-64"/>
        </w:rPr>
      </w:r>
      <w:r>
        <w:rPr/>
        <w:t>计入当期投资损益。</w:t>
      </w:r>
    </w:p>
    <w:p>
      <w:pPr>
        <w:spacing w:line="240" w:lineRule="auto" w:before="10"/>
        <w:rPr>
          <w:rFonts w:ascii="宋体" w:hAnsi="宋体" w:cs="宋体" w:eastAsia="宋体" w:hint="default"/>
          <w:sz w:val="19"/>
          <w:szCs w:val="19"/>
        </w:rPr>
      </w:pPr>
    </w:p>
    <w:p>
      <w:pPr>
        <w:pStyle w:val="BodyText"/>
        <w:spacing w:line="307" w:lineRule="auto"/>
        <w:ind w:right="1132" w:firstLine="439"/>
        <w:jc w:val="both"/>
      </w:pPr>
      <w:r>
        <w:rPr>
          <w:spacing w:val="-2"/>
        </w:rPr>
        <w:t>本集团对于分步处置股权至丧失控股权的各项交易不属于一揽子交易的，对每一项交易分别进行会计处理。属于</w:t>
      </w:r>
      <w:r>
        <w:rPr>
          <w:rFonts w:ascii="Times New Roman" w:hAnsi="Times New Roman" w:cs="Times New Roman" w:eastAsia="Times New Roman" w:hint="default"/>
          <w:spacing w:val="-2"/>
        </w:rPr>
        <w:t>“</w:t>
      </w:r>
      <w:r>
        <w:rPr>
          <w:spacing w:val="-2"/>
        </w:rPr>
        <w:t>一揽</w:t>
      </w:r>
      <w:r>
        <w:rPr/>
        <w:t> 子交易</w:t>
      </w:r>
      <w:r>
        <w:rPr>
          <w:rFonts w:ascii="Times New Roman" w:hAnsi="Times New Roman" w:cs="Times New Roman" w:eastAsia="Times New Roman" w:hint="default"/>
        </w:rPr>
        <w:t>”</w:t>
      </w:r>
      <w:r>
        <w:rPr/>
        <w:t>的，将各项交易作为一项处置子公司并丧失控制权的交易进行会计处理，但是，在丧失控制权之前每一次交易处置</w:t>
      </w:r>
      <w:r>
        <w:rPr>
          <w:spacing w:val="-75"/>
        </w:rPr>
        <w:t> </w:t>
      </w:r>
      <w:r>
        <w:rPr>
          <w:spacing w:val="-75"/>
        </w:rPr>
      </w:r>
      <w:r>
        <w:rPr>
          <w:spacing w:val="-2"/>
        </w:rPr>
        <w:t>价款与所处置的股权对应的长期股权投资账面价值之间的差额，确认为其他综合收益，到丧失控制权时再一并转入丧失控制</w:t>
      </w:r>
      <w:r>
        <w:rPr>
          <w:spacing w:val="-64"/>
        </w:rPr>
        <w:t> </w:t>
      </w:r>
      <w:r>
        <w:rPr>
          <w:spacing w:val="-64"/>
        </w:rPr>
      </w:r>
      <w:r>
        <w:rPr/>
        <w:t>权的当期损益。</w:t>
      </w:r>
    </w:p>
    <w:p>
      <w:pPr>
        <w:spacing w:line="240" w:lineRule="auto" w:before="4"/>
        <w:rPr>
          <w:rFonts w:ascii="宋体" w:hAnsi="宋体" w:cs="宋体" w:eastAsia="宋体" w:hint="default"/>
          <w:sz w:val="23"/>
          <w:szCs w:val="23"/>
        </w:rPr>
      </w:pPr>
    </w:p>
    <w:p>
      <w:pPr>
        <w:pStyle w:val="Heading4"/>
        <w:spacing w:line="240" w:lineRule="auto"/>
        <w:ind w:right="982"/>
        <w:jc w:val="left"/>
        <w:rPr>
          <w:b w:val="0"/>
          <w:bCs w:val="0"/>
        </w:rPr>
      </w:pPr>
      <w:r>
        <w:rPr>
          <w:rFonts w:ascii="Times New Roman" w:hAnsi="Times New Roman" w:cs="Times New Roman" w:eastAsia="Times New Roman" w:hint="default"/>
        </w:rPr>
        <w:t>15</w:t>
      </w:r>
      <w:r>
        <w:rPr/>
        <w:t>、投资性房地产</w:t>
      </w:r>
      <w:r>
        <w:rPr>
          <w:b w:val="0"/>
          <w:bCs w:val="0"/>
        </w:rPr>
      </w:r>
    </w:p>
    <w:p>
      <w:pPr>
        <w:spacing w:line="240" w:lineRule="auto" w:before="5"/>
        <w:rPr>
          <w:rFonts w:ascii="宋体" w:hAnsi="宋体" w:cs="宋体" w:eastAsia="宋体" w:hint="default"/>
          <w:b/>
          <w:bCs/>
          <w:sz w:val="26"/>
          <w:szCs w:val="26"/>
        </w:rPr>
      </w:pPr>
    </w:p>
    <w:p>
      <w:pPr>
        <w:pStyle w:val="BodyText"/>
        <w:spacing w:line="357" w:lineRule="auto"/>
        <w:ind w:right="8954"/>
        <w:jc w:val="left"/>
      </w:pPr>
      <w:r>
        <w:rPr/>
        <w:t>投资性房地产计量模式 不适用</w:t>
      </w:r>
    </w:p>
    <w:p>
      <w:pPr>
        <w:spacing w:line="240" w:lineRule="auto" w:before="6"/>
        <w:rPr>
          <w:rFonts w:ascii="宋体" w:hAnsi="宋体" w:cs="宋体" w:eastAsia="宋体" w:hint="default"/>
          <w:sz w:val="20"/>
          <w:szCs w:val="20"/>
        </w:rPr>
      </w:pPr>
    </w:p>
    <w:p>
      <w:pPr>
        <w:pStyle w:val="Heading4"/>
        <w:spacing w:line="240" w:lineRule="auto"/>
        <w:ind w:right="982"/>
        <w:jc w:val="left"/>
        <w:rPr>
          <w:b w:val="0"/>
          <w:bCs w:val="0"/>
        </w:rPr>
      </w:pPr>
      <w:r>
        <w:rPr>
          <w:rFonts w:ascii="Times New Roman" w:hAnsi="Times New Roman" w:cs="Times New Roman" w:eastAsia="Times New Roman" w:hint="default"/>
        </w:rPr>
        <w:t>16</w:t>
      </w:r>
      <w:r>
        <w:rPr/>
        <w:t>、固定资产</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2"/>
        <w:jc w:val="left"/>
        <w:rPr>
          <w:b w:val="0"/>
          <w:bCs w:val="0"/>
        </w:rPr>
      </w:pPr>
      <w:r>
        <w:rPr/>
        <w:t>（</w:t>
      </w:r>
      <w:r>
        <w:rPr>
          <w:rFonts w:ascii="Times New Roman" w:hAnsi="Times New Roman" w:cs="Times New Roman" w:eastAsia="Times New Roman" w:hint="default"/>
        </w:rPr>
        <w:t>1</w:t>
      </w:r>
      <w:r>
        <w:rPr/>
        <w:t>）确认条件</w:t>
      </w:r>
      <w:r>
        <w:rPr>
          <w:b w:val="0"/>
          <w:bCs w:val="0"/>
        </w:rPr>
      </w:r>
    </w:p>
    <w:p>
      <w:pPr>
        <w:spacing w:line="240" w:lineRule="auto" w:before="2"/>
        <w:rPr>
          <w:rFonts w:ascii="宋体" w:hAnsi="宋体" w:cs="宋体" w:eastAsia="宋体" w:hint="default"/>
          <w:b/>
          <w:bCs/>
          <w:sz w:val="26"/>
          <w:szCs w:val="26"/>
        </w:rPr>
      </w:pPr>
    </w:p>
    <w:p>
      <w:pPr>
        <w:pStyle w:val="BodyText"/>
        <w:spacing w:line="316" w:lineRule="auto"/>
        <w:ind w:right="982" w:firstLine="360"/>
        <w:jc w:val="left"/>
      </w:pPr>
      <w:r>
        <w:rPr>
          <w:spacing w:val="-2"/>
        </w:rPr>
        <w:t>本集团固定资产是指同时具有以下特征，即为生产商品、提供劳务、出租（不包括出租的房屋及建筑物）或经营管理而</w:t>
      </w:r>
      <w:r>
        <w:rPr/>
        <w:t> </w:t>
      </w:r>
      <w:r>
        <w:rPr>
          <w:spacing w:val="-2"/>
        </w:rPr>
        <w:t>持有的，使用年限超过一年的有形资产。固定资产在与其有关的经济利益很可能流入本集团、且其成本能够可靠计量时予以</w:t>
      </w:r>
    </w:p>
    <w:p>
      <w:pPr>
        <w:spacing w:after="0" w:line="316" w:lineRule="auto"/>
        <w:jc w:val="left"/>
        <w:sectPr>
          <w:pgSz w:w="11910" w:h="16840"/>
          <w:pgMar w:header="745" w:footer="979" w:top="1060" w:bottom="1160" w:left="980" w:right="0"/>
        </w:sectPr>
      </w:pPr>
    </w:p>
    <w:p>
      <w:pPr>
        <w:spacing w:line="240" w:lineRule="auto" w:before="9"/>
        <w:rPr>
          <w:rFonts w:ascii="宋体" w:hAnsi="宋体" w:cs="宋体" w:eastAsia="宋体" w:hint="default"/>
          <w:sz w:val="25"/>
          <w:szCs w:val="25"/>
        </w:rPr>
      </w:pPr>
    </w:p>
    <w:p>
      <w:pPr>
        <w:pStyle w:val="BodyText"/>
        <w:spacing w:line="240" w:lineRule="auto" w:before="44"/>
        <w:ind w:right="982"/>
        <w:jc w:val="left"/>
      </w:pPr>
      <w:r>
        <w:rPr/>
        <w:t>确认。</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t>（</w:t>
      </w:r>
      <w:r>
        <w:rPr>
          <w:rFonts w:ascii="Times New Roman" w:hAnsi="Times New Roman" w:cs="Times New Roman" w:eastAsia="Times New Roman" w:hint="default"/>
        </w:rPr>
        <w:t>2</w:t>
      </w:r>
      <w:r>
        <w:rPr/>
        <w:t>）折旧方法</w:t>
      </w:r>
      <w:r>
        <w:rPr>
          <w:b w:val="0"/>
          <w:bCs w:val="0"/>
        </w:rPr>
      </w:r>
    </w:p>
    <w:p>
      <w:pPr>
        <w:spacing w:line="240" w:lineRule="auto" w:before="9"/>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1916"/>
        <w:gridCol w:w="1913"/>
        <w:gridCol w:w="1916"/>
        <w:gridCol w:w="1913"/>
        <w:gridCol w:w="1916"/>
      </w:tblGrid>
      <w:tr>
        <w:trPr>
          <w:trHeight w:val="401"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折旧方法</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折旧年限</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残值率</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3" w:right="0"/>
              <w:jc w:val="left"/>
              <w:rPr>
                <w:rFonts w:ascii="宋体" w:hAnsi="宋体" w:cs="宋体" w:eastAsia="宋体" w:hint="default"/>
                <w:sz w:val="18"/>
                <w:szCs w:val="18"/>
              </w:rPr>
            </w:pPr>
            <w:r>
              <w:rPr>
                <w:rFonts w:ascii="宋体" w:hAnsi="宋体" w:cs="宋体" w:eastAsia="宋体" w:hint="default"/>
                <w:sz w:val="18"/>
                <w:szCs w:val="18"/>
              </w:rPr>
              <w:t>年折旧率</w:t>
            </w:r>
          </w:p>
        </w:tc>
      </w:tr>
      <w:tr>
        <w:trPr>
          <w:trHeight w:val="403"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30-50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1.9%-3.17%</w:t>
            </w:r>
          </w:p>
        </w:tc>
      </w:tr>
      <w:tr>
        <w:trPr>
          <w:trHeight w:val="401"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楼宇设备</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8-20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4.75%-11.875%</w:t>
            </w:r>
          </w:p>
        </w:tc>
      </w:tr>
      <w:tr>
        <w:trPr>
          <w:trHeight w:val="403"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19%</w:t>
            </w:r>
          </w:p>
        </w:tc>
      </w:tr>
      <w:tr>
        <w:trPr>
          <w:trHeight w:val="401"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电子设备</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3-5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19%-31.67%</w:t>
            </w:r>
          </w:p>
        </w:tc>
      </w:tr>
      <w:tr>
        <w:trPr>
          <w:trHeight w:val="403"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3-5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19%-31.67%</w:t>
            </w:r>
          </w:p>
        </w:tc>
      </w:tr>
    </w:tbl>
    <w:p>
      <w:pPr>
        <w:spacing w:line="240" w:lineRule="auto" w:before="3"/>
        <w:rPr>
          <w:rFonts w:ascii="宋体" w:hAnsi="宋体" w:cs="宋体" w:eastAsia="宋体" w:hint="default"/>
          <w:b/>
          <w:bCs/>
          <w:sz w:val="19"/>
          <w:szCs w:val="19"/>
        </w:rPr>
      </w:pPr>
    </w:p>
    <w:p>
      <w:pPr>
        <w:pStyle w:val="Heading4"/>
        <w:spacing w:line="240" w:lineRule="auto" w:before="36"/>
        <w:ind w:right="982"/>
        <w:jc w:val="left"/>
        <w:rPr>
          <w:b w:val="0"/>
          <w:bCs w:val="0"/>
        </w:rPr>
      </w:pPr>
      <w:r>
        <w:rPr/>
        <w:t>（</w:t>
      </w:r>
      <w:r>
        <w:rPr>
          <w:rFonts w:ascii="Times New Roman" w:hAnsi="Times New Roman" w:cs="Times New Roman" w:eastAsia="Times New Roman" w:hint="default"/>
        </w:rPr>
        <w:t>3</w:t>
      </w:r>
      <w:r>
        <w:rPr/>
        <w:t>）融资租入固定资产的认定依据、计价和折旧方法</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982"/>
        <w:jc w:val="left"/>
      </w:pPr>
      <w:r>
        <w:rPr/>
        <w:t>不适用</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rFonts w:ascii="Times New Roman" w:hAnsi="Times New Roman" w:cs="Times New Roman" w:eastAsia="Times New Roman" w:hint="default"/>
        </w:rPr>
        <w:t>17</w:t>
      </w:r>
      <w:r>
        <w:rPr/>
        <w:t>、在建工程</w:t>
      </w:r>
      <w:r>
        <w:rPr>
          <w:b w:val="0"/>
          <w:bCs w:val="0"/>
        </w:rPr>
      </w:r>
    </w:p>
    <w:p>
      <w:pPr>
        <w:spacing w:line="240" w:lineRule="auto" w:before="4"/>
        <w:rPr>
          <w:rFonts w:ascii="宋体" w:hAnsi="宋体" w:cs="宋体" w:eastAsia="宋体" w:hint="default"/>
          <w:b/>
          <w:bCs/>
          <w:sz w:val="26"/>
          <w:szCs w:val="26"/>
        </w:rPr>
      </w:pPr>
    </w:p>
    <w:p>
      <w:pPr>
        <w:pStyle w:val="BodyText"/>
        <w:spacing w:line="357" w:lineRule="auto"/>
        <w:ind w:right="7694"/>
        <w:jc w:val="left"/>
      </w:pPr>
      <w:r>
        <w:rPr/>
        <w:t>公司是否需要遵守特殊行业的披露要求 是</w:t>
      </w:r>
    </w:p>
    <w:p>
      <w:pPr>
        <w:pStyle w:val="BodyText"/>
        <w:spacing w:line="240" w:lineRule="auto" w:before="29"/>
        <w:ind w:right="982"/>
        <w:jc w:val="left"/>
      </w:pPr>
      <w:r>
        <w:rPr/>
        <w:t>软件与信息技术服务业</w:t>
      </w:r>
    </w:p>
    <w:p>
      <w:pPr>
        <w:spacing w:line="240" w:lineRule="auto" w:before="3"/>
        <w:rPr>
          <w:rFonts w:ascii="宋体" w:hAnsi="宋体" w:cs="宋体" w:eastAsia="宋体" w:hint="default"/>
          <w:sz w:val="15"/>
          <w:szCs w:val="15"/>
        </w:rPr>
      </w:pPr>
    </w:p>
    <w:p>
      <w:pPr>
        <w:pStyle w:val="BodyText"/>
        <w:spacing w:line="316" w:lineRule="auto"/>
        <w:ind w:right="982" w:firstLine="360"/>
        <w:jc w:val="left"/>
      </w:pPr>
      <w:r>
        <w:rPr>
          <w:spacing w:val="-2"/>
        </w:rPr>
        <w:t>在建工程在达到预定可使用状态之日起，根据工程预算、造价或工程实际成本等，按估计的价值结转固定资产，次月起</w:t>
      </w:r>
      <w:r>
        <w:rPr/>
        <w:t> 开始计提折旧，待办理了竣工决算手续后再对固定资产原值差异进行调整。</w:t>
      </w:r>
    </w:p>
    <w:p>
      <w:pPr>
        <w:spacing w:line="240" w:lineRule="auto" w:before="10"/>
        <w:rPr>
          <w:rFonts w:ascii="宋体" w:hAnsi="宋体" w:cs="宋体" w:eastAsia="宋体" w:hint="default"/>
          <w:sz w:val="22"/>
          <w:szCs w:val="22"/>
        </w:rPr>
      </w:pPr>
    </w:p>
    <w:p>
      <w:pPr>
        <w:pStyle w:val="Heading4"/>
        <w:spacing w:line="240" w:lineRule="auto"/>
        <w:ind w:right="982"/>
        <w:jc w:val="left"/>
        <w:rPr>
          <w:b w:val="0"/>
          <w:bCs w:val="0"/>
        </w:rPr>
      </w:pPr>
      <w:r>
        <w:rPr>
          <w:rFonts w:ascii="Times New Roman" w:hAnsi="Times New Roman" w:cs="Times New Roman" w:eastAsia="Times New Roman" w:hint="default"/>
        </w:rPr>
        <w:t>18</w:t>
      </w:r>
      <w:r>
        <w:rPr/>
        <w:t>、借款费用</w:t>
      </w:r>
      <w:r>
        <w:rPr>
          <w:b w:val="0"/>
          <w:bCs w:val="0"/>
        </w:rPr>
      </w:r>
    </w:p>
    <w:p>
      <w:pPr>
        <w:spacing w:line="240" w:lineRule="auto" w:before="4"/>
        <w:rPr>
          <w:rFonts w:ascii="宋体" w:hAnsi="宋体" w:cs="宋体" w:eastAsia="宋体" w:hint="default"/>
          <w:b/>
          <w:bCs/>
          <w:sz w:val="26"/>
          <w:szCs w:val="26"/>
        </w:rPr>
      </w:pPr>
    </w:p>
    <w:p>
      <w:pPr>
        <w:pStyle w:val="BodyText"/>
        <w:spacing w:line="314" w:lineRule="auto"/>
        <w:ind w:right="1034" w:firstLine="439"/>
        <w:jc w:val="left"/>
      </w:pPr>
      <w:r>
        <w:rPr>
          <w:spacing w:val="-2"/>
        </w:rPr>
        <w:t>发生的可直接归属于需要经过</w:t>
      </w:r>
      <w:r>
        <w:rPr>
          <w:rFonts w:ascii="Times New Roman" w:hAnsi="Times New Roman" w:cs="Times New Roman" w:eastAsia="Times New Roman" w:hint="default"/>
          <w:spacing w:val="-2"/>
        </w:rPr>
        <w:t>1</w:t>
      </w:r>
      <w:r>
        <w:rPr>
          <w:spacing w:val="-2"/>
        </w:rPr>
        <w:t>年以上的购建或者生产活动才能达到预定可使用或者可销售状态的固定资产、投资性房</w:t>
      </w:r>
      <w:r>
        <w:rPr/>
        <w:t> </w:t>
      </w:r>
      <w:r>
        <w:rPr>
          <w:spacing w:val="-2"/>
        </w:rPr>
        <w:t>地产和存货等的借款费用，在资产支出已经发生、借款费用已经发生、为使资产达到预定可使用或可销售状态所必要的购建</w:t>
      </w:r>
      <w:r>
        <w:rPr>
          <w:spacing w:val="-63"/>
        </w:rPr>
        <w:t> </w:t>
      </w:r>
      <w:r>
        <w:rPr>
          <w:spacing w:val="-63"/>
        </w:rPr>
      </w:r>
      <w:r>
        <w:rPr/>
        <w:t>或生产活动已经开始时，开始资本化；当购建或生产符合资本化条件的资产达到预定可使用或可销售状态时，停止资本化，</w:t>
      </w:r>
      <w:r>
        <w:rPr>
          <w:spacing w:val="-83"/>
        </w:rPr>
        <w:t> </w:t>
      </w:r>
      <w:r>
        <w:rPr>
          <w:spacing w:val="-83"/>
        </w:rPr>
      </w:r>
      <w:r>
        <w:rPr>
          <w:spacing w:val="-2"/>
        </w:rPr>
        <w:t>其后发生的借款费用计入当期损益。如果符合资本化条件的资产在购建或者生产过程中发生非正常中断、且中断时间连续超</w:t>
      </w:r>
      <w:r>
        <w:rPr>
          <w:spacing w:val="-64"/>
        </w:rPr>
        <w:t> </w:t>
      </w:r>
      <w:r>
        <w:rPr>
          <w:spacing w:val="-64"/>
        </w:rPr>
      </w:r>
      <w:r>
        <w:rPr/>
        <w:t>过</w:t>
      </w:r>
      <w:r>
        <w:rPr>
          <w:rFonts w:ascii="Times New Roman" w:hAnsi="Times New Roman" w:cs="Times New Roman" w:eastAsia="Times New Roman" w:hint="default"/>
        </w:rPr>
        <w:t>3</w:t>
      </w:r>
      <w:r>
        <w:rPr/>
        <w:t>个月，暂停借款费用的资本化，直至资产的购建或生产活动重新开始。</w:t>
      </w:r>
    </w:p>
    <w:p>
      <w:pPr>
        <w:pStyle w:val="BodyText"/>
        <w:spacing w:line="319" w:lineRule="auto" w:before="121"/>
        <w:ind w:right="1133" w:firstLine="439"/>
        <w:jc w:val="both"/>
      </w:pPr>
      <w:r>
        <w:rPr/>
        <w:t>专门借款当期实际发生的利息费用，扣除尚未动用的借款资金存入银行取得的利息收入或进行暂时性投资取得的投资 </w:t>
      </w:r>
      <w:r>
        <w:rPr>
          <w:spacing w:val="-2"/>
        </w:rPr>
        <w:t>收益后的金额予以资本化；一般借款根据累计资产支出超过专门借款部分的资产支出加权平均数乘以所占用一般借款的资本</w:t>
      </w:r>
      <w:r>
        <w:rPr>
          <w:spacing w:val="-64"/>
        </w:rPr>
        <w:t> </w:t>
      </w:r>
      <w:r>
        <w:rPr>
          <w:spacing w:val="-64"/>
        </w:rPr>
      </w:r>
      <w:r>
        <w:rPr/>
        <w:t>化率，确定资本化金额。资本化率根据一般借款加权平均利率计算确定。</w:t>
      </w:r>
    </w:p>
    <w:p>
      <w:pPr>
        <w:spacing w:line="240" w:lineRule="auto" w:before="9"/>
        <w:rPr>
          <w:rFonts w:ascii="宋体" w:hAnsi="宋体" w:cs="宋体" w:eastAsia="宋体" w:hint="default"/>
          <w:sz w:val="22"/>
          <w:szCs w:val="22"/>
        </w:rPr>
      </w:pPr>
    </w:p>
    <w:p>
      <w:pPr>
        <w:pStyle w:val="Heading4"/>
        <w:spacing w:line="240" w:lineRule="auto"/>
        <w:ind w:right="982"/>
        <w:jc w:val="left"/>
        <w:rPr>
          <w:b w:val="0"/>
          <w:bCs w:val="0"/>
        </w:rPr>
      </w:pPr>
      <w:r>
        <w:rPr>
          <w:rFonts w:ascii="Times New Roman" w:hAnsi="Times New Roman" w:cs="Times New Roman" w:eastAsia="Times New Roman" w:hint="default"/>
        </w:rPr>
        <w:t>19</w:t>
      </w:r>
      <w:r>
        <w:rPr/>
        <w:t>、生物资产</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982"/>
        <w:jc w:val="left"/>
      </w:pPr>
      <w:r>
        <w:rPr/>
        <w:t>不适用</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rFonts w:ascii="Times New Roman" w:hAnsi="Times New Roman" w:cs="Times New Roman" w:eastAsia="Times New Roman" w:hint="default"/>
        </w:rPr>
        <w:t>20</w:t>
      </w:r>
      <w:r>
        <w:rPr/>
        <w:t>、油气资产</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t>不适用</w:t>
      </w:r>
    </w:p>
    <w:p>
      <w:pPr>
        <w:spacing w:after="0" w:line="240" w:lineRule="auto"/>
        <w:jc w:val="left"/>
        <w:sectPr>
          <w:pgSz w:w="11910" w:h="16840"/>
          <w:pgMar w:header="745" w:footer="979"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2"/>
        <w:jc w:val="left"/>
        <w:rPr>
          <w:b w:val="0"/>
          <w:bCs w:val="0"/>
        </w:rPr>
      </w:pPr>
      <w:r>
        <w:rPr>
          <w:rFonts w:ascii="Times New Roman" w:hAnsi="Times New Roman" w:cs="Times New Roman" w:eastAsia="Times New Roman" w:hint="default"/>
        </w:rPr>
        <w:t>21</w:t>
      </w:r>
      <w:r>
        <w:rPr/>
        <w:t>、无形资产</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2"/>
        <w:jc w:val="left"/>
        <w:rPr>
          <w:b w:val="0"/>
          <w:bCs w:val="0"/>
        </w:rPr>
      </w:pPr>
      <w:r>
        <w:rPr/>
        <w:t>（</w:t>
      </w:r>
      <w:r>
        <w:rPr>
          <w:rFonts w:ascii="Times New Roman" w:hAnsi="Times New Roman" w:cs="Times New Roman" w:eastAsia="Times New Roman" w:hint="default"/>
        </w:rPr>
        <w:t>1</w:t>
      </w:r>
      <w:r>
        <w:rPr/>
        <w:t>）计价方法、使用寿命、减值测试</w:t>
      </w:r>
      <w:r>
        <w:rPr>
          <w:b w:val="0"/>
          <w:bCs w:val="0"/>
        </w:rPr>
      </w:r>
    </w:p>
    <w:p>
      <w:pPr>
        <w:spacing w:line="240" w:lineRule="auto" w:before="2"/>
        <w:rPr>
          <w:rFonts w:ascii="宋体" w:hAnsi="宋体" w:cs="宋体" w:eastAsia="宋体" w:hint="default"/>
          <w:b/>
          <w:bCs/>
          <w:sz w:val="26"/>
          <w:szCs w:val="26"/>
        </w:rPr>
      </w:pPr>
    </w:p>
    <w:p>
      <w:pPr>
        <w:pStyle w:val="BodyText"/>
        <w:spacing w:line="316" w:lineRule="auto"/>
        <w:ind w:right="1130" w:firstLine="439"/>
        <w:jc w:val="both"/>
      </w:pPr>
      <w:r>
        <w:rPr/>
        <w:t>本集团无形资产包括土地使用权、软件、非专利技术、特许权、数据使用权等。按取得时的实际成本计量，其中，购 </w:t>
      </w:r>
      <w:r>
        <w:rPr>
          <w:spacing w:val="-2"/>
        </w:rPr>
        <w:t>入的无形资产，按实际支付的价款和相关的其他支出作为实际成本；投资者投入的无形资产，按投资合同或协议约定的价值</w:t>
      </w:r>
      <w:r>
        <w:rPr>
          <w:spacing w:val="-63"/>
        </w:rPr>
        <w:t> </w:t>
      </w:r>
      <w:r>
        <w:rPr>
          <w:spacing w:val="-63"/>
        </w:rPr>
      </w:r>
      <w:r>
        <w:rPr>
          <w:spacing w:val="-2"/>
        </w:rPr>
        <w:t>确定实际成本，但合同或协议约定价值不公允的，按公允价值确定实际成本；对非同一控制下合并中取得被购买方拥有的但</w:t>
      </w:r>
      <w:r>
        <w:rPr>
          <w:spacing w:val="-63"/>
        </w:rPr>
        <w:t> </w:t>
      </w:r>
      <w:r>
        <w:rPr>
          <w:spacing w:val="-63"/>
        </w:rPr>
      </w:r>
      <w:r>
        <w:rPr/>
        <w:t>在其财务报表中未确认的无形资产，在对被购买方资产进行初始确认时，按公允价值确认为无形资产。</w:t>
      </w:r>
    </w:p>
    <w:p>
      <w:pPr>
        <w:pStyle w:val="BodyText"/>
        <w:spacing w:line="316" w:lineRule="auto" w:before="139"/>
        <w:ind w:right="1133" w:firstLine="439"/>
        <w:jc w:val="both"/>
      </w:pPr>
      <w:r>
        <w:rPr/>
        <w:t>对使用寿命有限的无形资产，按预计使用年限、合同规定的受益年限和法律规定的有效年限三者中最短者分期平均摊 </w:t>
      </w:r>
      <w:r>
        <w:rPr>
          <w:spacing w:val="-2"/>
        </w:rPr>
        <w:t>销。摊销金额按其受益对象计入相关资产成本和当期损益。对使用寿命有限的无形资产的预计使用寿命及摊销方法于每年年</w:t>
      </w:r>
      <w:r>
        <w:rPr>
          <w:spacing w:val="-64"/>
        </w:rPr>
        <w:t> </w:t>
      </w:r>
      <w:r>
        <w:rPr>
          <w:spacing w:val="-64"/>
        </w:rPr>
      </w:r>
      <w:r>
        <w:rPr/>
        <w:t>度终了进行复核，如发生改变，则作为会计估计变更处理。</w:t>
      </w:r>
    </w:p>
    <w:p>
      <w:pPr>
        <w:pStyle w:val="BodyText"/>
        <w:spacing w:line="316" w:lineRule="auto" w:before="139"/>
        <w:ind w:right="1135" w:firstLine="439"/>
        <w:jc w:val="left"/>
      </w:pPr>
      <w:r>
        <w:rPr/>
        <w:t>在每个会计期间，本集团对使用寿命不确定的无形资产的预计使用寿命进行复核，如有证据表明无形资产的使用寿命 是有限的，则估计其使用寿命并在预计使用寿命内摊销。</w:t>
      </w:r>
    </w:p>
    <w:p>
      <w:pPr>
        <w:spacing w:line="240" w:lineRule="auto" w:before="10"/>
        <w:rPr>
          <w:rFonts w:ascii="宋体" w:hAnsi="宋体" w:cs="宋体" w:eastAsia="宋体" w:hint="default"/>
          <w:sz w:val="22"/>
          <w:szCs w:val="22"/>
        </w:rPr>
      </w:pPr>
    </w:p>
    <w:p>
      <w:pPr>
        <w:pStyle w:val="Heading4"/>
        <w:spacing w:line="240" w:lineRule="auto"/>
        <w:ind w:right="982"/>
        <w:jc w:val="left"/>
        <w:rPr>
          <w:b w:val="0"/>
          <w:bCs w:val="0"/>
        </w:rPr>
      </w:pPr>
      <w:r>
        <w:rPr/>
        <w:t>（</w:t>
      </w:r>
      <w:r>
        <w:rPr>
          <w:rFonts w:ascii="Times New Roman" w:hAnsi="Times New Roman" w:cs="Times New Roman" w:eastAsia="Times New Roman" w:hint="default"/>
        </w:rPr>
        <w:t>2</w:t>
      </w:r>
      <w:r>
        <w:rPr/>
        <w:t>）内部研究开发支出会计政策</w:t>
      </w:r>
      <w:r>
        <w:rPr>
          <w:b w:val="0"/>
          <w:bCs w:val="0"/>
        </w:rPr>
      </w:r>
    </w:p>
    <w:p>
      <w:pPr>
        <w:spacing w:line="240" w:lineRule="auto" w:before="4"/>
        <w:rPr>
          <w:rFonts w:ascii="宋体" w:hAnsi="宋体" w:cs="宋体" w:eastAsia="宋体" w:hint="default"/>
          <w:b/>
          <w:bCs/>
          <w:sz w:val="26"/>
          <w:szCs w:val="26"/>
        </w:rPr>
      </w:pPr>
    </w:p>
    <w:p>
      <w:pPr>
        <w:pStyle w:val="BodyText"/>
        <w:spacing w:line="316" w:lineRule="auto"/>
        <w:ind w:right="1040" w:firstLine="458"/>
        <w:jc w:val="left"/>
      </w:pPr>
      <w:r>
        <w:rPr>
          <w:spacing w:val="-2"/>
        </w:rPr>
        <w:t>研究开发支出根据其性质以及研发活动最终形成无形资产是否具有较大不确定性，分为研究阶段支出和开发阶段支出。</w:t>
      </w:r>
      <w:r>
        <w:rPr/>
        <w:t> 研究阶段的支出，于发生时计入当期损益；开发阶段的支出，同时满足下列条件的，确认为无形资产：</w:t>
      </w:r>
    </w:p>
    <w:p>
      <w:pPr>
        <w:pStyle w:val="BodyText"/>
        <w:spacing w:line="240" w:lineRule="auto" w:before="139"/>
        <w:ind w:left="592" w:right="982"/>
        <w:jc w:val="left"/>
      </w:pPr>
      <w:r>
        <w:rPr>
          <w:rFonts w:ascii="Times New Roman" w:hAnsi="Times New Roman" w:cs="Times New Roman" w:eastAsia="Times New Roman" w:hint="default"/>
        </w:rPr>
        <w:t>1</w:t>
      </w:r>
      <w:r>
        <w:rPr/>
        <w:t>）完成该无形资产以使其能够使用或出售在技术上具有可行性；</w:t>
      </w:r>
    </w:p>
    <w:p>
      <w:pPr>
        <w:spacing w:line="240" w:lineRule="auto" w:before="13"/>
        <w:rPr>
          <w:rFonts w:ascii="宋体" w:hAnsi="宋体" w:cs="宋体" w:eastAsia="宋体" w:hint="default"/>
          <w:sz w:val="13"/>
          <w:szCs w:val="13"/>
        </w:rPr>
      </w:pPr>
    </w:p>
    <w:p>
      <w:pPr>
        <w:pStyle w:val="BodyText"/>
        <w:spacing w:line="240" w:lineRule="auto"/>
        <w:ind w:left="592" w:right="982"/>
        <w:jc w:val="left"/>
      </w:pPr>
      <w:r>
        <w:rPr>
          <w:rFonts w:ascii="Times New Roman" w:hAnsi="Times New Roman" w:cs="Times New Roman" w:eastAsia="Times New Roman" w:hint="default"/>
        </w:rPr>
        <w:t>2</w:t>
      </w:r>
      <w:r>
        <w:rPr/>
        <w:t>）具有完成该无形资产并使用或出售的意图；</w:t>
      </w:r>
    </w:p>
    <w:p>
      <w:pPr>
        <w:spacing w:line="240" w:lineRule="auto" w:before="13"/>
        <w:rPr>
          <w:rFonts w:ascii="宋体" w:hAnsi="宋体" w:cs="宋体" w:eastAsia="宋体" w:hint="default"/>
          <w:sz w:val="13"/>
          <w:szCs w:val="13"/>
        </w:rPr>
      </w:pPr>
    </w:p>
    <w:p>
      <w:pPr>
        <w:pStyle w:val="BodyText"/>
        <w:spacing w:line="240" w:lineRule="auto"/>
        <w:ind w:left="592" w:right="982"/>
        <w:jc w:val="left"/>
      </w:pPr>
      <w:r>
        <w:rPr>
          <w:rFonts w:ascii="Times New Roman" w:hAnsi="Times New Roman" w:cs="Times New Roman" w:eastAsia="Times New Roman" w:hint="default"/>
        </w:rPr>
        <w:t>3</w:t>
      </w:r>
      <w:r>
        <w:rPr/>
        <w:t>）运用该无形资产生产的产品存在市场或无形资产自身存在市场；</w:t>
      </w:r>
    </w:p>
    <w:p>
      <w:pPr>
        <w:spacing w:line="240" w:lineRule="auto" w:before="0"/>
        <w:rPr>
          <w:rFonts w:ascii="宋体" w:hAnsi="宋体" w:cs="宋体" w:eastAsia="宋体" w:hint="default"/>
          <w:sz w:val="14"/>
          <w:szCs w:val="14"/>
        </w:rPr>
      </w:pPr>
    </w:p>
    <w:p>
      <w:pPr>
        <w:pStyle w:val="BodyText"/>
        <w:spacing w:line="240" w:lineRule="auto"/>
        <w:ind w:left="592" w:right="982"/>
        <w:jc w:val="left"/>
      </w:pPr>
      <w:r>
        <w:rPr>
          <w:rFonts w:ascii="Times New Roman" w:hAnsi="Times New Roman" w:cs="Times New Roman" w:eastAsia="Times New Roman" w:hint="default"/>
        </w:rPr>
        <w:t>4</w:t>
      </w:r>
      <w:r>
        <w:rPr/>
        <w:t>）有足够的技术、财务资源和其他资源支持，以完成该无形资产的开发，并有能力使用或出售该无形资产；</w:t>
      </w:r>
    </w:p>
    <w:p>
      <w:pPr>
        <w:pStyle w:val="BodyText"/>
        <w:spacing w:line="420" w:lineRule="atLeast" w:before="12"/>
        <w:ind w:left="594" w:right="1132" w:firstLine="9"/>
        <w:jc w:val="left"/>
      </w:pPr>
      <w:r>
        <w:rPr>
          <w:rFonts w:ascii="Times New Roman" w:hAnsi="Times New Roman" w:cs="Times New Roman" w:eastAsia="Times New Roman" w:hint="default"/>
        </w:rPr>
        <w:t>5</w:t>
      </w:r>
      <w:r>
        <w:rPr/>
        <w:t>）归属于该无形资产开发阶段的支出能够可靠地计量。 不满足上述条件的开发阶段的支出，于发生时计入当期损益。前期已计入损益的开发支出不在以后期间确认为资产。</w:t>
      </w:r>
    </w:p>
    <w:p>
      <w:pPr>
        <w:pStyle w:val="BodyText"/>
        <w:spacing w:line="240" w:lineRule="auto" w:before="76"/>
        <w:ind w:right="982"/>
        <w:jc w:val="left"/>
      </w:pPr>
      <w:r>
        <w:rPr/>
        <w:t>已资本化的开发阶段的支出在资产负债表上列示为开发支出，自该项目达到预定可使用状态之日起开始摊销。</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rFonts w:ascii="Times New Roman" w:hAnsi="Times New Roman" w:cs="Times New Roman" w:eastAsia="Times New Roman" w:hint="default"/>
        </w:rPr>
        <w:t>22</w:t>
      </w:r>
      <w:r>
        <w:rPr/>
        <w:t>、长期资产减值</w:t>
      </w:r>
      <w:r>
        <w:rPr>
          <w:b w:val="0"/>
          <w:bCs w:val="0"/>
        </w:rPr>
      </w:r>
    </w:p>
    <w:p>
      <w:pPr>
        <w:spacing w:line="240" w:lineRule="auto" w:before="2"/>
        <w:rPr>
          <w:rFonts w:ascii="宋体" w:hAnsi="宋体" w:cs="宋体" w:eastAsia="宋体" w:hint="default"/>
          <w:b/>
          <w:bCs/>
          <w:sz w:val="26"/>
          <w:szCs w:val="26"/>
        </w:rPr>
      </w:pPr>
    </w:p>
    <w:p>
      <w:pPr>
        <w:pStyle w:val="BodyText"/>
        <w:spacing w:line="316" w:lineRule="auto"/>
        <w:ind w:right="1034" w:firstLine="439"/>
        <w:jc w:val="left"/>
      </w:pPr>
      <w:r>
        <w:rPr/>
        <w:t>本集团于每一资产负债表日对长期股权投资、采用成本模式计量的固定资产、在建工程、使用寿命有限的无形资产等 项目进行检查，当存在下列迹象时，本集团进行减值测试。对商誉和使用寿命不确定的无形资产，无论是否存在减值迹象，</w:t>
      </w:r>
      <w:r>
        <w:rPr>
          <w:spacing w:val="-83"/>
        </w:rPr>
        <w:t> </w:t>
      </w:r>
      <w:r>
        <w:rPr>
          <w:spacing w:val="-83"/>
        </w:rPr>
      </w:r>
      <w:r>
        <w:rPr/>
        <w:t>每期末均进行减值测试。</w:t>
      </w:r>
    </w:p>
    <w:p>
      <w:pPr>
        <w:pStyle w:val="BodyText"/>
        <w:spacing w:line="316" w:lineRule="auto" w:before="139"/>
        <w:ind w:right="1135" w:firstLine="439"/>
        <w:jc w:val="left"/>
      </w:pPr>
      <w:r>
        <w:rPr/>
        <w:t>减值测试后，若该资产的账面价值超过其可收回金额，其差额确认为减值损失，上述资产的减值损失一经确认，在以 后会计期间不予转回。</w:t>
      </w:r>
    </w:p>
    <w:p>
      <w:pPr>
        <w:pStyle w:val="BodyText"/>
        <w:spacing w:line="240" w:lineRule="auto" w:before="139"/>
        <w:ind w:left="592" w:right="982"/>
        <w:jc w:val="left"/>
      </w:pPr>
      <w:r>
        <w:rPr/>
        <w:t>出现减值的迹象如下：</w:t>
      </w:r>
    </w:p>
    <w:p>
      <w:pPr>
        <w:spacing w:line="240" w:lineRule="auto" w:before="0"/>
        <w:rPr>
          <w:rFonts w:ascii="宋体" w:hAnsi="宋体" w:cs="宋体" w:eastAsia="宋体" w:hint="default"/>
          <w:sz w:val="15"/>
          <w:szCs w:val="15"/>
        </w:rPr>
      </w:pPr>
    </w:p>
    <w:p>
      <w:pPr>
        <w:pStyle w:val="BodyText"/>
        <w:spacing w:line="240" w:lineRule="auto"/>
        <w:ind w:left="611" w:right="982"/>
        <w:jc w:val="left"/>
      </w:pPr>
      <w:r>
        <w:rPr/>
        <w:t>（</w:t>
      </w:r>
      <w:r>
        <w:rPr>
          <w:rFonts w:ascii="Times New Roman" w:hAnsi="Times New Roman" w:cs="Times New Roman" w:eastAsia="Times New Roman" w:hint="default"/>
        </w:rPr>
        <w:t>1</w:t>
      </w:r>
      <w:r>
        <w:rPr/>
        <w:t>）资产的市价当期大幅度下跌，其跌幅明显高于因时间的推移或者正常使用而预计的下跌；</w:t>
      </w:r>
    </w:p>
    <w:p>
      <w:pPr>
        <w:spacing w:line="240" w:lineRule="auto" w:before="13"/>
        <w:rPr>
          <w:rFonts w:ascii="宋体" w:hAnsi="宋体" w:cs="宋体" w:eastAsia="宋体" w:hint="default"/>
          <w:sz w:val="13"/>
          <w:szCs w:val="13"/>
        </w:rPr>
      </w:pPr>
    </w:p>
    <w:p>
      <w:pPr>
        <w:pStyle w:val="BodyText"/>
        <w:spacing w:line="300" w:lineRule="auto"/>
        <w:ind w:right="1130" w:firstLine="458"/>
        <w:jc w:val="left"/>
      </w:pPr>
      <w:r>
        <w:rPr>
          <w:spacing w:val="-2"/>
        </w:rPr>
        <w:t>（</w:t>
      </w:r>
      <w:r>
        <w:rPr>
          <w:rFonts w:ascii="Times New Roman" w:hAnsi="Times New Roman" w:cs="Times New Roman" w:eastAsia="Times New Roman" w:hint="default"/>
          <w:spacing w:val="-2"/>
        </w:rPr>
        <w:t>2</w:t>
      </w:r>
      <w:r>
        <w:rPr>
          <w:spacing w:val="-2"/>
        </w:rPr>
        <w:t>）公司经营所处的经济、技术或者法律等环境以及资产所处的市场在当期或者将在近期发生重大变化，从而对公司</w:t>
      </w:r>
      <w:r>
        <w:rPr/>
        <w:t> 产生不利影响；</w:t>
      </w:r>
    </w:p>
    <w:p>
      <w:pPr>
        <w:pStyle w:val="BodyText"/>
        <w:spacing w:line="300" w:lineRule="auto" w:before="151"/>
        <w:ind w:right="1130" w:firstLine="458"/>
        <w:jc w:val="left"/>
      </w:pPr>
      <w:r>
        <w:rPr>
          <w:spacing w:val="-2"/>
        </w:rPr>
        <w:t>（</w:t>
      </w:r>
      <w:r>
        <w:rPr>
          <w:rFonts w:ascii="Times New Roman" w:hAnsi="Times New Roman" w:cs="Times New Roman" w:eastAsia="Times New Roman" w:hint="default"/>
          <w:spacing w:val="-2"/>
        </w:rPr>
        <w:t>3</w:t>
      </w:r>
      <w:r>
        <w:rPr>
          <w:spacing w:val="-2"/>
        </w:rPr>
        <w:t>）市场利率或者其他市场投资报酬率在当期已经提高，从而影响公司计算资产预计未来现金流量现值的折现率，导</w:t>
      </w:r>
      <w:r>
        <w:rPr/>
        <w:t> 致资产可收回金额大幅度降低；</w:t>
      </w:r>
    </w:p>
    <w:p>
      <w:pPr>
        <w:spacing w:after="0" w:line="300" w:lineRule="auto"/>
        <w:jc w:val="left"/>
        <w:sectPr>
          <w:pgSz w:w="11910" w:h="16840"/>
          <w:pgMar w:header="745" w:footer="979" w:top="1060" w:bottom="1160" w:left="980" w:right="0"/>
        </w:sectPr>
      </w:pPr>
    </w:p>
    <w:p>
      <w:pPr>
        <w:spacing w:line="240" w:lineRule="auto" w:before="9"/>
        <w:rPr>
          <w:rFonts w:ascii="宋体" w:hAnsi="宋体" w:cs="宋体" w:eastAsia="宋体" w:hint="default"/>
          <w:sz w:val="25"/>
          <w:szCs w:val="25"/>
        </w:rPr>
      </w:pPr>
    </w:p>
    <w:p>
      <w:pPr>
        <w:pStyle w:val="BodyText"/>
        <w:spacing w:line="240" w:lineRule="auto" w:before="44"/>
        <w:ind w:left="611" w:right="982"/>
        <w:jc w:val="left"/>
      </w:pPr>
      <w:r>
        <w:rPr/>
        <w:t>（</w:t>
      </w:r>
      <w:r>
        <w:rPr>
          <w:rFonts w:ascii="Times New Roman" w:hAnsi="Times New Roman" w:cs="Times New Roman" w:eastAsia="Times New Roman" w:hint="default"/>
        </w:rPr>
        <w:t>4</w:t>
      </w:r>
      <w:r>
        <w:rPr/>
        <w:t>）有证据表明资产已经陈旧过时或者其实体已经损坏；</w:t>
      </w:r>
    </w:p>
    <w:p>
      <w:pPr>
        <w:spacing w:line="240" w:lineRule="auto" w:before="0"/>
        <w:rPr>
          <w:rFonts w:ascii="宋体" w:hAnsi="宋体" w:cs="宋体" w:eastAsia="宋体" w:hint="default"/>
          <w:sz w:val="14"/>
          <w:szCs w:val="14"/>
        </w:rPr>
      </w:pPr>
    </w:p>
    <w:p>
      <w:pPr>
        <w:pStyle w:val="BodyText"/>
        <w:spacing w:line="240" w:lineRule="auto"/>
        <w:ind w:left="611" w:right="982"/>
        <w:jc w:val="left"/>
      </w:pPr>
      <w:r>
        <w:rPr/>
        <w:t>（</w:t>
      </w:r>
      <w:r>
        <w:rPr>
          <w:rFonts w:ascii="Times New Roman" w:hAnsi="Times New Roman" w:cs="Times New Roman" w:eastAsia="Times New Roman" w:hint="default"/>
        </w:rPr>
        <w:t>5</w:t>
      </w:r>
      <w:r>
        <w:rPr/>
        <w:t>）资产已经或者将被闲置、终止使用或者计划提前处置；</w:t>
      </w:r>
    </w:p>
    <w:p>
      <w:pPr>
        <w:spacing w:line="240" w:lineRule="auto" w:before="13"/>
        <w:rPr>
          <w:rFonts w:ascii="宋体" w:hAnsi="宋体" w:cs="宋体" w:eastAsia="宋体" w:hint="default"/>
          <w:sz w:val="13"/>
          <w:szCs w:val="13"/>
        </w:rPr>
      </w:pPr>
    </w:p>
    <w:p>
      <w:pPr>
        <w:pStyle w:val="BodyText"/>
        <w:spacing w:line="300" w:lineRule="auto"/>
        <w:ind w:right="1132" w:firstLine="458"/>
        <w:jc w:val="both"/>
      </w:pPr>
      <w:r>
        <w:rPr>
          <w:spacing w:val="-2"/>
        </w:rPr>
        <w:t>（</w:t>
      </w:r>
      <w:r>
        <w:rPr>
          <w:rFonts w:ascii="Times New Roman" w:hAnsi="Times New Roman" w:cs="Times New Roman" w:eastAsia="Times New Roman" w:hint="default"/>
          <w:spacing w:val="-2"/>
        </w:rPr>
        <w:t>6</w:t>
      </w:r>
      <w:r>
        <w:rPr>
          <w:spacing w:val="-2"/>
        </w:rPr>
        <w:t>）公司内部报告的证据表明资产的经济绩效已经低于或者将低于预期，如资产所创造的净现金流量或者实现的营业</w:t>
      </w:r>
      <w:r>
        <w:rPr/>
        <w:t> 利润（或者亏损）远远低于（或者高于）预计金额等；</w:t>
      </w:r>
    </w:p>
    <w:p>
      <w:pPr>
        <w:pStyle w:val="BodyText"/>
        <w:spacing w:line="240" w:lineRule="auto" w:before="151"/>
        <w:ind w:left="611" w:right="982"/>
        <w:jc w:val="left"/>
      </w:pPr>
      <w:r>
        <w:rPr/>
        <w:t>（</w:t>
      </w:r>
      <w:r>
        <w:rPr>
          <w:rFonts w:ascii="Times New Roman" w:hAnsi="Times New Roman" w:cs="Times New Roman" w:eastAsia="Times New Roman" w:hint="default"/>
        </w:rPr>
        <w:t>7</w:t>
      </w:r>
      <w:r>
        <w:rPr/>
        <w:t>）其他表明资产可能已经发生减值的迹象。</w:t>
      </w:r>
    </w:p>
    <w:p>
      <w:pPr>
        <w:spacing w:line="240" w:lineRule="auto" w:before="2"/>
        <w:rPr>
          <w:rFonts w:ascii="宋体" w:hAnsi="宋体" w:cs="宋体" w:eastAsia="宋体" w:hint="default"/>
          <w:sz w:val="26"/>
          <w:szCs w:val="26"/>
        </w:rPr>
      </w:pPr>
    </w:p>
    <w:p>
      <w:pPr>
        <w:pStyle w:val="Heading4"/>
        <w:spacing w:line="240" w:lineRule="auto"/>
        <w:ind w:right="982"/>
        <w:jc w:val="left"/>
        <w:rPr>
          <w:b w:val="0"/>
          <w:bCs w:val="0"/>
        </w:rPr>
      </w:pPr>
      <w:r>
        <w:rPr>
          <w:rFonts w:ascii="Times New Roman" w:hAnsi="Times New Roman" w:cs="Times New Roman" w:eastAsia="Times New Roman" w:hint="default"/>
        </w:rPr>
        <w:t>23</w:t>
      </w:r>
      <w:r>
        <w:rPr/>
        <w:t>、长期待摊费用</w:t>
      </w:r>
      <w:r>
        <w:rPr>
          <w:b w:val="0"/>
          <w:bCs w:val="0"/>
        </w:rPr>
      </w:r>
    </w:p>
    <w:p>
      <w:pPr>
        <w:spacing w:line="240" w:lineRule="auto" w:before="4"/>
        <w:rPr>
          <w:rFonts w:ascii="宋体" w:hAnsi="宋体" w:cs="宋体" w:eastAsia="宋体" w:hint="default"/>
          <w:b/>
          <w:bCs/>
          <w:sz w:val="26"/>
          <w:szCs w:val="26"/>
        </w:rPr>
      </w:pPr>
    </w:p>
    <w:p>
      <w:pPr>
        <w:pStyle w:val="BodyText"/>
        <w:spacing w:line="300" w:lineRule="auto"/>
        <w:ind w:right="1130" w:firstLine="439"/>
        <w:jc w:val="both"/>
      </w:pPr>
      <w:r>
        <w:rPr/>
        <w:t>本集团的长期待摊费用包括经营租入固定资产改良支出及其他已经支出，但应由当期及以后各期承担的摊销期限在</w:t>
      </w:r>
      <w:r>
        <w:rPr>
          <w:rFonts w:ascii="Times New Roman" w:hAnsi="Times New Roman" w:cs="Times New Roman" w:eastAsia="Times New Roman" w:hint="default"/>
        </w:rPr>
        <w:t>1 </w:t>
      </w:r>
      <w:r>
        <w:rPr/>
        <w:t>年以上（不含</w:t>
      </w:r>
      <w:r>
        <w:rPr>
          <w:rFonts w:ascii="Times New Roman" w:hAnsi="Times New Roman" w:cs="Times New Roman" w:eastAsia="Times New Roman" w:hint="default"/>
        </w:rPr>
        <w:t>1</w:t>
      </w:r>
      <w:r>
        <w:rPr/>
        <w:t>年）的各项费用，该等费用在受益期内平均摊销。如果长期待摊费用项目不能使以后会计期间受益，则将尚</w:t>
      </w:r>
      <w:r>
        <w:rPr>
          <w:spacing w:val="-84"/>
        </w:rPr>
        <w:t> </w:t>
      </w:r>
      <w:r>
        <w:rPr>
          <w:spacing w:val="-84"/>
        </w:rPr>
      </w:r>
      <w:r>
        <w:rPr/>
        <w:t>未摊销的该项目的摊余价值全部转入当期损益。</w:t>
      </w:r>
    </w:p>
    <w:p>
      <w:pPr>
        <w:spacing w:line="240" w:lineRule="auto" w:before="10"/>
        <w:rPr>
          <w:rFonts w:ascii="宋体" w:hAnsi="宋体" w:cs="宋体" w:eastAsia="宋体" w:hint="default"/>
          <w:sz w:val="23"/>
          <w:szCs w:val="23"/>
        </w:rPr>
      </w:pPr>
    </w:p>
    <w:p>
      <w:pPr>
        <w:pStyle w:val="Heading4"/>
        <w:spacing w:line="240" w:lineRule="auto"/>
        <w:ind w:right="982"/>
        <w:jc w:val="left"/>
        <w:rPr>
          <w:b w:val="0"/>
          <w:bCs w:val="0"/>
        </w:rPr>
      </w:pPr>
      <w:r>
        <w:rPr>
          <w:rFonts w:ascii="Times New Roman" w:hAnsi="Times New Roman" w:cs="Times New Roman" w:eastAsia="Times New Roman" w:hint="default"/>
        </w:rPr>
        <w:t>24</w:t>
      </w:r>
      <w:r>
        <w:rPr/>
        <w:t>、职工薪酬</w:t>
      </w:r>
      <w:r>
        <w:rPr>
          <w:b w:val="0"/>
          <w:bCs w:val="0"/>
        </w:rPr>
      </w:r>
    </w:p>
    <w:p>
      <w:pPr>
        <w:spacing w:line="240" w:lineRule="auto" w:before="7"/>
        <w:rPr>
          <w:rFonts w:ascii="宋体" w:hAnsi="宋体" w:cs="宋体" w:eastAsia="宋体" w:hint="default"/>
          <w:b/>
          <w:bCs/>
          <w:sz w:val="24"/>
          <w:szCs w:val="24"/>
        </w:rPr>
      </w:pPr>
    </w:p>
    <w:p>
      <w:pPr>
        <w:pStyle w:val="Heading4"/>
        <w:spacing w:line="240" w:lineRule="auto"/>
        <w:ind w:right="982"/>
        <w:jc w:val="left"/>
        <w:rPr>
          <w:b w:val="0"/>
          <w:bCs w:val="0"/>
        </w:rPr>
      </w:pPr>
      <w:r>
        <w:rPr/>
        <w:t>（</w:t>
      </w:r>
      <w:r>
        <w:rPr>
          <w:rFonts w:ascii="Times New Roman" w:hAnsi="Times New Roman" w:cs="Times New Roman" w:eastAsia="Times New Roman" w:hint="default"/>
        </w:rPr>
        <w:t>1</w:t>
      </w:r>
      <w:r>
        <w:rPr/>
        <w:t>）短期薪酬的会计处理方法</w:t>
      </w:r>
      <w:r>
        <w:rPr>
          <w:b w:val="0"/>
          <w:bCs w:val="0"/>
        </w:rPr>
      </w:r>
    </w:p>
    <w:p>
      <w:pPr>
        <w:spacing w:line="240" w:lineRule="auto" w:before="4"/>
        <w:rPr>
          <w:rFonts w:ascii="宋体" w:hAnsi="宋体" w:cs="宋体" w:eastAsia="宋体" w:hint="default"/>
          <w:b/>
          <w:bCs/>
          <w:sz w:val="26"/>
          <w:szCs w:val="26"/>
        </w:rPr>
      </w:pPr>
    </w:p>
    <w:p>
      <w:pPr>
        <w:pStyle w:val="BodyText"/>
        <w:spacing w:line="316" w:lineRule="auto"/>
        <w:ind w:right="1131" w:firstLine="300"/>
        <w:jc w:val="both"/>
      </w:pPr>
      <w:r>
        <w:rPr>
          <w:spacing w:val="-4"/>
        </w:rPr>
        <w:t>短期薪酬具体包括：职工工资、奖金、津贴和补贴，职工福利费，医疗保险费、工伤保险费和生育保险费等社会保险费，</w:t>
      </w:r>
      <w:r>
        <w:rPr/>
        <w:t> </w:t>
      </w:r>
      <w:r>
        <w:rPr>
          <w:spacing w:val="-2"/>
        </w:rPr>
        <w:t>住房公积金，工会经费和职工教育经费，短期带薪缺勤及其他短期薪酬等。本集团在职工提供服务的会计期间，将应付的短</w:t>
      </w:r>
      <w:r>
        <w:rPr>
          <w:spacing w:val="-65"/>
        </w:rPr>
        <w:t> </w:t>
      </w:r>
      <w:r>
        <w:rPr>
          <w:spacing w:val="-65"/>
        </w:rPr>
      </w:r>
      <w:r>
        <w:rPr/>
        <w:t>期薪酬确认为负债，并根据职工提供服务的受益对象计入相关资产成本和费用。</w:t>
      </w:r>
    </w:p>
    <w:p>
      <w:pPr>
        <w:spacing w:line="240" w:lineRule="auto" w:before="10"/>
        <w:rPr>
          <w:rFonts w:ascii="宋体" w:hAnsi="宋体" w:cs="宋体" w:eastAsia="宋体" w:hint="default"/>
          <w:sz w:val="22"/>
          <w:szCs w:val="22"/>
        </w:rPr>
      </w:pPr>
    </w:p>
    <w:p>
      <w:pPr>
        <w:pStyle w:val="Heading4"/>
        <w:spacing w:line="240" w:lineRule="auto"/>
        <w:ind w:right="982"/>
        <w:jc w:val="left"/>
        <w:rPr>
          <w:b w:val="0"/>
          <w:bCs w:val="0"/>
        </w:rPr>
      </w:pPr>
      <w:r>
        <w:rPr/>
        <w:t>（</w:t>
      </w:r>
      <w:r>
        <w:rPr>
          <w:rFonts w:ascii="Times New Roman" w:hAnsi="Times New Roman" w:cs="Times New Roman" w:eastAsia="Times New Roman" w:hint="default"/>
        </w:rPr>
        <w:t>2</w:t>
      </w:r>
      <w:r>
        <w:rPr/>
        <w:t>）离职后福利的会计处理方法</w:t>
      </w:r>
      <w:r>
        <w:rPr>
          <w:b w:val="0"/>
          <w:bCs w:val="0"/>
        </w:rPr>
      </w:r>
    </w:p>
    <w:p>
      <w:pPr>
        <w:spacing w:line="240" w:lineRule="auto" w:before="2"/>
        <w:rPr>
          <w:rFonts w:ascii="宋体" w:hAnsi="宋体" w:cs="宋体" w:eastAsia="宋体" w:hint="default"/>
          <w:b/>
          <w:bCs/>
          <w:sz w:val="26"/>
          <w:szCs w:val="26"/>
        </w:rPr>
      </w:pPr>
    </w:p>
    <w:p>
      <w:pPr>
        <w:pStyle w:val="BodyText"/>
        <w:spacing w:line="316" w:lineRule="auto"/>
        <w:ind w:right="1132" w:firstLine="432"/>
        <w:jc w:val="both"/>
      </w:pPr>
      <w:r>
        <w:rPr>
          <w:spacing w:val="-3"/>
        </w:rPr>
        <w:t>离职后福利包括养老保险、年金、失业保险以及其他离职后福利。按照公司承担的风险和义务，分类为设定提存计划、</w:t>
      </w:r>
      <w:r>
        <w:rPr/>
        <w:t> </w:t>
      </w:r>
      <w:r>
        <w:rPr>
          <w:spacing w:val="-2"/>
        </w:rPr>
        <w:t>设定受益计划。对于设定提存计划在根据在资产负债表日为换取职工在会计期间提供的服务而向单独主体缴存的提存金确认</w:t>
      </w:r>
      <w:r>
        <w:rPr>
          <w:spacing w:val="-64"/>
        </w:rPr>
        <w:t> </w:t>
      </w:r>
      <w:r>
        <w:rPr>
          <w:spacing w:val="-64"/>
        </w:rPr>
      </w:r>
      <w:r>
        <w:rPr/>
        <w:t>为负债，并按照受益对象计入当期损益或相关资产成本。</w:t>
      </w:r>
    </w:p>
    <w:p>
      <w:pPr>
        <w:spacing w:line="240" w:lineRule="auto" w:before="10"/>
        <w:rPr>
          <w:rFonts w:ascii="宋体" w:hAnsi="宋体" w:cs="宋体" w:eastAsia="宋体" w:hint="default"/>
          <w:sz w:val="22"/>
          <w:szCs w:val="22"/>
        </w:rPr>
      </w:pPr>
    </w:p>
    <w:p>
      <w:pPr>
        <w:pStyle w:val="Heading4"/>
        <w:spacing w:line="240" w:lineRule="auto"/>
        <w:ind w:right="982"/>
        <w:jc w:val="left"/>
        <w:rPr>
          <w:b w:val="0"/>
          <w:bCs w:val="0"/>
        </w:rPr>
      </w:pPr>
      <w:r>
        <w:rPr/>
        <w:t>（</w:t>
      </w:r>
      <w:r>
        <w:rPr>
          <w:rFonts w:ascii="Times New Roman" w:hAnsi="Times New Roman" w:cs="Times New Roman" w:eastAsia="Times New Roman" w:hint="default"/>
        </w:rPr>
        <w:t>3</w:t>
      </w:r>
      <w:r>
        <w:rPr/>
        <w:t>）辞退福利的会计处理方法</w:t>
      </w:r>
      <w:r>
        <w:rPr>
          <w:b w:val="0"/>
          <w:bCs w:val="0"/>
        </w:rPr>
      </w:r>
    </w:p>
    <w:p>
      <w:pPr>
        <w:spacing w:line="240" w:lineRule="auto" w:before="4"/>
        <w:rPr>
          <w:rFonts w:ascii="宋体" w:hAnsi="宋体" w:cs="宋体" w:eastAsia="宋体" w:hint="default"/>
          <w:b/>
          <w:bCs/>
          <w:sz w:val="26"/>
          <w:szCs w:val="26"/>
        </w:rPr>
      </w:pPr>
    </w:p>
    <w:p>
      <w:pPr>
        <w:pStyle w:val="BodyText"/>
        <w:spacing w:line="316" w:lineRule="auto"/>
        <w:ind w:right="0" w:firstLine="300"/>
        <w:jc w:val="left"/>
      </w:pPr>
      <w:r>
        <w:rPr>
          <w:spacing w:val="-1"/>
        </w:rPr>
        <w:t>辞退福利是指在职工劳动合同到期之前决定解除与职工的劳动关系，或为鼓励职工自愿接受裁减而提出给予补偿的建议，</w:t>
      </w:r>
      <w:r>
        <w:rPr/>
        <w:t> 如果本集团已经制定正式的解除劳动关系计划或提出自愿裁减建议，并即将实施，同时本集团不能单方面撤回解除劳动关系 计划或裁减建议的，确认因解除与职工劳动关系给予补偿产生的预计负债，计入当期损益。</w:t>
      </w:r>
    </w:p>
    <w:p>
      <w:pPr>
        <w:spacing w:line="240" w:lineRule="auto" w:before="10"/>
        <w:rPr>
          <w:rFonts w:ascii="宋体" w:hAnsi="宋体" w:cs="宋体" w:eastAsia="宋体" w:hint="default"/>
          <w:sz w:val="22"/>
          <w:szCs w:val="22"/>
        </w:rPr>
      </w:pPr>
    </w:p>
    <w:p>
      <w:pPr>
        <w:pStyle w:val="Heading4"/>
        <w:spacing w:line="240" w:lineRule="auto"/>
        <w:ind w:right="982"/>
        <w:jc w:val="left"/>
        <w:rPr>
          <w:b w:val="0"/>
          <w:bCs w:val="0"/>
        </w:rPr>
      </w:pPr>
      <w:r>
        <w:rPr/>
        <w:t>（</w:t>
      </w:r>
      <w:r>
        <w:rPr>
          <w:rFonts w:ascii="Times New Roman" w:hAnsi="Times New Roman" w:cs="Times New Roman" w:eastAsia="Times New Roman" w:hint="default"/>
        </w:rPr>
        <w:t>4</w:t>
      </w:r>
      <w:r>
        <w:rPr/>
        <w:t>）其他长期职工福利的会计处理方法</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left="369" w:right="982"/>
        <w:jc w:val="left"/>
      </w:pPr>
      <w:r>
        <w:rPr/>
        <w:t>其他长期职工福利，是指除短期薪酬、离职后福利、辞退福利之外所有的职工薪酬。</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rFonts w:ascii="Times New Roman" w:hAnsi="Times New Roman" w:cs="Times New Roman" w:eastAsia="Times New Roman" w:hint="default"/>
        </w:rPr>
        <w:t>25</w:t>
      </w:r>
      <w:r>
        <w:rPr/>
        <w:t>、预计负债</w:t>
      </w:r>
      <w:r>
        <w:rPr>
          <w:b w:val="0"/>
          <w:bCs w:val="0"/>
        </w:rPr>
      </w:r>
    </w:p>
    <w:p>
      <w:pPr>
        <w:spacing w:line="240" w:lineRule="auto" w:before="4"/>
        <w:rPr>
          <w:rFonts w:ascii="宋体" w:hAnsi="宋体" w:cs="宋体" w:eastAsia="宋体" w:hint="default"/>
          <w:b/>
          <w:bCs/>
          <w:sz w:val="26"/>
          <w:szCs w:val="26"/>
        </w:rPr>
      </w:pPr>
    </w:p>
    <w:p>
      <w:pPr>
        <w:pStyle w:val="BodyText"/>
        <w:spacing w:line="316" w:lineRule="auto"/>
        <w:ind w:right="1130" w:firstLine="439"/>
        <w:jc w:val="both"/>
      </w:pPr>
      <w:r>
        <w:rPr/>
        <w:t>当与对外担保、商业承兑汇票贴现、未决诉讼或仲裁、产品质量保证等或有事项相关的业务同时符合以下条件时，本 </w:t>
      </w:r>
      <w:r>
        <w:rPr>
          <w:spacing w:val="-2"/>
        </w:rPr>
        <w:t>集团将其确认为负债：该义务是本集团承担的现时义务；该义务的履行很可能导致经济利益流出企业；该义务的金额能够可</w:t>
      </w:r>
      <w:r>
        <w:rPr>
          <w:spacing w:val="-63"/>
        </w:rPr>
        <w:t> </w:t>
      </w:r>
      <w:r>
        <w:rPr>
          <w:spacing w:val="-63"/>
        </w:rPr>
      </w:r>
      <w:r>
        <w:rPr/>
        <w:t>靠地计量。</w:t>
      </w:r>
    </w:p>
    <w:p>
      <w:pPr>
        <w:pStyle w:val="BodyText"/>
        <w:spacing w:line="316" w:lineRule="auto" w:before="139"/>
        <w:ind w:right="1130" w:firstLine="439"/>
        <w:jc w:val="both"/>
      </w:pPr>
      <w:r>
        <w:rPr/>
        <w:t>预计负债按照履行相关现时义务所需支出的最佳估计数进行初始计量，并综合考虑与或有事项有关的风险、不确定性 </w:t>
      </w:r>
      <w:r>
        <w:rPr>
          <w:spacing w:val="-2"/>
        </w:rPr>
        <w:t>和货币时间价值等因素。货币时间价值影响重大的，通过对相关未来现金流出进行折现后确定最佳估计数。每个资产负债表</w:t>
      </w:r>
    </w:p>
    <w:p>
      <w:pPr>
        <w:spacing w:after="0" w:line="316" w:lineRule="auto"/>
        <w:jc w:val="both"/>
        <w:sectPr>
          <w:pgSz w:w="11910" w:h="16840"/>
          <w:pgMar w:header="745" w:footer="979" w:top="1060" w:bottom="1160" w:left="980" w:right="0"/>
        </w:sectPr>
      </w:pPr>
    </w:p>
    <w:p>
      <w:pPr>
        <w:spacing w:line="240" w:lineRule="auto" w:before="9"/>
        <w:rPr>
          <w:rFonts w:ascii="宋体" w:hAnsi="宋体" w:cs="宋体" w:eastAsia="宋体" w:hint="default"/>
          <w:sz w:val="25"/>
          <w:szCs w:val="25"/>
        </w:rPr>
      </w:pPr>
    </w:p>
    <w:p>
      <w:pPr>
        <w:pStyle w:val="BodyText"/>
        <w:spacing w:line="240" w:lineRule="auto" w:before="44"/>
        <w:ind w:right="982"/>
        <w:jc w:val="left"/>
      </w:pPr>
      <w:r>
        <w:rPr/>
        <w:t>日对预计负债的账面价值进行复核，如有改变则对账面价值进行调整以反映当前最佳估计数。</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rFonts w:ascii="Times New Roman" w:hAnsi="Times New Roman" w:cs="Times New Roman" w:eastAsia="Times New Roman" w:hint="default"/>
        </w:rPr>
        <w:t>26</w:t>
      </w:r>
      <w:r>
        <w:rPr/>
        <w:t>、股份支付</w:t>
      </w:r>
      <w:r>
        <w:rPr>
          <w:b w:val="0"/>
          <w:bCs w:val="0"/>
        </w:rPr>
      </w:r>
    </w:p>
    <w:p>
      <w:pPr>
        <w:spacing w:line="240" w:lineRule="auto" w:before="4"/>
        <w:rPr>
          <w:rFonts w:ascii="宋体" w:hAnsi="宋体" w:cs="宋体" w:eastAsia="宋体" w:hint="default"/>
          <w:b/>
          <w:bCs/>
          <w:sz w:val="26"/>
          <w:szCs w:val="26"/>
        </w:rPr>
      </w:pPr>
    </w:p>
    <w:p>
      <w:pPr>
        <w:pStyle w:val="BodyText"/>
        <w:spacing w:line="316" w:lineRule="auto"/>
        <w:ind w:right="1131" w:firstLine="439"/>
        <w:jc w:val="both"/>
      </w:pPr>
      <w:r>
        <w:rPr/>
        <w:t>用以换取职工提供服务的以权益结算的股份支付，以授予职工权益工具在授予日的公允价值计量。该公允价值的金额 </w:t>
      </w:r>
      <w:r>
        <w:rPr>
          <w:spacing w:val="-2"/>
        </w:rPr>
        <w:t>在完成等待期内的服务或达到规定业绩条件才可行权的情况下，在等待期内以对可行权权益工具数量的最佳估计为基础，按</w:t>
      </w:r>
      <w:r>
        <w:rPr>
          <w:spacing w:val="-62"/>
        </w:rPr>
        <w:t> </w:t>
      </w:r>
      <w:r>
        <w:rPr>
          <w:spacing w:val="-62"/>
        </w:rPr>
      </w:r>
      <w:r>
        <w:rPr/>
        <w:t>直线法计算计入相关成本或费用，相应增加资本公积。</w:t>
      </w:r>
    </w:p>
    <w:p>
      <w:pPr>
        <w:pStyle w:val="BodyText"/>
        <w:spacing w:line="319" w:lineRule="auto" w:before="139"/>
        <w:ind w:right="1132" w:firstLine="439"/>
        <w:jc w:val="both"/>
      </w:pPr>
      <w:r>
        <w:rPr/>
        <w:t>以限制性股票方式计算的股份支付，职工出资认购的股票在达到解锁条件并解锁前不得上市流通或转让；如果最终股 </w:t>
      </w:r>
      <w:r>
        <w:rPr>
          <w:spacing w:val="-2"/>
        </w:rPr>
        <w:t>权激励计划规定的解锁条件未能达到，则本集团按照事先约定的价格回购股票。本集团取得职工认购限制性股票支付的款项</w:t>
      </w:r>
      <w:r>
        <w:rPr>
          <w:spacing w:val="-64"/>
        </w:rPr>
        <w:t> </w:t>
      </w:r>
      <w:r>
        <w:rPr>
          <w:spacing w:val="-64"/>
        </w:rPr>
      </w:r>
      <w:r>
        <w:rPr>
          <w:spacing w:val="-2"/>
        </w:rPr>
        <w:t>时，按照取得的认股款确认股本和资本公积（股本溢价），同时就回购义务全额确认一项负债并确认库存股。本集团未达到</w:t>
      </w:r>
      <w:r>
        <w:rPr>
          <w:spacing w:val="-65"/>
        </w:rPr>
        <w:t> </w:t>
      </w:r>
      <w:r>
        <w:rPr>
          <w:spacing w:val="-65"/>
        </w:rPr>
      </w:r>
      <w:r>
        <w:rPr/>
        <w:t>限制性股票解锁条件而需回购股票时，根据回购股票所需支付的金额减少货币资金并冲减已确认的负债，同时根据本附注</w:t>
      </w:r>
      <w:r>
        <w:rPr>
          <w:spacing w:val="-11"/>
        </w:rPr>
        <w:t> </w:t>
      </w:r>
      <w:r>
        <w:rPr>
          <w:spacing w:val="-11"/>
        </w:rPr>
      </w:r>
      <w:r>
        <w:rPr>
          <w:rFonts w:ascii="Times New Roman" w:hAnsi="Times New Roman" w:cs="Times New Roman" w:eastAsia="Times New Roman" w:hint="default"/>
        </w:rPr>
        <w:t>“</w:t>
      </w:r>
      <w:r>
        <w:rPr/>
        <w:t>五</w:t>
      </w:r>
      <w:r>
        <w:rPr>
          <w:rFonts w:ascii="Times New Roman" w:hAnsi="Times New Roman" w:cs="Times New Roman" w:eastAsia="Times New Roman" w:hint="default"/>
        </w:rPr>
        <w:t>.32</w:t>
      </w:r>
      <w:r>
        <w:rPr/>
        <w:t>（</w:t>
      </w:r>
      <w:r>
        <w:rPr>
          <w:rFonts w:ascii="Times New Roman" w:hAnsi="Times New Roman" w:cs="Times New Roman" w:eastAsia="Times New Roman" w:hint="default"/>
        </w:rPr>
        <w:t>2</w:t>
      </w:r>
      <w:r>
        <w:rPr/>
        <w:t>）回购股份</w:t>
      </w:r>
      <w:r>
        <w:rPr>
          <w:rFonts w:ascii="Times New Roman" w:hAnsi="Times New Roman" w:cs="Times New Roman" w:eastAsia="Times New Roman" w:hint="default"/>
        </w:rPr>
        <w:t>”</w:t>
      </w:r>
      <w:r>
        <w:rPr/>
        <w:t>所述，对需注销的限制性股票进行相应的会计处理。</w:t>
      </w:r>
    </w:p>
    <w:p>
      <w:pPr>
        <w:pStyle w:val="BodyText"/>
        <w:spacing w:line="316" w:lineRule="auto" w:before="117"/>
        <w:ind w:right="1130" w:firstLine="439"/>
        <w:jc w:val="both"/>
      </w:pPr>
      <w:r>
        <w:rPr/>
        <w:t>以现金结算的股份支付，按照本集团承担的以股份或其他权益工具为基础确定的负债的公允价值计量。如授予后立即 </w:t>
      </w:r>
      <w:r>
        <w:rPr>
          <w:spacing w:val="-2"/>
        </w:rPr>
        <w:t>可行权，在授予日以承担负债的公允价值计入相关成本或费用，相应增加负债；如需完成等待期内的服务或达到规定业绩条</w:t>
      </w:r>
      <w:r>
        <w:rPr>
          <w:spacing w:val="-66"/>
        </w:rPr>
        <w:t> </w:t>
      </w:r>
      <w:r>
        <w:rPr>
          <w:spacing w:val="-66"/>
        </w:rPr>
      </w:r>
      <w:r>
        <w:rPr>
          <w:spacing w:val="-5"/>
        </w:rPr>
        <w:t>件以后才可行权，在等待期的每个资产负债表日，以对可行权情况的最佳估计为基础，按照本集团承担负债的公允价值金额，</w:t>
      </w:r>
      <w:r>
        <w:rPr>
          <w:spacing w:val="-76"/>
        </w:rPr>
        <w:t> </w:t>
      </w:r>
      <w:r>
        <w:rPr>
          <w:spacing w:val="-76"/>
        </w:rPr>
      </w:r>
      <w:r>
        <w:rPr/>
        <w:t>将当期取得的服务计入成本或费用，相应调整负债。</w:t>
      </w:r>
    </w:p>
    <w:p>
      <w:pPr>
        <w:pStyle w:val="BodyText"/>
        <w:spacing w:line="432" w:lineRule="exact" w:before="3"/>
        <w:ind w:left="592" w:right="1134"/>
        <w:jc w:val="left"/>
      </w:pPr>
      <w:r>
        <w:rPr/>
        <w:t>在相关负债结算前的每个资产负债表日以及结算日，对负债的公允价值重新计量，其变动计入当期损益。 本集团在等待期内取消所授予权益工具的（因未满足可行权条件而被取消的除外），作为加速行权处理，即视同剩余</w:t>
      </w:r>
    </w:p>
    <w:p>
      <w:pPr>
        <w:pStyle w:val="BodyText"/>
        <w:spacing w:line="240" w:lineRule="auto" w:before="15"/>
        <w:ind w:right="982"/>
        <w:jc w:val="left"/>
      </w:pPr>
      <w:r>
        <w:rPr/>
        <w:t>等待期内的股权支付计划已经全部满足可行权条件，在取消所授予权益工具的当期确认剩余等待期内的所有费用。</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rFonts w:ascii="Times New Roman" w:hAnsi="Times New Roman" w:cs="Times New Roman" w:eastAsia="Times New Roman" w:hint="default"/>
        </w:rPr>
        <w:t>27</w:t>
      </w:r>
      <w:r>
        <w:rPr/>
        <w:t>、优先股、永续债等其他金融工具</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982"/>
        <w:jc w:val="left"/>
      </w:pPr>
      <w:r>
        <w:rPr/>
        <w:t>不适用</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rFonts w:ascii="Times New Roman" w:hAnsi="Times New Roman" w:cs="Times New Roman" w:eastAsia="Times New Roman" w:hint="default"/>
        </w:rPr>
        <w:t>28</w:t>
      </w:r>
      <w:r>
        <w:rPr/>
        <w:t>、收入</w:t>
      </w:r>
      <w:r>
        <w:rPr>
          <w:b w:val="0"/>
          <w:bCs w:val="0"/>
        </w:rPr>
      </w:r>
    </w:p>
    <w:p>
      <w:pPr>
        <w:spacing w:line="240" w:lineRule="auto" w:before="4"/>
        <w:rPr>
          <w:rFonts w:ascii="宋体" w:hAnsi="宋体" w:cs="宋体" w:eastAsia="宋体" w:hint="default"/>
          <w:b/>
          <w:bCs/>
          <w:sz w:val="26"/>
          <w:szCs w:val="26"/>
        </w:rPr>
      </w:pPr>
    </w:p>
    <w:p>
      <w:pPr>
        <w:pStyle w:val="BodyText"/>
        <w:spacing w:line="357" w:lineRule="auto"/>
        <w:ind w:right="7694"/>
        <w:jc w:val="left"/>
      </w:pPr>
      <w:r>
        <w:rPr/>
        <w:t>公司是否需要遵守特殊行业的披露要求 是</w:t>
      </w:r>
    </w:p>
    <w:p>
      <w:pPr>
        <w:pStyle w:val="BodyText"/>
        <w:spacing w:line="240" w:lineRule="auto" w:before="29"/>
        <w:ind w:right="982"/>
        <w:jc w:val="left"/>
      </w:pPr>
      <w:r>
        <w:rPr/>
        <w:t>软件与信息技术服务业</w:t>
      </w:r>
    </w:p>
    <w:p>
      <w:pPr>
        <w:pStyle w:val="BodyText"/>
        <w:spacing w:line="415" w:lineRule="auto" w:before="117"/>
        <w:ind w:left="592" w:right="1844" w:hanging="440"/>
        <w:jc w:val="left"/>
      </w:pPr>
      <w:r>
        <w:rPr/>
        <w:t>公司需遵守《深圳证券交易所行业信息披露指引第</w:t>
      </w:r>
      <w:r>
        <w:rPr>
          <w:spacing w:val="-45"/>
        </w:rPr>
        <w:t> </w:t>
      </w:r>
      <w:r>
        <w:rPr>
          <w:rFonts w:ascii="Times New Roman" w:hAnsi="Times New Roman" w:cs="Times New Roman" w:eastAsia="Times New Roman" w:hint="default"/>
        </w:rPr>
        <w:t>12 </w:t>
      </w:r>
      <w:r>
        <w:rPr/>
        <w:t>号</w:t>
      </w:r>
      <w:r>
        <w:rPr>
          <w:rFonts w:ascii="Times New Roman" w:hAnsi="Times New Roman" w:cs="Times New Roman" w:eastAsia="Times New Roman" w:hint="default"/>
        </w:rPr>
        <w:t>——</w:t>
      </w:r>
      <w:r>
        <w:rPr/>
        <w:t>上市公司从事软件与信息技术服务业务》的披露要求 本集团的营业收入主要包括销售商品收入、提供劳务收入和让渡资产使用权收入。</w:t>
      </w:r>
    </w:p>
    <w:p>
      <w:pPr>
        <w:pStyle w:val="BodyText"/>
        <w:spacing w:line="240" w:lineRule="auto" w:before="65"/>
        <w:ind w:left="592" w:right="982"/>
        <w:jc w:val="left"/>
      </w:pPr>
      <w:r>
        <w:rPr/>
        <w:t>（</w:t>
      </w:r>
      <w:r>
        <w:rPr>
          <w:rFonts w:ascii="Times New Roman" w:hAnsi="Times New Roman" w:cs="Times New Roman" w:eastAsia="Times New Roman" w:hint="default"/>
        </w:rPr>
        <w:t>1</w:t>
      </w:r>
      <w:r>
        <w:rPr/>
        <w:t>）销售商品收入的确认原则：</w:t>
      </w:r>
    </w:p>
    <w:p>
      <w:pPr>
        <w:spacing w:line="240" w:lineRule="auto" w:before="13"/>
        <w:rPr>
          <w:rFonts w:ascii="宋体" w:hAnsi="宋体" w:cs="宋体" w:eastAsia="宋体" w:hint="default"/>
          <w:sz w:val="13"/>
          <w:szCs w:val="13"/>
        </w:rPr>
      </w:pPr>
    </w:p>
    <w:p>
      <w:pPr>
        <w:pStyle w:val="BodyText"/>
        <w:spacing w:line="316" w:lineRule="auto"/>
        <w:ind w:right="1130" w:firstLine="439"/>
        <w:jc w:val="both"/>
      </w:pPr>
      <w:r>
        <w:rPr/>
        <w:t>本集团在已将商品所有权上的主要风险和报酬转移给购货方、本集团既没有保留通常与所有权相联系的继续管理权、 </w:t>
      </w:r>
      <w:r>
        <w:rPr>
          <w:spacing w:val="-2"/>
        </w:rPr>
        <w:t>也没有对已售出的商品实施有效控制、收入的金额能够可靠地计量、相关的经济利益很可能流入本集团、相关的已发生或将</w:t>
      </w:r>
      <w:r>
        <w:rPr>
          <w:spacing w:val="-63"/>
        </w:rPr>
        <w:t> </w:t>
      </w:r>
      <w:r>
        <w:rPr>
          <w:spacing w:val="-63"/>
        </w:rPr>
      </w:r>
      <w:r>
        <w:rPr/>
        <w:t>发生的成本能够可靠地计量时，确认销售商品收入的实现。</w:t>
      </w:r>
    </w:p>
    <w:p>
      <w:pPr>
        <w:pStyle w:val="BodyText"/>
        <w:spacing w:line="240" w:lineRule="auto" w:before="139"/>
        <w:ind w:left="592" w:right="982"/>
        <w:jc w:val="left"/>
      </w:pPr>
      <w:r>
        <w:rPr/>
        <w:t>本集团销售商品收入主要为导航电子地图及芯片产品、导航软件等销售收入，于产品交付客户所有权转移时确认。</w:t>
      </w:r>
    </w:p>
    <w:p>
      <w:pPr>
        <w:pStyle w:val="BodyText"/>
        <w:spacing w:line="420" w:lineRule="atLeast" w:before="25"/>
        <w:ind w:left="592" w:right="982"/>
        <w:jc w:val="left"/>
      </w:pPr>
      <w:r>
        <w:rPr/>
        <w:t>（</w:t>
      </w:r>
      <w:r>
        <w:rPr>
          <w:rFonts w:ascii="Times New Roman" w:hAnsi="Times New Roman" w:cs="Times New Roman" w:eastAsia="Times New Roman" w:hint="default"/>
        </w:rPr>
        <w:t>2</w:t>
      </w:r>
      <w:r>
        <w:rPr/>
        <w:t>）提供劳务收入的确认原则： </w:t>
      </w:r>
      <w:r>
        <w:rPr>
          <w:spacing w:val="-4"/>
        </w:rPr>
        <w:t>以劳务总收入和总成本能够可靠地计量，与交易相关的经济利益能够流入本集团，劳务的完成程度能够可靠地确定时，</w:t>
      </w:r>
    </w:p>
    <w:p>
      <w:pPr>
        <w:pStyle w:val="BodyText"/>
        <w:spacing w:line="439" w:lineRule="auto" w:before="76"/>
        <w:ind w:left="592" w:right="1134" w:hanging="440"/>
        <w:jc w:val="left"/>
      </w:pPr>
      <w:r>
        <w:rPr/>
        <w:t>确认劳务收入的实现。 在同一年度内开始并完成的劳务，在完成劳务时确认收入；劳务的开始和完成分属不同的会计年度，在提供劳务交易</w:t>
      </w:r>
    </w:p>
    <w:p>
      <w:pPr>
        <w:spacing w:after="0" w:line="439" w:lineRule="auto"/>
        <w:jc w:val="left"/>
        <w:sectPr>
          <w:pgSz w:w="11910" w:h="16840"/>
          <w:pgMar w:header="745" w:footer="979" w:top="1060" w:bottom="1160" w:left="980" w:right="0"/>
        </w:sectPr>
      </w:pPr>
    </w:p>
    <w:p>
      <w:pPr>
        <w:spacing w:line="240" w:lineRule="auto" w:before="9"/>
        <w:rPr>
          <w:rFonts w:ascii="宋体" w:hAnsi="宋体" w:cs="宋体" w:eastAsia="宋体" w:hint="default"/>
          <w:sz w:val="25"/>
          <w:szCs w:val="25"/>
        </w:rPr>
      </w:pPr>
    </w:p>
    <w:p>
      <w:pPr>
        <w:pStyle w:val="BodyText"/>
        <w:spacing w:line="439" w:lineRule="auto" w:before="44"/>
        <w:ind w:left="592" w:right="1034" w:hanging="440"/>
        <w:jc w:val="left"/>
      </w:pPr>
      <w:r>
        <w:rPr/>
        <w:t>的结果能够可靠估计的情况下，于资产负债表日按完工百分比法确认相关的劳务收入，完工百分比按已完工作的测量确认。</w:t>
      </w:r>
      <w:r>
        <w:rPr>
          <w:spacing w:val="-86"/>
        </w:rPr>
        <w:t> </w:t>
      </w:r>
      <w:r>
        <w:rPr>
          <w:spacing w:val="-86"/>
        </w:rPr>
      </w:r>
      <w:r>
        <w:rPr/>
        <w:t>本集团提供劳务收入主要包括动态交通信息服务、车联网及编译服务、位置大数据服务等。 劳务收入于提供服务期间确认。</w:t>
      </w:r>
    </w:p>
    <w:p>
      <w:pPr>
        <w:pStyle w:val="BodyText"/>
        <w:spacing w:line="415" w:lineRule="auto" w:before="47"/>
        <w:ind w:left="592" w:right="1674"/>
        <w:jc w:val="left"/>
      </w:pPr>
      <w:r>
        <w:rPr/>
        <w:t>（</w:t>
      </w:r>
      <w:r>
        <w:rPr>
          <w:rFonts w:ascii="Times New Roman" w:hAnsi="Times New Roman" w:cs="Times New Roman" w:eastAsia="Times New Roman" w:hint="default"/>
        </w:rPr>
        <w:t>3</w:t>
      </w:r>
      <w:r>
        <w:rPr/>
        <w:t>）让渡资产使用权收入的确认原则： 以与交易相关的经济利益能够流入本集团，收入的金额能够可靠地计量时，确认让渡资产使用权收入的实现。</w:t>
      </w:r>
    </w:p>
    <w:p>
      <w:pPr>
        <w:spacing w:line="240" w:lineRule="auto" w:before="2"/>
        <w:rPr>
          <w:rFonts w:ascii="宋体" w:hAnsi="宋体" w:cs="宋体" w:eastAsia="宋体" w:hint="default"/>
          <w:sz w:val="17"/>
          <w:szCs w:val="17"/>
        </w:rPr>
      </w:pPr>
    </w:p>
    <w:p>
      <w:pPr>
        <w:pStyle w:val="Heading4"/>
        <w:spacing w:line="240" w:lineRule="auto"/>
        <w:ind w:right="982"/>
        <w:jc w:val="left"/>
        <w:rPr>
          <w:b w:val="0"/>
          <w:bCs w:val="0"/>
        </w:rPr>
      </w:pPr>
      <w:r>
        <w:rPr>
          <w:rFonts w:ascii="Times New Roman" w:hAnsi="Times New Roman" w:cs="Times New Roman" w:eastAsia="Times New Roman" w:hint="default"/>
        </w:rPr>
        <w:t>29</w:t>
      </w:r>
      <w:r>
        <w:rPr/>
        <w:t>、政府补助</w:t>
      </w:r>
      <w:r>
        <w:rPr>
          <w:b w:val="0"/>
          <w:bCs w:val="0"/>
        </w:rPr>
      </w:r>
    </w:p>
    <w:p>
      <w:pPr>
        <w:spacing w:line="240" w:lineRule="auto" w:before="4"/>
        <w:rPr>
          <w:rFonts w:ascii="宋体" w:hAnsi="宋体" w:cs="宋体" w:eastAsia="宋体" w:hint="default"/>
          <w:b/>
          <w:bCs/>
          <w:sz w:val="26"/>
          <w:szCs w:val="26"/>
        </w:rPr>
      </w:pPr>
    </w:p>
    <w:p>
      <w:pPr>
        <w:pStyle w:val="BodyText"/>
        <w:spacing w:line="316" w:lineRule="auto"/>
        <w:ind w:right="1136" w:firstLine="439"/>
        <w:jc w:val="both"/>
      </w:pPr>
      <w:r>
        <w:rPr/>
        <w:t>本集团的政府补助包括从政府无偿取得的货币性资产或非货币性资产。政府补助在本集团能够满足其所附的条件以及 能够收到时予以确认。</w:t>
      </w:r>
    </w:p>
    <w:p>
      <w:pPr>
        <w:pStyle w:val="BodyText"/>
        <w:spacing w:line="316" w:lineRule="auto" w:before="139"/>
        <w:ind w:right="1136" w:firstLine="439"/>
        <w:jc w:val="both"/>
      </w:pPr>
      <w:r>
        <w:rPr/>
        <w:t>政府补助为货币性资产的，按照实际收到的金额计量，对于按照固定的定额标准拨付的补助，按照应收的金额计量； 政府补助为非货币性资产的，按照公允价值计量，公允价值不能可靠取得的，按照名义金额（</w:t>
      </w:r>
      <w:r>
        <w:rPr>
          <w:rFonts w:ascii="Times New Roman" w:hAnsi="Times New Roman" w:cs="Times New Roman" w:eastAsia="Times New Roman" w:hint="default"/>
        </w:rPr>
        <w:t>1</w:t>
      </w:r>
      <w:r>
        <w:rPr/>
        <w:t>元）计量。</w:t>
      </w:r>
    </w:p>
    <w:p>
      <w:pPr>
        <w:pStyle w:val="BodyText"/>
        <w:spacing w:line="316" w:lineRule="auto" w:before="119"/>
        <w:ind w:right="1130" w:firstLine="439"/>
        <w:jc w:val="both"/>
      </w:pPr>
      <w:r>
        <w:rPr/>
        <w:t>本集团取得的政府补助分为与资产相关的政府补助和与收益相关的政府补助。与资产相关的政府补助，是指本集团取 </w:t>
      </w:r>
      <w:r>
        <w:rPr>
          <w:spacing w:val="-2"/>
        </w:rPr>
        <w:t>得的、用于购建或以其他方式形成长期资产的政府补助；与收益相关的政府补助，是指除与资产相关的政府补助之外的政府</w:t>
      </w:r>
      <w:r>
        <w:rPr>
          <w:spacing w:val="-63"/>
        </w:rPr>
        <w:t> </w:t>
      </w:r>
      <w:r>
        <w:rPr>
          <w:spacing w:val="-63"/>
        </w:rPr>
      </w:r>
      <w:r>
        <w:rPr/>
        <w:t>补助。如果政府相关文件中未明确规定补助对象，本集团按照上述原则进行判断。</w:t>
      </w:r>
    </w:p>
    <w:p>
      <w:pPr>
        <w:pStyle w:val="BodyText"/>
        <w:spacing w:line="432" w:lineRule="exact" w:before="3"/>
        <w:ind w:left="592" w:right="1134"/>
        <w:jc w:val="left"/>
      </w:pPr>
      <w:r>
        <w:rPr/>
        <w:t>与资产相关的政府补助确认为递延收益，在相关资产使用寿命内按照合理、系统的方法分期计入当期损益。 相关资产在使用寿命结束前被出售、转让、报废或发生毁损的，将尚未分配的相关递延收益余额转入资产处置当期的</w:t>
      </w:r>
    </w:p>
    <w:p>
      <w:pPr>
        <w:pStyle w:val="BodyText"/>
        <w:spacing w:line="240" w:lineRule="auto" w:before="15"/>
        <w:ind w:right="982"/>
        <w:jc w:val="left"/>
      </w:pPr>
      <w:r>
        <w:rPr/>
        <w:t>损益。</w:t>
      </w:r>
    </w:p>
    <w:p>
      <w:pPr>
        <w:spacing w:line="240" w:lineRule="auto" w:before="0"/>
        <w:rPr>
          <w:rFonts w:ascii="宋体" w:hAnsi="宋体" w:cs="宋体" w:eastAsia="宋体" w:hint="default"/>
          <w:sz w:val="15"/>
          <w:szCs w:val="15"/>
        </w:rPr>
      </w:pPr>
    </w:p>
    <w:p>
      <w:pPr>
        <w:pStyle w:val="BodyText"/>
        <w:spacing w:line="319" w:lineRule="auto"/>
        <w:ind w:right="1130" w:firstLine="439"/>
        <w:jc w:val="both"/>
      </w:pPr>
      <w:r>
        <w:rPr/>
        <w:t>与收益相关的政府补助，用于补偿已发生的相关成本费用或损失的，计入当期损益或冲减相关成本；用于补偿以后期 </w:t>
      </w:r>
      <w:r>
        <w:rPr>
          <w:spacing w:val="-2"/>
        </w:rPr>
        <w:t>间的相关成本费用或损失的，确认为递延收益，并在确认相关成本费用或损失的期间计入当期损益。与日常活动相关的政府</w:t>
      </w:r>
      <w:r>
        <w:rPr>
          <w:spacing w:val="-63"/>
        </w:rPr>
        <w:t> </w:t>
      </w:r>
      <w:r>
        <w:rPr>
          <w:spacing w:val="-63"/>
        </w:rPr>
      </w:r>
      <w:r>
        <w:rPr/>
        <w:t>补助，按照经济业务实质，计入其他收益。与日常活动无关的政府补助，计入营业外收支。</w:t>
      </w:r>
    </w:p>
    <w:p>
      <w:pPr>
        <w:pStyle w:val="BodyText"/>
        <w:spacing w:line="316" w:lineRule="auto" w:before="137"/>
        <w:ind w:right="1136" w:firstLine="439"/>
        <w:jc w:val="both"/>
      </w:pPr>
      <w:r>
        <w:rPr/>
        <w:t>已确认的政府补助需要返还时，存在相关递延收益余额的，冲减相关递延收益账面余额，超出部分计入当期损益；属 于其他情况的，直接计入当期损益。</w:t>
      </w:r>
    </w:p>
    <w:p>
      <w:pPr>
        <w:spacing w:line="240" w:lineRule="auto" w:before="10"/>
        <w:rPr>
          <w:rFonts w:ascii="宋体" w:hAnsi="宋体" w:cs="宋体" w:eastAsia="宋体" w:hint="default"/>
          <w:sz w:val="22"/>
          <w:szCs w:val="22"/>
        </w:rPr>
      </w:pPr>
    </w:p>
    <w:p>
      <w:pPr>
        <w:pStyle w:val="Heading4"/>
        <w:spacing w:line="240" w:lineRule="auto"/>
        <w:ind w:right="982"/>
        <w:jc w:val="left"/>
        <w:rPr>
          <w:b w:val="0"/>
          <w:bCs w:val="0"/>
        </w:rPr>
      </w:pPr>
      <w:r>
        <w:rPr>
          <w:rFonts w:ascii="Times New Roman" w:hAnsi="Times New Roman" w:cs="Times New Roman" w:eastAsia="Times New Roman" w:hint="default"/>
        </w:rPr>
        <w:t>30</w:t>
      </w:r>
      <w:r>
        <w:rPr/>
        <w:t>、递延所得税资产</w:t>
      </w:r>
      <w:r>
        <w:rPr>
          <w:rFonts w:ascii="Times New Roman" w:hAnsi="Times New Roman" w:cs="Times New Roman" w:eastAsia="Times New Roman" w:hint="default"/>
        </w:rPr>
        <w:t>/</w:t>
      </w:r>
      <w:r>
        <w:rPr/>
        <w:t>递延所得税负债</w:t>
      </w:r>
      <w:r>
        <w:rPr>
          <w:b w:val="0"/>
          <w:bCs w:val="0"/>
        </w:rPr>
      </w:r>
    </w:p>
    <w:p>
      <w:pPr>
        <w:spacing w:line="240" w:lineRule="auto" w:before="2"/>
        <w:rPr>
          <w:rFonts w:ascii="宋体" w:hAnsi="宋体" w:cs="宋体" w:eastAsia="宋体" w:hint="default"/>
          <w:b/>
          <w:bCs/>
          <w:sz w:val="26"/>
          <w:szCs w:val="26"/>
        </w:rPr>
      </w:pPr>
    </w:p>
    <w:p>
      <w:pPr>
        <w:pStyle w:val="BodyText"/>
        <w:spacing w:line="319" w:lineRule="auto"/>
        <w:ind w:right="1131" w:firstLine="439"/>
        <w:jc w:val="both"/>
      </w:pPr>
      <w:r>
        <w:rPr/>
        <w:t>本集团递延所得税资产和递延所得税负债根据资产和负债的计税基础与其账面价值的差额（暂时性差异）计算确认。 </w:t>
      </w:r>
      <w:r>
        <w:rPr>
          <w:spacing w:val="-2"/>
        </w:rPr>
        <w:t>对于按照税法规定能够于以后年度抵减应纳税所得额的可抵扣亏损，确认相应的递延所得税资产。对于商誉的初始确认产生</w:t>
      </w:r>
      <w:r>
        <w:rPr>
          <w:spacing w:val="-63"/>
        </w:rPr>
        <w:t> </w:t>
      </w:r>
      <w:r>
        <w:rPr>
          <w:spacing w:val="-63"/>
        </w:rPr>
      </w:r>
      <w:r>
        <w:rPr>
          <w:spacing w:val="-2"/>
        </w:rPr>
        <w:t>的暂时性差异，不确认相应的递延所得税负债。对于既不影响会计利润也不影响应纳税所得额（或可抵扣亏损）的非企业合</w:t>
      </w:r>
      <w:r>
        <w:rPr>
          <w:spacing w:val="-64"/>
        </w:rPr>
        <w:t> </w:t>
      </w:r>
      <w:r>
        <w:rPr>
          <w:spacing w:val="-64"/>
        </w:rPr>
      </w:r>
      <w:r>
        <w:rPr>
          <w:spacing w:val="-2"/>
        </w:rPr>
        <w:t>并的交易中产生的资产或负债的初始确认形成的暂时性差异，不确认相应的递延所得税资产和递延所得税负债。于资产负债</w:t>
      </w:r>
      <w:r>
        <w:rPr>
          <w:spacing w:val="-64"/>
        </w:rPr>
        <w:t> </w:t>
      </w:r>
      <w:r>
        <w:rPr>
          <w:spacing w:val="-64"/>
        </w:rPr>
      </w:r>
      <w:r>
        <w:rPr/>
        <w:t>表日，递延所得税资产和递延所得税负债，按照预期收回该资产或清偿该负债期间的适用税率计量。</w:t>
      </w:r>
    </w:p>
    <w:p>
      <w:pPr>
        <w:pStyle w:val="BodyText"/>
        <w:spacing w:line="316" w:lineRule="auto" w:before="137"/>
        <w:ind w:right="1136" w:firstLine="439"/>
        <w:jc w:val="both"/>
      </w:pPr>
      <w:r>
        <w:rPr/>
        <w:t>本集团以很可能取得用来抵扣可抵扣暂时性差异、可抵扣亏损和税款抵减的未来应纳税所得额为限，确认递延所得税 资产。</w:t>
      </w:r>
    </w:p>
    <w:p>
      <w:pPr>
        <w:spacing w:line="240" w:lineRule="auto" w:before="10"/>
        <w:rPr>
          <w:rFonts w:ascii="宋体" w:hAnsi="宋体" w:cs="宋体" w:eastAsia="宋体" w:hint="default"/>
          <w:sz w:val="22"/>
          <w:szCs w:val="22"/>
        </w:rPr>
      </w:pPr>
    </w:p>
    <w:p>
      <w:pPr>
        <w:pStyle w:val="Heading4"/>
        <w:spacing w:line="240" w:lineRule="auto"/>
        <w:ind w:right="982"/>
        <w:jc w:val="left"/>
        <w:rPr>
          <w:b w:val="0"/>
          <w:bCs w:val="0"/>
        </w:rPr>
      </w:pPr>
      <w:r>
        <w:rPr>
          <w:rFonts w:ascii="Times New Roman" w:hAnsi="Times New Roman" w:cs="Times New Roman" w:eastAsia="Times New Roman" w:hint="default"/>
        </w:rPr>
        <w:t>31</w:t>
      </w:r>
      <w:r>
        <w:rPr/>
        <w:t>、租赁</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2"/>
        <w:jc w:val="left"/>
        <w:rPr>
          <w:b w:val="0"/>
          <w:bCs w:val="0"/>
        </w:rPr>
      </w:pPr>
      <w:r>
        <w:rPr/>
        <w:t>（</w:t>
      </w:r>
      <w:r>
        <w:rPr>
          <w:rFonts w:ascii="Times New Roman" w:hAnsi="Times New Roman" w:cs="Times New Roman" w:eastAsia="Times New Roman" w:hint="default"/>
        </w:rPr>
        <w:t>1</w:t>
      </w:r>
      <w:r>
        <w:rPr/>
        <w:t>）经营租赁的会计处理方法</w:t>
      </w:r>
      <w:r>
        <w:rPr>
          <w:b w:val="0"/>
          <w:bCs w:val="0"/>
        </w:rPr>
      </w:r>
    </w:p>
    <w:p>
      <w:pPr>
        <w:spacing w:line="240" w:lineRule="auto" w:before="2"/>
        <w:rPr>
          <w:rFonts w:ascii="宋体" w:hAnsi="宋体" w:cs="宋体" w:eastAsia="宋体" w:hint="default"/>
          <w:b/>
          <w:bCs/>
          <w:sz w:val="26"/>
          <w:szCs w:val="26"/>
        </w:rPr>
      </w:pPr>
    </w:p>
    <w:p>
      <w:pPr>
        <w:pStyle w:val="BodyText"/>
        <w:spacing w:line="439" w:lineRule="auto"/>
        <w:ind w:left="592" w:right="1134" w:firstLine="40"/>
        <w:jc w:val="left"/>
      </w:pPr>
      <w:r>
        <w:rPr/>
        <w:t>本集团租赁业务为经营租赁。 本集团作为承租方的租金在租赁期内的各个期间按直线法计入相关资产成本或当期损益，本集团作为出租方的租金在</w:t>
      </w:r>
    </w:p>
    <w:p>
      <w:pPr>
        <w:spacing w:after="0" w:line="439" w:lineRule="auto"/>
        <w:jc w:val="left"/>
        <w:sectPr>
          <w:pgSz w:w="11910" w:h="16840"/>
          <w:pgMar w:header="745" w:footer="979" w:top="1060" w:bottom="1160" w:left="980" w:right="0"/>
        </w:sectPr>
      </w:pPr>
    </w:p>
    <w:p>
      <w:pPr>
        <w:spacing w:line="240" w:lineRule="auto" w:before="9"/>
        <w:rPr>
          <w:rFonts w:ascii="宋体" w:hAnsi="宋体" w:cs="宋体" w:eastAsia="宋体" w:hint="default"/>
          <w:sz w:val="25"/>
          <w:szCs w:val="25"/>
        </w:rPr>
      </w:pPr>
    </w:p>
    <w:p>
      <w:pPr>
        <w:pStyle w:val="BodyText"/>
        <w:spacing w:line="240" w:lineRule="auto" w:before="44"/>
        <w:ind w:right="0"/>
        <w:jc w:val="both"/>
      </w:pPr>
      <w:r>
        <w:rPr/>
        <w:t>租赁期内的各个期间按直线法确认为收入。</w:t>
      </w:r>
    </w:p>
    <w:p>
      <w:pPr>
        <w:spacing w:line="240" w:lineRule="auto" w:before="0"/>
        <w:rPr>
          <w:rFonts w:ascii="宋体" w:hAnsi="宋体" w:cs="宋体" w:eastAsia="宋体" w:hint="default"/>
          <w:sz w:val="18"/>
          <w:szCs w:val="18"/>
        </w:rPr>
      </w:pPr>
    </w:p>
    <w:p>
      <w:pPr>
        <w:pStyle w:val="Heading4"/>
        <w:spacing w:line="240" w:lineRule="auto" w:before="120"/>
        <w:ind w:right="0"/>
        <w:jc w:val="both"/>
        <w:rPr>
          <w:b w:val="0"/>
          <w:bCs w:val="0"/>
        </w:rPr>
      </w:pPr>
      <w:r>
        <w:rPr/>
        <w:t>（</w:t>
      </w:r>
      <w:r>
        <w:rPr>
          <w:rFonts w:ascii="Times New Roman" w:hAnsi="Times New Roman" w:cs="Times New Roman" w:eastAsia="Times New Roman" w:hint="default"/>
        </w:rPr>
        <w:t>2</w:t>
      </w:r>
      <w:r>
        <w:rPr/>
        <w:t>）融资租赁的会计处理方法</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441" w:right="982"/>
        <w:jc w:val="left"/>
      </w:pPr>
      <w:r>
        <w:rPr/>
        <w:t>不适用</w:t>
      </w:r>
    </w:p>
    <w:p>
      <w:pPr>
        <w:spacing w:line="240" w:lineRule="auto" w:before="0"/>
        <w:rPr>
          <w:rFonts w:ascii="宋体" w:hAnsi="宋体" w:cs="宋体" w:eastAsia="宋体" w:hint="default"/>
          <w:sz w:val="18"/>
          <w:szCs w:val="18"/>
        </w:rPr>
      </w:pPr>
    </w:p>
    <w:p>
      <w:pPr>
        <w:pStyle w:val="Heading4"/>
        <w:spacing w:line="240" w:lineRule="auto" w:before="120"/>
        <w:ind w:right="0"/>
        <w:jc w:val="both"/>
        <w:rPr>
          <w:b w:val="0"/>
          <w:bCs w:val="0"/>
        </w:rPr>
      </w:pPr>
      <w:r>
        <w:rPr>
          <w:rFonts w:ascii="Times New Roman" w:hAnsi="Times New Roman" w:cs="Times New Roman" w:eastAsia="Times New Roman" w:hint="default"/>
        </w:rPr>
        <w:t>32</w:t>
      </w:r>
      <w:r>
        <w:rPr/>
        <w:t>、其他重要的会计政策和会计估计</w:t>
      </w:r>
      <w:r>
        <w:rPr>
          <w:b w:val="0"/>
          <w:bCs w:val="0"/>
        </w:rPr>
      </w:r>
    </w:p>
    <w:p>
      <w:pPr>
        <w:pStyle w:val="BodyText"/>
        <w:spacing w:line="420" w:lineRule="atLeast" w:before="171"/>
        <w:ind w:left="592" w:right="1134" w:hanging="8"/>
        <w:jc w:val="left"/>
      </w:pPr>
      <w:r>
        <w:rPr/>
        <w:t>（</w:t>
      </w:r>
      <w:r>
        <w:rPr>
          <w:rFonts w:ascii="Times New Roman" w:hAnsi="Times New Roman" w:cs="Times New Roman" w:eastAsia="Times New Roman" w:hint="default"/>
        </w:rPr>
        <w:t>1</w:t>
      </w:r>
      <w:r>
        <w:rPr/>
        <w:t>）商誉 商誉为股权投资成本或非同一控制下企业合并成本超过应享有的或企业合并中取得的被投资单位或被购买方可辨认净</w:t>
      </w:r>
    </w:p>
    <w:p>
      <w:pPr>
        <w:pStyle w:val="BodyText"/>
        <w:spacing w:line="240" w:lineRule="auto" w:before="76"/>
        <w:ind w:right="0"/>
        <w:jc w:val="both"/>
      </w:pPr>
      <w:r>
        <w:rPr/>
        <w:t>资产于取得日或购买日的公允价值份额的差额。</w:t>
      </w:r>
    </w:p>
    <w:p>
      <w:pPr>
        <w:spacing w:line="240" w:lineRule="auto" w:before="1"/>
        <w:rPr>
          <w:rFonts w:ascii="宋体" w:hAnsi="宋体" w:cs="宋体" w:eastAsia="宋体" w:hint="default"/>
          <w:sz w:val="15"/>
          <w:szCs w:val="15"/>
        </w:rPr>
      </w:pPr>
    </w:p>
    <w:p>
      <w:pPr>
        <w:pStyle w:val="BodyText"/>
        <w:spacing w:line="316" w:lineRule="auto"/>
        <w:ind w:right="1136" w:firstLine="439"/>
        <w:jc w:val="both"/>
      </w:pPr>
      <w:r>
        <w:rPr/>
        <w:t>与子公司有关的商誉在合并财务报表上单独列示，与联营企业和合营企业有关的商誉，包含在长期股权投资的账面价 值中。</w:t>
      </w:r>
    </w:p>
    <w:p>
      <w:pPr>
        <w:pStyle w:val="BodyText"/>
        <w:spacing w:line="432" w:lineRule="exact" w:before="3"/>
        <w:ind w:left="592" w:right="982"/>
        <w:jc w:val="left"/>
      </w:pPr>
      <w:r>
        <w:rPr/>
        <w:t>（</w:t>
      </w:r>
      <w:r>
        <w:rPr>
          <w:rFonts w:ascii="Times New Roman" w:hAnsi="Times New Roman" w:cs="Times New Roman" w:eastAsia="Times New Roman" w:hint="default"/>
        </w:rPr>
        <w:t>2</w:t>
      </w:r>
      <w:r>
        <w:rPr/>
        <w:t>）回购股份 </w:t>
      </w:r>
      <w:r>
        <w:rPr>
          <w:spacing w:val="-4"/>
        </w:rPr>
        <w:t>本集团按法定程序报经批准采用收购本集团股票方式减资的，按注销股票面值总额减少股本，购回股票支付的价款（含</w:t>
      </w:r>
    </w:p>
    <w:p>
      <w:pPr>
        <w:pStyle w:val="BodyText"/>
        <w:spacing w:line="316" w:lineRule="auto" w:before="15"/>
        <w:ind w:right="982"/>
        <w:jc w:val="left"/>
      </w:pPr>
      <w:r>
        <w:rPr>
          <w:spacing w:val="-2"/>
        </w:rPr>
        <w:t>交易费用）与股票面值的差额调整所有者权益，超过面值总额的部分，应依次冲减资本公积（股本溢价）、盈余公积和未分</w:t>
      </w:r>
      <w:r>
        <w:rPr>
          <w:spacing w:val="-70"/>
        </w:rPr>
        <w:t> </w:t>
      </w:r>
      <w:r>
        <w:rPr>
          <w:spacing w:val="-70"/>
        </w:rPr>
      </w:r>
      <w:r>
        <w:rPr/>
        <w:t>配利润；低于面值总额的，低于面值总额的部分增加资本公积（股本溢价）。</w:t>
      </w:r>
    </w:p>
    <w:p>
      <w:pPr>
        <w:pStyle w:val="BodyText"/>
        <w:spacing w:line="432" w:lineRule="exact" w:before="3"/>
        <w:ind w:left="592" w:right="1134"/>
        <w:jc w:val="left"/>
      </w:pPr>
      <w:r>
        <w:rPr/>
        <w:t>本集团回购的股份在注销或者转让之前，作为库存股管理，回购股份的全部支出转作库存股成本。 库存股转让时，转让收入高于库存股成本的部分，增加资本公积（股本溢价）；低于库存股成本的部分，依次冲减资</w:t>
      </w:r>
    </w:p>
    <w:p>
      <w:pPr>
        <w:pStyle w:val="BodyText"/>
        <w:spacing w:line="316" w:lineRule="auto" w:before="15"/>
        <w:ind w:right="982"/>
        <w:jc w:val="left"/>
      </w:pPr>
      <w:r>
        <w:rPr>
          <w:spacing w:val="-2"/>
        </w:rPr>
        <w:t>本公积（股本溢价）、盈余公积、未分配利润。因实行股权激励回购本公司股份的，在回购时，按照回购股份的全部支出作</w:t>
      </w:r>
      <w:r>
        <w:rPr>
          <w:spacing w:val="-73"/>
        </w:rPr>
        <w:t> </w:t>
      </w:r>
      <w:r>
        <w:rPr>
          <w:spacing w:val="-73"/>
        </w:rPr>
      </w:r>
      <w:r>
        <w:rPr/>
        <w:t>为库存股处理，同时进行备查登记。</w:t>
      </w:r>
    </w:p>
    <w:p>
      <w:pPr>
        <w:pStyle w:val="BodyText"/>
        <w:spacing w:line="432" w:lineRule="exact" w:before="4"/>
        <w:ind w:left="570" w:right="982" w:firstLine="21"/>
        <w:jc w:val="left"/>
      </w:pPr>
      <w:r>
        <w:rPr/>
        <w:t>（</w:t>
      </w:r>
      <w:r>
        <w:rPr>
          <w:rFonts w:ascii="Times New Roman" w:hAnsi="Times New Roman" w:cs="Times New Roman" w:eastAsia="Times New Roman" w:hint="default"/>
        </w:rPr>
        <w:t>3</w:t>
      </w:r>
      <w:r>
        <w:rPr/>
        <w:t>）所得税的会计核算 所得税的会计核算采用资产负债表债务法。所得税费用包括当期所得税和递延所得税。除将与直接计入股东权益的交</w:t>
      </w:r>
    </w:p>
    <w:p>
      <w:pPr>
        <w:pStyle w:val="BodyText"/>
        <w:spacing w:line="316" w:lineRule="auto" w:before="15"/>
        <w:ind w:right="982"/>
        <w:jc w:val="left"/>
      </w:pPr>
      <w:r>
        <w:rPr>
          <w:spacing w:val="-2"/>
        </w:rPr>
        <w:t>易和事项相关的当期所得税和递延所得税计入股东权益，以及企业合并产生的递延所得税调整商誉的账面价值外，其余的当</w:t>
      </w:r>
      <w:r>
        <w:rPr>
          <w:spacing w:val="-64"/>
        </w:rPr>
        <w:t> </w:t>
      </w:r>
      <w:r>
        <w:rPr>
          <w:spacing w:val="-64"/>
        </w:rPr>
      </w:r>
      <w:r>
        <w:rPr/>
        <w:t>期所得税和递延所得税费用或收益计入当期损益。</w:t>
      </w:r>
    </w:p>
    <w:p>
      <w:pPr>
        <w:pStyle w:val="BodyText"/>
        <w:spacing w:line="316" w:lineRule="auto" w:before="139"/>
        <w:ind w:right="1136" w:firstLine="439"/>
        <w:jc w:val="both"/>
      </w:pPr>
      <w:r>
        <w:rPr/>
        <w:t>当期所得税是指公司按照税务规定计算确定的针对当年发生的交易和事项，应纳给税务部门的金额，即应交所得税； 递延所得税是指按照资产负债表债务法应予确认的递延所得税资产和递延所得税负债在年末应有的金额相对于原已确认金</w:t>
      </w:r>
      <w:r>
        <w:rPr>
          <w:spacing w:val="-11"/>
        </w:rPr>
        <w:t> </w:t>
      </w:r>
      <w:r>
        <w:rPr>
          <w:spacing w:val="-11"/>
        </w:rPr>
      </w:r>
      <w:r>
        <w:rPr/>
        <w:t>额之间的差额。</w:t>
      </w:r>
    </w:p>
    <w:p>
      <w:pPr>
        <w:pStyle w:val="BodyText"/>
        <w:spacing w:line="432" w:lineRule="exact" w:before="3"/>
        <w:ind w:left="592" w:right="982"/>
        <w:jc w:val="left"/>
      </w:pPr>
      <w:r>
        <w:rPr/>
        <w:t>（</w:t>
      </w:r>
      <w:r>
        <w:rPr>
          <w:rFonts w:ascii="Times New Roman" w:hAnsi="Times New Roman" w:cs="Times New Roman" w:eastAsia="Times New Roman" w:hint="default"/>
        </w:rPr>
        <w:t>4</w:t>
      </w:r>
      <w:r>
        <w:rPr/>
        <w:t>）分部信息 </w:t>
      </w:r>
      <w:r>
        <w:rPr>
          <w:spacing w:val="-4"/>
        </w:rPr>
        <w:t>本集团以内部组织结构、管理要求、内部报告制度为依据确定经营分部，以经营分部为基础确定报告分部。经营分部，</w:t>
      </w:r>
    </w:p>
    <w:p>
      <w:pPr>
        <w:pStyle w:val="BodyText"/>
        <w:spacing w:line="316" w:lineRule="auto" w:before="16"/>
        <w:ind w:right="1129"/>
        <w:jc w:val="both"/>
      </w:pPr>
      <w:r>
        <w:rPr>
          <w:spacing w:val="-2"/>
        </w:rPr>
        <w:t>是指集团内同时满足下列条件的组成部分：该组成部分能够在日常活动中产生收入、发生费用；公司管理层能够定期评价该</w:t>
      </w:r>
      <w:r>
        <w:rPr>
          <w:spacing w:val="-63"/>
        </w:rPr>
        <w:t> </w:t>
      </w:r>
      <w:r>
        <w:rPr>
          <w:spacing w:val="-63"/>
        </w:rPr>
      </w:r>
      <w:r>
        <w:rPr>
          <w:spacing w:val="-2"/>
        </w:rPr>
        <w:t>组成部分的经营成果，以决定向其配置资源、评价其业绩；公司能够取得该组成部分的财务状况、经营成果和现金流量等有</w:t>
      </w:r>
      <w:r>
        <w:rPr>
          <w:spacing w:val="-63"/>
        </w:rPr>
        <w:t> </w:t>
      </w:r>
      <w:r>
        <w:rPr>
          <w:spacing w:val="-63"/>
        </w:rPr>
      </w:r>
      <w:r>
        <w:rPr/>
        <w:t>关会计信息。</w:t>
      </w:r>
    </w:p>
    <w:p>
      <w:pPr>
        <w:pStyle w:val="BodyText"/>
        <w:spacing w:line="432" w:lineRule="exact" w:before="3"/>
        <w:ind w:left="592" w:right="1134"/>
        <w:jc w:val="left"/>
      </w:pPr>
      <w:r>
        <w:rPr/>
        <w:t>公司存在相似经济特征的两个或多个经营分部，合并为一个经营分部。 由于目前本公司及子公司的业务均为以导航电子地图为主的相关销售及服务，整体性质相同，生产、定价、销售、使</w:t>
      </w:r>
    </w:p>
    <w:p>
      <w:pPr>
        <w:pStyle w:val="BodyText"/>
        <w:spacing w:line="240" w:lineRule="auto" w:before="15"/>
        <w:ind w:right="0"/>
        <w:jc w:val="both"/>
      </w:pPr>
      <w:r>
        <w:rPr/>
        <w:t>用等环节均密不可分，因此，本公司及子公司为一个经营分部。</w:t>
      </w:r>
    </w:p>
    <w:p>
      <w:pPr>
        <w:pStyle w:val="BodyText"/>
        <w:spacing w:line="420" w:lineRule="atLeast" w:before="25"/>
        <w:ind w:left="592" w:right="1134" w:hanging="80"/>
        <w:jc w:val="left"/>
      </w:pPr>
      <w:r>
        <w:rPr/>
        <w:t>（</w:t>
      </w:r>
      <w:r>
        <w:rPr>
          <w:rFonts w:ascii="Times New Roman" w:hAnsi="Times New Roman" w:cs="Times New Roman" w:eastAsia="Times New Roman" w:hint="default"/>
        </w:rPr>
        <w:t>5</w:t>
      </w:r>
      <w:r>
        <w:rPr/>
        <w:t>）终止经营 终止经营，是指本集团满足下列条件之一的、能够单独区分的组成部分，且该组成部分已经处置或划分为持有待售类</w:t>
      </w:r>
    </w:p>
    <w:p>
      <w:pPr>
        <w:pStyle w:val="BodyText"/>
        <w:spacing w:line="240" w:lineRule="auto" w:before="76"/>
        <w:ind w:right="0"/>
        <w:jc w:val="both"/>
      </w:pPr>
      <w:r>
        <w:rPr/>
        <w:t>别：</w:t>
      </w:r>
      <w:r>
        <w:rPr>
          <w:rFonts w:ascii="宋体" w:hAnsi="宋体" w:cs="宋体" w:eastAsia="宋体" w:hint="default"/>
        </w:rPr>
        <w:t>1</w:t>
      </w:r>
      <w:r>
        <w:rPr/>
        <w:t>）该组成部分代表一项独立的主要业务或一个单独的主要经营地区；</w:t>
      </w:r>
      <w:r>
        <w:rPr>
          <w:rFonts w:ascii="宋体" w:hAnsi="宋体" w:cs="宋体" w:eastAsia="宋体" w:hint="default"/>
        </w:rPr>
        <w:t>2</w:t>
      </w:r>
      <w:r>
        <w:rPr/>
        <w:t>）该组成部分是拟对一项独立的主要业务或一个</w:t>
      </w:r>
    </w:p>
    <w:p>
      <w:pPr>
        <w:spacing w:after="0" w:line="240" w:lineRule="auto"/>
        <w:jc w:val="both"/>
        <w:sectPr>
          <w:pgSz w:w="11910" w:h="16840"/>
          <w:pgMar w:header="745" w:footer="979" w:top="1060" w:bottom="1160" w:left="980" w:right="0"/>
        </w:sectPr>
      </w:pPr>
    </w:p>
    <w:p>
      <w:pPr>
        <w:spacing w:line="240" w:lineRule="auto" w:before="9"/>
        <w:rPr>
          <w:rFonts w:ascii="宋体" w:hAnsi="宋体" w:cs="宋体" w:eastAsia="宋体" w:hint="default"/>
          <w:sz w:val="25"/>
          <w:szCs w:val="25"/>
        </w:rPr>
      </w:pPr>
      <w:r>
        <w:rPr/>
        <w:pict>
          <v:shape style="position:absolute;margin-left:298.970001pt;margin-top:315.889984pt;width:112pt;height:117.05pt;mso-position-horizontal-relative:page;mso-position-vertical-relative:page;z-index:-1324912" type="#_x0000_t202" filled="false" stroked="false">
            <v:textbox inset="0,0,0,0">
              <w:txbxContent>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20"/>
                      <w:szCs w:val="20"/>
                    </w:rPr>
                  </w:pPr>
                </w:p>
                <w:p>
                  <w:pPr>
                    <w:pStyle w:val="BodyText"/>
                    <w:spacing w:line="240" w:lineRule="auto"/>
                    <w:ind w:left="0" w:right="0"/>
                    <w:jc w:val="left"/>
                  </w:pPr>
                  <w:r>
                    <w:rPr/>
                    <w:t>、</w:t>
                  </w:r>
                </w:p>
              </w:txbxContent>
            </v:textbox>
            <w10:wrap type="none"/>
          </v:shape>
        </w:pict>
      </w:r>
    </w:p>
    <w:p>
      <w:pPr>
        <w:pStyle w:val="BodyText"/>
        <w:spacing w:line="240" w:lineRule="auto" w:before="44"/>
        <w:ind w:right="982"/>
        <w:jc w:val="left"/>
        <w:rPr>
          <w:rFonts w:ascii="宋体" w:hAnsi="宋体" w:cs="宋体" w:eastAsia="宋体" w:hint="default"/>
        </w:rPr>
      </w:pPr>
      <w:r>
        <w:rPr/>
        <w:t>单独的主要经营地区进行处置的一项相关联计划的一部分；</w:t>
      </w:r>
      <w:r>
        <w:rPr>
          <w:rFonts w:ascii="宋体" w:hAnsi="宋体" w:cs="宋体" w:eastAsia="宋体" w:hint="default"/>
        </w:rPr>
        <w:t>3</w:t>
      </w:r>
      <w:r>
        <w:rPr/>
        <w:t>）该组成部分是专为转售而取得的子公司。</w:t>
      </w:r>
      <w:r>
        <w:rPr>
          <w:rFonts w:ascii="宋体" w:hAnsi="宋体" w:cs="宋体" w:eastAsia="宋体" w:hint="default"/>
        </w:rPr>
        <w:t> </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rFonts w:ascii="Times New Roman" w:hAnsi="Times New Roman" w:cs="Times New Roman" w:eastAsia="Times New Roman" w:hint="default"/>
        </w:rPr>
        <w:t>33</w:t>
      </w:r>
      <w:r>
        <w:rPr/>
        <w:t>、重要会计政策和会计估计变更</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2"/>
        <w:jc w:val="left"/>
        <w:rPr>
          <w:b w:val="0"/>
          <w:bCs w:val="0"/>
        </w:rPr>
      </w:pPr>
      <w:r>
        <w:rPr/>
        <w:t>（</w:t>
      </w:r>
      <w:r>
        <w:rPr>
          <w:rFonts w:ascii="Times New Roman" w:hAnsi="Times New Roman" w:cs="Times New Roman" w:eastAsia="Times New Roman" w:hint="default"/>
        </w:rPr>
        <w:t>1</w:t>
      </w:r>
      <w:r>
        <w:rPr/>
        <w:t>）重要会计政策变更</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982"/>
        <w:jc w:val="left"/>
      </w:pPr>
      <w:r>
        <w:rPr/>
        <w:pict>
          <v:group style="position:absolute;margin-left:305.089996pt;margin-top:37.751717pt;width:105.9pt;height:56.65pt;mso-position-horizontal-relative:page;mso-position-vertical-relative:paragraph;z-index:-1324864" coordorigin="6102,755" coordsize="2118,1133">
            <v:group style="position:absolute;left:6102;top:755;width:2118;height:780" coordorigin="6102,755" coordsize="2118,780">
              <v:shape style="position:absolute;left:6102;top:755;width:2118;height:780" coordorigin="6102,755" coordsize="2118,780" path="m6102,1535l8219,1535,8219,755,6102,755,6102,1535xe" filled="true" fillcolor="#ffffff" stroked="false">
                <v:path arrowok="t"/>
                <v:fill type="solid"/>
              </v:shape>
            </v:group>
            <v:group style="position:absolute;left:6126;top:1535;width:2070;height:353" coordorigin="6126,1535" coordsize="2070,353">
              <v:shape style="position:absolute;left:6126;top:1535;width:2070;height:353" coordorigin="6126,1535" coordsize="2070,353" path="m6126,1888l8195,1888,8195,1535,6126,1535,6126,1888xe" filled="true" fillcolor="#ffffff" stroked="false">
                <v:path arrowok="t"/>
                <v:fill type="solid"/>
              </v:shape>
            </v:group>
            <w10:wrap type="none"/>
          </v:group>
        </w:pict>
      </w: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4"/>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4964"/>
        <w:gridCol w:w="2124"/>
        <w:gridCol w:w="2482"/>
      </w:tblGrid>
      <w:tr>
        <w:trPr>
          <w:trHeight w:val="401" w:hRule="exact"/>
        </w:trPr>
        <w:tc>
          <w:tcPr>
            <w:tcW w:w="49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397" w:right="0"/>
              <w:jc w:val="left"/>
              <w:rPr>
                <w:rFonts w:ascii="宋体" w:hAnsi="宋体" w:cs="宋体" w:eastAsia="宋体" w:hint="default"/>
                <w:sz w:val="18"/>
                <w:szCs w:val="18"/>
              </w:rPr>
            </w:pPr>
            <w:r>
              <w:rPr>
                <w:rFonts w:ascii="宋体" w:hAnsi="宋体" w:cs="宋体" w:eastAsia="宋体" w:hint="default"/>
                <w:sz w:val="18"/>
                <w:szCs w:val="18"/>
              </w:rPr>
              <w:t>会计政策变更的内容和原因</w:t>
            </w:r>
          </w:p>
        </w:tc>
        <w:tc>
          <w:tcPr>
            <w:tcW w:w="21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98" w:right="0"/>
              <w:jc w:val="left"/>
              <w:rPr>
                <w:rFonts w:ascii="宋体" w:hAnsi="宋体" w:cs="宋体" w:eastAsia="宋体" w:hint="default"/>
                <w:sz w:val="18"/>
                <w:szCs w:val="18"/>
              </w:rPr>
            </w:pPr>
            <w:r>
              <w:rPr>
                <w:rFonts w:ascii="宋体" w:hAnsi="宋体" w:cs="宋体" w:eastAsia="宋体" w:hint="default"/>
                <w:sz w:val="18"/>
                <w:szCs w:val="18"/>
              </w:rPr>
              <w:t>审批程序</w:t>
            </w:r>
          </w:p>
        </w:tc>
        <w:tc>
          <w:tcPr>
            <w:tcW w:w="24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备注</w:t>
            </w:r>
          </w:p>
        </w:tc>
      </w:tr>
      <w:tr>
        <w:trPr>
          <w:trHeight w:val="2276" w:hRule="exact"/>
        </w:trPr>
        <w:tc>
          <w:tcPr>
            <w:tcW w:w="4964" w:type="dxa"/>
            <w:tcBorders>
              <w:top w:val="single" w:sz="4" w:space="0" w:color="000000"/>
              <w:left w:val="single" w:sz="4" w:space="0" w:color="000000"/>
              <w:bottom w:val="single" w:sz="4" w:space="0" w:color="000000"/>
              <w:right w:val="single" w:sz="10" w:space="0" w:color="FFFFFF"/>
            </w:tcBorders>
          </w:tcPr>
          <w:p>
            <w:pPr>
              <w:pStyle w:val="TableParagraph"/>
              <w:spacing w:line="240" w:lineRule="auto" w:before="49"/>
              <w:ind w:left="24"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、新金融工具准则的会计政策</w:t>
            </w:r>
          </w:p>
          <w:p>
            <w:pPr>
              <w:pStyle w:val="TableParagraph"/>
              <w:spacing w:line="240" w:lineRule="auto" w:before="63"/>
              <w:ind w:left="24"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年，财政部修订发布了《企业会计准则第 </w:t>
            </w:r>
            <w:r>
              <w:rPr>
                <w:rFonts w:ascii="Times New Roman" w:hAnsi="Times New Roman" w:cs="Times New Roman" w:eastAsia="Times New Roman" w:hint="default"/>
                <w:sz w:val="18"/>
                <w:szCs w:val="18"/>
              </w:rPr>
              <w:t>22 </w:t>
            </w:r>
            <w:r>
              <w:rPr>
                <w:rFonts w:ascii="宋体" w:hAnsi="宋体" w:cs="宋体" w:eastAsia="宋体" w:hint="default"/>
                <w:sz w:val="18"/>
                <w:szCs w:val="18"/>
              </w:rPr>
              <w:t>号</w:t>
            </w:r>
            <w:r>
              <w:rPr>
                <w:rFonts w:ascii="Times New Roman" w:hAnsi="Times New Roman" w:cs="Times New Roman" w:eastAsia="Times New Roman" w:hint="default"/>
                <w:sz w:val="18"/>
                <w:szCs w:val="18"/>
              </w:rPr>
              <w:t>—— </w:t>
            </w:r>
            <w:r>
              <w:rPr>
                <w:rFonts w:ascii="宋体" w:hAnsi="宋体" w:cs="宋体" w:eastAsia="宋体" w:hint="default"/>
                <w:spacing w:val="-3"/>
                <w:sz w:val="18"/>
                <w:szCs w:val="18"/>
              </w:rPr>
              <w:t>金融</w:t>
            </w:r>
            <w:r>
              <w:rPr>
                <w:rFonts w:ascii="宋体" w:hAnsi="宋体" w:cs="宋体" w:eastAsia="宋体" w:hint="default"/>
                <w:sz w:val="18"/>
                <w:szCs w:val="18"/>
              </w:rPr>
            </w:r>
          </w:p>
          <w:p>
            <w:pPr>
              <w:pStyle w:val="TableParagraph"/>
              <w:spacing w:line="240" w:lineRule="auto" w:before="63"/>
              <w:ind w:left="24" w:right="0"/>
              <w:jc w:val="both"/>
              <w:rPr>
                <w:rFonts w:ascii="宋体" w:hAnsi="宋体" w:cs="宋体" w:eastAsia="宋体" w:hint="default"/>
                <w:sz w:val="18"/>
                <w:szCs w:val="18"/>
              </w:rPr>
            </w:pPr>
            <w:r>
              <w:rPr>
                <w:rFonts w:ascii="宋体" w:hAnsi="宋体" w:cs="宋体" w:eastAsia="宋体" w:hint="default"/>
                <w:sz w:val="18"/>
                <w:szCs w:val="18"/>
              </w:rPr>
              <w:t>工具确认和计量</w:t>
            </w:r>
            <w:r>
              <w:rPr>
                <w:rFonts w:ascii="宋体" w:hAnsi="宋体" w:cs="宋体" w:eastAsia="宋体" w:hint="default"/>
                <w:spacing w:val="-92"/>
                <w:sz w:val="18"/>
                <w:szCs w:val="18"/>
              </w:rPr>
              <w:t>》</w:t>
            </w:r>
            <w:r>
              <w:rPr>
                <w:rFonts w:ascii="宋体" w:hAnsi="宋体" w:cs="宋体" w:eastAsia="宋体" w:hint="default"/>
                <w:spacing w:val="-135"/>
                <w:sz w:val="18"/>
                <w:szCs w:val="18"/>
              </w:rPr>
              <w:t>、</w:t>
            </w:r>
            <w:r>
              <w:rPr>
                <w:rFonts w:ascii="宋体" w:hAnsi="宋体" w:cs="宋体" w:eastAsia="宋体" w:hint="default"/>
                <w:sz w:val="18"/>
                <w:szCs w:val="18"/>
              </w:rPr>
              <w:t>《企业会</w:t>
            </w:r>
            <w:r>
              <w:rPr>
                <w:rFonts w:ascii="宋体" w:hAnsi="宋体" w:cs="宋体" w:eastAsia="宋体" w:hint="default"/>
                <w:spacing w:val="2"/>
                <w:sz w:val="18"/>
                <w:szCs w:val="18"/>
              </w:rPr>
              <w:t>计</w:t>
            </w:r>
            <w:r>
              <w:rPr>
                <w:rFonts w:ascii="宋体" w:hAnsi="宋体" w:cs="宋体" w:eastAsia="宋体" w:hint="default"/>
                <w:sz w:val="18"/>
                <w:szCs w:val="18"/>
              </w:rPr>
              <w:t>准则第</w:t>
            </w:r>
            <w:r>
              <w:rPr>
                <w:rFonts w:ascii="宋体" w:hAnsi="宋体" w:cs="宋体" w:eastAsia="宋体" w:hint="default"/>
                <w:spacing w:val="-44"/>
                <w:sz w:val="18"/>
                <w:szCs w:val="18"/>
              </w:rPr>
              <w:t> </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金融资产转</w:t>
            </w:r>
            <w:r>
              <w:rPr>
                <w:rFonts w:ascii="宋体" w:hAnsi="宋体" w:cs="宋体" w:eastAsia="宋体" w:hint="default"/>
                <w:spacing w:val="-3"/>
                <w:sz w:val="18"/>
                <w:szCs w:val="18"/>
              </w:rPr>
              <w:t>移</w:t>
            </w:r>
            <w:r>
              <w:rPr>
                <w:rFonts w:ascii="宋体" w:hAnsi="宋体" w:cs="宋体" w:eastAsia="宋体" w:hint="default"/>
                <w:spacing w:val="-92"/>
                <w:sz w:val="18"/>
                <w:szCs w:val="18"/>
              </w:rPr>
              <w:t>》</w:t>
            </w:r>
            <w:r>
              <w:rPr>
                <w:rFonts w:ascii="宋体" w:hAnsi="宋体" w:cs="宋体" w:eastAsia="宋体" w:hint="default"/>
                <w:sz w:val="18"/>
                <w:szCs w:val="18"/>
              </w:rPr>
            </w:r>
          </w:p>
          <w:p>
            <w:pPr>
              <w:pStyle w:val="TableParagraph"/>
              <w:spacing w:line="300" w:lineRule="auto" w:before="63"/>
              <w:ind w:left="24" w:right="12"/>
              <w:jc w:val="both"/>
              <w:rPr>
                <w:rFonts w:ascii="宋体" w:hAnsi="宋体" w:cs="宋体" w:eastAsia="宋体" w:hint="default"/>
                <w:sz w:val="18"/>
                <w:szCs w:val="18"/>
              </w:rPr>
            </w:pPr>
            <w:r>
              <w:rPr>
                <w:rFonts w:ascii="宋体" w:hAnsi="宋体" w:cs="宋体" w:eastAsia="宋体" w:hint="default"/>
                <w:sz w:val="18"/>
                <w:szCs w:val="18"/>
              </w:rPr>
              <w:t>《企业会计准则第</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3"/>
                <w:sz w:val="18"/>
                <w:szCs w:val="18"/>
              </w:rPr>
              <w:t> </w:t>
            </w:r>
            <w:r>
              <w:rPr>
                <w:rFonts w:ascii="宋体" w:hAnsi="宋体" w:cs="宋体" w:eastAsia="宋体" w:hint="default"/>
                <w:spacing w:val="-6"/>
                <w:sz w:val="18"/>
                <w:szCs w:val="18"/>
              </w:rPr>
              <w:t>号</w:t>
            </w:r>
            <w:r>
              <w:rPr>
                <w:rFonts w:ascii="Times New Roman" w:hAnsi="Times New Roman" w:cs="Times New Roman" w:eastAsia="Times New Roman" w:hint="default"/>
                <w:spacing w:val="-6"/>
                <w:sz w:val="18"/>
                <w:szCs w:val="18"/>
              </w:rPr>
              <w:t>——</w:t>
            </w:r>
            <w:r>
              <w:rPr>
                <w:rFonts w:ascii="宋体" w:hAnsi="宋体" w:cs="宋体" w:eastAsia="宋体" w:hint="default"/>
                <w:spacing w:val="-6"/>
                <w:sz w:val="18"/>
                <w:szCs w:val="18"/>
              </w:rPr>
              <w:t>套期会计》及《企业会计准则第</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37</w:t>
            </w:r>
            <w:r>
              <w:rPr>
                <w:rFonts w:ascii="Times New Roman" w:hAnsi="Times New Roman" w:cs="Times New Roman" w:eastAsia="Times New Roman" w:hint="default"/>
                <w:spacing w:val="1"/>
                <w:sz w:val="18"/>
                <w:szCs w:val="18"/>
              </w:rPr>
              <w:t> </w:t>
            </w:r>
            <w:r>
              <w:rPr>
                <w:rFonts w:ascii="宋体" w:hAnsi="宋体" w:cs="宋体" w:eastAsia="宋体" w:hint="default"/>
                <w:spacing w:val="-10"/>
                <w:w w:val="100"/>
                <w:sz w:val="18"/>
                <w:szCs w:val="18"/>
              </w:rPr>
              <w:t>号</w:t>
            </w:r>
            <w:r>
              <w:rPr>
                <w:rFonts w:ascii="Times New Roman" w:hAnsi="Times New Roman" w:cs="Times New Roman" w:eastAsia="Times New Roman" w:hint="default"/>
                <w:spacing w:val="-10"/>
                <w:w w:val="100"/>
                <w:sz w:val="18"/>
                <w:szCs w:val="18"/>
              </w:rPr>
              <w:t>——</w:t>
            </w:r>
            <w:r>
              <w:rPr>
                <w:rFonts w:ascii="宋体" w:hAnsi="宋体" w:cs="宋体" w:eastAsia="宋体" w:hint="default"/>
                <w:spacing w:val="-10"/>
                <w:w w:val="100"/>
                <w:sz w:val="18"/>
                <w:szCs w:val="18"/>
              </w:rPr>
              <w:t>金融工具列报》（以上四项准则统称</w:t>
            </w:r>
            <w:r>
              <w:rPr>
                <w:rFonts w:ascii="Times New Roman" w:hAnsi="Times New Roman" w:cs="Times New Roman" w:eastAsia="Times New Roman" w:hint="default"/>
                <w:spacing w:val="-10"/>
                <w:w w:val="100"/>
                <w:sz w:val="18"/>
                <w:szCs w:val="18"/>
              </w:rPr>
              <w:t>“</w:t>
            </w:r>
            <w:r>
              <w:rPr>
                <w:rFonts w:ascii="宋体" w:hAnsi="宋体" w:cs="宋体" w:eastAsia="宋体" w:hint="default"/>
                <w:spacing w:val="-10"/>
                <w:w w:val="100"/>
                <w:sz w:val="18"/>
                <w:szCs w:val="18"/>
              </w:rPr>
              <w:t>新金融工具准则</w:t>
            </w:r>
            <w:r>
              <w:rPr>
                <w:rFonts w:ascii="Times New Roman" w:hAnsi="Times New Roman" w:cs="Times New Roman" w:eastAsia="Times New Roman" w:hint="default"/>
                <w:spacing w:val="-10"/>
                <w:w w:val="100"/>
                <w:sz w:val="18"/>
                <w:szCs w:val="18"/>
              </w:rPr>
              <w:t>”</w:t>
            </w:r>
            <w:r>
              <w:rPr>
                <w:rFonts w:ascii="宋体" w:hAnsi="宋体" w:cs="宋体" w:eastAsia="宋体" w:hint="default"/>
                <w:spacing w:val="-10"/>
                <w:w w:val="100"/>
                <w:sz w:val="18"/>
                <w:szCs w:val="18"/>
              </w:rPr>
              <w:t>），</w:t>
            </w:r>
            <w:r>
              <w:rPr>
                <w:rFonts w:ascii="宋体" w:hAnsi="宋体" w:cs="宋体" w:eastAsia="宋体" w:hint="default"/>
                <w:spacing w:val="-89"/>
                <w:w w:val="100"/>
                <w:sz w:val="18"/>
                <w:szCs w:val="18"/>
              </w:rPr>
              <w:t> </w:t>
            </w:r>
            <w:r>
              <w:rPr>
                <w:rFonts w:ascii="宋体" w:hAnsi="宋体" w:cs="宋体" w:eastAsia="宋体" w:hint="default"/>
                <w:sz w:val="18"/>
                <w:szCs w:val="18"/>
              </w:rPr>
              <w:t>并要求境内上市企业自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日起施行新金融工具相 关会计准则。</w:t>
            </w:r>
          </w:p>
        </w:tc>
        <w:tc>
          <w:tcPr>
            <w:tcW w:w="2124" w:type="dxa"/>
            <w:tcBorders>
              <w:top w:val="single" w:sz="4" w:space="0" w:color="000000"/>
              <w:left w:val="single" w:sz="10" w:space="0" w:color="FFFFFF"/>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196" w:lineRule="exact"/>
              <w:ind w:left="-130"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196" w:lineRule="exact"/>
              <w:ind w:left="16" w:right="0"/>
              <w:jc w:val="left"/>
              <w:rPr>
                <w:rFonts w:ascii="宋体" w:hAnsi="宋体" w:cs="宋体" w:eastAsia="宋体" w:hint="default"/>
                <w:sz w:val="18"/>
                <w:szCs w:val="18"/>
              </w:rPr>
            </w:pPr>
            <w:r>
              <w:rPr>
                <w:rFonts w:ascii="宋体" w:hAnsi="宋体" w:cs="宋体" w:eastAsia="宋体" w:hint="default"/>
                <w:sz w:val="18"/>
                <w:szCs w:val="18"/>
              </w:rPr>
              <w:t>四维图新第四届第十五次</w:t>
            </w:r>
          </w:p>
          <w:p>
            <w:pPr>
              <w:pStyle w:val="TableParagraph"/>
              <w:spacing w:line="240" w:lineRule="auto" w:before="77"/>
              <w:ind w:left="16" w:right="0"/>
              <w:jc w:val="left"/>
              <w:rPr>
                <w:rFonts w:ascii="宋体" w:hAnsi="宋体" w:cs="宋体" w:eastAsia="宋体" w:hint="default"/>
                <w:sz w:val="18"/>
                <w:szCs w:val="18"/>
              </w:rPr>
            </w:pPr>
            <w:r>
              <w:rPr>
                <w:rFonts w:ascii="宋体" w:hAnsi="宋体" w:cs="宋体" w:eastAsia="宋体" w:hint="default"/>
                <w:sz w:val="18"/>
                <w:szCs w:val="18"/>
              </w:rPr>
              <w:t>董事会审批通过</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3" w:right="19"/>
              <w:jc w:val="left"/>
              <w:rPr>
                <w:rFonts w:ascii="宋体" w:hAnsi="宋体" w:cs="宋体" w:eastAsia="宋体" w:hint="default"/>
                <w:sz w:val="18"/>
                <w:szCs w:val="18"/>
              </w:rPr>
            </w:pPr>
            <w:r>
              <w:rPr>
                <w:rFonts w:ascii="宋体" w:hAnsi="宋体" w:cs="宋体" w:eastAsia="宋体" w:hint="default"/>
                <w:sz w:val="18"/>
                <w:szCs w:val="18"/>
              </w:rPr>
              <w:t>根据新旧准则衔接规定，公司 无需追溯调整前期可比数。公 司自</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年第一季度起按新准 则要求进行会计报表披露，不 追溯调整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年可比数，本次</w:t>
            </w:r>
          </w:p>
          <w:p>
            <w:pPr>
              <w:pStyle w:val="TableParagraph"/>
              <w:spacing w:line="240" w:lineRule="auto" w:before="1"/>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会计政策变更不影响公司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2018</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年度相关财务指标</w:t>
            </w:r>
          </w:p>
        </w:tc>
      </w:tr>
      <w:tr>
        <w:trPr>
          <w:trHeight w:val="5393" w:hRule="exact"/>
        </w:trPr>
        <w:tc>
          <w:tcPr>
            <w:tcW w:w="4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、财务报表格式调整的会计政策</w:t>
            </w:r>
          </w:p>
          <w:p>
            <w:pPr>
              <w:pStyle w:val="TableParagraph"/>
              <w:spacing w:line="302" w:lineRule="auto" w:before="63"/>
              <w:ind w:left="24" w:right="19"/>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6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15 </w:t>
            </w:r>
            <w:r>
              <w:rPr>
                <w:rFonts w:ascii="宋体" w:hAnsi="宋体" w:cs="宋体" w:eastAsia="宋体" w:hint="default"/>
                <w:sz w:val="18"/>
                <w:szCs w:val="18"/>
              </w:rPr>
              <w:t>日 </w:t>
            </w:r>
            <w:r>
              <w:rPr>
                <w:rFonts w:ascii="宋体" w:hAnsi="宋体" w:cs="宋体" w:eastAsia="宋体" w:hint="default"/>
                <w:spacing w:val="-7"/>
                <w:sz w:val="18"/>
                <w:szCs w:val="18"/>
              </w:rPr>
              <w:t>，财政部下发了</w:t>
            </w:r>
            <w:r>
              <w:rPr>
                <w:rFonts w:ascii="宋体" w:hAnsi="宋体" w:cs="宋体" w:eastAsia="宋体" w:hint="default"/>
                <w:spacing w:val="-46"/>
                <w:sz w:val="18"/>
                <w:szCs w:val="18"/>
              </w:rPr>
              <w:t> </w:t>
            </w:r>
            <w:r>
              <w:rPr>
                <w:rFonts w:ascii="宋体" w:hAnsi="宋体" w:cs="宋体" w:eastAsia="宋体" w:hint="default"/>
                <w:sz w:val="18"/>
                <w:szCs w:val="18"/>
              </w:rPr>
              <w:t>《关于修订印发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44"/>
                <w:sz w:val="18"/>
                <w:szCs w:val="18"/>
              </w:rPr>
              <w:t> </w:t>
            </w:r>
            <w:r>
              <w:rPr>
                <w:rFonts w:ascii="宋体" w:hAnsi="宋体" w:cs="宋体" w:eastAsia="宋体" w:hint="default"/>
                <w:spacing w:val="-3"/>
                <w:sz w:val="18"/>
                <w:szCs w:val="18"/>
              </w:rPr>
              <w:t>年度 </w:t>
            </w:r>
            <w:r>
              <w:rPr>
                <w:rFonts w:ascii="宋体" w:hAnsi="宋体" w:cs="宋体" w:eastAsia="宋体" w:hint="default"/>
                <w:spacing w:val="-5"/>
                <w:sz w:val="18"/>
                <w:szCs w:val="18"/>
              </w:rPr>
              <w:t>一般企业财务报表格式的通知》（财会〔</w:t>
            </w:r>
            <w:r>
              <w:rPr>
                <w:rFonts w:ascii="Times New Roman" w:hAnsi="Times New Roman" w:cs="Times New Roman" w:eastAsia="Times New Roman" w:hint="default"/>
                <w:spacing w:val="-5"/>
                <w:sz w:val="18"/>
                <w:szCs w:val="18"/>
              </w:rPr>
              <w:t>2018</w:t>
            </w: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15</w:t>
            </w:r>
            <w:r>
              <w:rPr>
                <w:rFonts w:ascii="Times New Roman" w:hAnsi="Times New Roman" w:cs="Times New Roman" w:eastAsia="Times New Roman" w:hint="default"/>
                <w:spacing w:val="6"/>
                <w:sz w:val="18"/>
                <w:szCs w:val="18"/>
              </w:rPr>
              <w:t> </w:t>
            </w:r>
            <w:r>
              <w:rPr>
                <w:rFonts w:ascii="宋体" w:hAnsi="宋体" w:cs="宋体" w:eastAsia="宋体" w:hint="default"/>
                <w:spacing w:val="-18"/>
                <w:sz w:val="18"/>
                <w:szCs w:val="18"/>
              </w:rPr>
              <w:t>号）。公司按</w:t>
            </w:r>
            <w:r>
              <w:rPr>
                <w:rFonts w:ascii="宋体" w:hAnsi="宋体" w:cs="宋体" w:eastAsia="宋体" w:hint="default"/>
                <w:sz w:val="18"/>
                <w:szCs w:val="18"/>
              </w:rPr>
              <w:t> 照一般企业财务报表格式（适用于尚未执行新金融准则和新收 入准则的企业）调整以下财务报表项目的列报，并对可比会计 </w:t>
            </w:r>
            <w:r>
              <w:rPr>
                <w:rFonts w:ascii="宋体" w:hAnsi="宋体" w:cs="宋体" w:eastAsia="宋体" w:hint="default"/>
                <w:spacing w:val="-6"/>
                <w:w w:val="100"/>
                <w:sz w:val="18"/>
                <w:szCs w:val="18"/>
              </w:rPr>
              <w:t>期间的比较数据进行相应调整：（</w:t>
            </w:r>
            <w:r>
              <w:rPr>
                <w:rFonts w:ascii="Times New Roman" w:hAnsi="Times New Roman" w:cs="Times New Roman" w:eastAsia="Times New Roman" w:hint="default"/>
                <w:spacing w:val="-6"/>
                <w:w w:val="100"/>
                <w:sz w:val="18"/>
                <w:szCs w:val="18"/>
              </w:rPr>
              <w:t>1</w:t>
            </w:r>
            <w:r>
              <w:rPr>
                <w:rFonts w:ascii="宋体" w:hAnsi="宋体" w:cs="宋体" w:eastAsia="宋体" w:hint="default"/>
                <w:spacing w:val="-6"/>
                <w:w w:val="100"/>
                <w:sz w:val="18"/>
                <w:szCs w:val="18"/>
              </w:rPr>
              <w:t>）原</w:t>
            </w:r>
            <w:r>
              <w:rPr>
                <w:rFonts w:ascii="Times New Roman" w:hAnsi="Times New Roman" w:cs="Times New Roman" w:eastAsia="Times New Roman" w:hint="default"/>
                <w:spacing w:val="-6"/>
                <w:w w:val="100"/>
                <w:sz w:val="18"/>
                <w:szCs w:val="18"/>
              </w:rPr>
              <w:t>“</w:t>
            </w:r>
            <w:r>
              <w:rPr>
                <w:rFonts w:ascii="宋体" w:hAnsi="宋体" w:cs="宋体" w:eastAsia="宋体" w:hint="default"/>
                <w:spacing w:val="-6"/>
                <w:w w:val="100"/>
                <w:sz w:val="18"/>
                <w:szCs w:val="18"/>
              </w:rPr>
              <w:t>应收票据</w:t>
            </w:r>
            <w:r>
              <w:rPr>
                <w:rFonts w:ascii="Times New Roman" w:hAnsi="Times New Roman" w:cs="Times New Roman" w:eastAsia="Times New Roman" w:hint="default"/>
                <w:spacing w:val="-6"/>
                <w:w w:val="100"/>
                <w:sz w:val="18"/>
                <w:szCs w:val="18"/>
              </w:rPr>
              <w:t>”</w:t>
            </w:r>
            <w:r>
              <w:rPr>
                <w:rFonts w:ascii="宋体" w:hAnsi="宋体" w:cs="宋体" w:eastAsia="宋体" w:hint="default"/>
                <w:spacing w:val="-6"/>
                <w:w w:val="100"/>
                <w:sz w:val="18"/>
                <w:szCs w:val="18"/>
              </w:rPr>
              <w:t>和</w:t>
            </w:r>
            <w:r>
              <w:rPr>
                <w:rFonts w:ascii="Times New Roman" w:hAnsi="Times New Roman" w:cs="Times New Roman" w:eastAsia="Times New Roman" w:hint="default"/>
                <w:spacing w:val="-6"/>
                <w:w w:val="100"/>
                <w:sz w:val="18"/>
                <w:szCs w:val="18"/>
              </w:rPr>
              <w:t>“</w:t>
            </w:r>
            <w:r>
              <w:rPr>
                <w:rFonts w:ascii="宋体" w:hAnsi="宋体" w:cs="宋体" w:eastAsia="宋体" w:hint="default"/>
                <w:spacing w:val="-6"/>
                <w:w w:val="100"/>
                <w:sz w:val="18"/>
                <w:szCs w:val="18"/>
              </w:rPr>
              <w:t>应收账款</w:t>
            </w:r>
            <w:r>
              <w:rPr>
                <w:rFonts w:ascii="Times New Roman" w:hAnsi="Times New Roman" w:cs="Times New Roman" w:eastAsia="Times New Roman" w:hint="default"/>
                <w:spacing w:val="-6"/>
                <w:w w:val="100"/>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pacing w:val="-4"/>
                <w:w w:val="100"/>
                <w:sz w:val="18"/>
                <w:szCs w:val="18"/>
              </w:rPr>
              <w:t>项目，合并为</w:t>
            </w:r>
            <w:r>
              <w:rPr>
                <w:rFonts w:ascii="Times New Roman" w:hAnsi="Times New Roman" w:cs="Times New Roman" w:eastAsia="Times New Roman" w:hint="default"/>
                <w:spacing w:val="-4"/>
                <w:w w:val="100"/>
                <w:sz w:val="18"/>
                <w:szCs w:val="18"/>
              </w:rPr>
              <w:t>“</w:t>
            </w:r>
            <w:r>
              <w:rPr>
                <w:rFonts w:ascii="宋体" w:hAnsi="宋体" w:cs="宋体" w:eastAsia="宋体" w:hint="default"/>
                <w:spacing w:val="-4"/>
                <w:w w:val="100"/>
                <w:sz w:val="18"/>
                <w:szCs w:val="18"/>
              </w:rPr>
              <w:t>应收票据及应收账款</w:t>
            </w:r>
            <w:r>
              <w:rPr>
                <w:rFonts w:ascii="Times New Roman" w:hAnsi="Times New Roman" w:cs="Times New Roman" w:eastAsia="Times New Roman" w:hint="default"/>
                <w:spacing w:val="-4"/>
                <w:w w:val="100"/>
                <w:sz w:val="18"/>
                <w:szCs w:val="18"/>
              </w:rPr>
              <w:t>”</w:t>
            </w:r>
            <w:r>
              <w:rPr>
                <w:rFonts w:ascii="宋体" w:hAnsi="宋体" w:cs="宋体" w:eastAsia="宋体" w:hint="default"/>
                <w:spacing w:val="-4"/>
                <w:w w:val="100"/>
                <w:sz w:val="18"/>
                <w:szCs w:val="18"/>
              </w:rPr>
              <w:t>项目；（</w:t>
            </w:r>
            <w:r>
              <w:rPr>
                <w:rFonts w:ascii="Times New Roman" w:hAnsi="Times New Roman" w:cs="Times New Roman" w:eastAsia="Times New Roman" w:hint="default"/>
                <w:spacing w:val="-4"/>
                <w:w w:val="100"/>
                <w:sz w:val="18"/>
                <w:szCs w:val="18"/>
              </w:rPr>
              <w:t>2</w:t>
            </w:r>
            <w:r>
              <w:rPr>
                <w:rFonts w:ascii="宋体" w:hAnsi="宋体" w:cs="宋体" w:eastAsia="宋体" w:hint="default"/>
                <w:spacing w:val="-4"/>
                <w:w w:val="100"/>
                <w:sz w:val="18"/>
                <w:szCs w:val="18"/>
              </w:rPr>
              <w:t>）原</w:t>
            </w:r>
            <w:r>
              <w:rPr>
                <w:rFonts w:ascii="Times New Roman" w:hAnsi="Times New Roman" w:cs="Times New Roman" w:eastAsia="Times New Roman" w:hint="default"/>
                <w:spacing w:val="-4"/>
                <w:w w:val="100"/>
                <w:sz w:val="18"/>
                <w:szCs w:val="18"/>
              </w:rPr>
              <w:t>“</w:t>
            </w:r>
            <w:r>
              <w:rPr>
                <w:rFonts w:ascii="宋体" w:hAnsi="宋体" w:cs="宋体" w:eastAsia="宋体" w:hint="default"/>
                <w:spacing w:val="-4"/>
                <w:w w:val="100"/>
                <w:sz w:val="18"/>
                <w:szCs w:val="18"/>
              </w:rPr>
              <w:t>应收利息</w:t>
            </w:r>
            <w:r>
              <w:rPr>
                <w:rFonts w:ascii="Times New Roman" w:hAnsi="Times New Roman" w:cs="Times New Roman" w:eastAsia="Times New Roman" w:hint="default"/>
                <w:spacing w:val="-4"/>
                <w:w w:val="100"/>
                <w:sz w:val="18"/>
                <w:szCs w:val="18"/>
              </w:rPr>
              <w:t>”</w:t>
            </w:r>
            <w:r>
              <w:rPr>
                <w:rFonts w:ascii="Times New Roman" w:hAnsi="Times New Roman" w:cs="Times New Roman" w:eastAsia="Times New Roman" w:hint="default"/>
                <w:spacing w:val="-20"/>
                <w:w w:val="100"/>
                <w:sz w:val="18"/>
                <w:szCs w:val="18"/>
              </w:rPr>
              <w:t> </w:t>
            </w:r>
            <w:r>
              <w:rPr>
                <w:rFonts w:ascii="Times New Roman" w:hAnsi="Times New Roman" w:cs="Times New Roman" w:eastAsia="Times New Roman" w:hint="default"/>
                <w:spacing w:val="-3"/>
                <w:w w:val="100"/>
                <w:sz w:val="18"/>
                <w:szCs w:val="18"/>
              </w:rPr>
              <w:t>“</w:t>
            </w:r>
            <w:r>
              <w:rPr>
                <w:rFonts w:ascii="宋体" w:hAnsi="宋体" w:cs="宋体" w:eastAsia="宋体" w:hint="default"/>
                <w:spacing w:val="-3"/>
                <w:w w:val="100"/>
                <w:sz w:val="18"/>
                <w:szCs w:val="18"/>
              </w:rPr>
              <w:t>应收股利</w:t>
            </w:r>
            <w:r>
              <w:rPr>
                <w:rFonts w:ascii="Times New Roman" w:hAnsi="Times New Roman" w:cs="Times New Roman" w:eastAsia="Times New Roman" w:hint="default"/>
                <w:spacing w:val="-3"/>
                <w:w w:val="100"/>
                <w:sz w:val="18"/>
                <w:szCs w:val="18"/>
              </w:rPr>
              <w:t>”</w:t>
            </w:r>
            <w:r>
              <w:rPr>
                <w:rFonts w:ascii="宋体" w:hAnsi="宋体" w:cs="宋体" w:eastAsia="宋体" w:hint="default"/>
                <w:spacing w:val="-3"/>
                <w:w w:val="100"/>
                <w:sz w:val="18"/>
                <w:szCs w:val="18"/>
              </w:rPr>
              <w:t>项目并入</w:t>
            </w:r>
            <w:r>
              <w:rPr>
                <w:rFonts w:ascii="Times New Roman" w:hAnsi="Times New Roman" w:cs="Times New Roman" w:eastAsia="Times New Roman" w:hint="default"/>
                <w:spacing w:val="-3"/>
                <w:w w:val="100"/>
                <w:sz w:val="18"/>
                <w:szCs w:val="18"/>
              </w:rPr>
              <w:t>“</w:t>
            </w:r>
            <w:r>
              <w:rPr>
                <w:rFonts w:ascii="宋体" w:hAnsi="宋体" w:cs="宋体" w:eastAsia="宋体" w:hint="default"/>
                <w:spacing w:val="-3"/>
                <w:w w:val="100"/>
                <w:sz w:val="18"/>
                <w:szCs w:val="18"/>
              </w:rPr>
              <w:t>其他应收款</w:t>
            </w:r>
            <w:r>
              <w:rPr>
                <w:rFonts w:ascii="Times New Roman" w:hAnsi="Times New Roman" w:cs="Times New Roman" w:eastAsia="Times New Roman" w:hint="default"/>
                <w:spacing w:val="-3"/>
                <w:w w:val="100"/>
                <w:sz w:val="18"/>
                <w:szCs w:val="18"/>
              </w:rPr>
              <w:t>”</w:t>
            </w:r>
            <w:r>
              <w:rPr>
                <w:rFonts w:ascii="宋体" w:hAnsi="宋体" w:cs="宋体" w:eastAsia="宋体" w:hint="default"/>
                <w:spacing w:val="-3"/>
                <w:w w:val="100"/>
                <w:sz w:val="18"/>
                <w:szCs w:val="18"/>
              </w:rPr>
              <w:t>项目中列报；（</w:t>
            </w:r>
            <w:r>
              <w:rPr>
                <w:rFonts w:ascii="Times New Roman" w:hAnsi="Times New Roman" w:cs="Times New Roman" w:eastAsia="Times New Roman" w:hint="default"/>
                <w:spacing w:val="-3"/>
                <w:w w:val="100"/>
                <w:sz w:val="18"/>
                <w:szCs w:val="18"/>
              </w:rPr>
              <w:t>3</w:t>
            </w:r>
            <w:r>
              <w:rPr>
                <w:rFonts w:ascii="宋体" w:hAnsi="宋体" w:cs="宋体" w:eastAsia="宋体" w:hint="default"/>
                <w:spacing w:val="-3"/>
                <w:w w:val="100"/>
                <w:sz w:val="18"/>
                <w:szCs w:val="18"/>
              </w:rPr>
              <w:t>）原</w:t>
            </w:r>
            <w:r>
              <w:rPr>
                <w:rFonts w:ascii="Times New Roman" w:hAnsi="Times New Roman" w:cs="Times New Roman" w:eastAsia="Times New Roman" w:hint="default"/>
                <w:spacing w:val="-3"/>
                <w:w w:val="100"/>
                <w:sz w:val="18"/>
                <w:szCs w:val="18"/>
              </w:rPr>
              <w:t>“</w:t>
            </w:r>
            <w:r>
              <w:rPr>
                <w:rFonts w:ascii="宋体" w:hAnsi="宋体" w:cs="宋体" w:eastAsia="宋体" w:hint="default"/>
                <w:spacing w:val="-3"/>
                <w:w w:val="100"/>
                <w:sz w:val="18"/>
                <w:szCs w:val="18"/>
              </w:rPr>
              <w:t>固定资</w:t>
            </w:r>
            <w:r>
              <w:rPr>
                <w:rFonts w:ascii="宋体" w:hAnsi="宋体" w:cs="宋体" w:eastAsia="宋体" w:hint="default"/>
                <w:sz w:val="18"/>
                <w:szCs w:val="18"/>
              </w:rPr>
              <w:t> </w:t>
            </w:r>
            <w:r>
              <w:rPr>
                <w:rFonts w:ascii="宋体" w:hAnsi="宋体" w:cs="宋体" w:eastAsia="宋体" w:hint="default"/>
                <w:spacing w:val="-3"/>
                <w:w w:val="100"/>
                <w:sz w:val="18"/>
                <w:szCs w:val="18"/>
              </w:rPr>
              <w:t>产清理</w:t>
            </w:r>
            <w:r>
              <w:rPr>
                <w:rFonts w:ascii="Times New Roman" w:hAnsi="Times New Roman" w:cs="Times New Roman" w:eastAsia="Times New Roman" w:hint="default"/>
                <w:spacing w:val="-3"/>
                <w:w w:val="100"/>
                <w:sz w:val="18"/>
                <w:szCs w:val="18"/>
              </w:rPr>
              <w:t>”</w:t>
            </w:r>
            <w:r>
              <w:rPr>
                <w:rFonts w:ascii="宋体" w:hAnsi="宋体" w:cs="宋体" w:eastAsia="宋体" w:hint="default"/>
                <w:spacing w:val="-3"/>
                <w:w w:val="100"/>
                <w:sz w:val="18"/>
                <w:szCs w:val="18"/>
              </w:rPr>
              <w:t>项目并入</w:t>
            </w:r>
            <w:r>
              <w:rPr>
                <w:rFonts w:ascii="Times New Roman" w:hAnsi="Times New Roman" w:cs="Times New Roman" w:eastAsia="Times New Roman" w:hint="default"/>
                <w:spacing w:val="-3"/>
                <w:w w:val="100"/>
                <w:sz w:val="18"/>
                <w:szCs w:val="18"/>
              </w:rPr>
              <w:t>“</w:t>
            </w:r>
            <w:r>
              <w:rPr>
                <w:rFonts w:ascii="宋体" w:hAnsi="宋体" w:cs="宋体" w:eastAsia="宋体" w:hint="default"/>
                <w:spacing w:val="-3"/>
                <w:w w:val="100"/>
                <w:sz w:val="18"/>
                <w:szCs w:val="18"/>
              </w:rPr>
              <w:t>固定资产</w:t>
            </w:r>
            <w:r>
              <w:rPr>
                <w:rFonts w:ascii="Times New Roman" w:hAnsi="Times New Roman" w:cs="Times New Roman" w:eastAsia="Times New Roman" w:hint="default"/>
                <w:spacing w:val="-3"/>
                <w:w w:val="100"/>
                <w:sz w:val="18"/>
                <w:szCs w:val="18"/>
              </w:rPr>
              <w:t>”</w:t>
            </w:r>
            <w:r>
              <w:rPr>
                <w:rFonts w:ascii="宋体" w:hAnsi="宋体" w:cs="宋体" w:eastAsia="宋体" w:hint="default"/>
                <w:spacing w:val="-3"/>
                <w:w w:val="100"/>
                <w:sz w:val="18"/>
                <w:szCs w:val="18"/>
              </w:rPr>
              <w:t>项目中列报；（</w:t>
            </w:r>
            <w:r>
              <w:rPr>
                <w:rFonts w:ascii="Times New Roman" w:hAnsi="Times New Roman" w:cs="Times New Roman" w:eastAsia="Times New Roman" w:hint="default"/>
                <w:spacing w:val="-3"/>
                <w:w w:val="100"/>
                <w:sz w:val="18"/>
                <w:szCs w:val="18"/>
              </w:rPr>
              <w:t>4</w:t>
            </w:r>
            <w:r>
              <w:rPr>
                <w:rFonts w:ascii="宋体" w:hAnsi="宋体" w:cs="宋体" w:eastAsia="宋体" w:hint="default"/>
                <w:spacing w:val="-3"/>
                <w:w w:val="100"/>
                <w:sz w:val="18"/>
                <w:szCs w:val="18"/>
              </w:rPr>
              <w:t>）原</w:t>
            </w:r>
            <w:r>
              <w:rPr>
                <w:rFonts w:ascii="Times New Roman" w:hAnsi="Times New Roman" w:cs="Times New Roman" w:eastAsia="Times New Roman" w:hint="default"/>
                <w:spacing w:val="-3"/>
                <w:w w:val="100"/>
                <w:sz w:val="18"/>
                <w:szCs w:val="18"/>
              </w:rPr>
              <w:t>“</w:t>
            </w:r>
            <w:r>
              <w:rPr>
                <w:rFonts w:ascii="宋体" w:hAnsi="宋体" w:cs="宋体" w:eastAsia="宋体" w:hint="default"/>
                <w:spacing w:val="-3"/>
                <w:w w:val="100"/>
                <w:sz w:val="18"/>
                <w:szCs w:val="18"/>
              </w:rPr>
              <w:t>工程物资</w:t>
            </w:r>
            <w:r>
              <w:rPr>
                <w:rFonts w:ascii="Times New Roman" w:hAnsi="Times New Roman" w:cs="Times New Roman" w:eastAsia="Times New Roman" w:hint="default"/>
                <w:spacing w:val="-3"/>
                <w:w w:val="100"/>
                <w:sz w:val="18"/>
                <w:szCs w:val="18"/>
              </w:rPr>
              <w:t>”</w:t>
            </w:r>
            <w:r>
              <w:rPr>
                <w:rFonts w:ascii="宋体" w:hAnsi="宋体" w:cs="宋体" w:eastAsia="宋体" w:hint="default"/>
                <w:spacing w:val="-3"/>
                <w:w w:val="100"/>
                <w:sz w:val="18"/>
                <w:szCs w:val="18"/>
              </w:rPr>
              <w:t>项</w:t>
            </w:r>
            <w:r>
              <w:rPr>
                <w:rFonts w:ascii="宋体" w:hAnsi="宋体" w:cs="宋体" w:eastAsia="宋体" w:hint="default"/>
                <w:sz w:val="18"/>
                <w:szCs w:val="18"/>
              </w:rPr>
              <w:t> </w:t>
            </w:r>
            <w:r>
              <w:rPr>
                <w:rFonts w:ascii="宋体" w:hAnsi="宋体" w:cs="宋体" w:eastAsia="宋体" w:hint="default"/>
                <w:spacing w:val="-6"/>
                <w:w w:val="100"/>
                <w:sz w:val="18"/>
                <w:szCs w:val="18"/>
              </w:rPr>
              <w:t>目并入</w:t>
            </w:r>
            <w:r>
              <w:rPr>
                <w:rFonts w:ascii="Times New Roman" w:hAnsi="Times New Roman" w:cs="Times New Roman" w:eastAsia="Times New Roman" w:hint="default"/>
                <w:spacing w:val="-6"/>
                <w:w w:val="100"/>
                <w:sz w:val="18"/>
                <w:szCs w:val="18"/>
              </w:rPr>
              <w:t>“</w:t>
            </w:r>
            <w:r>
              <w:rPr>
                <w:rFonts w:ascii="宋体" w:hAnsi="宋体" w:cs="宋体" w:eastAsia="宋体" w:hint="default"/>
                <w:spacing w:val="-6"/>
                <w:w w:val="100"/>
                <w:sz w:val="18"/>
                <w:szCs w:val="18"/>
              </w:rPr>
              <w:t>在建工程</w:t>
            </w:r>
            <w:r>
              <w:rPr>
                <w:rFonts w:ascii="Times New Roman" w:hAnsi="Times New Roman" w:cs="Times New Roman" w:eastAsia="Times New Roman" w:hint="default"/>
                <w:spacing w:val="-6"/>
                <w:w w:val="100"/>
                <w:sz w:val="18"/>
                <w:szCs w:val="18"/>
              </w:rPr>
              <w:t>”</w:t>
            </w:r>
            <w:r>
              <w:rPr>
                <w:rFonts w:ascii="宋体" w:hAnsi="宋体" w:cs="宋体" w:eastAsia="宋体" w:hint="default"/>
                <w:spacing w:val="-6"/>
                <w:w w:val="100"/>
                <w:sz w:val="18"/>
                <w:szCs w:val="18"/>
              </w:rPr>
              <w:t>项目中列报；（</w:t>
            </w:r>
            <w:r>
              <w:rPr>
                <w:rFonts w:ascii="Times New Roman" w:hAnsi="Times New Roman" w:cs="Times New Roman" w:eastAsia="Times New Roman" w:hint="default"/>
                <w:spacing w:val="-6"/>
                <w:w w:val="100"/>
                <w:sz w:val="18"/>
                <w:szCs w:val="18"/>
              </w:rPr>
              <w:t>5</w:t>
            </w:r>
            <w:r>
              <w:rPr>
                <w:rFonts w:ascii="宋体" w:hAnsi="宋体" w:cs="宋体" w:eastAsia="宋体" w:hint="default"/>
                <w:spacing w:val="-6"/>
                <w:w w:val="100"/>
                <w:sz w:val="18"/>
                <w:szCs w:val="18"/>
              </w:rPr>
              <w:t>）原</w:t>
            </w:r>
            <w:r>
              <w:rPr>
                <w:rFonts w:ascii="Times New Roman" w:hAnsi="Times New Roman" w:cs="Times New Roman" w:eastAsia="Times New Roman" w:hint="default"/>
                <w:spacing w:val="-6"/>
                <w:w w:val="100"/>
                <w:sz w:val="18"/>
                <w:szCs w:val="18"/>
              </w:rPr>
              <w:t>“</w:t>
            </w:r>
            <w:r>
              <w:rPr>
                <w:rFonts w:ascii="宋体" w:hAnsi="宋体" w:cs="宋体" w:eastAsia="宋体" w:hint="default"/>
                <w:spacing w:val="-6"/>
                <w:w w:val="100"/>
                <w:sz w:val="18"/>
                <w:szCs w:val="18"/>
              </w:rPr>
              <w:t>应付票据</w:t>
            </w:r>
            <w:r>
              <w:rPr>
                <w:rFonts w:ascii="Times New Roman" w:hAnsi="Times New Roman" w:cs="Times New Roman" w:eastAsia="Times New Roman" w:hint="default"/>
                <w:spacing w:val="-6"/>
                <w:w w:val="100"/>
                <w:sz w:val="18"/>
                <w:szCs w:val="18"/>
              </w:rPr>
              <w:t>”</w:t>
            </w:r>
            <w:r>
              <w:rPr>
                <w:rFonts w:ascii="宋体" w:hAnsi="宋体" w:cs="宋体" w:eastAsia="宋体" w:hint="default"/>
                <w:spacing w:val="-6"/>
                <w:w w:val="100"/>
                <w:sz w:val="18"/>
                <w:szCs w:val="18"/>
              </w:rPr>
              <w:t>和</w:t>
            </w:r>
            <w:r>
              <w:rPr>
                <w:rFonts w:ascii="Times New Roman" w:hAnsi="Times New Roman" w:cs="Times New Roman" w:eastAsia="Times New Roman" w:hint="default"/>
                <w:spacing w:val="-6"/>
                <w:w w:val="100"/>
                <w:sz w:val="18"/>
                <w:szCs w:val="18"/>
              </w:rPr>
              <w:t>“</w:t>
            </w:r>
            <w:r>
              <w:rPr>
                <w:rFonts w:ascii="宋体" w:hAnsi="宋体" w:cs="宋体" w:eastAsia="宋体" w:hint="default"/>
                <w:spacing w:val="-6"/>
                <w:w w:val="100"/>
                <w:sz w:val="18"/>
                <w:szCs w:val="18"/>
              </w:rPr>
              <w:t>应付账款</w:t>
            </w:r>
            <w:r>
              <w:rPr>
                <w:rFonts w:ascii="Times New Roman" w:hAnsi="Times New Roman" w:cs="Times New Roman" w:eastAsia="Times New Roman" w:hint="default"/>
                <w:spacing w:val="-6"/>
                <w:w w:val="100"/>
                <w:sz w:val="18"/>
                <w:szCs w:val="18"/>
              </w:rPr>
              <w:t>”</w:t>
            </w:r>
            <w:r>
              <w:rPr>
                <w:rFonts w:ascii="Times New Roman" w:hAnsi="Times New Roman" w:cs="Times New Roman" w:eastAsia="Times New Roman" w:hint="default"/>
                <w:spacing w:val="-21"/>
                <w:w w:val="100"/>
                <w:sz w:val="18"/>
                <w:szCs w:val="18"/>
              </w:rPr>
              <w:t> </w:t>
            </w:r>
            <w:r>
              <w:rPr>
                <w:rFonts w:ascii="宋体" w:hAnsi="宋体" w:cs="宋体" w:eastAsia="宋体" w:hint="default"/>
                <w:spacing w:val="-4"/>
                <w:w w:val="100"/>
                <w:sz w:val="18"/>
                <w:szCs w:val="18"/>
              </w:rPr>
              <w:t>项目，合并为</w:t>
            </w:r>
            <w:r>
              <w:rPr>
                <w:rFonts w:ascii="Times New Roman" w:hAnsi="Times New Roman" w:cs="Times New Roman" w:eastAsia="Times New Roman" w:hint="default"/>
                <w:spacing w:val="-4"/>
                <w:w w:val="100"/>
                <w:sz w:val="18"/>
                <w:szCs w:val="18"/>
              </w:rPr>
              <w:t>“</w:t>
            </w:r>
            <w:r>
              <w:rPr>
                <w:rFonts w:ascii="宋体" w:hAnsi="宋体" w:cs="宋体" w:eastAsia="宋体" w:hint="default"/>
                <w:spacing w:val="-4"/>
                <w:w w:val="100"/>
                <w:sz w:val="18"/>
                <w:szCs w:val="18"/>
              </w:rPr>
              <w:t>应付票据及应付账款</w:t>
            </w:r>
            <w:r>
              <w:rPr>
                <w:rFonts w:ascii="Times New Roman" w:hAnsi="Times New Roman" w:cs="Times New Roman" w:eastAsia="Times New Roman" w:hint="default"/>
                <w:spacing w:val="-4"/>
                <w:w w:val="100"/>
                <w:sz w:val="18"/>
                <w:szCs w:val="18"/>
              </w:rPr>
              <w:t>”</w:t>
            </w:r>
            <w:r>
              <w:rPr>
                <w:rFonts w:ascii="宋体" w:hAnsi="宋体" w:cs="宋体" w:eastAsia="宋体" w:hint="default"/>
                <w:spacing w:val="-4"/>
                <w:w w:val="100"/>
                <w:sz w:val="18"/>
                <w:szCs w:val="18"/>
              </w:rPr>
              <w:t>项目；（</w:t>
            </w:r>
            <w:r>
              <w:rPr>
                <w:rFonts w:ascii="Times New Roman" w:hAnsi="Times New Roman" w:cs="Times New Roman" w:eastAsia="Times New Roman" w:hint="default"/>
                <w:spacing w:val="-4"/>
                <w:w w:val="100"/>
                <w:sz w:val="18"/>
                <w:szCs w:val="18"/>
              </w:rPr>
              <w:t>6</w:t>
            </w:r>
            <w:r>
              <w:rPr>
                <w:rFonts w:ascii="宋体" w:hAnsi="宋体" w:cs="宋体" w:eastAsia="宋体" w:hint="default"/>
                <w:spacing w:val="-4"/>
                <w:w w:val="100"/>
                <w:sz w:val="18"/>
                <w:szCs w:val="18"/>
              </w:rPr>
              <w:t>）原</w:t>
            </w:r>
            <w:r>
              <w:rPr>
                <w:rFonts w:ascii="Times New Roman" w:hAnsi="Times New Roman" w:cs="Times New Roman" w:eastAsia="Times New Roman" w:hint="default"/>
                <w:spacing w:val="-4"/>
                <w:w w:val="100"/>
                <w:sz w:val="18"/>
                <w:szCs w:val="18"/>
              </w:rPr>
              <w:t>“</w:t>
            </w:r>
            <w:r>
              <w:rPr>
                <w:rFonts w:ascii="宋体" w:hAnsi="宋体" w:cs="宋体" w:eastAsia="宋体" w:hint="default"/>
                <w:spacing w:val="-4"/>
                <w:w w:val="100"/>
                <w:sz w:val="18"/>
                <w:szCs w:val="18"/>
              </w:rPr>
              <w:t>应付利息</w:t>
            </w:r>
            <w:r>
              <w:rPr>
                <w:rFonts w:ascii="Times New Roman" w:hAnsi="Times New Roman" w:cs="Times New Roman" w:eastAsia="Times New Roman" w:hint="default"/>
                <w:spacing w:val="-4"/>
                <w:w w:val="100"/>
                <w:sz w:val="18"/>
                <w:szCs w:val="18"/>
              </w:rPr>
              <w:t>”</w:t>
            </w:r>
            <w:r>
              <w:rPr>
                <w:rFonts w:ascii="Times New Roman" w:hAnsi="Times New Roman" w:cs="Times New Roman" w:eastAsia="Times New Roman" w:hint="default"/>
                <w:spacing w:val="-20"/>
                <w:w w:val="100"/>
                <w:sz w:val="18"/>
                <w:szCs w:val="18"/>
              </w:rPr>
              <w:t> </w:t>
            </w:r>
            <w:r>
              <w:rPr>
                <w:rFonts w:ascii="Times New Roman" w:hAnsi="Times New Roman" w:cs="Times New Roman" w:eastAsia="Times New Roman" w:hint="default"/>
                <w:spacing w:val="-3"/>
                <w:w w:val="100"/>
                <w:sz w:val="18"/>
                <w:szCs w:val="18"/>
              </w:rPr>
              <w:t>“</w:t>
            </w:r>
            <w:r>
              <w:rPr>
                <w:rFonts w:ascii="宋体" w:hAnsi="宋体" w:cs="宋体" w:eastAsia="宋体" w:hint="default"/>
                <w:spacing w:val="-3"/>
                <w:w w:val="100"/>
                <w:sz w:val="18"/>
                <w:szCs w:val="18"/>
              </w:rPr>
              <w:t>应付股利</w:t>
            </w:r>
            <w:r>
              <w:rPr>
                <w:rFonts w:ascii="Times New Roman" w:hAnsi="Times New Roman" w:cs="Times New Roman" w:eastAsia="Times New Roman" w:hint="default"/>
                <w:spacing w:val="-3"/>
                <w:w w:val="100"/>
                <w:sz w:val="18"/>
                <w:szCs w:val="18"/>
              </w:rPr>
              <w:t>”</w:t>
            </w:r>
            <w:r>
              <w:rPr>
                <w:rFonts w:ascii="宋体" w:hAnsi="宋体" w:cs="宋体" w:eastAsia="宋体" w:hint="default"/>
                <w:spacing w:val="-3"/>
                <w:w w:val="100"/>
                <w:sz w:val="18"/>
                <w:szCs w:val="18"/>
              </w:rPr>
              <w:t>项目并入</w:t>
            </w:r>
            <w:r>
              <w:rPr>
                <w:rFonts w:ascii="Times New Roman" w:hAnsi="Times New Roman" w:cs="Times New Roman" w:eastAsia="Times New Roman" w:hint="default"/>
                <w:spacing w:val="-3"/>
                <w:w w:val="100"/>
                <w:sz w:val="18"/>
                <w:szCs w:val="18"/>
              </w:rPr>
              <w:t>“</w:t>
            </w:r>
            <w:r>
              <w:rPr>
                <w:rFonts w:ascii="宋体" w:hAnsi="宋体" w:cs="宋体" w:eastAsia="宋体" w:hint="default"/>
                <w:spacing w:val="-3"/>
                <w:w w:val="100"/>
                <w:sz w:val="18"/>
                <w:szCs w:val="18"/>
              </w:rPr>
              <w:t>其他应付款</w:t>
            </w:r>
            <w:r>
              <w:rPr>
                <w:rFonts w:ascii="Times New Roman" w:hAnsi="Times New Roman" w:cs="Times New Roman" w:eastAsia="Times New Roman" w:hint="default"/>
                <w:spacing w:val="-3"/>
                <w:w w:val="100"/>
                <w:sz w:val="18"/>
                <w:szCs w:val="18"/>
              </w:rPr>
              <w:t>”</w:t>
            </w:r>
            <w:r>
              <w:rPr>
                <w:rFonts w:ascii="宋体" w:hAnsi="宋体" w:cs="宋体" w:eastAsia="宋体" w:hint="default"/>
                <w:spacing w:val="-3"/>
                <w:w w:val="100"/>
                <w:sz w:val="18"/>
                <w:szCs w:val="18"/>
              </w:rPr>
              <w:t>项目中列报；（</w:t>
            </w:r>
            <w:r>
              <w:rPr>
                <w:rFonts w:ascii="Times New Roman" w:hAnsi="Times New Roman" w:cs="Times New Roman" w:eastAsia="Times New Roman" w:hint="default"/>
                <w:spacing w:val="-3"/>
                <w:w w:val="100"/>
                <w:sz w:val="18"/>
                <w:szCs w:val="18"/>
              </w:rPr>
              <w:t>7</w:t>
            </w:r>
            <w:r>
              <w:rPr>
                <w:rFonts w:ascii="宋体" w:hAnsi="宋体" w:cs="宋体" w:eastAsia="宋体" w:hint="default"/>
                <w:spacing w:val="-3"/>
                <w:w w:val="100"/>
                <w:sz w:val="18"/>
                <w:szCs w:val="18"/>
              </w:rPr>
              <w:t>）原</w:t>
            </w:r>
            <w:r>
              <w:rPr>
                <w:rFonts w:ascii="Times New Roman" w:hAnsi="Times New Roman" w:cs="Times New Roman" w:eastAsia="Times New Roman" w:hint="default"/>
                <w:spacing w:val="-3"/>
                <w:w w:val="100"/>
                <w:sz w:val="18"/>
                <w:szCs w:val="18"/>
              </w:rPr>
              <w:t>“</w:t>
            </w:r>
            <w:r>
              <w:rPr>
                <w:rFonts w:ascii="宋体" w:hAnsi="宋体" w:cs="宋体" w:eastAsia="宋体" w:hint="default"/>
                <w:spacing w:val="-3"/>
                <w:w w:val="100"/>
                <w:sz w:val="18"/>
                <w:szCs w:val="18"/>
              </w:rPr>
              <w:t>专项应</w:t>
            </w:r>
            <w:r>
              <w:rPr>
                <w:rFonts w:ascii="宋体" w:hAnsi="宋体" w:cs="宋体" w:eastAsia="宋体" w:hint="default"/>
                <w:sz w:val="18"/>
                <w:szCs w:val="18"/>
              </w:rPr>
              <w:t> </w:t>
            </w:r>
            <w:r>
              <w:rPr>
                <w:rFonts w:ascii="宋体" w:hAnsi="宋体" w:cs="宋体" w:eastAsia="宋体" w:hint="default"/>
                <w:spacing w:val="-1"/>
                <w:w w:val="100"/>
                <w:sz w:val="18"/>
                <w:szCs w:val="18"/>
              </w:rPr>
              <w:t>付款</w:t>
            </w:r>
            <w:r>
              <w:rPr>
                <w:rFonts w:ascii="Times New Roman" w:hAnsi="Times New Roman" w:cs="Times New Roman" w:eastAsia="Times New Roman" w:hint="default"/>
                <w:spacing w:val="-1"/>
                <w:w w:val="100"/>
                <w:sz w:val="18"/>
                <w:szCs w:val="18"/>
              </w:rPr>
              <w:t>”</w:t>
            </w:r>
            <w:r>
              <w:rPr>
                <w:rFonts w:ascii="宋体" w:hAnsi="宋体" w:cs="宋体" w:eastAsia="宋体" w:hint="default"/>
                <w:spacing w:val="-1"/>
                <w:w w:val="100"/>
                <w:sz w:val="18"/>
                <w:szCs w:val="18"/>
              </w:rPr>
              <w:t>项目并入</w:t>
            </w:r>
            <w:r>
              <w:rPr>
                <w:rFonts w:ascii="宋体" w:hAnsi="宋体" w:cs="宋体" w:eastAsia="宋体" w:hint="default"/>
                <w:spacing w:val="20"/>
                <w:w w:val="100"/>
                <w:sz w:val="18"/>
                <w:szCs w:val="18"/>
              </w:rPr>
              <w:t> </w:t>
            </w:r>
            <w:r>
              <w:rPr>
                <w:rFonts w:ascii="Times New Roman" w:hAnsi="Times New Roman" w:cs="Times New Roman" w:eastAsia="Times New Roman" w:hint="default"/>
                <w:spacing w:val="-8"/>
                <w:w w:val="100"/>
                <w:sz w:val="18"/>
                <w:szCs w:val="18"/>
              </w:rPr>
              <w:t>“</w:t>
            </w:r>
            <w:r>
              <w:rPr>
                <w:rFonts w:ascii="宋体" w:hAnsi="宋体" w:cs="宋体" w:eastAsia="宋体" w:hint="default"/>
                <w:spacing w:val="-8"/>
                <w:w w:val="100"/>
                <w:sz w:val="18"/>
                <w:szCs w:val="18"/>
              </w:rPr>
              <w:t>长期应付款</w:t>
            </w:r>
            <w:r>
              <w:rPr>
                <w:rFonts w:ascii="Times New Roman" w:hAnsi="Times New Roman" w:cs="Times New Roman" w:eastAsia="Times New Roman" w:hint="default"/>
                <w:spacing w:val="-8"/>
                <w:w w:val="100"/>
                <w:sz w:val="18"/>
                <w:szCs w:val="18"/>
              </w:rPr>
              <w:t>”</w:t>
            </w:r>
            <w:r>
              <w:rPr>
                <w:rFonts w:ascii="宋体" w:hAnsi="宋体" w:cs="宋体" w:eastAsia="宋体" w:hint="default"/>
                <w:spacing w:val="-8"/>
                <w:w w:val="100"/>
                <w:sz w:val="18"/>
                <w:szCs w:val="18"/>
              </w:rPr>
              <w:t>项目中列报；（</w:t>
            </w:r>
            <w:r>
              <w:rPr>
                <w:rFonts w:ascii="Times New Roman" w:hAnsi="Times New Roman" w:cs="Times New Roman" w:eastAsia="Times New Roman" w:hint="default"/>
                <w:spacing w:val="-8"/>
                <w:w w:val="100"/>
                <w:sz w:val="18"/>
                <w:szCs w:val="18"/>
              </w:rPr>
              <w:t>8</w:t>
            </w:r>
            <w:r>
              <w:rPr>
                <w:rFonts w:ascii="宋体" w:hAnsi="宋体" w:cs="宋体" w:eastAsia="宋体" w:hint="default"/>
                <w:spacing w:val="-8"/>
                <w:w w:val="100"/>
                <w:sz w:val="18"/>
                <w:szCs w:val="18"/>
              </w:rPr>
              <w:t>）新增</w:t>
            </w:r>
            <w:r>
              <w:rPr>
                <w:rFonts w:ascii="Times New Roman" w:hAnsi="Times New Roman" w:cs="Times New Roman" w:eastAsia="Times New Roman" w:hint="default"/>
                <w:spacing w:val="-8"/>
                <w:w w:val="100"/>
                <w:sz w:val="18"/>
                <w:szCs w:val="18"/>
              </w:rPr>
              <w:t>“</w:t>
            </w:r>
            <w:r>
              <w:rPr>
                <w:rFonts w:ascii="宋体" w:hAnsi="宋体" w:cs="宋体" w:eastAsia="宋体" w:hint="default"/>
                <w:spacing w:val="-8"/>
                <w:w w:val="100"/>
                <w:sz w:val="18"/>
                <w:szCs w:val="18"/>
              </w:rPr>
              <w:t>研发费用</w:t>
            </w:r>
            <w:r>
              <w:rPr>
                <w:rFonts w:ascii="Times New Roman" w:hAnsi="Times New Roman" w:cs="Times New Roman" w:eastAsia="Times New Roman" w:hint="default"/>
                <w:spacing w:val="-8"/>
                <w:w w:val="100"/>
                <w:sz w:val="18"/>
                <w:szCs w:val="18"/>
              </w:rPr>
              <w:t>”</w:t>
            </w:r>
            <w:r>
              <w:rPr>
                <w:rFonts w:ascii="Times New Roman" w:hAnsi="Times New Roman" w:cs="Times New Roman" w:eastAsia="Times New Roman" w:hint="default"/>
                <w:spacing w:val="-42"/>
                <w:w w:val="100"/>
                <w:sz w:val="18"/>
                <w:szCs w:val="18"/>
              </w:rPr>
              <w:t> </w:t>
            </w:r>
            <w:r>
              <w:rPr>
                <w:rFonts w:ascii="宋体" w:hAnsi="宋体" w:cs="宋体" w:eastAsia="宋体" w:hint="default"/>
                <w:sz w:val="18"/>
                <w:szCs w:val="18"/>
              </w:rPr>
              <w:t>项目，原计入</w:t>
            </w:r>
            <w:r>
              <w:rPr>
                <w:rFonts w:ascii="Times New Roman" w:hAnsi="Times New Roman" w:cs="Times New Roman" w:eastAsia="Times New Roman" w:hint="default"/>
                <w:sz w:val="18"/>
                <w:szCs w:val="18"/>
              </w:rPr>
              <w:t>“</w:t>
            </w:r>
            <w:r>
              <w:rPr>
                <w:rFonts w:ascii="宋体" w:hAnsi="宋体" w:cs="宋体" w:eastAsia="宋体" w:hint="default"/>
                <w:sz w:val="18"/>
                <w:szCs w:val="18"/>
              </w:rPr>
              <w:t>管理费用</w:t>
            </w:r>
            <w:r>
              <w:rPr>
                <w:rFonts w:ascii="Times New Roman" w:hAnsi="Times New Roman" w:cs="Times New Roman" w:eastAsia="Times New Roman" w:hint="default"/>
                <w:sz w:val="18"/>
                <w:szCs w:val="18"/>
              </w:rPr>
              <w:t>”</w:t>
            </w:r>
            <w:r>
              <w:rPr>
                <w:rFonts w:ascii="宋体" w:hAnsi="宋体" w:cs="宋体" w:eastAsia="宋体" w:hint="default"/>
                <w:sz w:val="18"/>
                <w:szCs w:val="18"/>
              </w:rPr>
              <w:t>项目的研发费用单独列示为</w:t>
            </w:r>
            <w:r>
              <w:rPr>
                <w:rFonts w:ascii="Times New Roman" w:hAnsi="Times New Roman" w:cs="Times New Roman" w:eastAsia="Times New Roman" w:hint="default"/>
                <w:sz w:val="18"/>
                <w:szCs w:val="18"/>
              </w:rPr>
              <w:t>“</w:t>
            </w:r>
            <w:r>
              <w:rPr>
                <w:rFonts w:ascii="宋体" w:hAnsi="宋体" w:cs="宋体" w:eastAsia="宋体" w:hint="default"/>
                <w:sz w:val="18"/>
                <w:szCs w:val="18"/>
              </w:rPr>
              <w:t>研发费 </w:t>
            </w:r>
            <w:r>
              <w:rPr>
                <w:rFonts w:ascii="宋体" w:hAnsi="宋体" w:cs="宋体" w:eastAsia="宋体" w:hint="default"/>
                <w:spacing w:val="-6"/>
                <w:w w:val="100"/>
                <w:sz w:val="18"/>
                <w:szCs w:val="18"/>
              </w:rPr>
              <w:t>用</w:t>
            </w:r>
            <w:r>
              <w:rPr>
                <w:rFonts w:ascii="Times New Roman" w:hAnsi="Times New Roman" w:cs="Times New Roman" w:eastAsia="Times New Roman" w:hint="default"/>
                <w:spacing w:val="-6"/>
                <w:w w:val="100"/>
                <w:sz w:val="18"/>
                <w:szCs w:val="18"/>
              </w:rPr>
              <w:t>”</w:t>
            </w:r>
            <w:r>
              <w:rPr>
                <w:rFonts w:ascii="宋体" w:hAnsi="宋体" w:cs="宋体" w:eastAsia="宋体" w:hint="default"/>
                <w:spacing w:val="-6"/>
                <w:w w:val="100"/>
                <w:sz w:val="18"/>
                <w:szCs w:val="18"/>
              </w:rPr>
              <w:t>项目；（</w:t>
            </w:r>
            <w:r>
              <w:rPr>
                <w:rFonts w:ascii="Times New Roman" w:hAnsi="Times New Roman" w:cs="Times New Roman" w:eastAsia="Times New Roman" w:hint="default"/>
                <w:spacing w:val="-6"/>
                <w:w w:val="100"/>
                <w:sz w:val="18"/>
                <w:szCs w:val="18"/>
              </w:rPr>
              <w:t>9</w:t>
            </w:r>
            <w:r>
              <w:rPr>
                <w:rFonts w:ascii="宋体" w:hAnsi="宋体" w:cs="宋体" w:eastAsia="宋体" w:hint="default"/>
                <w:spacing w:val="-6"/>
                <w:w w:val="100"/>
                <w:sz w:val="18"/>
                <w:szCs w:val="18"/>
              </w:rPr>
              <w:t>）利润表中</w:t>
            </w:r>
            <w:r>
              <w:rPr>
                <w:rFonts w:ascii="Times New Roman" w:hAnsi="Times New Roman" w:cs="Times New Roman" w:eastAsia="Times New Roman" w:hint="default"/>
                <w:spacing w:val="-6"/>
                <w:w w:val="100"/>
                <w:sz w:val="18"/>
                <w:szCs w:val="18"/>
              </w:rPr>
              <w:t>“</w:t>
            </w:r>
            <w:r>
              <w:rPr>
                <w:rFonts w:ascii="宋体" w:hAnsi="宋体" w:cs="宋体" w:eastAsia="宋体" w:hint="default"/>
                <w:spacing w:val="-6"/>
                <w:w w:val="100"/>
                <w:sz w:val="18"/>
                <w:szCs w:val="18"/>
              </w:rPr>
              <w:t>财务费用</w:t>
            </w:r>
            <w:r>
              <w:rPr>
                <w:rFonts w:ascii="Times New Roman" w:hAnsi="Times New Roman" w:cs="Times New Roman" w:eastAsia="Times New Roman" w:hint="default"/>
                <w:spacing w:val="-6"/>
                <w:w w:val="100"/>
                <w:sz w:val="18"/>
                <w:szCs w:val="18"/>
              </w:rPr>
              <w:t>”</w:t>
            </w:r>
            <w:r>
              <w:rPr>
                <w:rFonts w:ascii="宋体" w:hAnsi="宋体" w:cs="宋体" w:eastAsia="宋体" w:hint="default"/>
                <w:spacing w:val="-6"/>
                <w:w w:val="100"/>
                <w:sz w:val="18"/>
                <w:szCs w:val="18"/>
              </w:rPr>
              <w:t>项目下增加</w:t>
            </w:r>
            <w:r>
              <w:rPr>
                <w:rFonts w:ascii="Times New Roman" w:hAnsi="Times New Roman" w:cs="Times New Roman" w:eastAsia="Times New Roman" w:hint="default"/>
                <w:spacing w:val="-6"/>
                <w:w w:val="100"/>
                <w:sz w:val="18"/>
                <w:szCs w:val="18"/>
              </w:rPr>
              <w:t>“</w:t>
            </w:r>
            <w:r>
              <w:rPr>
                <w:rFonts w:ascii="宋体" w:hAnsi="宋体" w:cs="宋体" w:eastAsia="宋体" w:hint="default"/>
                <w:spacing w:val="-6"/>
                <w:w w:val="100"/>
                <w:sz w:val="18"/>
                <w:szCs w:val="18"/>
              </w:rPr>
              <w:t>利息费用</w:t>
            </w:r>
            <w:r>
              <w:rPr>
                <w:rFonts w:ascii="Times New Roman" w:hAnsi="Times New Roman" w:cs="Times New Roman" w:eastAsia="Times New Roman" w:hint="default"/>
                <w:spacing w:val="-6"/>
                <w:w w:val="100"/>
                <w:sz w:val="18"/>
                <w:szCs w:val="18"/>
              </w:rPr>
              <w:t>”</w:t>
            </w:r>
            <w:r>
              <w:rPr>
                <w:rFonts w:ascii="宋体" w:hAnsi="宋体" w:cs="宋体" w:eastAsia="宋体" w:hint="default"/>
                <w:spacing w:val="-6"/>
                <w:w w:val="100"/>
                <w:sz w:val="18"/>
                <w:szCs w:val="18"/>
              </w:rPr>
              <w:t>和</w:t>
            </w:r>
            <w:r>
              <w:rPr>
                <w:rFonts w:ascii="Times New Roman" w:hAnsi="Times New Roman" w:cs="Times New Roman" w:eastAsia="Times New Roman" w:hint="default"/>
                <w:spacing w:val="-6"/>
                <w:w w:val="100"/>
                <w:sz w:val="18"/>
                <w:szCs w:val="18"/>
              </w:rPr>
              <w:t>“</w:t>
            </w:r>
            <w:r>
              <w:rPr>
                <w:rFonts w:ascii="宋体" w:hAnsi="宋体" w:cs="宋体" w:eastAsia="宋体" w:hint="default"/>
                <w:spacing w:val="-6"/>
                <w:w w:val="100"/>
                <w:sz w:val="18"/>
                <w:szCs w:val="18"/>
              </w:rPr>
              <w:t>利</w:t>
            </w:r>
            <w:r>
              <w:rPr>
                <w:rFonts w:ascii="宋体" w:hAnsi="宋体" w:cs="宋体" w:eastAsia="宋体" w:hint="default"/>
                <w:spacing w:val="-67"/>
                <w:w w:val="100"/>
                <w:sz w:val="18"/>
                <w:szCs w:val="18"/>
              </w:rPr>
              <w:t> </w:t>
            </w:r>
            <w:r>
              <w:rPr>
                <w:rFonts w:ascii="宋体" w:hAnsi="宋体" w:cs="宋体" w:eastAsia="宋体" w:hint="default"/>
                <w:spacing w:val="-4"/>
                <w:w w:val="100"/>
                <w:sz w:val="18"/>
                <w:szCs w:val="18"/>
              </w:rPr>
              <w:t>息收入</w:t>
            </w:r>
            <w:r>
              <w:rPr>
                <w:rFonts w:ascii="Times New Roman" w:hAnsi="Times New Roman" w:cs="Times New Roman" w:eastAsia="Times New Roman" w:hint="default"/>
                <w:spacing w:val="-4"/>
                <w:w w:val="100"/>
                <w:sz w:val="18"/>
                <w:szCs w:val="18"/>
              </w:rPr>
              <w:t>”</w:t>
            </w:r>
            <w:r>
              <w:rPr>
                <w:rFonts w:ascii="宋体" w:hAnsi="宋体" w:cs="宋体" w:eastAsia="宋体" w:hint="default"/>
                <w:spacing w:val="-4"/>
                <w:w w:val="100"/>
                <w:sz w:val="18"/>
                <w:szCs w:val="18"/>
              </w:rPr>
              <w:t>明细项目列报；（</w:t>
            </w:r>
            <w:r>
              <w:rPr>
                <w:rFonts w:ascii="Times New Roman" w:hAnsi="Times New Roman" w:cs="Times New Roman" w:eastAsia="Times New Roman" w:hint="default"/>
                <w:spacing w:val="-4"/>
                <w:w w:val="100"/>
                <w:sz w:val="18"/>
                <w:szCs w:val="18"/>
              </w:rPr>
              <w:t>10</w:t>
            </w:r>
            <w:r>
              <w:rPr>
                <w:rFonts w:ascii="宋体" w:hAnsi="宋体" w:cs="宋体" w:eastAsia="宋体" w:hint="default"/>
                <w:spacing w:val="-4"/>
                <w:w w:val="100"/>
                <w:sz w:val="18"/>
                <w:szCs w:val="18"/>
              </w:rPr>
              <w:t>）所有者权益变动表新增</w:t>
            </w:r>
            <w:r>
              <w:rPr>
                <w:rFonts w:ascii="Times New Roman" w:hAnsi="Times New Roman" w:cs="Times New Roman" w:eastAsia="Times New Roman" w:hint="default"/>
                <w:spacing w:val="-4"/>
                <w:w w:val="100"/>
                <w:sz w:val="18"/>
                <w:szCs w:val="18"/>
              </w:rPr>
              <w:t>“</w:t>
            </w:r>
            <w:r>
              <w:rPr>
                <w:rFonts w:ascii="宋体" w:hAnsi="宋体" w:cs="宋体" w:eastAsia="宋体" w:hint="default"/>
                <w:spacing w:val="-4"/>
                <w:w w:val="100"/>
                <w:sz w:val="18"/>
                <w:szCs w:val="18"/>
              </w:rPr>
              <w:t>设定受益</w:t>
            </w:r>
            <w:r>
              <w:rPr>
                <w:rFonts w:ascii="宋体" w:hAnsi="宋体" w:cs="宋体" w:eastAsia="宋体" w:hint="default"/>
                <w:sz w:val="18"/>
                <w:szCs w:val="18"/>
              </w:rPr>
              <w:t> 计划变动额结转留存收益</w:t>
            </w:r>
            <w:r>
              <w:rPr>
                <w:rFonts w:ascii="Times New Roman" w:hAnsi="Times New Roman" w:cs="Times New Roman" w:eastAsia="Times New Roman" w:hint="default"/>
                <w:sz w:val="18"/>
                <w:szCs w:val="18"/>
              </w:rPr>
              <w:t>”</w:t>
            </w:r>
            <w:r>
              <w:rPr>
                <w:rFonts w:ascii="宋体" w:hAnsi="宋体" w:cs="宋体" w:eastAsia="宋体" w:hint="default"/>
                <w:sz w:val="18"/>
                <w:szCs w:val="18"/>
              </w:rPr>
              <w:t>项目。</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340" w:lineRule="exact"/>
              <w:ind w:right="-54"/>
              <w:jc w:val="left"/>
              <w:rPr>
                <w:rFonts w:ascii="宋体" w:hAnsi="宋体" w:cs="宋体" w:eastAsia="宋体" w:hint="default"/>
                <w:sz w:val="20"/>
                <w:szCs w:val="20"/>
              </w:rPr>
            </w:pPr>
            <w:r>
              <w:rPr>
                <w:rFonts w:ascii="宋体" w:hAnsi="宋体" w:cs="宋体" w:eastAsia="宋体" w:hint="default"/>
                <w:position w:val="-46"/>
                <w:sz w:val="20"/>
                <w:szCs w:val="20"/>
              </w:rPr>
              <w:pict>
                <v:group style="width:105.9pt;height:117.05pt;mso-position-horizontal-relative:char;mso-position-vertical-relative:line" coordorigin="0,0" coordsize="2118,2341">
                  <v:group style="position:absolute;left:0;top:0;width:2118;height:2341" coordorigin="0,0" coordsize="2118,2341">
                    <v:shape style="position:absolute;left:0;top:0;width:2118;height:2341" coordorigin="0,0" coordsize="2118,2341" path="m0,2340l2117,2340,2117,0,0,0,0,2340xe" filled="true" fillcolor="#ffffff" stroked="false">
                      <v:path arrowok="t"/>
                      <v:fill type="solid"/>
                    </v:shape>
                  </v:group>
                </v:group>
              </w:pict>
            </w:r>
            <w:r>
              <w:rPr>
                <w:rFonts w:ascii="宋体" w:hAnsi="宋体" w:cs="宋体" w:eastAsia="宋体" w:hint="default"/>
                <w:position w:val="-46"/>
                <w:sz w:val="20"/>
                <w:szCs w:val="20"/>
              </w:rPr>
            </w:r>
          </w:p>
          <w:p>
            <w:pPr>
              <w:pStyle w:val="TableParagraph"/>
              <w:spacing w:line="316" w:lineRule="auto" w:before="49"/>
              <w:ind w:left="23" w:right="108"/>
              <w:jc w:val="left"/>
              <w:rPr>
                <w:rFonts w:ascii="宋体" w:hAnsi="宋体" w:cs="宋体" w:eastAsia="宋体" w:hint="default"/>
                <w:sz w:val="18"/>
                <w:szCs w:val="18"/>
              </w:rPr>
            </w:pPr>
            <w:r>
              <w:rPr>
                <w:rFonts w:ascii="宋体" w:hAnsi="宋体" w:cs="宋体" w:eastAsia="宋体" w:hint="default"/>
                <w:sz w:val="18"/>
                <w:szCs w:val="18"/>
              </w:rPr>
              <w:t>四维图新第四届第十五次 董事会审批通过</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319" w:lineRule="auto"/>
              <w:ind w:left="23" w:right="106"/>
              <w:jc w:val="both"/>
              <w:rPr>
                <w:rFonts w:ascii="宋体" w:hAnsi="宋体" w:cs="宋体" w:eastAsia="宋体" w:hint="default"/>
                <w:sz w:val="18"/>
                <w:szCs w:val="18"/>
              </w:rPr>
            </w:pPr>
            <w:r>
              <w:rPr>
                <w:rFonts w:ascii="宋体" w:hAnsi="宋体" w:cs="宋体" w:eastAsia="宋体" w:hint="default"/>
                <w:sz w:val="18"/>
                <w:szCs w:val="18"/>
              </w:rPr>
              <w:t>列报要求变更仅对财务报表项 目列示产生影响，不会对公司 损益、总资产、净资产产生影 响</w:t>
            </w:r>
          </w:p>
        </w:tc>
      </w:tr>
    </w:tbl>
    <w:p>
      <w:pPr>
        <w:pStyle w:val="BodyText"/>
        <w:spacing w:line="319" w:lineRule="auto" w:before="8"/>
        <w:ind w:right="982" w:firstLine="360"/>
        <w:jc w:val="left"/>
      </w:pPr>
      <w:r>
        <w:rPr/>
        <w:pict>
          <v:shape style="position:absolute;margin-left:298.970001pt;margin-top:-117.488281pt;width:112pt;height:117pt;mso-position-horizontal-relative:page;mso-position-vertical-relative:paragraph;z-index:-1324888" type="#_x0000_t202" filled="false" stroked="false">
            <v:textbox inset="0,0,0,0">
              <w:txbxContent>
                <w:p>
                  <w:pPr>
                    <w:pStyle w:val="BodyText"/>
                    <w:spacing w:line="240" w:lineRule="auto" w:before="125"/>
                    <w:ind w:left="0" w:right="0"/>
                    <w:jc w:val="left"/>
                  </w:pPr>
                  <w:r>
                    <w:rPr/>
                    <w:t>、</w:t>
                  </w:r>
                </w:p>
              </w:txbxContent>
            </v:textbox>
            <w10:wrap type="none"/>
          </v:shape>
        </w:pict>
      </w:r>
      <w:r>
        <w:rPr/>
        <w:pict>
          <v:group style="position:absolute;margin-left:305.089996pt;margin-top:-117.488281pt;width:105.9pt;height:117pt;mso-position-horizontal-relative:page;mso-position-vertical-relative:paragraph;z-index:-1324840" coordorigin="6102,-2350" coordsize="2118,2340">
            <v:shape style="position:absolute;left:6102;top:-2350;width:2118;height:2340" coordorigin="6102,-2350" coordsize="2118,2340" path="m6102,-10l8219,-10,8219,-2350,6102,-2350,6102,-10xe" filled="true" fillcolor="#ffffff" stroked="false">
              <v:path arrowok="t"/>
              <v:fill type="solid"/>
            </v:shape>
            <w10:wrap type="none"/>
          </v:group>
        </w:pict>
      </w:r>
      <w:r>
        <w:rPr>
          <w:spacing w:val="-2"/>
        </w:rPr>
        <w:t>本公司根据上述列报要求相应追溯重述了比较期间数据，导致本期财务报表和比较期间原财务报表的部分项目列报内容</w:t>
      </w:r>
      <w:r>
        <w:rPr/>
        <w:t> 不同，对上年合并报表相关项目重述调整如下：</w:t>
      </w:r>
    </w:p>
    <w:tbl>
      <w:tblPr>
        <w:tblW w:w="0" w:type="auto"/>
        <w:jc w:val="left"/>
        <w:tblInd w:w="145" w:type="dxa"/>
        <w:tblLayout w:type="fixed"/>
        <w:tblCellMar>
          <w:top w:w="0" w:type="dxa"/>
          <w:left w:w="0" w:type="dxa"/>
          <w:bottom w:w="0" w:type="dxa"/>
          <w:right w:w="0" w:type="dxa"/>
        </w:tblCellMar>
        <w:tblLook w:val="01E0"/>
      </w:tblPr>
      <w:tblGrid>
        <w:gridCol w:w="2391"/>
        <w:gridCol w:w="2391"/>
        <w:gridCol w:w="2360"/>
        <w:gridCol w:w="2360"/>
      </w:tblGrid>
      <w:tr>
        <w:trPr>
          <w:trHeight w:val="348" w:hRule="exact"/>
        </w:trPr>
        <w:tc>
          <w:tcPr>
            <w:tcW w:w="2391" w:type="dxa"/>
            <w:vMerge w:val="restart"/>
            <w:tcBorders>
              <w:top w:val="single" w:sz="6" w:space="0" w:color="000000"/>
              <w:left w:val="single" w:sz="6" w:space="0" w:color="000000"/>
              <w:right w:val="single" w:sz="6" w:space="0" w:color="000000"/>
            </w:tcBorders>
            <w:shd w:val="clear" w:color="auto" w:fill="D9D9D9"/>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379" w:right="0"/>
              <w:jc w:val="left"/>
              <w:rPr>
                <w:rFonts w:ascii="宋体" w:hAnsi="宋体" w:cs="宋体" w:eastAsia="宋体" w:hint="default"/>
                <w:sz w:val="18"/>
                <w:szCs w:val="18"/>
              </w:rPr>
            </w:pPr>
            <w:r>
              <w:rPr>
                <w:rFonts w:ascii="宋体" w:hAnsi="宋体" w:cs="宋体" w:eastAsia="宋体" w:hint="default"/>
                <w:sz w:val="18"/>
                <w:szCs w:val="18"/>
              </w:rPr>
              <w:t>会计政策变更的内容</w:t>
            </w:r>
          </w:p>
        </w:tc>
        <w:tc>
          <w:tcPr>
            <w:tcW w:w="2391" w:type="dxa"/>
            <w:vMerge w:val="restart"/>
            <w:tcBorders>
              <w:top w:val="single" w:sz="6" w:space="0" w:color="000000"/>
              <w:left w:val="single" w:sz="6" w:space="0" w:color="000000"/>
              <w:right w:val="single" w:sz="6" w:space="0" w:color="000000"/>
            </w:tcBorders>
            <w:shd w:val="clear" w:color="auto" w:fill="D9D9D9"/>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287" w:right="0"/>
              <w:jc w:val="left"/>
              <w:rPr>
                <w:rFonts w:ascii="宋体" w:hAnsi="宋体" w:cs="宋体" w:eastAsia="宋体" w:hint="default"/>
                <w:sz w:val="18"/>
                <w:szCs w:val="18"/>
              </w:rPr>
            </w:pPr>
            <w:r>
              <w:rPr>
                <w:rFonts w:ascii="宋体" w:hAnsi="宋体" w:cs="宋体" w:eastAsia="宋体" w:hint="default"/>
                <w:sz w:val="18"/>
                <w:szCs w:val="18"/>
              </w:rPr>
              <w:t>受影响的报表项目名称</w:t>
            </w:r>
          </w:p>
        </w:tc>
        <w:tc>
          <w:tcPr>
            <w:tcW w:w="4719" w:type="dxa"/>
            <w:gridSpan w:val="2"/>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0"/>
              <w:ind w:left="133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31</w:t>
            </w:r>
            <w:r>
              <w:rPr>
                <w:rFonts w:ascii="宋体" w:hAnsi="宋体" w:cs="宋体" w:eastAsia="宋体" w:hint="default"/>
                <w:sz w:val="18"/>
                <w:szCs w:val="18"/>
              </w:rPr>
              <w:t>日</w:t>
            </w:r>
            <w:r>
              <w:rPr>
                <w:rFonts w:ascii="Times New Roman" w:hAnsi="Times New Roman" w:cs="Times New Roman" w:eastAsia="Times New Roman" w:hint="default"/>
                <w:sz w:val="18"/>
                <w:szCs w:val="18"/>
              </w:rPr>
              <w:t>/2017</w:t>
            </w:r>
            <w:r>
              <w:rPr>
                <w:rFonts w:ascii="宋体" w:hAnsi="宋体" w:cs="宋体" w:eastAsia="宋体" w:hint="default"/>
                <w:sz w:val="18"/>
                <w:szCs w:val="18"/>
              </w:rPr>
              <w:t>年度</w:t>
            </w:r>
          </w:p>
        </w:tc>
      </w:tr>
      <w:tr>
        <w:trPr>
          <w:trHeight w:val="348" w:hRule="exact"/>
        </w:trPr>
        <w:tc>
          <w:tcPr>
            <w:tcW w:w="2391" w:type="dxa"/>
            <w:vMerge/>
            <w:tcBorders>
              <w:left w:val="single" w:sz="6" w:space="0" w:color="000000"/>
              <w:bottom w:val="single" w:sz="6" w:space="0" w:color="000000"/>
              <w:right w:val="single" w:sz="6" w:space="0" w:color="000000"/>
            </w:tcBorders>
            <w:shd w:val="clear" w:color="auto" w:fill="D9D9D9"/>
          </w:tcPr>
          <w:p>
            <w:pPr/>
          </w:p>
        </w:tc>
        <w:tc>
          <w:tcPr>
            <w:tcW w:w="2391" w:type="dxa"/>
            <w:vMerge/>
            <w:tcBorders>
              <w:left w:val="single" w:sz="6" w:space="0" w:color="000000"/>
              <w:bottom w:val="single" w:sz="6" w:space="0" w:color="000000"/>
              <w:right w:val="single" w:sz="6" w:space="0" w:color="000000"/>
            </w:tcBorders>
            <w:shd w:val="clear" w:color="auto" w:fill="D9D9D9"/>
          </w:tcPr>
          <w:p>
            <w:pPr/>
          </w:p>
        </w:tc>
        <w:tc>
          <w:tcPr>
            <w:tcW w:w="2360"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变更前</w:t>
            </w:r>
          </w:p>
        </w:tc>
        <w:tc>
          <w:tcPr>
            <w:tcW w:w="2360"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变更后</w:t>
            </w:r>
          </w:p>
        </w:tc>
      </w:tr>
      <w:tr>
        <w:trPr>
          <w:trHeight w:val="346" w:hRule="exact"/>
        </w:trPr>
        <w:tc>
          <w:tcPr>
            <w:tcW w:w="2391" w:type="dxa"/>
            <w:vMerge w:val="restart"/>
            <w:tcBorders>
              <w:top w:val="single" w:sz="6" w:space="0" w:color="000000"/>
              <w:left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316" w:lineRule="auto"/>
              <w:ind w:left="4" w:right="0"/>
              <w:jc w:val="left"/>
              <w:rPr>
                <w:rFonts w:ascii="宋体" w:hAnsi="宋体" w:cs="宋体" w:eastAsia="宋体" w:hint="default"/>
                <w:sz w:val="18"/>
                <w:szCs w:val="18"/>
              </w:rPr>
            </w:pPr>
            <w:r>
              <w:rPr>
                <w:rFonts w:ascii="宋体" w:hAnsi="宋体" w:cs="宋体" w:eastAsia="宋体" w:hint="default"/>
                <w:sz w:val="18"/>
                <w:szCs w:val="18"/>
              </w:rPr>
              <w:t>将应收票据和应收账款合并为</w:t>
            </w:r>
            <w:r>
              <w:rPr>
                <w:rFonts w:ascii="宋体" w:hAnsi="宋体" w:cs="宋体" w:eastAsia="宋体" w:hint="default"/>
                <w:spacing w:val="-65"/>
                <w:sz w:val="18"/>
                <w:szCs w:val="18"/>
              </w:rPr>
              <w:t> </w:t>
            </w:r>
            <w:r>
              <w:rPr>
                <w:rFonts w:ascii="宋体" w:hAnsi="宋体" w:cs="宋体" w:eastAsia="宋体" w:hint="default"/>
                <w:sz w:val="18"/>
                <w:szCs w:val="18"/>
              </w:rPr>
              <w:t>应收票据及应收账款项目</w:t>
            </w:r>
          </w:p>
        </w:tc>
        <w:tc>
          <w:tcPr>
            <w:tcW w:w="23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23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Times New Roman" w:hAnsi="Times New Roman" w:cs="Times New Roman" w:eastAsia="Times New Roman" w:hint="default"/>
                <w:sz w:val="18"/>
                <w:szCs w:val="18"/>
              </w:rPr>
            </w:pPr>
            <w:r>
              <w:rPr>
                <w:rFonts w:ascii="Times New Roman"/>
                <w:spacing w:val="-1"/>
                <w:sz w:val="18"/>
              </w:rPr>
              <w:t>101,274,757.52</w:t>
            </w:r>
          </w:p>
        </w:tc>
        <w:tc>
          <w:tcPr>
            <w:tcW w:w="2360" w:type="dxa"/>
            <w:tcBorders>
              <w:top w:val="single" w:sz="6" w:space="0" w:color="000000"/>
              <w:left w:val="single" w:sz="6" w:space="0" w:color="000000"/>
              <w:bottom w:val="single" w:sz="6" w:space="0" w:color="000000"/>
              <w:right w:val="single" w:sz="6" w:space="0" w:color="000000"/>
            </w:tcBorders>
          </w:tcPr>
          <w:p>
            <w:pPr/>
          </w:p>
        </w:tc>
      </w:tr>
      <w:tr>
        <w:trPr>
          <w:trHeight w:val="348" w:hRule="exact"/>
        </w:trPr>
        <w:tc>
          <w:tcPr>
            <w:tcW w:w="2391" w:type="dxa"/>
            <w:vMerge/>
            <w:tcBorders>
              <w:left w:val="single" w:sz="6" w:space="0" w:color="000000"/>
              <w:right w:val="single" w:sz="6" w:space="0" w:color="000000"/>
            </w:tcBorders>
          </w:tcPr>
          <w:p>
            <w:pPr/>
          </w:p>
        </w:tc>
        <w:tc>
          <w:tcPr>
            <w:tcW w:w="23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3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spacing w:val="-1"/>
                <w:sz w:val="18"/>
              </w:rPr>
              <w:t>626,954,316.42</w:t>
            </w:r>
          </w:p>
        </w:tc>
        <w:tc>
          <w:tcPr>
            <w:tcW w:w="2360" w:type="dxa"/>
            <w:tcBorders>
              <w:top w:val="single" w:sz="6" w:space="0" w:color="000000"/>
              <w:left w:val="single" w:sz="6" w:space="0" w:color="000000"/>
              <w:bottom w:val="single" w:sz="6" w:space="0" w:color="000000"/>
              <w:right w:val="single" w:sz="6" w:space="0" w:color="000000"/>
            </w:tcBorders>
          </w:tcPr>
          <w:p>
            <w:pPr/>
          </w:p>
        </w:tc>
      </w:tr>
      <w:tr>
        <w:trPr>
          <w:trHeight w:val="346" w:hRule="exact"/>
        </w:trPr>
        <w:tc>
          <w:tcPr>
            <w:tcW w:w="2391" w:type="dxa"/>
            <w:vMerge/>
            <w:tcBorders>
              <w:left w:val="single" w:sz="6" w:space="0" w:color="000000"/>
              <w:bottom w:val="single" w:sz="6" w:space="0" w:color="000000"/>
              <w:right w:val="single" w:sz="6" w:space="0" w:color="000000"/>
            </w:tcBorders>
          </w:tcPr>
          <w:p>
            <w:pPr/>
          </w:p>
        </w:tc>
        <w:tc>
          <w:tcPr>
            <w:tcW w:w="23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 w:right="0"/>
              <w:jc w:val="left"/>
              <w:rPr>
                <w:rFonts w:ascii="宋体" w:hAnsi="宋体" w:cs="宋体" w:eastAsia="宋体" w:hint="default"/>
                <w:sz w:val="18"/>
                <w:szCs w:val="18"/>
              </w:rPr>
            </w:pPr>
            <w:r>
              <w:rPr>
                <w:rFonts w:ascii="宋体" w:hAnsi="宋体" w:cs="宋体" w:eastAsia="宋体" w:hint="default"/>
                <w:sz w:val="18"/>
                <w:szCs w:val="18"/>
              </w:rPr>
              <w:t>应收票据及应收账款</w:t>
            </w:r>
          </w:p>
        </w:tc>
        <w:tc>
          <w:tcPr>
            <w:tcW w:w="2360" w:type="dxa"/>
            <w:tcBorders>
              <w:top w:val="single" w:sz="6" w:space="0" w:color="000000"/>
              <w:left w:val="single" w:sz="6" w:space="0" w:color="000000"/>
              <w:bottom w:val="single" w:sz="6" w:space="0" w:color="000000"/>
              <w:right w:val="single" w:sz="6" w:space="0" w:color="000000"/>
            </w:tcBorders>
          </w:tcPr>
          <w:p>
            <w:pPr/>
          </w:p>
        </w:tc>
        <w:tc>
          <w:tcPr>
            <w:tcW w:w="23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Times New Roman" w:hAnsi="Times New Roman" w:cs="Times New Roman" w:eastAsia="Times New Roman" w:hint="default"/>
                <w:sz w:val="18"/>
                <w:szCs w:val="18"/>
              </w:rPr>
            </w:pPr>
            <w:r>
              <w:rPr>
                <w:rFonts w:ascii="Times New Roman"/>
                <w:spacing w:val="-1"/>
                <w:sz w:val="18"/>
              </w:rPr>
              <w:t>728,229,073.94</w:t>
            </w:r>
          </w:p>
        </w:tc>
      </w:tr>
      <w:tr>
        <w:trPr>
          <w:trHeight w:val="348" w:hRule="exact"/>
        </w:trPr>
        <w:tc>
          <w:tcPr>
            <w:tcW w:w="2391" w:type="dxa"/>
            <w:vMerge w:val="restart"/>
            <w:tcBorders>
              <w:top w:val="single" w:sz="6" w:space="0" w:color="000000"/>
              <w:left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316" w:lineRule="auto"/>
              <w:ind w:left="4" w:right="0"/>
              <w:jc w:val="left"/>
              <w:rPr>
                <w:rFonts w:ascii="宋体" w:hAnsi="宋体" w:cs="宋体" w:eastAsia="宋体" w:hint="default"/>
                <w:sz w:val="18"/>
                <w:szCs w:val="18"/>
              </w:rPr>
            </w:pPr>
            <w:r>
              <w:rPr>
                <w:rFonts w:ascii="宋体" w:hAnsi="宋体" w:cs="宋体" w:eastAsia="宋体" w:hint="default"/>
                <w:sz w:val="18"/>
                <w:szCs w:val="18"/>
              </w:rPr>
              <w:t>将应收利息和应收股利并入其</w:t>
            </w:r>
            <w:r>
              <w:rPr>
                <w:rFonts w:ascii="宋体" w:hAnsi="宋体" w:cs="宋体" w:eastAsia="宋体" w:hint="default"/>
                <w:spacing w:val="-65"/>
                <w:sz w:val="18"/>
                <w:szCs w:val="18"/>
              </w:rPr>
              <w:t> </w:t>
            </w:r>
            <w:r>
              <w:rPr>
                <w:rFonts w:ascii="宋体" w:hAnsi="宋体" w:cs="宋体" w:eastAsia="宋体" w:hint="default"/>
                <w:sz w:val="18"/>
                <w:szCs w:val="18"/>
              </w:rPr>
              <w:t>他应收款项目</w:t>
            </w:r>
          </w:p>
        </w:tc>
        <w:tc>
          <w:tcPr>
            <w:tcW w:w="23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23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right"/>
              <w:rPr>
                <w:rFonts w:ascii="Times New Roman" w:hAnsi="Times New Roman" w:cs="Times New Roman" w:eastAsia="Times New Roman" w:hint="default"/>
                <w:sz w:val="18"/>
                <w:szCs w:val="18"/>
              </w:rPr>
            </w:pPr>
            <w:r>
              <w:rPr>
                <w:rFonts w:ascii="Times New Roman"/>
                <w:spacing w:val="-1"/>
                <w:sz w:val="18"/>
              </w:rPr>
              <w:t>35,500,706.76</w:t>
            </w:r>
          </w:p>
        </w:tc>
        <w:tc>
          <w:tcPr>
            <w:tcW w:w="2360" w:type="dxa"/>
            <w:tcBorders>
              <w:top w:val="single" w:sz="6" w:space="0" w:color="000000"/>
              <w:left w:val="single" w:sz="6" w:space="0" w:color="000000"/>
              <w:bottom w:val="single" w:sz="6" w:space="0" w:color="000000"/>
              <w:right w:val="single" w:sz="6" w:space="0" w:color="000000"/>
            </w:tcBorders>
          </w:tcPr>
          <w:p>
            <w:pPr/>
          </w:p>
        </w:tc>
      </w:tr>
      <w:tr>
        <w:trPr>
          <w:trHeight w:val="346" w:hRule="exact"/>
        </w:trPr>
        <w:tc>
          <w:tcPr>
            <w:tcW w:w="2391" w:type="dxa"/>
            <w:vMerge/>
            <w:tcBorders>
              <w:left w:val="single" w:sz="6" w:space="0" w:color="000000"/>
              <w:right w:val="single" w:sz="6" w:space="0" w:color="000000"/>
            </w:tcBorders>
          </w:tcPr>
          <w:p>
            <w:pPr/>
          </w:p>
        </w:tc>
        <w:tc>
          <w:tcPr>
            <w:tcW w:w="23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23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Times New Roman" w:hAnsi="Times New Roman" w:cs="Times New Roman" w:eastAsia="Times New Roman" w:hint="default"/>
                <w:sz w:val="18"/>
                <w:szCs w:val="18"/>
              </w:rPr>
            </w:pPr>
            <w:r>
              <w:rPr>
                <w:rFonts w:ascii="Times New Roman"/>
                <w:spacing w:val="-1"/>
                <w:sz w:val="18"/>
              </w:rPr>
              <w:t>23,924,933.06</w:t>
            </w:r>
          </w:p>
        </w:tc>
        <w:tc>
          <w:tcPr>
            <w:tcW w:w="2360" w:type="dxa"/>
            <w:tcBorders>
              <w:top w:val="single" w:sz="6" w:space="0" w:color="000000"/>
              <w:left w:val="single" w:sz="6" w:space="0" w:color="000000"/>
              <w:bottom w:val="single" w:sz="6" w:space="0" w:color="000000"/>
              <w:right w:val="single" w:sz="6" w:space="0" w:color="000000"/>
            </w:tcBorders>
          </w:tcPr>
          <w:p>
            <w:pPr/>
          </w:p>
        </w:tc>
      </w:tr>
      <w:tr>
        <w:trPr>
          <w:trHeight w:val="348" w:hRule="exact"/>
        </w:trPr>
        <w:tc>
          <w:tcPr>
            <w:tcW w:w="2391" w:type="dxa"/>
            <w:vMerge/>
            <w:tcBorders>
              <w:left w:val="single" w:sz="6" w:space="0" w:color="000000"/>
              <w:bottom w:val="single" w:sz="6" w:space="0" w:color="000000"/>
              <w:right w:val="single" w:sz="6" w:space="0" w:color="000000"/>
            </w:tcBorders>
          </w:tcPr>
          <w:p>
            <w:pPr/>
          </w:p>
        </w:tc>
        <w:tc>
          <w:tcPr>
            <w:tcW w:w="23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3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right"/>
              <w:rPr>
                <w:rFonts w:ascii="Times New Roman" w:hAnsi="Times New Roman" w:cs="Times New Roman" w:eastAsia="Times New Roman" w:hint="default"/>
                <w:sz w:val="18"/>
                <w:szCs w:val="18"/>
              </w:rPr>
            </w:pPr>
            <w:r>
              <w:rPr>
                <w:rFonts w:ascii="Times New Roman"/>
                <w:spacing w:val="-1"/>
                <w:sz w:val="18"/>
              </w:rPr>
              <w:t>30,249,616.83</w:t>
            </w:r>
          </w:p>
        </w:tc>
        <w:tc>
          <w:tcPr>
            <w:tcW w:w="23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right"/>
              <w:rPr>
                <w:rFonts w:ascii="Times New Roman" w:hAnsi="Times New Roman" w:cs="Times New Roman" w:eastAsia="Times New Roman" w:hint="default"/>
                <w:sz w:val="18"/>
                <w:szCs w:val="18"/>
              </w:rPr>
            </w:pPr>
            <w:r>
              <w:rPr>
                <w:rFonts w:ascii="Times New Roman"/>
                <w:spacing w:val="-1"/>
                <w:sz w:val="18"/>
              </w:rPr>
              <w:t>89,675,256.65</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5" w:type="dxa"/>
        <w:tblLayout w:type="fixed"/>
        <w:tblCellMar>
          <w:top w:w="0" w:type="dxa"/>
          <w:left w:w="0" w:type="dxa"/>
          <w:bottom w:w="0" w:type="dxa"/>
          <w:right w:w="0" w:type="dxa"/>
        </w:tblCellMar>
        <w:tblLook w:val="01E0"/>
      </w:tblPr>
      <w:tblGrid>
        <w:gridCol w:w="2391"/>
        <w:gridCol w:w="2391"/>
        <w:gridCol w:w="2360"/>
        <w:gridCol w:w="2360"/>
      </w:tblGrid>
      <w:tr>
        <w:trPr>
          <w:trHeight w:val="348" w:hRule="exact"/>
        </w:trPr>
        <w:tc>
          <w:tcPr>
            <w:tcW w:w="2391" w:type="dxa"/>
            <w:vMerge w:val="restart"/>
            <w:tcBorders>
              <w:top w:val="single" w:sz="6" w:space="0" w:color="000000"/>
              <w:left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316" w:lineRule="auto"/>
              <w:ind w:left="4" w:right="0"/>
              <w:jc w:val="left"/>
              <w:rPr>
                <w:rFonts w:ascii="宋体" w:hAnsi="宋体" w:cs="宋体" w:eastAsia="宋体" w:hint="default"/>
                <w:sz w:val="18"/>
                <w:szCs w:val="18"/>
              </w:rPr>
            </w:pPr>
            <w:r>
              <w:rPr>
                <w:rFonts w:ascii="宋体" w:hAnsi="宋体" w:cs="宋体" w:eastAsia="宋体" w:hint="default"/>
                <w:sz w:val="18"/>
                <w:szCs w:val="18"/>
              </w:rPr>
              <w:t>将应付票据和应付账款合并为</w:t>
            </w:r>
            <w:r>
              <w:rPr>
                <w:rFonts w:ascii="宋体" w:hAnsi="宋体" w:cs="宋体" w:eastAsia="宋体" w:hint="default"/>
                <w:spacing w:val="-65"/>
                <w:sz w:val="18"/>
                <w:szCs w:val="18"/>
              </w:rPr>
              <w:t> </w:t>
            </w:r>
            <w:r>
              <w:rPr>
                <w:rFonts w:ascii="宋体" w:hAnsi="宋体" w:cs="宋体" w:eastAsia="宋体" w:hint="default"/>
                <w:sz w:val="18"/>
                <w:szCs w:val="18"/>
              </w:rPr>
              <w:t>应付票据及应付账款项目</w:t>
            </w:r>
          </w:p>
        </w:tc>
        <w:tc>
          <w:tcPr>
            <w:tcW w:w="23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23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Times New Roman" w:hAnsi="Times New Roman" w:cs="Times New Roman" w:eastAsia="Times New Roman" w:hint="default"/>
                <w:sz w:val="18"/>
                <w:szCs w:val="18"/>
              </w:rPr>
            </w:pPr>
            <w:r>
              <w:rPr>
                <w:rFonts w:ascii="Times New Roman"/>
                <w:spacing w:val="-1"/>
                <w:sz w:val="18"/>
              </w:rPr>
              <w:t>5,724,911.00</w:t>
            </w:r>
          </w:p>
        </w:tc>
        <w:tc>
          <w:tcPr>
            <w:tcW w:w="2360" w:type="dxa"/>
            <w:tcBorders>
              <w:top w:val="single" w:sz="6" w:space="0" w:color="000000"/>
              <w:left w:val="single" w:sz="6" w:space="0" w:color="000000"/>
              <w:bottom w:val="single" w:sz="6" w:space="0" w:color="000000"/>
              <w:right w:val="single" w:sz="6" w:space="0" w:color="000000"/>
            </w:tcBorders>
          </w:tcPr>
          <w:p>
            <w:pPr/>
          </w:p>
        </w:tc>
      </w:tr>
      <w:tr>
        <w:trPr>
          <w:trHeight w:val="346" w:hRule="exact"/>
        </w:trPr>
        <w:tc>
          <w:tcPr>
            <w:tcW w:w="2391" w:type="dxa"/>
            <w:vMerge/>
            <w:tcBorders>
              <w:left w:val="single" w:sz="6" w:space="0" w:color="000000"/>
              <w:right w:val="single" w:sz="6" w:space="0" w:color="000000"/>
            </w:tcBorders>
          </w:tcPr>
          <w:p>
            <w:pPr/>
          </w:p>
        </w:tc>
        <w:tc>
          <w:tcPr>
            <w:tcW w:w="23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3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Times New Roman" w:hAnsi="Times New Roman" w:cs="Times New Roman" w:eastAsia="Times New Roman" w:hint="default"/>
                <w:sz w:val="18"/>
                <w:szCs w:val="18"/>
              </w:rPr>
            </w:pPr>
            <w:r>
              <w:rPr>
                <w:rFonts w:ascii="Times New Roman"/>
                <w:spacing w:val="-1"/>
                <w:sz w:val="18"/>
              </w:rPr>
              <w:t>116,651,648.93</w:t>
            </w:r>
          </w:p>
        </w:tc>
        <w:tc>
          <w:tcPr>
            <w:tcW w:w="2360" w:type="dxa"/>
            <w:tcBorders>
              <w:top w:val="single" w:sz="6" w:space="0" w:color="000000"/>
              <w:left w:val="single" w:sz="6" w:space="0" w:color="000000"/>
              <w:bottom w:val="single" w:sz="6" w:space="0" w:color="000000"/>
              <w:right w:val="single" w:sz="6" w:space="0" w:color="000000"/>
            </w:tcBorders>
          </w:tcPr>
          <w:p>
            <w:pPr/>
          </w:p>
        </w:tc>
      </w:tr>
      <w:tr>
        <w:trPr>
          <w:trHeight w:val="348" w:hRule="exact"/>
        </w:trPr>
        <w:tc>
          <w:tcPr>
            <w:tcW w:w="2391" w:type="dxa"/>
            <w:vMerge/>
            <w:tcBorders>
              <w:left w:val="single" w:sz="6" w:space="0" w:color="000000"/>
              <w:bottom w:val="single" w:sz="6" w:space="0" w:color="000000"/>
              <w:right w:val="single" w:sz="6" w:space="0" w:color="000000"/>
            </w:tcBorders>
          </w:tcPr>
          <w:p>
            <w:pPr/>
          </w:p>
        </w:tc>
        <w:tc>
          <w:tcPr>
            <w:tcW w:w="23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应付票据及应付账款</w:t>
            </w:r>
          </w:p>
        </w:tc>
        <w:tc>
          <w:tcPr>
            <w:tcW w:w="2360" w:type="dxa"/>
            <w:tcBorders>
              <w:top w:val="single" w:sz="6" w:space="0" w:color="000000"/>
              <w:left w:val="single" w:sz="6" w:space="0" w:color="000000"/>
              <w:bottom w:val="single" w:sz="6" w:space="0" w:color="000000"/>
              <w:right w:val="single" w:sz="6" w:space="0" w:color="000000"/>
            </w:tcBorders>
          </w:tcPr>
          <w:p>
            <w:pPr/>
          </w:p>
        </w:tc>
        <w:tc>
          <w:tcPr>
            <w:tcW w:w="23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right"/>
              <w:rPr>
                <w:rFonts w:ascii="Times New Roman" w:hAnsi="Times New Roman" w:cs="Times New Roman" w:eastAsia="Times New Roman" w:hint="default"/>
                <w:sz w:val="18"/>
                <w:szCs w:val="18"/>
              </w:rPr>
            </w:pPr>
            <w:r>
              <w:rPr>
                <w:rFonts w:ascii="Times New Roman"/>
                <w:spacing w:val="-1"/>
                <w:sz w:val="18"/>
              </w:rPr>
              <w:t>122,376,559.93</w:t>
            </w:r>
          </w:p>
        </w:tc>
      </w:tr>
      <w:tr>
        <w:trPr>
          <w:trHeight w:val="346" w:hRule="exact"/>
        </w:trPr>
        <w:tc>
          <w:tcPr>
            <w:tcW w:w="2391" w:type="dxa"/>
            <w:vMerge w:val="restart"/>
            <w:tcBorders>
              <w:top w:val="single" w:sz="6" w:space="0" w:color="000000"/>
              <w:left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316" w:lineRule="auto"/>
              <w:ind w:left="4" w:right="0"/>
              <w:jc w:val="left"/>
              <w:rPr>
                <w:rFonts w:ascii="宋体" w:hAnsi="宋体" w:cs="宋体" w:eastAsia="宋体" w:hint="default"/>
                <w:sz w:val="18"/>
                <w:szCs w:val="18"/>
              </w:rPr>
            </w:pPr>
            <w:r>
              <w:rPr>
                <w:rFonts w:ascii="宋体" w:hAnsi="宋体" w:cs="宋体" w:eastAsia="宋体" w:hint="default"/>
                <w:sz w:val="18"/>
                <w:szCs w:val="18"/>
              </w:rPr>
              <w:t>将应付利息和应付股利并入其</w:t>
            </w:r>
            <w:r>
              <w:rPr>
                <w:rFonts w:ascii="宋体" w:hAnsi="宋体" w:cs="宋体" w:eastAsia="宋体" w:hint="default"/>
                <w:spacing w:val="-65"/>
                <w:sz w:val="18"/>
                <w:szCs w:val="18"/>
              </w:rPr>
              <w:t> </w:t>
            </w:r>
            <w:r>
              <w:rPr>
                <w:rFonts w:ascii="宋体" w:hAnsi="宋体" w:cs="宋体" w:eastAsia="宋体" w:hint="default"/>
                <w:sz w:val="18"/>
                <w:szCs w:val="18"/>
              </w:rPr>
              <w:t>他应付款项目</w:t>
            </w:r>
          </w:p>
        </w:tc>
        <w:tc>
          <w:tcPr>
            <w:tcW w:w="23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23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Times New Roman" w:hAnsi="Times New Roman" w:cs="Times New Roman" w:eastAsia="Times New Roman" w:hint="default"/>
                <w:sz w:val="18"/>
                <w:szCs w:val="18"/>
              </w:rPr>
            </w:pPr>
            <w:r>
              <w:rPr>
                <w:rFonts w:ascii="Times New Roman"/>
                <w:spacing w:val="-1"/>
                <w:sz w:val="18"/>
              </w:rPr>
              <w:t>320,547.95</w:t>
            </w:r>
          </w:p>
        </w:tc>
        <w:tc>
          <w:tcPr>
            <w:tcW w:w="2360" w:type="dxa"/>
            <w:tcBorders>
              <w:top w:val="single" w:sz="6" w:space="0" w:color="000000"/>
              <w:left w:val="single" w:sz="6" w:space="0" w:color="000000"/>
              <w:bottom w:val="single" w:sz="6" w:space="0" w:color="000000"/>
              <w:right w:val="single" w:sz="6" w:space="0" w:color="000000"/>
            </w:tcBorders>
          </w:tcPr>
          <w:p>
            <w:pPr/>
          </w:p>
        </w:tc>
      </w:tr>
      <w:tr>
        <w:trPr>
          <w:trHeight w:val="348" w:hRule="exact"/>
        </w:trPr>
        <w:tc>
          <w:tcPr>
            <w:tcW w:w="2391" w:type="dxa"/>
            <w:vMerge/>
            <w:tcBorders>
              <w:left w:val="single" w:sz="6" w:space="0" w:color="000000"/>
              <w:right w:val="single" w:sz="6" w:space="0" w:color="000000"/>
            </w:tcBorders>
          </w:tcPr>
          <w:p>
            <w:pPr/>
          </w:p>
        </w:tc>
        <w:tc>
          <w:tcPr>
            <w:tcW w:w="23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2360" w:type="dxa"/>
            <w:tcBorders>
              <w:top w:val="single" w:sz="6" w:space="0" w:color="000000"/>
              <w:left w:val="single" w:sz="6" w:space="0" w:color="000000"/>
              <w:bottom w:val="single" w:sz="6" w:space="0" w:color="000000"/>
              <w:right w:val="single" w:sz="6" w:space="0" w:color="000000"/>
            </w:tcBorders>
          </w:tcPr>
          <w:p>
            <w:pPr/>
          </w:p>
        </w:tc>
        <w:tc>
          <w:tcPr>
            <w:tcW w:w="2360" w:type="dxa"/>
            <w:tcBorders>
              <w:top w:val="single" w:sz="6" w:space="0" w:color="000000"/>
              <w:left w:val="single" w:sz="6" w:space="0" w:color="000000"/>
              <w:bottom w:val="single" w:sz="6" w:space="0" w:color="000000"/>
              <w:right w:val="single" w:sz="6" w:space="0" w:color="000000"/>
            </w:tcBorders>
          </w:tcPr>
          <w:p>
            <w:pPr/>
          </w:p>
        </w:tc>
      </w:tr>
      <w:tr>
        <w:trPr>
          <w:trHeight w:val="348" w:hRule="exact"/>
        </w:trPr>
        <w:tc>
          <w:tcPr>
            <w:tcW w:w="2391" w:type="dxa"/>
            <w:vMerge/>
            <w:tcBorders>
              <w:left w:val="single" w:sz="6" w:space="0" w:color="000000"/>
              <w:bottom w:val="single" w:sz="6" w:space="0" w:color="000000"/>
              <w:right w:val="single" w:sz="6" w:space="0" w:color="000000"/>
            </w:tcBorders>
          </w:tcPr>
          <w:p>
            <w:pPr/>
          </w:p>
        </w:tc>
        <w:tc>
          <w:tcPr>
            <w:tcW w:w="23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3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Times New Roman" w:hAnsi="Times New Roman" w:cs="Times New Roman" w:eastAsia="Times New Roman" w:hint="default"/>
                <w:sz w:val="18"/>
                <w:szCs w:val="18"/>
              </w:rPr>
            </w:pPr>
            <w:r>
              <w:rPr>
                <w:rFonts w:ascii="Times New Roman"/>
                <w:spacing w:val="-1"/>
                <w:sz w:val="18"/>
              </w:rPr>
              <w:t>2,240,998,697.04</w:t>
            </w:r>
          </w:p>
        </w:tc>
        <w:tc>
          <w:tcPr>
            <w:tcW w:w="23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Times New Roman" w:hAnsi="Times New Roman" w:cs="Times New Roman" w:eastAsia="Times New Roman" w:hint="default"/>
                <w:sz w:val="18"/>
                <w:szCs w:val="18"/>
              </w:rPr>
            </w:pPr>
            <w:r>
              <w:rPr>
                <w:rFonts w:ascii="Times New Roman"/>
                <w:spacing w:val="-1"/>
                <w:sz w:val="18"/>
              </w:rPr>
              <w:t>2,241,319,244.99</w:t>
            </w:r>
          </w:p>
        </w:tc>
      </w:tr>
      <w:tr>
        <w:trPr>
          <w:trHeight w:val="346" w:hRule="exact"/>
        </w:trPr>
        <w:tc>
          <w:tcPr>
            <w:tcW w:w="2391" w:type="dxa"/>
            <w:vMerge w:val="restart"/>
            <w:tcBorders>
              <w:top w:val="single" w:sz="6" w:space="0" w:color="000000"/>
              <w:left w:val="single" w:sz="6" w:space="0" w:color="000000"/>
              <w:right w:val="single" w:sz="6" w:space="0" w:color="000000"/>
            </w:tcBorders>
          </w:tcPr>
          <w:p>
            <w:pPr>
              <w:pStyle w:val="TableParagraph"/>
              <w:spacing w:line="316" w:lineRule="auto" w:before="34"/>
              <w:ind w:left="4" w:right="0"/>
              <w:jc w:val="left"/>
              <w:rPr>
                <w:rFonts w:ascii="宋体" w:hAnsi="宋体" w:cs="宋体" w:eastAsia="宋体" w:hint="default"/>
                <w:sz w:val="18"/>
                <w:szCs w:val="18"/>
              </w:rPr>
            </w:pPr>
            <w:r>
              <w:rPr>
                <w:rFonts w:ascii="宋体" w:hAnsi="宋体" w:cs="宋体" w:eastAsia="宋体" w:hint="default"/>
                <w:sz w:val="18"/>
                <w:szCs w:val="18"/>
              </w:rPr>
              <w:t>将原管理费用中的研发费用产</w:t>
            </w:r>
            <w:r>
              <w:rPr>
                <w:rFonts w:ascii="宋体" w:hAnsi="宋体" w:cs="宋体" w:eastAsia="宋体" w:hint="default"/>
                <w:spacing w:val="-65"/>
                <w:sz w:val="18"/>
                <w:szCs w:val="18"/>
              </w:rPr>
              <w:t> </w:t>
            </w:r>
            <w:r>
              <w:rPr>
                <w:rFonts w:ascii="宋体" w:hAnsi="宋体" w:cs="宋体" w:eastAsia="宋体" w:hint="default"/>
                <w:sz w:val="18"/>
                <w:szCs w:val="18"/>
              </w:rPr>
              <w:t>单独列示为研发费用项目</w:t>
            </w:r>
          </w:p>
        </w:tc>
        <w:tc>
          <w:tcPr>
            <w:tcW w:w="23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23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Times New Roman" w:hAnsi="Times New Roman" w:cs="Times New Roman" w:eastAsia="Times New Roman" w:hint="default"/>
                <w:sz w:val="18"/>
                <w:szCs w:val="18"/>
              </w:rPr>
            </w:pPr>
            <w:r>
              <w:rPr>
                <w:rFonts w:ascii="Times New Roman"/>
                <w:spacing w:val="-1"/>
                <w:sz w:val="18"/>
              </w:rPr>
              <w:t>1,314,248,738.41</w:t>
            </w:r>
          </w:p>
        </w:tc>
        <w:tc>
          <w:tcPr>
            <w:tcW w:w="23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Times New Roman" w:hAnsi="Times New Roman" w:cs="Times New Roman" w:eastAsia="Times New Roman" w:hint="default"/>
                <w:sz w:val="18"/>
                <w:szCs w:val="18"/>
              </w:rPr>
            </w:pPr>
            <w:r>
              <w:rPr>
                <w:rFonts w:ascii="Times New Roman"/>
                <w:spacing w:val="-1"/>
                <w:sz w:val="18"/>
              </w:rPr>
              <w:t>440,751,131.82</w:t>
            </w:r>
          </w:p>
        </w:tc>
      </w:tr>
      <w:tr>
        <w:trPr>
          <w:trHeight w:val="348" w:hRule="exact"/>
        </w:trPr>
        <w:tc>
          <w:tcPr>
            <w:tcW w:w="2391" w:type="dxa"/>
            <w:vMerge/>
            <w:tcBorders>
              <w:left w:val="single" w:sz="6" w:space="0" w:color="000000"/>
              <w:bottom w:val="single" w:sz="6" w:space="0" w:color="000000"/>
              <w:right w:val="single" w:sz="6" w:space="0" w:color="000000"/>
            </w:tcBorders>
          </w:tcPr>
          <w:p>
            <w:pPr/>
          </w:p>
        </w:tc>
        <w:tc>
          <w:tcPr>
            <w:tcW w:w="23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2360" w:type="dxa"/>
            <w:tcBorders>
              <w:top w:val="single" w:sz="6" w:space="0" w:color="000000"/>
              <w:left w:val="single" w:sz="6" w:space="0" w:color="000000"/>
              <w:bottom w:val="single" w:sz="6" w:space="0" w:color="000000"/>
              <w:right w:val="single" w:sz="6" w:space="0" w:color="000000"/>
            </w:tcBorders>
          </w:tcPr>
          <w:p>
            <w:pPr/>
          </w:p>
        </w:tc>
        <w:tc>
          <w:tcPr>
            <w:tcW w:w="23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right"/>
              <w:rPr>
                <w:rFonts w:ascii="Times New Roman" w:hAnsi="Times New Roman" w:cs="Times New Roman" w:eastAsia="Times New Roman" w:hint="default"/>
                <w:sz w:val="18"/>
                <w:szCs w:val="18"/>
              </w:rPr>
            </w:pPr>
            <w:r>
              <w:rPr>
                <w:rFonts w:ascii="Times New Roman"/>
                <w:spacing w:val="-1"/>
                <w:sz w:val="18"/>
              </w:rPr>
              <w:t>873,497,606.59</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t>（</w:t>
      </w:r>
      <w:r>
        <w:rPr>
          <w:rFonts w:ascii="Times New Roman" w:hAnsi="Times New Roman" w:cs="Times New Roman" w:eastAsia="Times New Roman" w:hint="default"/>
        </w:rPr>
        <w:t>2</w:t>
      </w:r>
      <w:r>
        <w:rPr/>
        <w:t>）重要会计估计变更</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2"/>
        <w:rPr>
          <w:rFonts w:ascii="宋体" w:hAnsi="宋体" w:cs="宋体" w:eastAsia="宋体" w:hint="default"/>
          <w:sz w:val="26"/>
          <w:szCs w:val="26"/>
        </w:rPr>
      </w:pPr>
    </w:p>
    <w:p>
      <w:pPr>
        <w:pStyle w:val="Heading4"/>
        <w:spacing w:line="240" w:lineRule="auto"/>
        <w:ind w:right="982"/>
        <w:jc w:val="left"/>
        <w:rPr>
          <w:b w:val="0"/>
          <w:bCs w:val="0"/>
        </w:rPr>
      </w:pPr>
      <w:r>
        <w:rPr>
          <w:rFonts w:ascii="Times New Roman" w:hAnsi="Times New Roman" w:cs="Times New Roman" w:eastAsia="Times New Roman" w:hint="default"/>
        </w:rPr>
        <w:t>34</w:t>
      </w:r>
      <w:r>
        <w:rPr/>
        <w:t>、其他</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3"/>
        <w:rPr>
          <w:rFonts w:ascii="宋体" w:hAnsi="宋体" w:cs="宋体" w:eastAsia="宋体" w:hint="default"/>
          <w:sz w:val="25"/>
          <w:szCs w:val="25"/>
        </w:rPr>
      </w:pPr>
    </w:p>
    <w:p>
      <w:pPr>
        <w:pStyle w:val="Heading2"/>
        <w:spacing w:line="240" w:lineRule="auto"/>
        <w:ind w:right="982"/>
        <w:jc w:val="left"/>
        <w:rPr>
          <w:b w:val="0"/>
          <w:bCs w:val="0"/>
        </w:rPr>
      </w:pPr>
      <w:r>
        <w:rPr/>
        <w:t>六、税项</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982"/>
        <w:jc w:val="left"/>
        <w:rPr>
          <w:b w:val="0"/>
          <w:bCs w:val="0"/>
        </w:rPr>
      </w:pPr>
      <w:r>
        <w:rPr>
          <w:rFonts w:ascii="Times New Roman" w:hAnsi="Times New Roman" w:cs="Times New Roman" w:eastAsia="Times New Roman" w:hint="default"/>
        </w:rPr>
        <w:t>1</w:t>
      </w:r>
      <w:r>
        <w:rPr/>
        <w:t>、主要税种及税率</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8"/>
          <w:szCs w:val="18"/>
        </w:rPr>
      </w:pPr>
    </w:p>
    <w:p>
      <w:pPr>
        <w:pStyle w:val="BodyText"/>
        <w:spacing w:line="240" w:lineRule="auto" w:before="44"/>
        <w:ind w:left="0" w:right="1138"/>
        <w:jc w:val="right"/>
      </w:pPr>
      <w:r>
        <w:rPr/>
        <w:pict>
          <v:shape style="position:absolute;margin-left:57pt;margin-top:-61.108299pt;width:478.7pt;height:96.5pt;mso-position-horizontal-relative:page;mso-position-vertical-relative:paragraph;z-index:188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168"/>
                    <w:gridCol w:w="3201"/>
                    <w:gridCol w:w="3190"/>
                  </w:tblGrid>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税种</w:t>
                        </w:r>
                      </w:p>
                    </w:tc>
                    <w:tc>
                      <w:tcPr>
                        <w:tcW w:w="3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宋体" w:hAnsi="宋体" w:cs="宋体" w:eastAsia="宋体" w:hint="default"/>
                            <w:sz w:val="18"/>
                            <w:szCs w:val="18"/>
                          </w:rPr>
                          <w:t>计税依据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税率</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应税销售（劳务）收入</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3%</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6%</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11%</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13%</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16%</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17%</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21%</w:t>
                        </w:r>
                        <w:r>
                          <w:rPr>
                            <w:rFonts w:ascii="Times New Roman" w:hAnsi="Times New Roman" w:cs="Times New Roman" w:eastAsia="Times New Roman" w:hint="default"/>
                            <w:sz w:val="18"/>
                            <w:szCs w:val="18"/>
                          </w:rPr>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应纳增值税、营业税额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w:t>
                        </w:r>
                        <w:r>
                          <w:rPr>
                            <w:rFonts w:ascii="Times New Roman" w:hAnsi="Times New Roman" w:cs="Times New Roman" w:eastAsia="Times New Roman" w:hint="default"/>
                            <w:sz w:val="18"/>
                            <w:szCs w:val="18"/>
                          </w:rPr>
                          <w:t>5%</w:t>
                        </w:r>
                      </w:p>
                    </w:tc>
                  </w:tr>
                  <w:tr>
                    <w:trPr>
                      <w:trHeight w:val="161" w:hRule="exact"/>
                    </w:trPr>
                    <w:tc>
                      <w:tcPr>
                        <w:tcW w:w="3168" w:type="dxa"/>
                        <w:tcBorders>
                          <w:top w:val="single" w:sz="4" w:space="0" w:color="000000"/>
                          <w:left w:val="single" w:sz="4" w:space="0" w:color="000000"/>
                          <w:bottom w:val="nil" w:sz="6" w:space="0" w:color="auto"/>
                          <w:right w:val="single" w:sz="4" w:space="0" w:color="000000"/>
                        </w:tcBorders>
                        <w:shd w:val="clear" w:color="auto" w:fill="D2D2D2"/>
                      </w:tcPr>
                      <w:p>
                        <w:pPr/>
                      </w:p>
                    </w:tc>
                    <w:tc>
                      <w:tcPr>
                        <w:tcW w:w="3201" w:type="dxa"/>
                        <w:vMerge w:val="restart"/>
                        <w:tcBorders>
                          <w:top w:val="single" w:sz="4" w:space="0" w:color="000000"/>
                          <w:left w:val="single" w:sz="9" w:space="0" w:color="D2D2D2"/>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8" w:right="0"/>
                          <w:jc w:val="left"/>
                          <w:rPr>
                            <w:rFonts w:ascii="宋体" w:hAnsi="宋体" w:cs="宋体" w:eastAsia="宋体" w:hint="default"/>
                            <w:sz w:val="18"/>
                            <w:szCs w:val="18"/>
                          </w:rPr>
                        </w:pPr>
                        <w:r>
                          <w:rPr>
                            <w:rFonts w:ascii="宋体" w:hAnsi="宋体" w:cs="宋体" w:eastAsia="宋体" w:hint="default"/>
                            <w:sz w:val="18"/>
                            <w:szCs w:val="18"/>
                          </w:rPr>
                          <w:t>应纳税所得额</w:t>
                        </w:r>
                      </w:p>
                    </w:tc>
                    <w:tc>
                      <w:tcPr>
                        <w:tcW w:w="3190" w:type="dxa"/>
                        <w:vMerge w:val="restart"/>
                        <w:tcBorders>
                          <w:top w:val="single" w:sz="4" w:space="0" w:color="000000"/>
                          <w:left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5"/>
                            <w:sz w:val="18"/>
                            <w:szCs w:val="18"/>
                          </w:rPr>
                          <w:t>10%</w:t>
                        </w: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15%</w:t>
                        </w: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16.5%</w:t>
                        </w: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17%</w:t>
                        </w: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20%</w:t>
                        </w: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23.2%</w:t>
                        </w:r>
                      </w:p>
                      <w:p>
                        <w:pPr>
                          <w:pStyle w:val="TableParagraph"/>
                          <w:spacing w:line="240" w:lineRule="auto" w:before="102"/>
                          <w:ind w:left="23" w:right="0"/>
                          <w:jc w:val="left"/>
                          <w:rPr>
                            <w:rFonts w:ascii="Times New Roman" w:hAnsi="Times New Roman" w:cs="Times New Roman" w:eastAsia="Times New Roman" w:hint="default"/>
                            <w:sz w:val="18"/>
                            <w:szCs w:val="18"/>
                          </w:rPr>
                        </w:pPr>
                        <w:r>
                          <w:rPr>
                            <w:rFonts w:ascii="Times New Roman"/>
                            <w:sz w:val="18"/>
                          </w:rPr>
                          <w:t>25%</w:t>
                        </w:r>
                      </w:p>
                    </w:tc>
                  </w:tr>
                  <w:tr>
                    <w:trPr>
                      <w:trHeight w:val="391" w:hRule="exact"/>
                    </w:trPr>
                    <w:tc>
                      <w:tcPr>
                        <w:tcW w:w="316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201" w:type="dxa"/>
                        <w:vMerge/>
                        <w:tcBorders>
                          <w:left w:val="single" w:sz="9" w:space="0" w:color="D2D2D2"/>
                          <w:right w:val="single" w:sz="4" w:space="0" w:color="000000"/>
                        </w:tcBorders>
                      </w:tcPr>
                      <w:p>
                        <w:pPr/>
                      </w:p>
                    </w:tc>
                    <w:tc>
                      <w:tcPr>
                        <w:tcW w:w="3190" w:type="dxa"/>
                        <w:vMerge/>
                        <w:tcBorders>
                          <w:left w:val="single" w:sz="4" w:space="0" w:color="000000"/>
                          <w:right w:val="single" w:sz="4" w:space="0" w:color="000000"/>
                        </w:tcBorders>
                      </w:tcPr>
                      <w:p>
                        <w:pPr/>
                      </w:p>
                    </w:tc>
                  </w:tr>
                  <w:tr>
                    <w:trPr>
                      <w:trHeight w:val="161" w:hRule="exact"/>
                    </w:trPr>
                    <w:tc>
                      <w:tcPr>
                        <w:tcW w:w="3168" w:type="dxa"/>
                        <w:tcBorders>
                          <w:top w:val="nil" w:sz="6" w:space="0" w:color="auto"/>
                          <w:left w:val="single" w:sz="4" w:space="0" w:color="000000"/>
                          <w:bottom w:val="single" w:sz="4" w:space="0" w:color="000000"/>
                          <w:right w:val="single" w:sz="4" w:space="0" w:color="000000"/>
                        </w:tcBorders>
                        <w:shd w:val="clear" w:color="auto" w:fill="D2D2D2"/>
                      </w:tcPr>
                      <w:p>
                        <w:pPr/>
                      </w:p>
                    </w:tc>
                    <w:tc>
                      <w:tcPr>
                        <w:tcW w:w="3201" w:type="dxa"/>
                        <w:vMerge/>
                        <w:tcBorders>
                          <w:left w:val="single" w:sz="9" w:space="0" w:color="D2D2D2"/>
                          <w:bottom w:val="single" w:sz="4" w:space="0" w:color="000000"/>
                          <w:right w:val="single" w:sz="4" w:space="0" w:color="000000"/>
                        </w:tcBorders>
                      </w:tcPr>
                      <w:p>
                        <w:pPr/>
                      </w:p>
                    </w:tc>
                    <w:tc>
                      <w:tcPr>
                        <w:tcW w:w="3190" w:type="dxa"/>
                        <w:vMerge/>
                        <w:tcBorders>
                          <w:left w:val="single" w:sz="4" w:space="0" w:color="000000"/>
                          <w:bottom w:val="single" w:sz="4" w:space="0" w:color="000000"/>
                          <w:right w:val="single" w:sz="4" w:space="0" w:color="000000"/>
                        </w:tcBorders>
                      </w:tcPr>
                      <w:p>
                        <w:pPr/>
                      </w:p>
                    </w:tc>
                  </w:tr>
                </w:tbl>
                <w:p>
                  <w:pPr/>
                </w:p>
              </w:txbxContent>
            </v:textbox>
            <w10:wrap type="none"/>
          </v:shape>
        </w:pict>
      </w:r>
      <w:r>
        <w:rPr/>
        <w:t>、</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6"/>
          <w:szCs w:val="16"/>
        </w:rPr>
      </w:pPr>
    </w:p>
    <w:p>
      <w:pPr>
        <w:pStyle w:val="BodyText"/>
        <w:spacing w:line="240" w:lineRule="auto"/>
        <w:ind w:right="982"/>
        <w:jc w:val="left"/>
      </w:pPr>
      <w:r>
        <w:rPr/>
        <w:pict>
          <v:shape style="position:absolute;margin-left:342.840027pt;margin-top:57.917728pt;width:192.1pt;height:39.050pt;mso-position-horizontal-relative:page;mso-position-vertical-relative:paragraph;z-index:-1324792" type="#_x0000_t202" filled="false" stroked="false">
            <v:textbox inset="0,0,0,0">
              <w:txbxContent>
                <w:p>
                  <w:pPr>
                    <w:pStyle w:val="BodyText"/>
                    <w:spacing w:line="240" w:lineRule="auto" w:before="49"/>
                    <w:ind w:left="0" w:right="0"/>
                    <w:jc w:val="left"/>
                  </w:pPr>
                  <w:r>
                    <w:rPr/>
                    <w:t>（北京）</w:t>
                  </w:r>
                </w:p>
              </w:txbxContent>
            </v:textbox>
            <w10:wrap type="none"/>
          </v:shape>
        </w:pict>
      </w:r>
      <w:r>
        <w:rPr/>
        <w:t>存在不同企业所得税税率纳税主体的，披露情况说明</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6381"/>
        <w:gridCol w:w="3190"/>
      </w:tblGrid>
      <w:tr>
        <w:trPr>
          <w:trHeight w:val="401" w:hRule="exact"/>
        </w:trPr>
        <w:tc>
          <w:tcPr>
            <w:tcW w:w="6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纳税主体名称</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所得税税率</w:t>
            </w:r>
          </w:p>
        </w:tc>
      </w:tr>
      <w:tr>
        <w:trPr>
          <w:trHeight w:val="403" w:hRule="exact"/>
        </w:trPr>
        <w:tc>
          <w:tcPr>
            <w:tcW w:w="6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合肥杰发科技有限公司</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10%</w:t>
            </w:r>
          </w:p>
        </w:tc>
      </w:tr>
      <w:tr>
        <w:trPr>
          <w:trHeight w:val="1961" w:hRule="exact"/>
        </w:trPr>
        <w:tc>
          <w:tcPr>
            <w:tcW w:w="6381"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4" w:right="46"/>
              <w:jc w:val="left"/>
              <w:rPr>
                <w:rFonts w:ascii="宋体" w:hAnsi="宋体" w:cs="宋体" w:eastAsia="宋体" w:hint="default"/>
                <w:sz w:val="18"/>
                <w:szCs w:val="18"/>
              </w:rPr>
            </w:pPr>
            <w:r>
              <w:rPr>
                <w:rFonts w:ascii="宋体" w:hAnsi="宋体" w:cs="宋体" w:eastAsia="宋体" w:hint="default"/>
                <w:sz w:val="18"/>
                <w:szCs w:val="18"/>
              </w:rPr>
              <w:t>北京世纪高通科技有限公司、北京图新经纬导航系统有限公司、中交宇科 空间信息技术有限公司、中寰卫星导航通信有限公司、内蒙古中寰卫星导航通信 有限公司、甘肃中寰卫星导航通信有限公司、长沙市海图科技有限公司、广州博 瞻恒腾信息技术有限公司、上海炬宏信息技术有限公司、沈阳世纪高通科技有限 公司、西安四维图新信息技术有限公司、武汉四维图新科技有限公司、</w:t>
            </w:r>
            <w:r>
              <w:rPr>
                <w:rFonts w:ascii="Times New Roman" w:hAnsi="Times New Roman" w:cs="Times New Roman" w:eastAsia="Times New Roman" w:hint="default"/>
                <w:sz w:val="18"/>
                <w:szCs w:val="18"/>
              </w:rPr>
              <w:t>Navinfo North America</w:t>
            </w:r>
            <w:r>
              <w:rPr>
                <w:rFonts w:ascii="Times New Roman" w:hAnsi="Times New Roman" w:cs="Times New Roman" w:eastAsia="Times New Roman" w:hint="default"/>
                <w:spacing w:val="-17"/>
                <w:sz w:val="18"/>
                <w:szCs w:val="18"/>
              </w:rPr>
              <w:t> </w:t>
            </w:r>
            <w:r>
              <w:rPr>
                <w:rFonts w:ascii="Times New Roman" w:hAnsi="Times New Roman" w:cs="Times New Roman" w:eastAsia="Times New Roman" w:hint="default"/>
                <w:sz w:val="18"/>
                <w:szCs w:val="18"/>
              </w:rPr>
              <w:t>Corp.</w:t>
            </w:r>
            <w:r>
              <w:rPr>
                <w:rFonts w:ascii="宋体" w:hAnsi="宋体" w:cs="宋体" w:eastAsia="宋体" w:hint="default"/>
                <w:sz w:val="18"/>
                <w:szCs w:val="18"/>
              </w:rPr>
              <w:t>、山西中寰卫星导航通信有限公司</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780" w:lineRule="exact"/>
              <w:ind w:right="-51"/>
              <w:jc w:val="left"/>
              <w:rPr>
                <w:rFonts w:ascii="宋体" w:hAnsi="宋体" w:cs="宋体" w:eastAsia="宋体" w:hint="default"/>
                <w:sz w:val="20"/>
                <w:szCs w:val="20"/>
              </w:rPr>
            </w:pPr>
            <w:r>
              <w:rPr>
                <w:rFonts w:ascii="宋体" w:hAnsi="宋体" w:cs="宋体" w:eastAsia="宋体" w:hint="default"/>
                <w:position w:val="-15"/>
                <w:sz w:val="20"/>
                <w:szCs w:val="20"/>
              </w:rPr>
              <w:pict>
                <v:group style="width:159.050pt;height:39.050pt;mso-position-horizontal-relative:char;mso-position-vertical-relative:line" coordorigin="0,0" coordsize="3181,781">
                  <v:group style="position:absolute;left:0;top:0;width:3181;height:781" coordorigin="0,0" coordsize="3181,781">
                    <v:shape style="position:absolute;left:0;top:0;width:3181;height:781" coordorigin="0,0" coordsize="3181,781" path="m0,780l3180,780,3180,0,0,0,0,780xe" filled="true" fillcolor="#ffffff" stroked="false">
                      <v:path arrowok="t"/>
                      <v:fill type="solid"/>
                    </v:shape>
                  </v:group>
                </v:group>
              </w:pict>
            </w:r>
            <w:r>
              <w:rPr>
                <w:rFonts w:ascii="宋体" w:hAnsi="宋体" w:cs="宋体" w:eastAsia="宋体" w:hint="default"/>
                <w:position w:val="-15"/>
                <w:sz w:val="20"/>
                <w:szCs w:val="20"/>
              </w:rPr>
            </w:r>
          </w:p>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15%</w:t>
            </w:r>
          </w:p>
        </w:tc>
      </w:tr>
      <w:tr>
        <w:trPr>
          <w:trHeight w:val="403" w:hRule="exact"/>
        </w:trPr>
        <w:tc>
          <w:tcPr>
            <w:tcW w:w="6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四维图新（香港）有限公司、图新投资（香港）科技有限公司</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16.5%</w:t>
            </w:r>
          </w:p>
        </w:tc>
      </w:tr>
      <w:tr>
        <w:trPr>
          <w:trHeight w:val="401" w:hRule="exact"/>
        </w:trPr>
        <w:tc>
          <w:tcPr>
            <w:tcW w:w="6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四维图新新加坡有限公司</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17%</w:t>
            </w:r>
          </w:p>
        </w:tc>
      </w:tr>
      <w:tr>
        <w:trPr>
          <w:trHeight w:val="1027" w:hRule="exact"/>
        </w:trPr>
        <w:tc>
          <w:tcPr>
            <w:tcW w:w="63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46"/>
              <w:jc w:val="both"/>
              <w:rPr>
                <w:rFonts w:ascii="宋体" w:hAnsi="宋体" w:cs="宋体" w:eastAsia="宋体" w:hint="default"/>
                <w:sz w:val="18"/>
                <w:szCs w:val="18"/>
              </w:rPr>
            </w:pPr>
            <w:r>
              <w:rPr>
                <w:rFonts w:ascii="宋体" w:hAnsi="宋体" w:cs="宋体" w:eastAsia="宋体" w:hint="default"/>
                <w:sz w:val="18"/>
                <w:szCs w:val="18"/>
              </w:rPr>
              <w:t>南京中寰越德网络科技有限公司、辽宁中寰卫星导航通信有限公司、甘肃北斗星 辰科技有限公司、北京中寰天畅卫星导航科技有限公司、陕西世纪高通科技有限 公司</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20%</w:t>
            </w:r>
          </w:p>
        </w:tc>
      </w:tr>
    </w:tbl>
    <w:p>
      <w:pPr>
        <w:spacing w:after="0" w:line="240" w:lineRule="auto"/>
        <w:jc w:val="lef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6381"/>
        <w:gridCol w:w="3190"/>
      </w:tblGrid>
      <w:tr>
        <w:trPr>
          <w:trHeight w:val="401" w:hRule="exact"/>
        </w:trPr>
        <w:tc>
          <w:tcPr>
            <w:tcW w:w="6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四维图新日本有限公司</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23.2%</w:t>
            </w:r>
          </w:p>
        </w:tc>
      </w:tr>
      <w:tr>
        <w:trPr>
          <w:trHeight w:val="1651" w:hRule="exact"/>
        </w:trPr>
        <w:tc>
          <w:tcPr>
            <w:tcW w:w="6381"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24" w:right="44"/>
              <w:jc w:val="left"/>
              <w:rPr>
                <w:rFonts w:ascii="宋体" w:hAnsi="宋体" w:cs="宋体" w:eastAsia="宋体" w:hint="default"/>
                <w:sz w:val="18"/>
                <w:szCs w:val="18"/>
              </w:rPr>
            </w:pPr>
            <w:r>
              <w:rPr>
                <w:rFonts w:ascii="宋体" w:hAnsi="宋体" w:cs="宋体" w:eastAsia="宋体" w:hint="default"/>
                <w:sz w:val="18"/>
                <w:szCs w:val="18"/>
              </w:rPr>
              <w:t>北京四维图新科技股份有限公司、上海纳维信息技术有限公司、北京四维图新科 技有限公司、上海四维图新信息技术有限公司、 湖北中寰卫星导航通信有限公司、山东中寰网络科技有限公司、北京图迅丰达信 息技术有限公司、广州中交宇科空间信息技术有限公司、</w:t>
            </w:r>
            <w:r>
              <w:rPr>
                <w:rFonts w:ascii="Times New Roman" w:hAnsi="Times New Roman" w:cs="Times New Roman" w:eastAsia="Times New Roman" w:hint="default"/>
                <w:sz w:val="18"/>
                <w:szCs w:val="18"/>
              </w:rPr>
              <w:t>Coöperatieve</w:t>
            </w:r>
            <w:r>
              <w:rPr>
                <w:rFonts w:ascii="Times New Roman" w:hAnsi="Times New Roman" w:cs="Times New Roman" w:eastAsia="Times New Roman" w:hint="default"/>
                <w:spacing w:val="-2"/>
                <w:sz w:val="18"/>
                <w:szCs w:val="18"/>
              </w:rPr>
              <w:t> </w:t>
            </w:r>
            <w:r>
              <w:rPr>
                <w:rFonts w:ascii="Times New Roman" w:hAnsi="Times New Roman" w:cs="Times New Roman" w:eastAsia="Times New Roman" w:hint="default"/>
                <w:sz w:val="18"/>
                <w:szCs w:val="18"/>
              </w:rPr>
              <w:t>NavInfo</w:t>
            </w:r>
            <w:r>
              <w:rPr>
                <w:rFonts w:ascii="Times New Roman" w:hAnsi="Times New Roman" w:cs="Times New Roman" w:eastAsia="Times New Roman" w:hint="default"/>
                <w:sz w:val="18"/>
                <w:szCs w:val="18"/>
              </w:rPr>
              <w:t> U.A.</w:t>
            </w:r>
            <w:r>
              <w:rPr>
                <w:rFonts w:ascii="宋体" w:hAnsi="宋体" w:cs="宋体" w:eastAsia="宋体" w:hint="default"/>
                <w:sz w:val="18"/>
                <w:szCs w:val="18"/>
              </w:rPr>
              <w:t>、四维图新（欧洲）有限公司、</w:t>
            </w:r>
            <w:r>
              <w:rPr>
                <w:rFonts w:ascii="Times New Roman" w:hAnsi="Times New Roman" w:cs="Times New Roman" w:eastAsia="Times New Roman" w:hint="default"/>
                <w:sz w:val="18"/>
                <w:szCs w:val="18"/>
              </w:rPr>
              <w:t>MapscapeB.V.</w:t>
            </w:r>
            <w:r>
              <w:rPr>
                <w:rFonts w:ascii="宋体" w:hAnsi="宋体" w:cs="宋体" w:eastAsia="宋体" w:hint="default"/>
                <w:sz w:val="18"/>
                <w:szCs w:val="18"/>
              </w:rPr>
              <w:t>、北京六分科技有限公司</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624" w:lineRule="exact"/>
              <w:ind w:right="-51"/>
              <w:jc w:val="left"/>
              <w:rPr>
                <w:rFonts w:ascii="宋体" w:hAnsi="宋体" w:cs="宋体" w:eastAsia="宋体" w:hint="default"/>
                <w:sz w:val="20"/>
                <w:szCs w:val="20"/>
              </w:rPr>
            </w:pPr>
            <w:r>
              <w:rPr>
                <w:rFonts w:ascii="宋体" w:hAnsi="宋体" w:cs="宋体" w:eastAsia="宋体" w:hint="default"/>
                <w:position w:val="-11"/>
                <w:sz w:val="20"/>
                <w:szCs w:val="20"/>
              </w:rPr>
              <w:pict>
                <v:group style="width:159.050pt;height:31.2pt;mso-position-horizontal-relative:char;mso-position-vertical-relative:line" coordorigin="0,0" coordsize="3181,624">
                  <v:group style="position:absolute;left:0;top:0;width:3181;height:624" coordorigin="0,0" coordsize="3181,624">
                    <v:shape style="position:absolute;left:0;top:0;width:3181;height:624" coordorigin="0,0" coordsize="3181,624" path="m0,624l3180,624,3180,0,0,0,0,624xe" filled="true" fillcolor="#ffffff" stroked="false">
                      <v:path arrowok="t"/>
                      <v:fill type="solid"/>
                    </v:shape>
                  </v:group>
                </v:group>
              </w:pict>
            </w:r>
            <w:r>
              <w:rPr>
                <w:rFonts w:ascii="宋体" w:hAnsi="宋体" w:cs="宋体" w:eastAsia="宋体" w:hint="default"/>
                <w:position w:val="-11"/>
                <w:sz w:val="20"/>
                <w:szCs w:val="20"/>
              </w:rPr>
            </w:r>
          </w:p>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25%</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pict>
          <v:shape style="position:absolute;margin-left:243.714005pt;margin-top:-95.016335pt;width:291.25pt;height:31.2pt;mso-position-horizontal-relative:page;mso-position-vertical-relative:paragraph;z-index:-1324720" type="#_x0000_t202" filled="false" stroked="false">
            <v:textbox inset="0,0,0,0">
              <w:txbxContent>
                <w:p>
                  <w:pPr>
                    <w:spacing w:line="240" w:lineRule="auto" w:before="0"/>
                    <w:rPr>
                      <w:rFonts w:ascii="宋体" w:hAnsi="宋体" w:cs="宋体" w:eastAsia="宋体" w:hint="default"/>
                      <w:sz w:val="18"/>
                      <w:szCs w:val="18"/>
                    </w:rPr>
                  </w:pPr>
                </w:p>
                <w:p>
                  <w:pPr>
                    <w:pStyle w:val="BodyText"/>
                    <w:spacing w:line="240" w:lineRule="auto" w:before="123"/>
                    <w:ind w:left="0" w:right="0"/>
                    <w:jc w:val="left"/>
                  </w:pPr>
                  <w:r>
                    <w:rPr/>
                    <w:t>江苏中寰卫星导航通信有限公司、</w:t>
                  </w:r>
                </w:p>
              </w:txbxContent>
            </v:textbox>
            <w10:wrap type="none"/>
          </v:shape>
        </w:pict>
      </w:r>
      <w:r>
        <w:rPr>
          <w:rFonts w:ascii="Times New Roman" w:hAnsi="Times New Roman" w:cs="Times New Roman" w:eastAsia="Times New Roman" w:hint="default"/>
        </w:rPr>
        <w:t>2</w:t>
      </w:r>
      <w:r>
        <w:rPr/>
        <w:t>、税收优惠</w:t>
      </w:r>
      <w:r>
        <w:rPr>
          <w:b w:val="0"/>
          <w:bCs w:val="0"/>
        </w:rPr>
      </w:r>
    </w:p>
    <w:p>
      <w:pPr>
        <w:spacing w:line="240" w:lineRule="auto" w:before="4"/>
        <w:rPr>
          <w:rFonts w:ascii="宋体" w:hAnsi="宋体" w:cs="宋体" w:eastAsia="宋体" w:hint="default"/>
          <w:b/>
          <w:bCs/>
          <w:sz w:val="26"/>
          <w:szCs w:val="26"/>
        </w:rPr>
      </w:pPr>
    </w:p>
    <w:p>
      <w:pPr>
        <w:pStyle w:val="BodyText"/>
        <w:spacing w:line="300" w:lineRule="auto"/>
        <w:ind w:right="1130" w:firstLine="439"/>
        <w:jc w:val="both"/>
      </w:pPr>
      <w:r>
        <w:rPr/>
        <w:t>（</w:t>
      </w:r>
      <w:r>
        <w:rPr>
          <w:rFonts w:ascii="Times New Roman" w:hAnsi="Times New Roman" w:cs="Times New Roman" w:eastAsia="Times New Roman" w:hint="default"/>
        </w:rPr>
        <w:t>1</w:t>
      </w:r>
      <w:r>
        <w:rPr/>
        <w:t>）根据财政部</w:t>
      </w:r>
      <w:r>
        <w:rPr>
          <w:spacing w:val="53"/>
        </w:rPr>
        <w:t> </w:t>
      </w:r>
      <w:r>
        <w:rPr/>
        <w:t>国家税务总局《关于软件产品增值税政策的通知》（财税</w:t>
      </w:r>
      <w:r>
        <w:rPr>
          <w:rFonts w:ascii="Times New Roman" w:hAnsi="Times New Roman" w:cs="Times New Roman" w:eastAsia="Times New Roman" w:hint="default"/>
        </w:rPr>
        <w:t>[2011]100</w:t>
      </w:r>
      <w:r>
        <w:rPr/>
        <w:t>号）的规定，本公司自</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1 </w:t>
      </w:r>
      <w:r>
        <w:rPr/>
        <w:t>月</w:t>
      </w:r>
      <w:r>
        <w:rPr>
          <w:rFonts w:ascii="Times New Roman" w:hAnsi="Times New Roman" w:cs="Times New Roman" w:eastAsia="Times New Roman" w:hint="default"/>
        </w:rPr>
        <w:t>1</w:t>
      </w:r>
      <w:r>
        <w:rPr/>
        <w:t>日起销售自行开发生产的软件产品，按</w:t>
      </w:r>
      <w:r>
        <w:rPr>
          <w:rFonts w:ascii="Times New Roman" w:hAnsi="Times New Roman" w:cs="Times New Roman" w:eastAsia="Times New Roman" w:hint="default"/>
        </w:rPr>
        <w:t>17%</w:t>
      </w:r>
      <w:r>
        <w:rPr/>
        <w:t>税率征收增值税后，对增值税实际税负超过</w:t>
      </w:r>
      <w:r>
        <w:rPr>
          <w:rFonts w:ascii="Times New Roman" w:hAnsi="Times New Roman" w:cs="Times New Roman" w:eastAsia="Times New Roman" w:hint="default"/>
        </w:rPr>
        <w:t>3%</w:t>
      </w:r>
      <w:r>
        <w:rPr/>
        <w:t>的部分实行即征即退政策。</w:t>
      </w:r>
    </w:p>
    <w:p>
      <w:pPr>
        <w:pStyle w:val="BodyText"/>
        <w:spacing w:line="300" w:lineRule="auto" w:before="133"/>
        <w:ind w:right="1131" w:firstLine="439"/>
        <w:jc w:val="both"/>
      </w:pPr>
      <w:r>
        <w:rPr>
          <w:spacing w:val="-2"/>
        </w:rPr>
        <w:t>（</w:t>
      </w:r>
      <w:r>
        <w:rPr>
          <w:rFonts w:ascii="Times New Roman" w:hAnsi="Times New Roman" w:cs="Times New Roman" w:eastAsia="Times New Roman" w:hint="default"/>
          <w:spacing w:val="-2"/>
        </w:rPr>
        <w:t>2</w:t>
      </w:r>
      <w:r>
        <w:rPr>
          <w:spacing w:val="-2"/>
        </w:rPr>
        <w:t>）根据财政部</w:t>
      </w:r>
      <w:r>
        <w:rPr/>
        <w:t> </w:t>
      </w:r>
      <w:r>
        <w:rPr>
          <w:spacing w:val="-2"/>
        </w:rPr>
        <w:t>国家税务总局《关于全面推开营业税改征增值税试点的通知》（财税</w:t>
      </w:r>
      <w:r>
        <w:rPr>
          <w:rFonts w:ascii="Times New Roman" w:hAnsi="Times New Roman" w:cs="Times New Roman" w:eastAsia="Times New Roman" w:hint="default"/>
          <w:spacing w:val="-2"/>
        </w:rPr>
        <w:t>[2016]36</w:t>
      </w:r>
      <w:r>
        <w:rPr>
          <w:spacing w:val="-2"/>
        </w:rPr>
        <w:t>号文）的规定，试点纳</w:t>
      </w:r>
      <w:r>
        <w:rPr/>
        <w:t> 税人提供技术转让、技术开发和与之相关的技术咨询、技术服务，免征增值税。</w:t>
      </w:r>
    </w:p>
    <w:p>
      <w:pPr>
        <w:pStyle w:val="BodyText"/>
        <w:spacing w:line="300" w:lineRule="auto" w:before="151"/>
        <w:ind w:right="1132" w:firstLine="439"/>
        <w:jc w:val="both"/>
      </w:pPr>
      <w:r>
        <w:rPr/>
        <w:t>（</w:t>
      </w:r>
      <w:r>
        <w:rPr>
          <w:rFonts w:ascii="Times New Roman" w:hAnsi="Times New Roman" w:cs="Times New Roman" w:eastAsia="Times New Roman" w:hint="default"/>
        </w:rPr>
        <w:t>3</w:t>
      </w:r>
      <w:r>
        <w:rPr/>
        <w:t>）本公司被认定为高新技术企业，并于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8</w:t>
      </w:r>
      <w:r>
        <w:rPr/>
        <w:t>月通过高新技术企业复审。由于</w:t>
      </w:r>
      <w:r>
        <w:rPr>
          <w:rFonts w:ascii="Times New Roman" w:hAnsi="Times New Roman" w:cs="Times New Roman" w:eastAsia="Times New Roman" w:hint="default"/>
        </w:rPr>
        <w:t>2018</w:t>
      </w:r>
      <w:r>
        <w:rPr/>
        <w:t>年能否享受高新技术企业优惠 税率尚需认定，公司基于谨慎性考虑，</w:t>
      </w:r>
      <w:r>
        <w:rPr>
          <w:rFonts w:ascii="Times New Roman" w:hAnsi="Times New Roman" w:cs="Times New Roman" w:eastAsia="Times New Roman" w:hint="default"/>
        </w:rPr>
        <w:t>2018</w:t>
      </w:r>
      <w:r>
        <w:rPr/>
        <w:t>年度暂按</w:t>
      </w:r>
      <w:r>
        <w:rPr>
          <w:rFonts w:ascii="Times New Roman" w:hAnsi="Times New Roman" w:cs="Times New Roman" w:eastAsia="Times New Roman" w:hint="default"/>
        </w:rPr>
        <w:t>25%</w:t>
      </w:r>
      <w:r>
        <w:rPr/>
        <w:t>计提所得税。</w:t>
      </w:r>
    </w:p>
    <w:p>
      <w:pPr>
        <w:pStyle w:val="BodyText"/>
        <w:spacing w:line="300" w:lineRule="auto" w:before="133"/>
        <w:ind w:right="1129" w:firstLine="439"/>
        <w:jc w:val="both"/>
      </w:pPr>
      <w:r>
        <w:rPr>
          <w:spacing w:val="-2"/>
        </w:rPr>
        <w:t>（</w:t>
      </w:r>
      <w:r>
        <w:rPr>
          <w:rFonts w:ascii="Times New Roman" w:hAnsi="Times New Roman" w:cs="Times New Roman" w:eastAsia="Times New Roman" w:hint="default"/>
          <w:spacing w:val="-2"/>
        </w:rPr>
        <w:t>4</w:t>
      </w:r>
      <w:r>
        <w:rPr>
          <w:spacing w:val="-2"/>
        </w:rPr>
        <w:t>）本公司下属子公司北京图新经纬导航系统有限公司被认定为高新技术企业，并于</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10</w:t>
      </w:r>
      <w:r>
        <w:rPr>
          <w:spacing w:val="-2"/>
        </w:rPr>
        <w:t>月通过高新技术企业复</w:t>
      </w:r>
      <w:r>
        <w:rPr/>
        <w:t> 审，</w:t>
      </w:r>
      <w:r>
        <w:rPr>
          <w:rFonts w:ascii="Times New Roman" w:hAnsi="Times New Roman" w:cs="Times New Roman" w:eastAsia="Times New Roman" w:hint="default"/>
        </w:rPr>
        <w:t>2017</w:t>
      </w:r>
      <w:r>
        <w:rPr/>
        <w:t>年至</w:t>
      </w:r>
      <w:r>
        <w:rPr>
          <w:rFonts w:ascii="Times New Roman" w:hAnsi="Times New Roman" w:cs="Times New Roman" w:eastAsia="Times New Roman" w:hint="default"/>
        </w:rPr>
        <w:t>2019</w:t>
      </w:r>
      <w:r>
        <w:rPr/>
        <w:t>年度企业所得税适用税率为</w:t>
      </w:r>
      <w:r>
        <w:rPr>
          <w:rFonts w:ascii="Times New Roman" w:hAnsi="Times New Roman" w:cs="Times New Roman" w:eastAsia="Times New Roman" w:hint="default"/>
        </w:rPr>
        <w:t>15%</w:t>
      </w:r>
      <w:r>
        <w:rPr/>
        <w:t>。</w:t>
      </w:r>
    </w:p>
    <w:p>
      <w:pPr>
        <w:pStyle w:val="BodyText"/>
        <w:spacing w:line="240" w:lineRule="auto" w:before="133"/>
        <w:ind w:left="592" w:right="982"/>
        <w:jc w:val="left"/>
      </w:pPr>
      <w:r>
        <w:rPr/>
        <w:t>（</w:t>
      </w:r>
      <w:r>
        <w:rPr>
          <w:rFonts w:ascii="Times New Roman" w:hAnsi="Times New Roman" w:cs="Times New Roman" w:eastAsia="Times New Roman" w:hint="default"/>
        </w:rPr>
        <w:t>5</w:t>
      </w:r>
      <w:r>
        <w:rPr/>
        <w:t>）本公司下属子公司北京世纪高通科技有限公司被认定为高新技术企业，并于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10</w:t>
      </w:r>
      <w:r>
        <w:rPr/>
        <w:t>月通过高新技术企业复审，</w:t>
      </w:r>
    </w:p>
    <w:p>
      <w:pPr>
        <w:pStyle w:val="BodyText"/>
        <w:spacing w:line="240" w:lineRule="auto" w:before="63"/>
        <w:ind w:right="982"/>
        <w:jc w:val="left"/>
      </w:pPr>
      <w:r>
        <w:rPr>
          <w:rFonts w:ascii="Times New Roman" w:hAnsi="Times New Roman" w:cs="Times New Roman" w:eastAsia="Times New Roman" w:hint="default"/>
        </w:rPr>
        <w:t>2017</w:t>
      </w:r>
      <w:r>
        <w:rPr/>
        <w:t>年至</w:t>
      </w:r>
      <w:r>
        <w:rPr>
          <w:rFonts w:ascii="Times New Roman" w:hAnsi="Times New Roman" w:cs="Times New Roman" w:eastAsia="Times New Roman" w:hint="default"/>
        </w:rPr>
        <w:t>2019</w:t>
      </w:r>
      <w:r>
        <w:rPr/>
        <w:t>年度企业所得税适用税率为</w:t>
      </w:r>
      <w:r>
        <w:rPr>
          <w:rFonts w:ascii="Times New Roman" w:hAnsi="Times New Roman" w:cs="Times New Roman" w:eastAsia="Times New Roman" w:hint="default"/>
        </w:rPr>
        <w:t>15%</w:t>
      </w:r>
      <w:r>
        <w:rPr/>
        <w:t>。</w:t>
      </w:r>
    </w:p>
    <w:p>
      <w:pPr>
        <w:spacing w:line="240" w:lineRule="auto" w:before="13"/>
        <w:rPr>
          <w:rFonts w:ascii="宋体" w:hAnsi="宋体" w:cs="宋体" w:eastAsia="宋体" w:hint="default"/>
          <w:sz w:val="13"/>
          <w:szCs w:val="13"/>
        </w:rPr>
      </w:pPr>
    </w:p>
    <w:p>
      <w:pPr>
        <w:pStyle w:val="BodyText"/>
        <w:spacing w:line="300" w:lineRule="auto"/>
        <w:ind w:right="1128" w:firstLine="439"/>
        <w:jc w:val="both"/>
      </w:pPr>
      <w:r>
        <w:rPr>
          <w:spacing w:val="-2"/>
        </w:rPr>
        <w:t>（</w:t>
      </w:r>
      <w:r>
        <w:rPr>
          <w:rFonts w:ascii="Times New Roman" w:hAnsi="Times New Roman" w:cs="Times New Roman" w:eastAsia="Times New Roman" w:hint="default"/>
          <w:spacing w:val="-2"/>
        </w:rPr>
        <w:t>6</w:t>
      </w:r>
      <w:r>
        <w:rPr>
          <w:spacing w:val="-2"/>
        </w:rPr>
        <w:t>）本公司下属子公司中交宇科（北京）空间信息技术有限公司被认定为高新技术企业，并于</w:t>
      </w:r>
      <w:r>
        <w:rPr>
          <w:rFonts w:ascii="Times New Roman" w:hAnsi="Times New Roman" w:cs="Times New Roman" w:eastAsia="Times New Roman" w:hint="default"/>
          <w:spacing w:val="-2"/>
        </w:rPr>
        <w:t>2015</w:t>
      </w:r>
      <w:r>
        <w:rPr>
          <w:spacing w:val="-2"/>
        </w:rPr>
        <w:t>年</w:t>
      </w:r>
      <w:r>
        <w:rPr>
          <w:rFonts w:ascii="Times New Roman" w:hAnsi="Times New Roman" w:cs="Times New Roman" w:eastAsia="Times New Roman" w:hint="default"/>
          <w:spacing w:val="-2"/>
        </w:rPr>
        <w:t>11</w:t>
      </w:r>
      <w:r>
        <w:rPr>
          <w:spacing w:val="-2"/>
        </w:rPr>
        <w:t>月通过高新技</w:t>
      </w:r>
      <w:r>
        <w:rPr/>
        <w:t> </w:t>
      </w:r>
      <w:r>
        <w:rPr>
          <w:spacing w:val="-3"/>
        </w:rPr>
        <w:t>术企业复审，</w:t>
      </w:r>
      <w:r>
        <w:rPr>
          <w:rFonts w:ascii="Times New Roman" w:hAnsi="Times New Roman" w:cs="Times New Roman" w:eastAsia="Times New Roman" w:hint="default"/>
          <w:spacing w:val="-3"/>
        </w:rPr>
        <w:t>2015</w:t>
      </w:r>
      <w:r>
        <w:rPr>
          <w:spacing w:val="-3"/>
        </w:rPr>
        <w:t>年至</w:t>
      </w:r>
      <w:r>
        <w:rPr>
          <w:rFonts w:ascii="Times New Roman" w:hAnsi="Times New Roman" w:cs="Times New Roman" w:eastAsia="Times New Roman" w:hint="default"/>
          <w:spacing w:val="-3"/>
        </w:rPr>
        <w:t>2017</w:t>
      </w:r>
      <w:r>
        <w:rPr>
          <w:spacing w:val="-3"/>
        </w:rPr>
        <w:t>年度企业所得税适用税率为</w:t>
      </w:r>
      <w:r>
        <w:rPr>
          <w:rFonts w:ascii="Times New Roman" w:hAnsi="Times New Roman" w:cs="Times New Roman" w:eastAsia="Times New Roman" w:hint="default"/>
          <w:spacing w:val="-3"/>
        </w:rPr>
        <w:t>15%</w:t>
      </w:r>
      <w:r>
        <w:rPr>
          <w:spacing w:val="-3"/>
        </w:rPr>
        <w:t>，于</w:t>
      </w:r>
      <w:r>
        <w:rPr>
          <w:rFonts w:ascii="Times New Roman" w:hAnsi="Times New Roman" w:cs="Times New Roman" w:eastAsia="Times New Roman" w:hint="default"/>
          <w:spacing w:val="-3"/>
        </w:rPr>
        <w:t>2018</w:t>
      </w:r>
      <w:r>
        <w:rPr>
          <w:spacing w:val="-3"/>
        </w:rPr>
        <w:t>年</w:t>
      </w:r>
      <w:r>
        <w:rPr>
          <w:rFonts w:ascii="Times New Roman" w:hAnsi="Times New Roman" w:cs="Times New Roman" w:eastAsia="Times New Roman" w:hint="default"/>
          <w:spacing w:val="-3"/>
        </w:rPr>
        <w:t>9</w:t>
      </w:r>
      <w:r>
        <w:rPr>
          <w:spacing w:val="-3"/>
        </w:rPr>
        <w:t>月，公司再次通过高新技术企业复审，</w:t>
      </w:r>
      <w:r>
        <w:rPr>
          <w:rFonts w:ascii="Times New Roman" w:hAnsi="Times New Roman" w:cs="Times New Roman" w:eastAsia="Times New Roman" w:hint="default"/>
          <w:spacing w:val="-3"/>
        </w:rPr>
        <w:t>2018</w:t>
      </w:r>
      <w:r>
        <w:rPr>
          <w:spacing w:val="-3"/>
        </w:rPr>
        <w:t>年至</w:t>
      </w:r>
      <w:r>
        <w:rPr>
          <w:rFonts w:ascii="Times New Roman" w:hAnsi="Times New Roman" w:cs="Times New Roman" w:eastAsia="Times New Roman" w:hint="default"/>
          <w:spacing w:val="-3"/>
        </w:rPr>
        <w:t>2020</w:t>
      </w:r>
      <w:r>
        <w:rPr>
          <w:rFonts w:ascii="Times New Roman" w:hAnsi="Times New Roman" w:cs="Times New Roman" w:eastAsia="Times New Roman" w:hint="default"/>
          <w:spacing w:val="2"/>
        </w:rPr>
        <w:t> </w:t>
      </w:r>
      <w:r>
        <w:rPr>
          <w:rFonts w:ascii="Times New Roman" w:hAnsi="Times New Roman" w:cs="Times New Roman" w:eastAsia="Times New Roman" w:hint="default"/>
          <w:spacing w:val="2"/>
        </w:rPr>
      </w:r>
      <w:r>
        <w:rPr/>
        <w:t>年度企业所得税适用税率为</w:t>
      </w:r>
      <w:r>
        <w:rPr>
          <w:rFonts w:ascii="Times New Roman" w:hAnsi="Times New Roman" w:cs="Times New Roman" w:eastAsia="Times New Roman" w:hint="default"/>
        </w:rPr>
        <w:t>15%</w:t>
      </w:r>
      <w:r>
        <w:rPr/>
        <w:t>。</w:t>
      </w:r>
    </w:p>
    <w:p>
      <w:pPr>
        <w:pStyle w:val="BodyText"/>
        <w:spacing w:line="240" w:lineRule="auto" w:before="133"/>
        <w:ind w:left="592" w:right="982"/>
        <w:jc w:val="left"/>
      </w:pPr>
      <w:r>
        <w:rPr/>
        <w:t>（</w:t>
      </w:r>
      <w:r>
        <w:rPr>
          <w:rFonts w:ascii="Times New Roman" w:hAnsi="Times New Roman" w:cs="Times New Roman" w:eastAsia="Times New Roman" w:hint="default"/>
        </w:rPr>
        <w:t>7</w:t>
      </w:r>
      <w:r>
        <w:rPr/>
        <w:t>）本公司下属子公司中寰卫星导航通信有限公司被认定为高新技术企业，并于</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12</w:t>
      </w:r>
      <w:r>
        <w:rPr/>
        <w:t>月通过高新技术企业复审，</w:t>
      </w:r>
    </w:p>
    <w:p>
      <w:pPr>
        <w:pStyle w:val="BodyText"/>
        <w:spacing w:line="240" w:lineRule="auto" w:before="63"/>
        <w:ind w:right="982"/>
        <w:jc w:val="left"/>
      </w:pPr>
      <w:r>
        <w:rPr>
          <w:rFonts w:ascii="Times New Roman" w:hAnsi="Times New Roman" w:cs="Times New Roman" w:eastAsia="Times New Roman" w:hint="default"/>
        </w:rPr>
        <w:t>2016</w:t>
      </w:r>
      <w:r>
        <w:rPr/>
        <w:t>年至</w:t>
      </w:r>
      <w:r>
        <w:rPr>
          <w:rFonts w:ascii="Times New Roman" w:hAnsi="Times New Roman" w:cs="Times New Roman" w:eastAsia="Times New Roman" w:hint="default"/>
        </w:rPr>
        <w:t>2018</w:t>
      </w:r>
      <w:r>
        <w:rPr/>
        <w:t>年度企业所得税适用税率为</w:t>
      </w:r>
      <w:r>
        <w:rPr>
          <w:rFonts w:ascii="Times New Roman" w:hAnsi="Times New Roman" w:cs="Times New Roman" w:eastAsia="Times New Roman" w:hint="default"/>
        </w:rPr>
        <w:t>15%</w:t>
      </w:r>
      <w:r>
        <w:rPr/>
        <w:t>。</w:t>
      </w:r>
    </w:p>
    <w:p>
      <w:pPr>
        <w:spacing w:line="240" w:lineRule="auto" w:before="13"/>
        <w:rPr>
          <w:rFonts w:ascii="宋体" w:hAnsi="宋体" w:cs="宋体" w:eastAsia="宋体" w:hint="default"/>
          <w:sz w:val="13"/>
          <w:szCs w:val="13"/>
        </w:rPr>
      </w:pPr>
    </w:p>
    <w:p>
      <w:pPr>
        <w:pStyle w:val="BodyText"/>
        <w:spacing w:line="300" w:lineRule="auto"/>
        <w:ind w:right="1126" w:firstLine="439"/>
        <w:jc w:val="both"/>
      </w:pPr>
      <w:r>
        <w:rPr>
          <w:spacing w:val="-2"/>
        </w:rPr>
        <w:t>（</w:t>
      </w:r>
      <w:r>
        <w:rPr>
          <w:rFonts w:ascii="Times New Roman" w:hAnsi="Times New Roman" w:cs="Times New Roman" w:eastAsia="Times New Roman" w:hint="default"/>
          <w:spacing w:val="-2"/>
        </w:rPr>
        <w:t>8</w:t>
      </w:r>
      <w:r>
        <w:rPr>
          <w:spacing w:val="-2"/>
        </w:rPr>
        <w:t>）本公司下属子公司内蒙古中寰卫星导航通信有限公司被认定为高新技术企业，并于</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12</w:t>
      </w:r>
      <w:r>
        <w:rPr>
          <w:spacing w:val="-2"/>
        </w:rPr>
        <w:t>月，公司再次通过高</w:t>
      </w:r>
      <w:r>
        <w:rPr/>
        <w:t> 新技术企业复审，</w:t>
      </w:r>
      <w:r>
        <w:rPr>
          <w:rFonts w:ascii="Times New Roman" w:hAnsi="Times New Roman" w:cs="Times New Roman" w:eastAsia="Times New Roman" w:hint="default"/>
        </w:rPr>
        <w:t>2018</w:t>
      </w:r>
      <w:r>
        <w:rPr/>
        <w:t>年至</w:t>
      </w:r>
      <w:r>
        <w:rPr>
          <w:rFonts w:ascii="Times New Roman" w:hAnsi="Times New Roman" w:cs="Times New Roman" w:eastAsia="Times New Roman" w:hint="default"/>
        </w:rPr>
        <w:t>2020</w:t>
      </w:r>
      <w:r>
        <w:rPr/>
        <w:t>年度企业所得税适用税率为</w:t>
      </w:r>
      <w:r>
        <w:rPr>
          <w:rFonts w:ascii="Times New Roman" w:hAnsi="Times New Roman" w:cs="Times New Roman" w:eastAsia="Times New Roman" w:hint="default"/>
        </w:rPr>
        <w:t>15%</w:t>
      </w:r>
      <w:r>
        <w:rPr/>
        <w:t>。</w:t>
      </w:r>
    </w:p>
    <w:p>
      <w:pPr>
        <w:pStyle w:val="BodyText"/>
        <w:spacing w:line="300" w:lineRule="auto" w:before="133"/>
        <w:ind w:right="1130" w:firstLine="439"/>
        <w:jc w:val="both"/>
      </w:pPr>
      <w:r>
        <w:rPr>
          <w:spacing w:val="-5"/>
        </w:rPr>
        <w:t>（</w:t>
      </w:r>
      <w:r>
        <w:rPr>
          <w:rFonts w:ascii="Times New Roman" w:hAnsi="Times New Roman" w:cs="Times New Roman" w:eastAsia="Times New Roman" w:hint="default"/>
          <w:spacing w:val="-5"/>
        </w:rPr>
        <w:t>9</w:t>
      </w:r>
      <w:r>
        <w:rPr>
          <w:spacing w:val="-5"/>
        </w:rPr>
        <w:t>）本公司下属子公司长沙市海图科技有限公司被认定为高新技术企业，并于</w:t>
      </w:r>
      <w:r>
        <w:rPr>
          <w:rFonts w:ascii="Times New Roman" w:hAnsi="Times New Roman" w:cs="Times New Roman" w:eastAsia="Times New Roman" w:hint="default"/>
          <w:spacing w:val="-5"/>
        </w:rPr>
        <w:t>2016</w:t>
      </w:r>
      <w:r>
        <w:rPr>
          <w:spacing w:val="-5"/>
        </w:rPr>
        <w:t>年</w:t>
      </w:r>
      <w:r>
        <w:rPr>
          <w:rFonts w:ascii="Times New Roman" w:hAnsi="Times New Roman" w:cs="Times New Roman" w:eastAsia="Times New Roman" w:hint="default"/>
          <w:spacing w:val="-5"/>
        </w:rPr>
        <w:t>12</w:t>
      </w:r>
      <w:r>
        <w:rPr>
          <w:spacing w:val="-5"/>
        </w:rPr>
        <w:t>月通过高新技术企业复审，</w:t>
      </w:r>
      <w:r>
        <w:rPr>
          <w:rFonts w:ascii="Times New Roman" w:hAnsi="Times New Roman" w:cs="Times New Roman" w:eastAsia="Times New Roman" w:hint="default"/>
          <w:spacing w:val="-5"/>
        </w:rPr>
        <w:t>2016</w:t>
      </w:r>
      <w:r>
        <w:rPr>
          <w:rFonts w:ascii="Times New Roman" w:hAnsi="Times New Roman" w:cs="Times New Roman" w:eastAsia="Times New Roman" w:hint="default"/>
        </w:rPr>
        <w:t> </w:t>
      </w:r>
      <w:r>
        <w:rPr/>
        <w:t>年至</w:t>
      </w:r>
      <w:r>
        <w:rPr>
          <w:rFonts w:ascii="Times New Roman" w:hAnsi="Times New Roman" w:cs="Times New Roman" w:eastAsia="Times New Roman" w:hint="default"/>
        </w:rPr>
        <w:t>2018</w:t>
      </w:r>
      <w:r>
        <w:rPr/>
        <w:t>年度企业所得税适用税率为</w:t>
      </w:r>
      <w:r>
        <w:rPr>
          <w:rFonts w:ascii="Times New Roman" w:hAnsi="Times New Roman" w:cs="Times New Roman" w:eastAsia="Times New Roman" w:hint="default"/>
        </w:rPr>
        <w:t>15%</w:t>
      </w:r>
      <w:r>
        <w:rPr/>
        <w:t>。</w:t>
      </w:r>
    </w:p>
    <w:p>
      <w:pPr>
        <w:pStyle w:val="BodyText"/>
        <w:spacing w:line="300" w:lineRule="auto" w:before="121"/>
        <w:ind w:right="1131" w:firstLine="439"/>
        <w:jc w:val="both"/>
      </w:pPr>
      <w:r>
        <w:rPr/>
        <w:t>（</w:t>
      </w:r>
      <w:r>
        <w:rPr>
          <w:rFonts w:ascii="Times New Roman" w:hAnsi="Times New Roman" w:cs="Times New Roman" w:eastAsia="Times New Roman" w:hint="default"/>
        </w:rPr>
        <w:t>10</w:t>
      </w:r>
      <w:r>
        <w:rPr/>
        <w:t>）本公司下属子公司甘肃中寰卫星导航通信有限公司</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11</w:t>
      </w:r>
      <w:r>
        <w:rPr/>
        <w:t>月被认定为高新技术企业，</w:t>
      </w:r>
      <w:r>
        <w:rPr>
          <w:rFonts w:ascii="Times New Roman" w:hAnsi="Times New Roman" w:cs="Times New Roman" w:eastAsia="Times New Roman" w:hint="default"/>
        </w:rPr>
        <w:t>2016</w:t>
      </w:r>
      <w:r>
        <w:rPr/>
        <w:t>年至</w:t>
      </w:r>
      <w:r>
        <w:rPr>
          <w:rFonts w:ascii="Times New Roman" w:hAnsi="Times New Roman" w:cs="Times New Roman" w:eastAsia="Times New Roman" w:hint="default"/>
        </w:rPr>
        <w:t>2018</w:t>
      </w:r>
      <w:r>
        <w:rPr/>
        <w:t>年度企业 所得税适用税率为</w:t>
      </w:r>
      <w:r>
        <w:rPr>
          <w:rFonts w:ascii="Times New Roman" w:hAnsi="Times New Roman" w:cs="Times New Roman" w:eastAsia="Times New Roman" w:hint="default"/>
        </w:rPr>
        <w:t>15%</w:t>
      </w:r>
      <w:r>
        <w:rPr/>
        <w:t>。</w:t>
      </w:r>
    </w:p>
    <w:p>
      <w:pPr>
        <w:pStyle w:val="BodyText"/>
        <w:spacing w:line="300" w:lineRule="auto" w:before="133"/>
        <w:ind w:right="1129" w:firstLine="504"/>
        <w:jc w:val="both"/>
      </w:pPr>
      <w:r>
        <w:rPr>
          <w:spacing w:val="-1"/>
        </w:rPr>
        <w:t>（</w:t>
      </w:r>
      <w:r>
        <w:rPr>
          <w:rFonts w:ascii="Times New Roman" w:hAnsi="Times New Roman" w:cs="Times New Roman" w:eastAsia="Times New Roman" w:hint="default"/>
          <w:spacing w:val="-1"/>
        </w:rPr>
        <w:t>11</w:t>
      </w:r>
      <w:r>
        <w:rPr>
          <w:spacing w:val="-1"/>
        </w:rPr>
        <w:t>）本公司下属子公司广州博瞻恒腾信息技术有限公司被认定为高新技术企业，</w:t>
      </w:r>
      <w:r>
        <w:rPr>
          <w:rFonts w:ascii="Times New Roman" w:hAnsi="Times New Roman" w:cs="Times New Roman" w:eastAsia="Times New Roman" w:hint="default"/>
          <w:spacing w:val="-1"/>
        </w:rPr>
        <w:t>2016</w:t>
      </w:r>
      <w:r>
        <w:rPr>
          <w:spacing w:val="-1"/>
        </w:rPr>
        <w:t>年至</w:t>
      </w:r>
      <w:r>
        <w:rPr>
          <w:rFonts w:ascii="Times New Roman" w:hAnsi="Times New Roman" w:cs="Times New Roman" w:eastAsia="Times New Roman" w:hint="default"/>
          <w:spacing w:val="-1"/>
        </w:rPr>
        <w:t>2018</w:t>
      </w:r>
      <w:r>
        <w:rPr>
          <w:spacing w:val="-1"/>
        </w:rPr>
        <w:t>年度企业所得税适用</w:t>
      </w:r>
      <w:r>
        <w:rPr/>
        <w:t> 税率为</w:t>
      </w:r>
      <w:r>
        <w:rPr>
          <w:rFonts w:ascii="Times New Roman" w:hAnsi="Times New Roman" w:cs="Times New Roman" w:eastAsia="Times New Roman" w:hint="default"/>
        </w:rPr>
        <w:t>15%</w:t>
      </w:r>
      <w:r>
        <w:rPr/>
        <w:t>。</w:t>
      </w:r>
    </w:p>
    <w:p>
      <w:pPr>
        <w:pStyle w:val="BodyText"/>
        <w:spacing w:line="300" w:lineRule="auto" w:before="133"/>
        <w:ind w:right="1127" w:firstLine="504"/>
        <w:jc w:val="both"/>
      </w:pPr>
      <w:r>
        <w:rPr>
          <w:spacing w:val="-1"/>
        </w:rPr>
        <w:t>（</w:t>
      </w:r>
      <w:r>
        <w:rPr>
          <w:rFonts w:ascii="Times New Roman" w:hAnsi="Times New Roman" w:cs="Times New Roman" w:eastAsia="Times New Roman" w:hint="default"/>
          <w:spacing w:val="-1"/>
        </w:rPr>
        <w:t>12</w:t>
      </w:r>
      <w:r>
        <w:rPr>
          <w:spacing w:val="-1"/>
        </w:rPr>
        <w:t>）本公司下属子公司上海炬宏信息技术有限公司被认定为高新技术企业，</w:t>
      </w:r>
      <w:r>
        <w:rPr>
          <w:rFonts w:ascii="Times New Roman" w:hAnsi="Times New Roman" w:cs="Times New Roman" w:eastAsia="Times New Roman" w:hint="default"/>
          <w:spacing w:val="-1"/>
        </w:rPr>
        <w:t>2016</w:t>
      </w:r>
      <w:r>
        <w:rPr>
          <w:spacing w:val="-1"/>
        </w:rPr>
        <w:t>年至</w:t>
      </w:r>
      <w:r>
        <w:rPr>
          <w:rFonts w:ascii="Times New Roman" w:hAnsi="Times New Roman" w:cs="Times New Roman" w:eastAsia="Times New Roman" w:hint="default"/>
          <w:spacing w:val="-1"/>
        </w:rPr>
        <w:t>2018</w:t>
      </w:r>
      <w:r>
        <w:rPr>
          <w:spacing w:val="-1"/>
        </w:rPr>
        <w:t>年度企业所得税适用税率</w:t>
      </w:r>
      <w:r>
        <w:rPr/>
        <w:t> 为</w:t>
      </w:r>
      <w:r>
        <w:rPr>
          <w:rFonts w:ascii="Times New Roman" w:hAnsi="Times New Roman" w:cs="Times New Roman" w:eastAsia="Times New Roman" w:hint="default"/>
        </w:rPr>
        <w:t>15%</w:t>
      </w:r>
      <w:r>
        <w:rPr/>
        <w:t>。</w:t>
      </w:r>
    </w:p>
    <w:p>
      <w:pPr>
        <w:pStyle w:val="BodyText"/>
        <w:spacing w:line="300" w:lineRule="auto" w:before="133"/>
        <w:ind w:right="1127" w:firstLine="504"/>
        <w:jc w:val="both"/>
      </w:pPr>
      <w:r>
        <w:rPr>
          <w:spacing w:val="-1"/>
        </w:rPr>
        <w:t>（</w:t>
      </w:r>
      <w:r>
        <w:rPr>
          <w:rFonts w:ascii="Times New Roman" w:hAnsi="Times New Roman" w:cs="Times New Roman" w:eastAsia="Times New Roman" w:hint="default"/>
          <w:spacing w:val="-1"/>
        </w:rPr>
        <w:t>13</w:t>
      </w:r>
      <w:r>
        <w:rPr>
          <w:spacing w:val="-1"/>
        </w:rPr>
        <w:t>）本公司下属子公司沈阳世纪高通科技有限公司被认定为高新技术企业，</w:t>
      </w:r>
      <w:r>
        <w:rPr>
          <w:rFonts w:ascii="Times New Roman" w:hAnsi="Times New Roman" w:cs="Times New Roman" w:eastAsia="Times New Roman" w:hint="default"/>
          <w:spacing w:val="-1"/>
        </w:rPr>
        <w:t>2016</w:t>
      </w:r>
      <w:r>
        <w:rPr>
          <w:spacing w:val="-1"/>
        </w:rPr>
        <w:t>年至</w:t>
      </w:r>
      <w:r>
        <w:rPr>
          <w:rFonts w:ascii="Times New Roman" w:hAnsi="Times New Roman" w:cs="Times New Roman" w:eastAsia="Times New Roman" w:hint="default"/>
          <w:spacing w:val="-1"/>
        </w:rPr>
        <w:t>2018</w:t>
      </w:r>
      <w:r>
        <w:rPr>
          <w:spacing w:val="-1"/>
        </w:rPr>
        <w:t>年度企业所得税适用税率</w:t>
      </w:r>
      <w:r>
        <w:rPr/>
        <w:t> 为</w:t>
      </w:r>
      <w:r>
        <w:rPr>
          <w:rFonts w:ascii="Times New Roman" w:hAnsi="Times New Roman" w:cs="Times New Roman" w:eastAsia="Times New Roman" w:hint="default"/>
        </w:rPr>
        <w:t>15%</w:t>
      </w:r>
      <w:r>
        <w:rPr/>
        <w:t>。</w:t>
      </w:r>
    </w:p>
    <w:p>
      <w:pPr>
        <w:pStyle w:val="BodyText"/>
        <w:spacing w:line="300" w:lineRule="auto" w:before="133"/>
        <w:ind w:right="1129" w:firstLine="504"/>
        <w:jc w:val="both"/>
      </w:pPr>
      <w:r>
        <w:rPr>
          <w:spacing w:val="-1"/>
        </w:rPr>
        <w:t>（</w:t>
      </w:r>
      <w:r>
        <w:rPr>
          <w:rFonts w:ascii="Times New Roman" w:hAnsi="Times New Roman" w:cs="Times New Roman" w:eastAsia="Times New Roman" w:hint="default"/>
          <w:spacing w:val="-1"/>
        </w:rPr>
        <w:t>14</w:t>
      </w:r>
      <w:r>
        <w:rPr>
          <w:spacing w:val="-1"/>
        </w:rPr>
        <w:t>）本公司下属子公司西安四维图新信息技术有限公司被认定为高新技术企业，</w:t>
      </w:r>
      <w:r>
        <w:rPr>
          <w:rFonts w:ascii="Times New Roman" w:hAnsi="Times New Roman" w:cs="Times New Roman" w:eastAsia="Times New Roman" w:hint="default"/>
          <w:spacing w:val="-1"/>
        </w:rPr>
        <w:t>2016</w:t>
      </w:r>
      <w:r>
        <w:rPr>
          <w:spacing w:val="-1"/>
        </w:rPr>
        <w:t>年至</w:t>
      </w:r>
      <w:r>
        <w:rPr>
          <w:rFonts w:ascii="Times New Roman" w:hAnsi="Times New Roman" w:cs="Times New Roman" w:eastAsia="Times New Roman" w:hint="default"/>
          <w:spacing w:val="-1"/>
        </w:rPr>
        <w:t>2018</w:t>
      </w:r>
      <w:r>
        <w:rPr>
          <w:spacing w:val="-1"/>
        </w:rPr>
        <w:t>年度企业所得税适用</w:t>
      </w:r>
      <w:r>
        <w:rPr/>
        <w:t> 税率为</w:t>
      </w:r>
      <w:r>
        <w:rPr>
          <w:rFonts w:ascii="Times New Roman" w:hAnsi="Times New Roman" w:cs="Times New Roman" w:eastAsia="Times New Roman" w:hint="default"/>
        </w:rPr>
        <w:t>15%</w:t>
      </w:r>
      <w:r>
        <w:rPr/>
        <w:t>。</w:t>
      </w:r>
    </w:p>
    <w:p>
      <w:pPr>
        <w:pStyle w:val="BodyText"/>
        <w:spacing w:line="240" w:lineRule="auto" w:before="109"/>
        <w:ind w:left="657" w:right="982"/>
        <w:jc w:val="left"/>
      </w:pPr>
      <w:r>
        <w:rPr/>
        <w:t>（</w:t>
      </w:r>
      <w:r>
        <w:rPr>
          <w:rFonts w:ascii="Times New Roman" w:hAnsi="Times New Roman" w:cs="Times New Roman" w:eastAsia="Times New Roman" w:hint="default"/>
        </w:rPr>
        <w:t>15</w:t>
      </w:r>
      <w:r>
        <w:rPr/>
        <w:t>）本公司下属子公司武汉四维图新信息技术有限公司被认定为高新技术企业，</w:t>
      </w:r>
      <w:r>
        <w:rPr>
          <w:rFonts w:ascii="Times New Roman" w:hAnsi="Times New Roman" w:cs="Times New Roman" w:eastAsia="Times New Roman" w:hint="default"/>
        </w:rPr>
        <w:t>2016</w:t>
      </w:r>
      <w:r>
        <w:rPr/>
        <w:t>年至</w:t>
      </w:r>
      <w:r>
        <w:rPr>
          <w:rFonts w:ascii="Times New Roman" w:hAnsi="Times New Roman" w:cs="Times New Roman" w:eastAsia="Times New Roman" w:hint="default"/>
        </w:rPr>
        <w:t>2018</w:t>
      </w:r>
      <w:r>
        <w:rPr/>
        <w:t>年度企业所得税适用</w:t>
      </w:r>
    </w:p>
    <w:p>
      <w:pPr>
        <w:spacing w:after="0" w:line="240" w:lineRule="auto"/>
        <w:jc w:val="left"/>
        <w:sectPr>
          <w:pgSz w:w="11910" w:h="16840"/>
          <w:pgMar w:header="745" w:footer="979" w:top="1060" w:bottom="1160" w:left="980" w:right="0"/>
        </w:sectPr>
      </w:pPr>
    </w:p>
    <w:p>
      <w:pPr>
        <w:spacing w:line="240" w:lineRule="auto" w:before="9"/>
        <w:rPr>
          <w:rFonts w:ascii="宋体" w:hAnsi="宋体" w:cs="宋体" w:eastAsia="宋体" w:hint="default"/>
          <w:sz w:val="25"/>
          <w:szCs w:val="25"/>
        </w:rPr>
      </w:pPr>
    </w:p>
    <w:p>
      <w:pPr>
        <w:pStyle w:val="BodyText"/>
        <w:spacing w:line="240" w:lineRule="auto" w:before="44"/>
        <w:ind w:right="982"/>
        <w:jc w:val="left"/>
      </w:pPr>
      <w:r>
        <w:rPr/>
        <w:t>税率</w:t>
      </w:r>
      <w:r>
        <w:rPr>
          <w:rFonts w:ascii="Times New Roman" w:hAnsi="Times New Roman" w:cs="Times New Roman" w:eastAsia="Times New Roman" w:hint="default"/>
        </w:rPr>
        <w:t>15%</w:t>
      </w:r>
      <w:r>
        <w:rPr/>
        <w:t>。</w:t>
      </w:r>
    </w:p>
    <w:p>
      <w:pPr>
        <w:spacing w:line="240" w:lineRule="auto" w:before="0"/>
        <w:rPr>
          <w:rFonts w:ascii="宋体" w:hAnsi="宋体" w:cs="宋体" w:eastAsia="宋体" w:hint="default"/>
          <w:sz w:val="14"/>
          <w:szCs w:val="14"/>
        </w:rPr>
      </w:pPr>
    </w:p>
    <w:p>
      <w:pPr>
        <w:pStyle w:val="BodyText"/>
        <w:spacing w:line="300" w:lineRule="auto"/>
        <w:ind w:right="1123" w:firstLine="451"/>
        <w:jc w:val="left"/>
      </w:pPr>
      <w:r>
        <w:rPr/>
        <w:t>（</w:t>
      </w:r>
      <w:r>
        <w:rPr>
          <w:rFonts w:ascii="Times New Roman" w:hAnsi="Times New Roman" w:cs="Times New Roman" w:eastAsia="Times New Roman" w:hint="default"/>
        </w:rPr>
        <w:t>16</w:t>
      </w:r>
      <w:r>
        <w:rPr/>
        <w:t>）本公司下属子公司山西中寰卫星导航通信有限公司被认定为高新技术企业，</w:t>
      </w:r>
      <w:r>
        <w:rPr>
          <w:rFonts w:ascii="Times New Roman" w:hAnsi="Times New Roman" w:cs="Times New Roman" w:eastAsia="Times New Roman" w:hint="default"/>
        </w:rPr>
        <w:t>2016</w:t>
      </w:r>
      <w:r>
        <w:rPr/>
        <w:t>年至</w:t>
      </w:r>
      <w:r>
        <w:rPr>
          <w:rFonts w:ascii="Times New Roman" w:hAnsi="Times New Roman" w:cs="Times New Roman" w:eastAsia="Times New Roman" w:hint="default"/>
        </w:rPr>
        <w:t>2018</w:t>
      </w:r>
      <w:r>
        <w:rPr/>
        <w:t>年度企业所得税适用 税率</w:t>
      </w:r>
      <w:r>
        <w:rPr>
          <w:rFonts w:ascii="Times New Roman" w:hAnsi="Times New Roman" w:cs="Times New Roman" w:eastAsia="Times New Roman" w:hint="default"/>
        </w:rPr>
        <w:t>15%</w:t>
      </w:r>
      <w:r>
        <w:rPr/>
        <w:t>。</w:t>
      </w:r>
    </w:p>
    <w:p>
      <w:pPr>
        <w:pStyle w:val="BodyText"/>
        <w:spacing w:line="300" w:lineRule="auto" w:before="133"/>
        <w:ind w:right="1129" w:firstLine="451"/>
        <w:jc w:val="both"/>
      </w:pPr>
      <w:r>
        <w:rPr/>
        <w:t>（</w:t>
      </w:r>
      <w:r>
        <w:rPr>
          <w:rFonts w:ascii="Times New Roman" w:hAnsi="Times New Roman" w:cs="Times New Roman" w:eastAsia="Times New Roman" w:hint="default"/>
        </w:rPr>
        <w:t>17</w:t>
      </w:r>
      <w:r>
        <w:rPr/>
        <w:t>）本公司下属子公司南京中寰越德网络科技有限公司、辽宁中寰卫星导航通信有限公司、甘肃北斗星辰科技有限 公司、北京中寰天畅卫星导航科技有限公司、陕西世纪高通科技有限公司</w:t>
      </w:r>
      <w:r>
        <w:rPr>
          <w:rFonts w:ascii="Times New Roman" w:hAnsi="Times New Roman" w:cs="Times New Roman" w:eastAsia="Times New Roman" w:hint="default"/>
        </w:rPr>
        <w:t>2018</w:t>
      </w:r>
      <w:r>
        <w:rPr/>
        <w:t>年度为小型微利企业，根据财政部 国家税务</w:t>
      </w:r>
      <w:r>
        <w:rPr>
          <w:spacing w:val="-82"/>
        </w:rPr>
        <w:t> </w:t>
      </w:r>
      <w:r>
        <w:rPr>
          <w:spacing w:val="-82"/>
        </w:rPr>
      </w:r>
      <w:r>
        <w:rPr>
          <w:spacing w:val="-1"/>
        </w:rPr>
        <w:t>总局《关于进一步扩大小型微利企业所得税优惠政策范围的通知》（财税</w:t>
      </w:r>
      <w:r>
        <w:rPr>
          <w:rFonts w:ascii="Times New Roman" w:hAnsi="Times New Roman" w:cs="Times New Roman" w:eastAsia="Times New Roman" w:hint="default"/>
          <w:spacing w:val="-1"/>
        </w:rPr>
        <w:t>[2018]77</w:t>
      </w:r>
      <w:r>
        <w:rPr>
          <w:spacing w:val="-1"/>
        </w:rPr>
        <w:t>号）的规定，自</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1</w:t>
      </w:r>
      <w:r>
        <w:rPr>
          <w:spacing w:val="-1"/>
        </w:rPr>
        <w:t>月</w:t>
      </w:r>
      <w:r>
        <w:rPr>
          <w:rFonts w:ascii="Times New Roman" w:hAnsi="Times New Roman" w:cs="Times New Roman" w:eastAsia="Times New Roman" w:hint="default"/>
          <w:spacing w:val="-1"/>
        </w:rPr>
        <w:t>1</w:t>
      </w:r>
      <w:r>
        <w:rPr>
          <w:spacing w:val="-1"/>
        </w:rPr>
        <w:t>日至</w:t>
      </w:r>
      <w:r>
        <w:rPr>
          <w:rFonts w:ascii="Times New Roman" w:hAnsi="Times New Roman" w:cs="Times New Roman" w:eastAsia="Times New Roman" w:hint="default"/>
          <w:spacing w:val="-1"/>
        </w:rPr>
        <w:t>2020</w:t>
      </w:r>
      <w:r>
        <w:rPr>
          <w:spacing w:val="-1"/>
        </w:rPr>
        <w:t>年</w:t>
      </w:r>
      <w:r>
        <w:rPr>
          <w:rFonts w:ascii="Times New Roman" w:hAnsi="Times New Roman" w:cs="Times New Roman" w:eastAsia="Times New Roman" w:hint="default"/>
          <w:spacing w:val="-1"/>
        </w:rPr>
        <w:t>12</w:t>
      </w:r>
      <w:r>
        <w:rPr>
          <w:rFonts w:ascii="Times New Roman" w:hAnsi="Times New Roman" w:cs="Times New Roman" w:eastAsia="Times New Roman" w:hint="default"/>
          <w:spacing w:val="-13"/>
        </w:rPr>
        <w:t> </w:t>
      </w:r>
      <w:r>
        <w:rPr>
          <w:spacing w:val="-1"/>
        </w:rPr>
        <w:t>月</w:t>
      </w:r>
      <w:r>
        <w:rPr>
          <w:rFonts w:ascii="Times New Roman" w:hAnsi="Times New Roman" w:cs="Times New Roman" w:eastAsia="Times New Roman" w:hint="default"/>
          <w:spacing w:val="-1"/>
        </w:rPr>
        <w:t>31</w:t>
      </w:r>
      <w:r>
        <w:rPr>
          <w:spacing w:val="-1"/>
        </w:rPr>
        <w:t>日，对年应纳税所得额低于</w:t>
      </w:r>
      <w:r>
        <w:rPr>
          <w:rFonts w:ascii="Times New Roman" w:hAnsi="Times New Roman" w:cs="Times New Roman" w:eastAsia="Times New Roman" w:hint="default"/>
          <w:spacing w:val="-1"/>
        </w:rPr>
        <w:t>100</w:t>
      </w:r>
      <w:r>
        <w:rPr>
          <w:spacing w:val="-1"/>
        </w:rPr>
        <w:t>万元（含</w:t>
      </w:r>
      <w:r>
        <w:rPr>
          <w:rFonts w:ascii="Times New Roman" w:hAnsi="Times New Roman" w:cs="Times New Roman" w:eastAsia="Times New Roman" w:hint="default"/>
          <w:spacing w:val="-1"/>
        </w:rPr>
        <w:t>100</w:t>
      </w:r>
      <w:r>
        <w:rPr>
          <w:spacing w:val="-1"/>
        </w:rPr>
        <w:t>万元）的小型微利企业，其所得减按</w:t>
      </w:r>
      <w:r>
        <w:rPr>
          <w:rFonts w:ascii="Times New Roman" w:hAnsi="Times New Roman" w:cs="Times New Roman" w:eastAsia="Times New Roman" w:hint="default"/>
          <w:spacing w:val="-1"/>
        </w:rPr>
        <w:t>50%</w:t>
      </w:r>
      <w:r>
        <w:rPr>
          <w:spacing w:val="-1"/>
        </w:rPr>
        <w:t>计入应纳税所得额，按</w:t>
      </w:r>
      <w:r>
        <w:rPr>
          <w:rFonts w:ascii="Times New Roman" w:hAnsi="Times New Roman" w:cs="Times New Roman" w:eastAsia="Times New Roman" w:hint="default"/>
          <w:spacing w:val="-1"/>
        </w:rPr>
        <w:t>20%</w:t>
      </w:r>
      <w:r>
        <w:rPr>
          <w:spacing w:val="-1"/>
        </w:rPr>
        <w:t>的税率</w:t>
      </w:r>
      <w:r>
        <w:rPr>
          <w:spacing w:val="-59"/>
        </w:rPr>
        <w:t> </w:t>
      </w:r>
      <w:r>
        <w:rPr/>
        <w:t>缴纳企业所得税。</w:t>
      </w:r>
    </w:p>
    <w:p>
      <w:pPr>
        <w:pStyle w:val="BodyText"/>
        <w:spacing w:line="300" w:lineRule="auto" w:before="151"/>
        <w:ind w:right="982" w:firstLine="451"/>
        <w:jc w:val="left"/>
      </w:pPr>
      <w:r>
        <w:rPr/>
        <w:t>（</w:t>
      </w:r>
      <w:r>
        <w:rPr>
          <w:rFonts w:ascii="Times New Roman" w:hAnsi="Times New Roman" w:cs="Times New Roman" w:eastAsia="Times New Roman" w:hint="default"/>
        </w:rPr>
        <w:t>18</w:t>
      </w:r>
      <w:r>
        <w:rPr/>
        <w:t>）本公司下属子公司合肥杰发科技有限公司系</w:t>
      </w:r>
      <w:r>
        <w:rPr>
          <w:rFonts w:ascii="Times New Roman" w:hAnsi="Times New Roman" w:cs="Times New Roman" w:eastAsia="Times New Roman" w:hint="default"/>
        </w:rPr>
        <w:t>2014</w:t>
      </w:r>
      <w:r>
        <w:rPr/>
        <w:t>年新办集成电路企业，根据财税（</w:t>
      </w:r>
      <w:r>
        <w:rPr>
          <w:rFonts w:ascii="Times New Roman" w:hAnsi="Times New Roman" w:cs="Times New Roman" w:eastAsia="Times New Roman" w:hint="default"/>
        </w:rPr>
        <w:t>2012</w:t>
      </w:r>
      <w:r>
        <w:rPr/>
        <w:t>）</w:t>
      </w:r>
      <w:r>
        <w:rPr>
          <w:rFonts w:ascii="Times New Roman" w:hAnsi="Times New Roman" w:cs="Times New Roman" w:eastAsia="Times New Roman" w:hint="default"/>
        </w:rPr>
        <w:t>27</w:t>
      </w:r>
      <w:r>
        <w:rPr/>
        <w:t>号文，公司自</w:t>
      </w:r>
      <w:r>
        <w:rPr>
          <w:rFonts w:ascii="Times New Roman" w:hAnsi="Times New Roman" w:cs="Times New Roman" w:eastAsia="Times New Roman" w:hint="default"/>
        </w:rPr>
        <w:t>2014 </w:t>
      </w:r>
      <w:r>
        <w:rPr/>
        <w:t>年起至</w:t>
      </w:r>
      <w:r>
        <w:rPr>
          <w:rFonts w:ascii="Times New Roman" w:hAnsi="Times New Roman" w:cs="Times New Roman" w:eastAsia="Times New Roman" w:hint="default"/>
        </w:rPr>
        <w:t>2018</w:t>
      </w:r>
      <w:r>
        <w:rPr/>
        <w:t>年享受所得税两免三减半优惠政策，</w:t>
      </w:r>
      <w:r>
        <w:rPr>
          <w:rFonts w:ascii="Times New Roman" w:hAnsi="Times New Roman" w:cs="Times New Roman" w:eastAsia="Times New Roman" w:hint="default"/>
        </w:rPr>
        <w:t>2014</w:t>
      </w:r>
      <w:r>
        <w:rPr/>
        <w:t>年、</w:t>
      </w:r>
      <w:r>
        <w:rPr>
          <w:rFonts w:ascii="Times New Roman" w:hAnsi="Times New Roman" w:cs="Times New Roman" w:eastAsia="Times New Roman" w:hint="default"/>
        </w:rPr>
        <w:t>2015</w:t>
      </w:r>
      <w:r>
        <w:rPr/>
        <w:t>年为免税期，</w:t>
      </w:r>
      <w:r>
        <w:rPr>
          <w:rFonts w:ascii="Times New Roman" w:hAnsi="Times New Roman" w:cs="Times New Roman" w:eastAsia="Times New Roman" w:hint="default"/>
        </w:rPr>
        <w:t>2016</w:t>
      </w:r>
      <w:r>
        <w:rPr/>
        <w:t>年至</w:t>
      </w:r>
      <w:r>
        <w:rPr>
          <w:rFonts w:ascii="Times New Roman" w:hAnsi="Times New Roman" w:cs="Times New Roman" w:eastAsia="Times New Roman" w:hint="default"/>
        </w:rPr>
        <w:t>2018</w:t>
      </w:r>
      <w:r>
        <w:rPr/>
        <w:t>年企业所得税适用税率为</w:t>
      </w:r>
      <w:r>
        <w:rPr>
          <w:rFonts w:ascii="Times New Roman" w:hAnsi="Times New Roman" w:cs="Times New Roman" w:eastAsia="Times New Roman" w:hint="default"/>
        </w:rPr>
        <w:t>12.5%</w:t>
      </w:r>
      <w:r>
        <w:rPr/>
        <w:t>。</w:t>
      </w:r>
      <w:r>
        <w:rPr>
          <w:spacing w:val="-23"/>
        </w:rPr>
        <w:t> </w:t>
      </w:r>
      <w:r>
        <w:rPr/>
        <w:t>于</w:t>
      </w:r>
      <w:r>
        <w:rPr>
          <w:rFonts w:ascii="Times New Roman" w:hAnsi="Times New Roman" w:cs="Times New Roman" w:eastAsia="Times New Roman" w:hint="default"/>
        </w:rPr>
        <w:t>2017</w:t>
      </w:r>
      <w:r>
        <w:rPr/>
        <w:t>年度，公司被认定为国家规划布局内重点集成电路设计企业，自</w:t>
      </w:r>
      <w:r>
        <w:rPr>
          <w:rFonts w:ascii="Times New Roman" w:hAnsi="Times New Roman" w:cs="Times New Roman" w:eastAsia="Times New Roman" w:hint="default"/>
        </w:rPr>
        <w:t>2017</w:t>
      </w:r>
      <w:r>
        <w:rPr/>
        <w:t>年起，按照</w:t>
      </w:r>
      <w:r>
        <w:rPr>
          <w:rFonts w:ascii="Times New Roman" w:hAnsi="Times New Roman" w:cs="Times New Roman" w:eastAsia="Times New Roman" w:hint="default"/>
        </w:rPr>
        <w:t>10%</w:t>
      </w:r>
      <w:r>
        <w:rPr/>
        <w:t>所得税率申报缴纳企业所得税。</w:t>
      </w:r>
    </w:p>
    <w:p>
      <w:pPr>
        <w:pStyle w:val="BodyText"/>
        <w:spacing w:line="340" w:lineRule="auto" w:before="133"/>
        <w:ind w:right="1844"/>
        <w:jc w:val="left"/>
      </w:pPr>
      <w:r>
        <w:rPr/>
        <w:t>公司需遵守《深圳证券交易所行业信息披露指引第</w:t>
      </w:r>
      <w:r>
        <w:rPr>
          <w:spacing w:val="-45"/>
        </w:rPr>
        <w:t> </w:t>
      </w:r>
      <w:r>
        <w:rPr>
          <w:rFonts w:ascii="Times New Roman" w:hAnsi="Times New Roman" w:cs="Times New Roman" w:eastAsia="Times New Roman" w:hint="default"/>
        </w:rPr>
        <w:t>12 </w:t>
      </w:r>
      <w:r>
        <w:rPr/>
        <w:t>号</w:t>
      </w:r>
      <w:r>
        <w:rPr>
          <w:rFonts w:ascii="Times New Roman" w:hAnsi="Times New Roman" w:cs="Times New Roman" w:eastAsia="Times New Roman" w:hint="default"/>
        </w:rPr>
        <w:t>——</w:t>
      </w:r>
      <w:r>
        <w:rPr/>
        <w:t>上市公司从事软件与信息技术服务业务》的披露要求 无</w:t>
      </w:r>
    </w:p>
    <w:p>
      <w:pPr>
        <w:spacing w:line="240" w:lineRule="auto" w:before="3"/>
        <w:rPr>
          <w:rFonts w:ascii="宋体" w:hAnsi="宋体" w:cs="宋体" w:eastAsia="宋体" w:hint="default"/>
          <w:sz w:val="21"/>
          <w:szCs w:val="21"/>
        </w:rPr>
      </w:pPr>
    </w:p>
    <w:p>
      <w:pPr>
        <w:pStyle w:val="Heading4"/>
        <w:spacing w:line="240" w:lineRule="auto"/>
        <w:ind w:right="982"/>
        <w:jc w:val="left"/>
        <w:rPr>
          <w:b w:val="0"/>
          <w:bCs w:val="0"/>
        </w:rPr>
      </w:pPr>
      <w:r>
        <w:rPr>
          <w:rFonts w:ascii="Times New Roman" w:hAnsi="Times New Roman" w:cs="Times New Roman" w:eastAsia="Times New Roman" w:hint="default"/>
        </w:rPr>
        <w:t>3</w:t>
      </w:r>
      <w:r>
        <w:rPr/>
        <w:t>、其他</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3"/>
        <w:rPr>
          <w:rFonts w:ascii="宋体" w:hAnsi="宋体" w:cs="宋体" w:eastAsia="宋体" w:hint="default"/>
          <w:sz w:val="25"/>
          <w:szCs w:val="25"/>
        </w:rPr>
      </w:pPr>
    </w:p>
    <w:p>
      <w:pPr>
        <w:pStyle w:val="Heading2"/>
        <w:spacing w:line="240" w:lineRule="auto"/>
        <w:ind w:right="982"/>
        <w:jc w:val="left"/>
        <w:rPr>
          <w:b w:val="0"/>
          <w:bCs w:val="0"/>
        </w:rPr>
      </w:pPr>
      <w:r>
        <w:rPr/>
        <w:t>七、合并财务报表项目注释</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982"/>
        <w:jc w:val="left"/>
        <w:rPr>
          <w:b w:val="0"/>
          <w:bCs w:val="0"/>
        </w:rPr>
      </w:pPr>
      <w:r>
        <w:rPr>
          <w:rFonts w:ascii="Times New Roman" w:hAnsi="Times New Roman" w:cs="Times New Roman" w:eastAsia="Times New Roman" w:hint="default"/>
        </w:rPr>
        <w:t>1</w:t>
      </w:r>
      <w:r>
        <w:rPr/>
        <w:t>、货币资金</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8"/>
        <w:gridCol w:w="3201"/>
        <w:gridCol w:w="3190"/>
      </w:tblGrid>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库存现金</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235,969.78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248,300.34</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2,009,209,495.87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1,468,963,191.22</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其他货币资金</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295,012,448.36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1,974,235,765.98</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2,304,457,914.01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3,443,447,257.54</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z w:val="18"/>
                <w:szCs w:val="18"/>
              </w:rPr>
              <w:t>其中：存放在境外的款项总额</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390,646,083.60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327,820,923.18</w:t>
            </w:r>
          </w:p>
        </w:tc>
      </w:tr>
    </w:tbl>
    <w:p>
      <w:pPr>
        <w:pStyle w:val="BodyText"/>
        <w:spacing w:line="240" w:lineRule="auto" w:before="49"/>
        <w:ind w:right="982"/>
        <w:jc w:val="left"/>
      </w:pPr>
      <w:r>
        <w:rPr/>
        <w:t>其他说明</w:t>
      </w:r>
    </w:p>
    <w:p>
      <w:pPr>
        <w:pStyle w:val="BodyText"/>
        <w:spacing w:line="300" w:lineRule="auto" w:before="115"/>
        <w:ind w:right="982"/>
        <w:jc w:val="left"/>
      </w:pPr>
      <w:r>
        <w:rPr/>
        <w:t>注</w:t>
      </w:r>
      <w:r>
        <w:rPr>
          <w:rFonts w:ascii="Times New Roman" w:hAnsi="Times New Roman" w:cs="Times New Roman" w:eastAsia="Times New Roman" w:hint="default"/>
        </w:rPr>
        <w:t>1</w:t>
      </w:r>
      <w:r>
        <w:rPr/>
        <w:t>：其他货币资金为定期存款，其中</w:t>
      </w:r>
      <w:r>
        <w:rPr>
          <w:rFonts w:ascii="Times New Roman" w:hAnsi="Times New Roman" w:cs="Times New Roman" w:eastAsia="Times New Roman" w:hint="default"/>
        </w:rPr>
        <w:t>3</w:t>
      </w:r>
      <w:r>
        <w:rPr/>
        <w:t>个月定期存款</w:t>
      </w:r>
      <w:r>
        <w:rPr>
          <w:rFonts w:ascii="Times New Roman" w:hAnsi="Times New Roman" w:cs="Times New Roman" w:eastAsia="Times New Roman" w:hint="default"/>
        </w:rPr>
        <w:t>72,354,286.80</w:t>
      </w:r>
      <w:r>
        <w:rPr/>
        <w:t>元，</w:t>
      </w:r>
      <w:r>
        <w:rPr>
          <w:rFonts w:ascii="Times New Roman" w:hAnsi="Times New Roman" w:cs="Times New Roman" w:eastAsia="Times New Roman" w:hint="default"/>
        </w:rPr>
        <w:t>3</w:t>
      </w:r>
      <w:r>
        <w:rPr/>
        <w:t>个月以上定期存款</w:t>
      </w:r>
      <w:r>
        <w:rPr>
          <w:rFonts w:ascii="Times New Roman" w:hAnsi="Times New Roman" w:cs="Times New Roman" w:eastAsia="Times New Roman" w:hint="default"/>
        </w:rPr>
        <w:t>195,135,610.25</w:t>
      </w:r>
      <w:r>
        <w:rPr/>
        <w:t>元。 注</w:t>
      </w:r>
      <w:r>
        <w:rPr>
          <w:rFonts w:ascii="Times New Roman" w:hAnsi="Times New Roman" w:cs="Times New Roman" w:eastAsia="Times New Roman" w:hint="default"/>
        </w:rPr>
        <w:t>2</w:t>
      </w:r>
      <w:r>
        <w:rPr/>
        <w:t>：年末使用受限资金为</w:t>
      </w:r>
      <w:r>
        <w:rPr>
          <w:rFonts w:ascii="Times New Roman" w:hAnsi="Times New Roman" w:cs="Times New Roman" w:eastAsia="Times New Roman" w:hint="default"/>
        </w:rPr>
        <w:t>3</w:t>
      </w:r>
      <w:r>
        <w:rPr/>
        <w:t>个月以上定期存款</w:t>
      </w:r>
      <w:r>
        <w:rPr>
          <w:rFonts w:ascii="Times New Roman" w:hAnsi="Times New Roman" w:cs="Times New Roman" w:eastAsia="Times New Roman" w:hint="default"/>
        </w:rPr>
        <w:t>195,135,610.25</w:t>
      </w:r>
      <w:r>
        <w:rPr/>
        <w:t>元，应付票据保证金及履约保函保证金</w:t>
      </w:r>
      <w:r>
        <w:rPr>
          <w:rFonts w:ascii="Times New Roman" w:hAnsi="Times New Roman" w:cs="Times New Roman" w:eastAsia="Times New Roman" w:hint="default"/>
        </w:rPr>
        <w:t>27,522,551.31</w:t>
      </w:r>
      <w:r>
        <w:rPr/>
        <w:t>元。 注</w:t>
      </w:r>
      <w:r>
        <w:rPr>
          <w:rFonts w:ascii="Times New Roman" w:hAnsi="Times New Roman" w:cs="Times New Roman" w:eastAsia="Times New Roman" w:hint="default"/>
        </w:rPr>
        <w:t>3</w:t>
      </w:r>
      <w:r>
        <w:rPr/>
        <w:t>：年初使用受限资金为</w:t>
      </w:r>
      <w:r>
        <w:rPr>
          <w:rFonts w:ascii="Times New Roman" w:hAnsi="Times New Roman" w:cs="Times New Roman" w:eastAsia="Times New Roman" w:hint="default"/>
        </w:rPr>
        <w:t>3</w:t>
      </w:r>
      <w:r>
        <w:rPr/>
        <w:t>个月以上定期存款</w:t>
      </w:r>
      <w:r>
        <w:rPr>
          <w:rFonts w:ascii="Times New Roman" w:hAnsi="Times New Roman" w:cs="Times New Roman" w:eastAsia="Times New Roman" w:hint="default"/>
        </w:rPr>
        <w:t>1,734,489,596.22</w:t>
      </w:r>
      <w:r>
        <w:rPr/>
        <w:t>元，应付票据保证金及履约保函保证金</w:t>
      </w:r>
      <w:r>
        <w:rPr>
          <w:rFonts w:ascii="Times New Roman" w:hAnsi="Times New Roman" w:cs="Times New Roman" w:eastAsia="Times New Roman" w:hint="default"/>
        </w:rPr>
        <w:t>18,982,151.36</w:t>
      </w:r>
      <w:r>
        <w:rPr/>
        <w:t>元。</w:t>
      </w:r>
      <w:r>
        <w:rPr>
          <w:rFonts w:ascii="宋体" w:hAnsi="宋体" w:cs="宋体" w:eastAsia="宋体" w:hint="default"/>
        </w:rPr>
        <w:t> </w:t>
      </w:r>
      <w:r>
        <w:rPr>
          <w:spacing w:val="-2"/>
        </w:rPr>
        <w:t>注</w:t>
      </w:r>
      <w:r>
        <w:rPr>
          <w:rFonts w:ascii="Times New Roman" w:hAnsi="Times New Roman" w:cs="Times New Roman" w:eastAsia="Times New Roman" w:hint="default"/>
          <w:spacing w:val="-2"/>
        </w:rPr>
        <w:t>4</w:t>
      </w:r>
      <w:r>
        <w:rPr>
          <w:spacing w:val="-2"/>
        </w:rPr>
        <w:t>：年末货币资金较年初下降系公司于</w:t>
      </w:r>
      <w:r>
        <w:rPr>
          <w:rFonts w:ascii="Times New Roman" w:hAnsi="Times New Roman" w:cs="Times New Roman" w:eastAsia="Times New Roman" w:hint="default"/>
          <w:spacing w:val="-2"/>
        </w:rPr>
        <w:t>2018</w:t>
      </w:r>
      <w:r>
        <w:rPr>
          <w:spacing w:val="-2"/>
        </w:rPr>
        <w:t>年度支付收购杰发科技股权转让款</w:t>
      </w:r>
      <w:r>
        <w:rPr>
          <w:rFonts w:ascii="Times New Roman" w:hAnsi="Times New Roman" w:cs="Times New Roman" w:eastAsia="Times New Roman" w:hint="default"/>
          <w:spacing w:val="-2"/>
        </w:rPr>
        <w:t>110,283.90</w:t>
      </w:r>
      <w:r>
        <w:rPr>
          <w:spacing w:val="-2"/>
        </w:rPr>
        <w:t>万元以及本公司下属子公司合肥杰</w:t>
      </w:r>
      <w:r>
        <w:rPr>
          <w:spacing w:val="-54"/>
        </w:rPr>
        <w:t> </w:t>
      </w:r>
      <w:r>
        <w:rPr>
          <w:spacing w:val="-54"/>
        </w:rPr>
      </w:r>
      <w:r>
        <w:rPr/>
        <w:t>发科技有限公司使用闲置自有资金购买</w:t>
      </w:r>
      <w:r>
        <w:rPr>
          <w:rFonts w:ascii="Times New Roman" w:hAnsi="Times New Roman" w:cs="Times New Roman" w:eastAsia="Times New Roman" w:hint="default"/>
        </w:rPr>
        <w:t>4</w:t>
      </w:r>
      <w:r>
        <w:rPr/>
        <w:t>亿元短期保本型理财产品所致。</w:t>
      </w:r>
    </w:p>
    <w:p>
      <w:pPr>
        <w:spacing w:line="240" w:lineRule="auto" w:before="4"/>
        <w:rPr>
          <w:rFonts w:ascii="宋体" w:hAnsi="宋体" w:cs="宋体" w:eastAsia="宋体" w:hint="default"/>
          <w:sz w:val="22"/>
          <w:szCs w:val="22"/>
        </w:rPr>
      </w:pPr>
    </w:p>
    <w:p>
      <w:pPr>
        <w:pStyle w:val="Heading4"/>
        <w:spacing w:line="240" w:lineRule="auto"/>
        <w:ind w:right="982"/>
        <w:jc w:val="left"/>
        <w:rPr>
          <w:b w:val="0"/>
          <w:bCs w:val="0"/>
        </w:rPr>
      </w:pPr>
      <w:r>
        <w:rPr>
          <w:rFonts w:ascii="Times New Roman" w:hAnsi="Times New Roman" w:cs="Times New Roman" w:eastAsia="Times New Roman" w:hint="default"/>
        </w:rPr>
        <w:t>2</w:t>
      </w:r>
      <w:r>
        <w:rPr/>
        <w:t>、以公允价值计量且其变动计入当期损益的金融资产</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t>无</w:t>
      </w:r>
    </w:p>
    <w:p>
      <w:pPr>
        <w:spacing w:after="0" w:line="240" w:lineRule="auto"/>
        <w:jc w:val="left"/>
        <w:sectPr>
          <w:pgSz w:w="11910" w:h="16840"/>
          <w:pgMar w:header="745" w:footer="979"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2"/>
        <w:jc w:val="left"/>
        <w:rPr>
          <w:b w:val="0"/>
          <w:bCs w:val="0"/>
        </w:rPr>
      </w:pPr>
      <w:r>
        <w:rPr>
          <w:rFonts w:ascii="Times New Roman" w:hAnsi="Times New Roman" w:cs="Times New Roman" w:eastAsia="Times New Roman" w:hint="default"/>
        </w:rPr>
        <w:t>3</w:t>
      </w:r>
      <w:r>
        <w:rPr/>
        <w:t>、衍生金融资产</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13"/>
        <w:rPr>
          <w:rFonts w:ascii="宋体" w:hAnsi="宋体" w:cs="宋体" w:eastAsia="宋体" w:hint="default"/>
          <w:sz w:val="25"/>
          <w:szCs w:val="25"/>
        </w:rPr>
      </w:pPr>
    </w:p>
    <w:p>
      <w:pPr>
        <w:pStyle w:val="Heading4"/>
        <w:spacing w:line="240" w:lineRule="auto"/>
        <w:ind w:right="982"/>
        <w:jc w:val="left"/>
        <w:rPr>
          <w:b w:val="0"/>
          <w:bCs w:val="0"/>
        </w:rPr>
      </w:pPr>
      <w:r>
        <w:rPr>
          <w:rFonts w:ascii="Times New Roman" w:hAnsi="Times New Roman" w:cs="Times New Roman" w:eastAsia="Times New Roman" w:hint="default"/>
        </w:rPr>
        <w:t>4</w:t>
      </w:r>
      <w:r>
        <w:rPr/>
        <w:t>、应收票据及应收账款</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8"/>
        <w:gridCol w:w="3201"/>
        <w:gridCol w:w="3190"/>
      </w:tblGrid>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75,331,342.98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101,274,757.52</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437,586,998.67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626,954,316.42</w:t>
            </w:r>
          </w:p>
        </w:tc>
      </w:tr>
      <w:tr>
        <w:trPr>
          <w:trHeight w:val="404"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512,918,341.65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728,229,073.94</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t>（</w:t>
      </w:r>
      <w:r>
        <w:rPr>
          <w:rFonts w:ascii="Times New Roman" w:hAnsi="Times New Roman" w:cs="Times New Roman" w:eastAsia="Times New Roman" w:hint="default"/>
        </w:rPr>
        <w:t>1</w:t>
      </w:r>
      <w:r>
        <w:rPr/>
        <w:t>）应收票据</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right="982"/>
        <w:jc w:val="left"/>
      </w:pPr>
      <w:r>
        <w:rPr>
          <w:rFonts w:ascii="Times New Roman" w:hAnsi="Times New Roman" w:cs="Times New Roman" w:eastAsia="Times New Roman" w:hint="default"/>
        </w:rPr>
        <w:t>1)</w:t>
      </w:r>
      <w:r>
        <w:rPr/>
        <w:t>应收票据分类列示</w:t>
      </w:r>
    </w:p>
    <w:p>
      <w:pPr>
        <w:pStyle w:val="BodyText"/>
        <w:spacing w:line="240" w:lineRule="auto" w:before="103"/>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8"/>
        <w:gridCol w:w="3201"/>
        <w:gridCol w:w="3190"/>
      </w:tblGrid>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银行承兑票据</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73,300,485.44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97,199,974.76</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商业承兑票据</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2,030,857.54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4,074,782.76</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75,331,342.98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101,274,757.52</w:t>
            </w:r>
          </w:p>
        </w:tc>
      </w:tr>
    </w:tbl>
    <w:p>
      <w:pPr>
        <w:pStyle w:val="BodyText"/>
        <w:spacing w:line="240" w:lineRule="auto" w:before="49"/>
        <w:ind w:right="982"/>
        <w:jc w:val="left"/>
      </w:pPr>
      <w:r>
        <w:rPr>
          <w:rFonts w:ascii="Times New Roman" w:hAnsi="Times New Roman" w:cs="Times New Roman" w:eastAsia="Times New Roman" w:hint="default"/>
        </w:rPr>
        <w:t>2)</w:t>
      </w:r>
      <w:r>
        <w:rPr/>
        <w:t>期末公司已质押的应收票据</w:t>
      </w:r>
    </w:p>
    <w:p>
      <w:pPr>
        <w:pStyle w:val="BodyText"/>
        <w:spacing w:line="240" w:lineRule="auto" w:before="101"/>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4761"/>
        <w:gridCol w:w="4797"/>
      </w:tblGrid>
      <w:tr>
        <w:trPr>
          <w:trHeight w:val="402"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8" w:right="0"/>
              <w:jc w:val="center"/>
              <w:rPr>
                <w:rFonts w:ascii="宋体" w:hAnsi="宋体" w:cs="宋体" w:eastAsia="宋体" w:hint="default"/>
                <w:sz w:val="18"/>
                <w:szCs w:val="18"/>
              </w:rPr>
            </w:pPr>
            <w:r>
              <w:rPr>
                <w:rFonts w:ascii="宋体" w:hAnsi="宋体" w:cs="宋体" w:eastAsia="宋体" w:hint="default"/>
                <w:sz w:val="18"/>
                <w:szCs w:val="18"/>
              </w:rPr>
              <w:t>期末已质押金额</w:t>
            </w:r>
          </w:p>
        </w:tc>
      </w:tr>
      <w:tr>
        <w:trPr>
          <w:trHeight w:val="402"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银行承兑票据</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17,230,964.80</w:t>
            </w:r>
          </w:p>
        </w:tc>
      </w:tr>
      <w:tr>
        <w:trPr>
          <w:trHeight w:val="402"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商业承兑票据</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2"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17,230,964.80</w:t>
            </w:r>
          </w:p>
        </w:tc>
      </w:tr>
    </w:tbl>
    <w:p>
      <w:pPr>
        <w:pStyle w:val="BodyText"/>
        <w:spacing w:line="240" w:lineRule="auto" w:before="49"/>
        <w:ind w:right="982"/>
        <w:jc w:val="left"/>
      </w:pPr>
      <w:r>
        <w:rPr>
          <w:rFonts w:ascii="Times New Roman" w:hAnsi="Times New Roman" w:cs="Times New Roman" w:eastAsia="Times New Roman" w:hint="default"/>
        </w:rPr>
        <w:t>3)</w:t>
      </w:r>
      <w:r>
        <w:rPr/>
        <w:t>期末公司已背书或贴现且在资产负债表日尚未到期的应收票据</w:t>
      </w:r>
    </w:p>
    <w:p>
      <w:pPr>
        <w:pStyle w:val="BodyText"/>
        <w:spacing w:line="240" w:lineRule="auto" w:before="101"/>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8"/>
        <w:gridCol w:w="3201"/>
        <w:gridCol w:w="3190"/>
      </w:tblGrid>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882" w:right="0"/>
              <w:jc w:val="left"/>
              <w:rPr>
                <w:rFonts w:ascii="宋体" w:hAnsi="宋体" w:cs="宋体" w:eastAsia="宋体" w:hint="default"/>
                <w:sz w:val="18"/>
                <w:szCs w:val="18"/>
              </w:rPr>
            </w:pPr>
            <w:r>
              <w:rPr>
                <w:rFonts w:ascii="宋体" w:hAnsi="宋体" w:cs="宋体" w:eastAsia="宋体" w:hint="default"/>
                <w:sz w:val="18"/>
                <w:szCs w:val="18"/>
              </w:rPr>
              <w:t>期末终止确认金额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79" w:right="0"/>
              <w:jc w:val="left"/>
              <w:rPr>
                <w:rFonts w:ascii="宋体" w:hAnsi="宋体" w:cs="宋体" w:eastAsia="宋体" w:hint="default"/>
                <w:sz w:val="18"/>
                <w:szCs w:val="18"/>
              </w:rPr>
            </w:pPr>
            <w:r>
              <w:rPr>
                <w:rFonts w:ascii="宋体" w:hAnsi="宋体" w:cs="宋体" w:eastAsia="宋体" w:hint="default"/>
                <w:sz w:val="18"/>
                <w:szCs w:val="18"/>
              </w:rPr>
              <w:t>期末未终止确认金额</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银行承兑票据</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5,495,220.44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商业承兑票据</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5,495,220.44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bl>
    <w:p>
      <w:pPr>
        <w:pStyle w:val="BodyText"/>
        <w:spacing w:line="340" w:lineRule="auto" w:before="49"/>
        <w:ind w:right="6644"/>
        <w:jc w:val="left"/>
      </w:pPr>
      <w:r>
        <w:rPr>
          <w:rFonts w:ascii="Times New Roman" w:hAnsi="Times New Roman" w:cs="Times New Roman" w:eastAsia="Times New Roman" w:hint="default"/>
        </w:rPr>
        <w:t>4)</w:t>
      </w:r>
      <w:r>
        <w:rPr/>
        <w:t>期末公司因出票人未履约而将其转应收账款的票据</w:t>
      </w:r>
      <w:r>
        <w:rPr>
          <w:w w:val="99"/>
        </w:rPr>
        <w:t> </w:t>
      </w:r>
      <w:r>
        <w:rPr/>
        <w:t>无</w:t>
      </w:r>
    </w:p>
    <w:p>
      <w:pPr>
        <w:spacing w:line="240" w:lineRule="auto" w:before="5"/>
        <w:rPr>
          <w:rFonts w:ascii="宋体" w:hAnsi="宋体" w:cs="宋体" w:eastAsia="宋体" w:hint="default"/>
          <w:sz w:val="21"/>
          <w:szCs w:val="21"/>
        </w:rPr>
      </w:pPr>
    </w:p>
    <w:p>
      <w:pPr>
        <w:pStyle w:val="Heading4"/>
        <w:spacing w:line="240" w:lineRule="auto"/>
        <w:ind w:right="982"/>
        <w:jc w:val="left"/>
        <w:rPr>
          <w:b w:val="0"/>
          <w:bCs w:val="0"/>
        </w:rPr>
      </w:pPr>
      <w:r>
        <w:rPr/>
        <w:t>（</w:t>
      </w:r>
      <w:r>
        <w:rPr>
          <w:rFonts w:ascii="Times New Roman" w:hAnsi="Times New Roman" w:cs="Times New Roman" w:eastAsia="Times New Roman" w:hint="default"/>
        </w:rPr>
        <w:t>2</w:t>
      </w:r>
      <w:r>
        <w:rPr/>
        <w:t>）应收账款</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982"/>
        <w:jc w:val="left"/>
      </w:pPr>
      <w:r>
        <w:rPr>
          <w:rFonts w:ascii="Times New Roman" w:hAnsi="Times New Roman" w:cs="Times New Roman" w:eastAsia="Times New Roman" w:hint="default"/>
        </w:rPr>
        <w:t>1)</w:t>
      </w:r>
      <w:r>
        <w:rPr/>
        <w:t>应收账款分类披露</w:t>
      </w:r>
    </w:p>
    <w:p>
      <w:pPr>
        <w:spacing w:after="0" w:line="240" w:lineRule="auto"/>
        <w:jc w:val="left"/>
        <w:sectPr>
          <w:pgSz w:w="11910" w:h="16840"/>
          <w:pgMar w:header="745" w:footer="979" w:top="1060" w:bottom="1160" w:left="980" w:right="0"/>
        </w:sectPr>
      </w:pPr>
    </w:p>
    <w:p>
      <w:pPr>
        <w:spacing w:line="240" w:lineRule="auto" w:before="9"/>
        <w:rPr>
          <w:rFonts w:ascii="宋体" w:hAnsi="宋体" w:cs="宋体" w:eastAsia="宋体" w:hint="default"/>
          <w:sz w:val="25"/>
          <w:szCs w:val="25"/>
        </w:rPr>
      </w:pPr>
    </w:p>
    <w:p>
      <w:pPr>
        <w:pStyle w:val="BodyText"/>
        <w:spacing w:line="240" w:lineRule="auto" w:before="44"/>
        <w:ind w:left="0" w:right="1131"/>
        <w:jc w:val="right"/>
      </w:pPr>
      <w:r>
        <w:rPr/>
        <w:t>单位：</w:t>
      </w:r>
      <w:r>
        <w:rPr>
          <w:spacing w:val="1"/>
        </w:rPr>
        <w:t> </w:t>
      </w:r>
      <w:r>
        <w:rPr/>
        <w:t>元</w:t>
      </w:r>
    </w:p>
    <w:p>
      <w:pPr>
        <w:spacing w:line="240" w:lineRule="auto" w:before="5"/>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612"/>
        <w:gridCol w:w="774"/>
        <w:gridCol w:w="761"/>
        <w:gridCol w:w="763"/>
        <w:gridCol w:w="763"/>
        <w:gridCol w:w="788"/>
        <w:gridCol w:w="655"/>
        <w:gridCol w:w="761"/>
        <w:gridCol w:w="814"/>
        <w:gridCol w:w="934"/>
        <w:gridCol w:w="931"/>
      </w:tblGrid>
      <w:tr>
        <w:trPr>
          <w:trHeight w:val="396" w:hRule="exact"/>
        </w:trPr>
        <w:tc>
          <w:tcPr>
            <w:tcW w:w="1612" w:type="dxa"/>
            <w:vMerge w:val="restart"/>
            <w:tcBorders>
              <w:top w:val="single" w:sz="4" w:space="0" w:color="000000"/>
              <w:left w:val="single" w:sz="4" w:space="0" w:color="000000"/>
              <w:right w:val="single" w:sz="4" w:space="0" w:color="000000"/>
            </w:tcBorders>
            <w:shd w:val="clear" w:color="auto" w:fill="D2D2D2"/>
          </w:tcPr>
          <w:p>
            <w:pPr/>
          </w:p>
        </w:tc>
        <w:tc>
          <w:tcPr>
            <w:tcW w:w="384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3"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5"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66" w:hRule="exact"/>
        </w:trPr>
        <w:tc>
          <w:tcPr>
            <w:tcW w:w="1612" w:type="dxa"/>
            <w:vMerge/>
            <w:tcBorders>
              <w:left w:val="single" w:sz="4" w:space="0" w:color="000000"/>
              <w:bottom w:val="nil" w:sz="6" w:space="0" w:color="auto"/>
              <w:right w:val="single" w:sz="4" w:space="0" w:color="000000"/>
            </w:tcBorders>
            <w:shd w:val="clear" w:color="auto" w:fill="D2D2D2"/>
          </w:tcPr>
          <w:p>
            <w:pPr/>
          </w:p>
        </w:tc>
        <w:tc>
          <w:tcPr>
            <w:tcW w:w="153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40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9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88" w:type="dxa"/>
            <w:vMerge w:val="restart"/>
            <w:tcBorders>
              <w:top w:val="single" w:sz="4" w:space="0" w:color="000000"/>
              <w:left w:val="single" w:sz="4" w:space="0" w:color="000000"/>
              <w:right w:val="single" w:sz="4" w:space="0" w:color="000000"/>
            </w:tcBorders>
            <w:shd w:val="clear" w:color="auto" w:fill="D2D2D2"/>
          </w:tcPr>
          <w:p>
            <w:pPr/>
          </w:p>
        </w:tc>
        <w:tc>
          <w:tcPr>
            <w:tcW w:w="141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4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8"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51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1" w:type="dxa"/>
            <w:vMerge w:val="restart"/>
            <w:tcBorders>
              <w:top w:val="single" w:sz="4" w:space="0" w:color="000000"/>
              <w:left w:val="single" w:sz="4" w:space="0" w:color="000000"/>
              <w:right w:val="single" w:sz="4" w:space="0" w:color="000000"/>
            </w:tcBorders>
            <w:shd w:val="clear" w:color="auto" w:fill="D2D2D2"/>
          </w:tcPr>
          <w:p>
            <w:pPr/>
          </w:p>
        </w:tc>
      </w:tr>
      <w:tr>
        <w:trPr>
          <w:trHeight w:val="242" w:hRule="exact"/>
        </w:trPr>
        <w:tc>
          <w:tcPr>
            <w:tcW w:w="161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1535" w:type="dxa"/>
            <w:gridSpan w:val="2"/>
            <w:vMerge/>
            <w:tcBorders>
              <w:left w:val="single" w:sz="4" w:space="0" w:color="000000"/>
              <w:bottom w:val="single" w:sz="4" w:space="0" w:color="000000"/>
              <w:right w:val="single" w:sz="4" w:space="0" w:color="000000"/>
            </w:tcBorders>
            <w:shd w:val="clear" w:color="auto" w:fill="D2D2D2"/>
          </w:tcPr>
          <w:p>
            <w:pPr/>
          </w:p>
        </w:tc>
        <w:tc>
          <w:tcPr>
            <w:tcW w:w="1526" w:type="dxa"/>
            <w:gridSpan w:val="2"/>
            <w:vMerge/>
            <w:tcBorders>
              <w:left w:val="single" w:sz="4" w:space="0" w:color="000000"/>
              <w:bottom w:val="single" w:sz="4" w:space="0" w:color="000000"/>
              <w:right w:val="single" w:sz="4" w:space="0" w:color="000000"/>
            </w:tcBorders>
            <w:shd w:val="clear" w:color="auto" w:fill="D2D2D2"/>
          </w:tcPr>
          <w:p>
            <w:pPr/>
          </w:p>
        </w:tc>
        <w:tc>
          <w:tcPr>
            <w:tcW w:w="788" w:type="dxa"/>
            <w:vMerge/>
            <w:tcBorders>
              <w:left w:val="single" w:sz="4" w:space="0" w:color="000000"/>
              <w:bottom w:val="nil" w:sz="6" w:space="0" w:color="auto"/>
              <w:right w:val="single" w:sz="4" w:space="0" w:color="000000"/>
            </w:tcBorders>
            <w:shd w:val="clear" w:color="auto" w:fill="D2D2D2"/>
          </w:tcPr>
          <w:p>
            <w:pPr/>
          </w:p>
        </w:tc>
        <w:tc>
          <w:tcPr>
            <w:tcW w:w="1416" w:type="dxa"/>
            <w:gridSpan w:val="2"/>
            <w:vMerge/>
            <w:tcBorders>
              <w:left w:val="single" w:sz="4" w:space="0" w:color="000000"/>
              <w:bottom w:val="single" w:sz="4" w:space="0" w:color="000000"/>
              <w:right w:val="single" w:sz="4" w:space="0" w:color="000000"/>
            </w:tcBorders>
            <w:shd w:val="clear" w:color="auto" w:fill="D2D2D2"/>
          </w:tcPr>
          <w:p>
            <w:pPr/>
          </w:p>
        </w:tc>
        <w:tc>
          <w:tcPr>
            <w:tcW w:w="1748" w:type="dxa"/>
            <w:gridSpan w:val="2"/>
            <w:vMerge/>
            <w:tcBorders>
              <w:left w:val="single" w:sz="4" w:space="0" w:color="000000"/>
              <w:bottom w:val="single" w:sz="4" w:space="0" w:color="000000"/>
              <w:right w:val="single" w:sz="4" w:space="0" w:color="000000"/>
            </w:tcBorders>
            <w:shd w:val="clear" w:color="auto" w:fill="D2D2D2"/>
          </w:tcPr>
          <w:p>
            <w:pPr/>
          </w:p>
        </w:tc>
        <w:tc>
          <w:tcPr>
            <w:tcW w:w="931" w:type="dxa"/>
            <w:vMerge/>
            <w:tcBorders>
              <w:left w:val="single" w:sz="4" w:space="0" w:color="000000"/>
              <w:bottom w:val="nil" w:sz="6" w:space="0" w:color="auto"/>
              <w:right w:val="single" w:sz="4" w:space="0" w:color="000000"/>
            </w:tcBorders>
            <w:shd w:val="clear" w:color="auto" w:fill="D2D2D2"/>
          </w:tcPr>
          <w:p>
            <w:pPr/>
          </w:p>
        </w:tc>
      </w:tr>
      <w:tr>
        <w:trPr>
          <w:trHeight w:val="158" w:hRule="exact"/>
        </w:trPr>
        <w:tc>
          <w:tcPr>
            <w:tcW w:w="1612" w:type="dxa"/>
            <w:vMerge/>
            <w:tcBorders>
              <w:left w:val="single" w:sz="4" w:space="0" w:color="000000"/>
              <w:bottom w:val="single" w:sz="4" w:space="0" w:color="FFFFFF"/>
              <w:right w:val="single" w:sz="4" w:space="0" w:color="000000"/>
            </w:tcBorders>
            <w:shd w:val="clear" w:color="auto" w:fill="D2D2D2"/>
          </w:tcPr>
          <w:p>
            <w:pPr/>
          </w:p>
        </w:tc>
        <w:tc>
          <w:tcPr>
            <w:tcW w:w="774"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1"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3"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3"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49"/>
              <w:ind w:left="288" w:right="103"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8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8"/>
              <w:ind w:left="2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655" w:type="dxa"/>
            <w:tcBorders>
              <w:top w:val="single" w:sz="4" w:space="0" w:color="000000"/>
              <w:left w:val="single" w:sz="4" w:space="0" w:color="000000"/>
              <w:bottom w:val="nil" w:sz="6" w:space="0" w:color="auto"/>
              <w:right w:val="single" w:sz="4" w:space="0" w:color="000000"/>
            </w:tcBorders>
            <w:shd w:val="clear" w:color="auto" w:fill="D2D2D2"/>
          </w:tcPr>
          <w:p>
            <w:pPr/>
          </w:p>
        </w:tc>
        <w:tc>
          <w:tcPr>
            <w:tcW w:w="761" w:type="dxa"/>
            <w:tcBorders>
              <w:top w:val="single" w:sz="4" w:space="0" w:color="000000"/>
              <w:left w:val="single" w:sz="4" w:space="0" w:color="000000"/>
              <w:bottom w:val="nil" w:sz="6" w:space="0" w:color="auto"/>
              <w:right w:val="single" w:sz="4" w:space="0" w:color="000000"/>
            </w:tcBorders>
            <w:shd w:val="clear" w:color="auto" w:fill="D2D2D2"/>
          </w:tcPr>
          <w:p>
            <w:pPr/>
          </w:p>
        </w:tc>
        <w:tc>
          <w:tcPr>
            <w:tcW w:w="814" w:type="dxa"/>
            <w:tcBorders>
              <w:top w:val="single" w:sz="4" w:space="0" w:color="000000"/>
              <w:left w:val="single" w:sz="4" w:space="0" w:color="000000"/>
              <w:bottom w:val="nil" w:sz="6" w:space="0" w:color="auto"/>
              <w:right w:val="single" w:sz="4" w:space="0" w:color="000000"/>
            </w:tcBorders>
            <w:shd w:val="clear" w:color="auto" w:fill="D2D2D2"/>
          </w:tcPr>
          <w:p>
            <w:pPr/>
          </w:p>
        </w:tc>
        <w:tc>
          <w:tcPr>
            <w:tcW w:w="934" w:type="dxa"/>
            <w:tcBorders>
              <w:top w:val="single" w:sz="4" w:space="0" w:color="000000"/>
              <w:left w:val="single" w:sz="4" w:space="0" w:color="000000"/>
              <w:bottom w:val="nil" w:sz="6" w:space="0" w:color="auto"/>
              <w:right w:val="single" w:sz="4" w:space="0" w:color="000000"/>
            </w:tcBorders>
            <w:shd w:val="clear" w:color="auto" w:fill="D2D2D2"/>
          </w:tcPr>
          <w:p>
            <w:pPr/>
          </w:p>
        </w:tc>
        <w:tc>
          <w:tcPr>
            <w:tcW w:w="93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92" w:hRule="exact"/>
        </w:trPr>
        <w:tc>
          <w:tcPr>
            <w:tcW w:w="1612" w:type="dxa"/>
            <w:vMerge w:val="restart"/>
            <w:tcBorders>
              <w:top w:val="single" w:sz="4" w:space="0" w:color="FFFFFF"/>
              <w:left w:val="single" w:sz="4" w:space="0" w:color="000000"/>
              <w:right w:val="single" w:sz="4" w:space="0" w:color="000000"/>
            </w:tcBorders>
            <w:shd w:val="clear" w:color="auto" w:fill="D2D2D2"/>
          </w:tcPr>
          <w:p>
            <w:pPr/>
          </w:p>
        </w:tc>
        <w:tc>
          <w:tcPr>
            <w:tcW w:w="774"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6"/>
              <w:ind w:left="207"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1"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6"/>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3"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6"/>
              <w:ind w:left="19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3" w:type="dxa"/>
            <w:vMerge/>
            <w:tcBorders>
              <w:left w:val="single" w:sz="4" w:space="0" w:color="000000"/>
              <w:right w:val="single" w:sz="4" w:space="0" w:color="000000"/>
            </w:tcBorders>
            <w:shd w:val="clear" w:color="auto" w:fill="D2D2D2"/>
          </w:tcPr>
          <w:p>
            <w:pPr/>
          </w:p>
        </w:tc>
        <w:tc>
          <w:tcPr>
            <w:tcW w:w="788" w:type="dxa"/>
            <w:vMerge/>
            <w:tcBorders>
              <w:left w:val="single" w:sz="4" w:space="0" w:color="000000"/>
              <w:bottom w:val="nil" w:sz="6" w:space="0" w:color="auto"/>
              <w:right w:val="single" w:sz="4" w:space="0" w:color="000000"/>
            </w:tcBorders>
            <w:shd w:val="clear" w:color="auto" w:fill="D2D2D2"/>
          </w:tcPr>
          <w:p>
            <w:pPr/>
          </w:p>
        </w:tc>
        <w:tc>
          <w:tcPr>
            <w:tcW w:w="65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4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2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00"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1" w:type="dxa"/>
            <w:vMerge/>
            <w:tcBorders>
              <w:left w:val="single" w:sz="4" w:space="0" w:color="000000"/>
              <w:bottom w:val="nil" w:sz="6" w:space="0" w:color="auto"/>
              <w:right w:val="single" w:sz="4" w:space="0" w:color="000000"/>
            </w:tcBorders>
            <w:shd w:val="clear" w:color="auto" w:fill="D2D2D2"/>
          </w:tcPr>
          <w:p>
            <w:pPr/>
          </w:p>
        </w:tc>
      </w:tr>
      <w:tr>
        <w:trPr>
          <w:trHeight w:val="202" w:hRule="exact"/>
        </w:trPr>
        <w:tc>
          <w:tcPr>
            <w:tcW w:w="1612" w:type="dxa"/>
            <w:vMerge/>
            <w:tcBorders>
              <w:left w:val="single" w:sz="4" w:space="0" w:color="000000"/>
              <w:right w:val="single" w:sz="4" w:space="0" w:color="000000"/>
            </w:tcBorders>
            <w:shd w:val="clear" w:color="auto" w:fill="D2D2D2"/>
          </w:tcPr>
          <w:p>
            <w:pPr/>
          </w:p>
        </w:tc>
        <w:tc>
          <w:tcPr>
            <w:tcW w:w="774" w:type="dxa"/>
            <w:vMerge/>
            <w:tcBorders>
              <w:left w:val="single" w:sz="4" w:space="0" w:color="000000"/>
              <w:bottom w:val="nil" w:sz="6" w:space="0" w:color="auto"/>
              <w:right w:val="single" w:sz="4" w:space="0" w:color="000000"/>
            </w:tcBorders>
            <w:shd w:val="clear" w:color="auto" w:fill="D2D2D2"/>
          </w:tcPr>
          <w:p>
            <w:pPr/>
          </w:p>
        </w:tc>
        <w:tc>
          <w:tcPr>
            <w:tcW w:w="761" w:type="dxa"/>
            <w:vMerge/>
            <w:tcBorders>
              <w:left w:val="single" w:sz="4" w:space="0" w:color="000000"/>
              <w:bottom w:val="nil" w:sz="6" w:space="0" w:color="auto"/>
              <w:right w:val="single" w:sz="4" w:space="0" w:color="000000"/>
            </w:tcBorders>
            <w:shd w:val="clear" w:color="auto" w:fill="D2D2D2"/>
          </w:tcPr>
          <w:p>
            <w:pPr/>
          </w:p>
        </w:tc>
        <w:tc>
          <w:tcPr>
            <w:tcW w:w="763" w:type="dxa"/>
            <w:vMerge/>
            <w:tcBorders>
              <w:left w:val="single" w:sz="4" w:space="0" w:color="000000"/>
              <w:bottom w:val="nil" w:sz="6" w:space="0" w:color="auto"/>
              <w:right w:val="single" w:sz="4" w:space="0" w:color="000000"/>
            </w:tcBorders>
            <w:shd w:val="clear" w:color="auto" w:fill="D2D2D2"/>
          </w:tcPr>
          <w:p>
            <w:pPr/>
          </w:p>
        </w:tc>
        <w:tc>
          <w:tcPr>
            <w:tcW w:w="763" w:type="dxa"/>
            <w:vMerge/>
            <w:tcBorders>
              <w:left w:val="single" w:sz="4" w:space="0" w:color="000000"/>
              <w:right w:val="single" w:sz="4" w:space="0" w:color="000000"/>
            </w:tcBorders>
            <w:shd w:val="clear" w:color="auto" w:fill="D2D2D2"/>
          </w:tcPr>
          <w:p>
            <w:pPr/>
          </w:p>
        </w:tc>
        <w:tc>
          <w:tcPr>
            <w:tcW w:w="788" w:type="dxa"/>
            <w:vMerge w:val="restart"/>
            <w:tcBorders>
              <w:top w:val="nil" w:sz="6" w:space="0" w:color="auto"/>
              <w:left w:val="single" w:sz="4" w:space="0" w:color="000000"/>
              <w:right w:val="single" w:sz="4" w:space="0" w:color="000000"/>
            </w:tcBorders>
            <w:shd w:val="clear" w:color="auto" w:fill="D2D2D2"/>
          </w:tcPr>
          <w:p>
            <w:pPr/>
          </w:p>
        </w:tc>
        <w:tc>
          <w:tcPr>
            <w:tcW w:w="655" w:type="dxa"/>
            <w:vMerge/>
            <w:tcBorders>
              <w:left w:val="single" w:sz="4" w:space="0" w:color="000000"/>
              <w:bottom w:val="nil" w:sz="6" w:space="0" w:color="auto"/>
              <w:right w:val="single" w:sz="4" w:space="0" w:color="000000"/>
            </w:tcBorders>
            <w:shd w:val="clear" w:color="auto" w:fill="D2D2D2"/>
          </w:tcPr>
          <w:p>
            <w:pPr/>
          </w:p>
        </w:tc>
        <w:tc>
          <w:tcPr>
            <w:tcW w:w="761" w:type="dxa"/>
            <w:vMerge/>
            <w:tcBorders>
              <w:left w:val="single" w:sz="4" w:space="0" w:color="000000"/>
              <w:bottom w:val="nil" w:sz="6" w:space="0" w:color="auto"/>
              <w:right w:val="single" w:sz="4" w:space="0" w:color="000000"/>
            </w:tcBorders>
            <w:shd w:val="clear" w:color="auto" w:fill="D2D2D2"/>
          </w:tcPr>
          <w:p>
            <w:pPr/>
          </w:p>
        </w:tc>
        <w:tc>
          <w:tcPr>
            <w:tcW w:w="814" w:type="dxa"/>
            <w:vMerge/>
            <w:tcBorders>
              <w:left w:val="single" w:sz="4" w:space="0" w:color="000000"/>
              <w:bottom w:val="nil" w:sz="6" w:space="0" w:color="auto"/>
              <w:right w:val="single" w:sz="4" w:space="0" w:color="000000"/>
            </w:tcBorders>
            <w:shd w:val="clear" w:color="auto" w:fill="D2D2D2"/>
          </w:tcPr>
          <w:p>
            <w:pPr/>
          </w:p>
        </w:tc>
        <w:tc>
          <w:tcPr>
            <w:tcW w:w="934" w:type="dxa"/>
            <w:vMerge/>
            <w:tcBorders>
              <w:left w:val="single" w:sz="4" w:space="0" w:color="000000"/>
              <w:bottom w:val="nil" w:sz="6" w:space="0" w:color="auto"/>
              <w:right w:val="single" w:sz="4" w:space="0" w:color="000000"/>
            </w:tcBorders>
            <w:shd w:val="clear" w:color="auto" w:fill="D2D2D2"/>
          </w:tcPr>
          <w:p>
            <w:pPr/>
          </w:p>
        </w:tc>
        <w:tc>
          <w:tcPr>
            <w:tcW w:w="931"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612" w:type="dxa"/>
            <w:vMerge/>
            <w:tcBorders>
              <w:left w:val="single" w:sz="4" w:space="0" w:color="000000"/>
              <w:bottom w:val="single" w:sz="4" w:space="0" w:color="000000"/>
              <w:right w:val="single" w:sz="4" w:space="0" w:color="000000"/>
            </w:tcBorders>
            <w:shd w:val="clear" w:color="auto" w:fill="D2D2D2"/>
          </w:tcPr>
          <w:p>
            <w:pPr/>
          </w:p>
        </w:tc>
        <w:tc>
          <w:tcPr>
            <w:tcW w:w="774" w:type="dxa"/>
            <w:tcBorders>
              <w:top w:val="nil" w:sz="6" w:space="0" w:color="auto"/>
              <w:left w:val="single" w:sz="4" w:space="0" w:color="000000"/>
              <w:bottom w:val="single" w:sz="4" w:space="0" w:color="000000"/>
              <w:right w:val="single" w:sz="4" w:space="0" w:color="000000"/>
            </w:tcBorders>
            <w:shd w:val="clear" w:color="auto" w:fill="D2D2D2"/>
          </w:tcPr>
          <w:p>
            <w:pPr/>
          </w:p>
        </w:tc>
        <w:tc>
          <w:tcPr>
            <w:tcW w:w="761"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vMerge/>
            <w:tcBorders>
              <w:left w:val="single" w:sz="4" w:space="0" w:color="000000"/>
              <w:bottom w:val="single" w:sz="4" w:space="0" w:color="000000"/>
              <w:right w:val="single" w:sz="4" w:space="0" w:color="000000"/>
            </w:tcBorders>
            <w:shd w:val="clear" w:color="auto" w:fill="D2D2D2"/>
          </w:tcPr>
          <w:p>
            <w:pPr/>
          </w:p>
        </w:tc>
        <w:tc>
          <w:tcPr>
            <w:tcW w:w="788" w:type="dxa"/>
            <w:vMerge/>
            <w:tcBorders>
              <w:left w:val="single" w:sz="4" w:space="0" w:color="000000"/>
              <w:bottom w:val="single" w:sz="4" w:space="0" w:color="000000"/>
              <w:right w:val="single" w:sz="4" w:space="0" w:color="000000"/>
            </w:tcBorders>
            <w:shd w:val="clear" w:color="auto" w:fill="D2D2D2"/>
          </w:tcPr>
          <w:p>
            <w:pPr/>
          </w:p>
        </w:tc>
        <w:tc>
          <w:tcPr>
            <w:tcW w:w="655" w:type="dxa"/>
            <w:tcBorders>
              <w:top w:val="nil" w:sz="6" w:space="0" w:color="auto"/>
              <w:left w:val="single" w:sz="4" w:space="0" w:color="000000"/>
              <w:bottom w:val="single" w:sz="4" w:space="0" w:color="000000"/>
              <w:right w:val="single" w:sz="4" w:space="0" w:color="000000"/>
            </w:tcBorders>
            <w:shd w:val="clear" w:color="auto" w:fill="D2D2D2"/>
          </w:tcPr>
          <w:p>
            <w:pPr/>
          </w:p>
        </w:tc>
        <w:tc>
          <w:tcPr>
            <w:tcW w:w="761" w:type="dxa"/>
            <w:tcBorders>
              <w:top w:val="nil" w:sz="6" w:space="0" w:color="auto"/>
              <w:left w:val="single" w:sz="4" w:space="0" w:color="000000"/>
              <w:bottom w:val="single" w:sz="4" w:space="0" w:color="000000"/>
              <w:right w:val="single" w:sz="4" w:space="0" w:color="000000"/>
            </w:tcBorders>
            <w:shd w:val="clear" w:color="auto" w:fill="D2D2D2"/>
          </w:tcPr>
          <w:p>
            <w:pPr/>
          </w:p>
        </w:tc>
        <w:tc>
          <w:tcPr>
            <w:tcW w:w="814" w:type="dxa"/>
            <w:tcBorders>
              <w:top w:val="nil" w:sz="6" w:space="0" w:color="auto"/>
              <w:left w:val="single" w:sz="4" w:space="0" w:color="000000"/>
              <w:bottom w:val="single" w:sz="4" w:space="0" w:color="000000"/>
              <w:right w:val="single" w:sz="4" w:space="0" w:color="000000"/>
            </w:tcBorders>
            <w:shd w:val="clear" w:color="auto" w:fill="D2D2D2"/>
          </w:tcPr>
          <w:p>
            <w:pPr/>
          </w:p>
        </w:tc>
        <w:tc>
          <w:tcPr>
            <w:tcW w:w="934" w:type="dxa"/>
            <w:tcBorders>
              <w:top w:val="nil" w:sz="6" w:space="0" w:color="auto"/>
              <w:left w:val="single" w:sz="4" w:space="0" w:color="000000"/>
              <w:bottom w:val="single" w:sz="4" w:space="0" w:color="000000"/>
              <w:right w:val="single" w:sz="4" w:space="0" w:color="000000"/>
            </w:tcBorders>
            <w:shd w:val="clear" w:color="auto" w:fill="D2D2D2"/>
          </w:tcPr>
          <w:p>
            <w:pPr/>
          </w:p>
        </w:tc>
        <w:tc>
          <w:tcPr>
            <w:tcW w:w="931" w:type="dxa"/>
            <w:vMerge/>
            <w:tcBorders>
              <w:left w:val="single" w:sz="4" w:space="0" w:color="000000"/>
              <w:bottom w:val="single" w:sz="4" w:space="0" w:color="000000"/>
              <w:right w:val="single" w:sz="4" w:space="0" w:color="000000"/>
            </w:tcBorders>
            <w:shd w:val="clear" w:color="auto" w:fill="D2D2D2"/>
          </w:tcPr>
          <w:p>
            <w:pPr/>
          </w:p>
        </w:tc>
      </w:tr>
      <w:tr>
        <w:trPr>
          <w:trHeight w:val="1027" w:hRule="exact"/>
        </w:trPr>
        <w:tc>
          <w:tcPr>
            <w:tcW w:w="16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48"/>
              <w:jc w:val="both"/>
              <w:rPr>
                <w:rFonts w:ascii="宋体" w:hAnsi="宋体" w:cs="宋体" w:eastAsia="宋体" w:hint="default"/>
                <w:sz w:val="18"/>
                <w:szCs w:val="18"/>
              </w:rPr>
            </w:pPr>
            <w:r>
              <w:rPr>
                <w:rFonts w:ascii="宋体" w:hAnsi="宋体" w:cs="宋体" w:eastAsia="宋体" w:hint="default"/>
                <w:sz w:val="18"/>
                <w:szCs w:val="18"/>
              </w:rPr>
              <w:t>单项金额重大并单 独计提坏账准备的 应收账款</w:t>
            </w:r>
          </w:p>
        </w:tc>
        <w:tc>
          <w:tcPr>
            <w:tcW w:w="77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5" w:right="0"/>
              <w:jc w:val="left"/>
              <w:rPr>
                <w:rFonts w:ascii="Times New Roman" w:hAnsi="Times New Roman" w:cs="Times New Roman" w:eastAsia="Times New Roman" w:hint="default"/>
                <w:sz w:val="18"/>
                <w:szCs w:val="18"/>
              </w:rPr>
            </w:pPr>
            <w:r>
              <w:rPr>
                <w:rFonts w:ascii="Times New Roman"/>
                <w:sz w:val="18"/>
              </w:rPr>
              <w:t>2,832,95</w:t>
            </w:r>
          </w:p>
          <w:p>
            <w:pPr>
              <w:pStyle w:val="TableParagraph"/>
              <w:spacing w:line="240" w:lineRule="auto" w:before="105"/>
              <w:ind w:left="422" w:right="0"/>
              <w:jc w:val="left"/>
              <w:rPr>
                <w:rFonts w:ascii="Times New Roman" w:hAnsi="Times New Roman" w:cs="Times New Roman" w:eastAsia="Times New Roman" w:hint="default"/>
                <w:sz w:val="18"/>
                <w:szCs w:val="18"/>
              </w:rPr>
            </w:pPr>
            <w:r>
              <w:rPr>
                <w:rFonts w:ascii="Times New Roman"/>
                <w:sz w:val="18"/>
              </w:rPr>
              <w:t>2.50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0.58%</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2,832,95</w:t>
            </w:r>
          </w:p>
          <w:p>
            <w:pPr>
              <w:pStyle w:val="TableParagraph"/>
              <w:spacing w:line="240" w:lineRule="auto" w:before="105"/>
              <w:ind w:left="415" w:right="0"/>
              <w:jc w:val="left"/>
              <w:rPr>
                <w:rFonts w:ascii="Times New Roman" w:hAnsi="Times New Roman" w:cs="Times New Roman" w:eastAsia="Times New Roman" w:hint="default"/>
                <w:sz w:val="18"/>
                <w:szCs w:val="18"/>
              </w:rPr>
            </w:pPr>
            <w:r>
              <w:rPr>
                <w:rFonts w:ascii="Times New Roman"/>
                <w:sz w:val="18"/>
              </w:rPr>
              <w:t>2.50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5" w:right="0"/>
              <w:jc w:val="center"/>
              <w:rPr>
                <w:rFonts w:ascii="Times New Roman" w:hAnsi="Times New Roman" w:cs="Times New Roman" w:eastAsia="Times New Roman" w:hint="default"/>
                <w:sz w:val="18"/>
                <w:szCs w:val="18"/>
              </w:rPr>
            </w:pPr>
            <w:r>
              <w:rPr>
                <w:rFonts w:ascii="Times New Roman"/>
                <w:sz w:val="18"/>
              </w:rPr>
              <w:t>100.00%</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41" w:right="0"/>
              <w:jc w:val="left"/>
              <w:rPr>
                <w:rFonts w:ascii="Times New Roman" w:hAnsi="Times New Roman" w:cs="Times New Roman" w:eastAsia="Times New Roman" w:hint="default"/>
                <w:sz w:val="18"/>
                <w:szCs w:val="18"/>
              </w:rPr>
            </w:pPr>
            <w:r>
              <w:rPr>
                <w:rFonts w:ascii="Times New Roman"/>
                <w:sz w:val="18"/>
              </w:rPr>
              <w:t>0.00</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09" w:right="0"/>
              <w:jc w:val="left"/>
              <w:rPr>
                <w:rFonts w:ascii="Times New Roman" w:hAnsi="Times New Roman" w:cs="Times New Roman" w:eastAsia="Times New Roman" w:hint="default"/>
                <w:sz w:val="18"/>
                <w:szCs w:val="18"/>
              </w:rPr>
            </w:pPr>
            <w:r>
              <w:rPr>
                <w:rFonts w:ascii="Times New Roman"/>
                <w:sz w:val="18"/>
              </w:rPr>
              <w:t>0.00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68" w:right="0"/>
              <w:jc w:val="left"/>
              <w:rPr>
                <w:rFonts w:ascii="Times New Roman" w:hAnsi="Times New Roman" w:cs="Times New Roman" w:eastAsia="Times New Roman" w:hint="default"/>
                <w:sz w:val="18"/>
                <w:szCs w:val="18"/>
              </w:rPr>
            </w:pPr>
            <w:r>
              <w:rPr>
                <w:rFonts w:ascii="Times New Roman"/>
                <w:sz w:val="18"/>
              </w:rPr>
              <w:t>0.00</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0.00%</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5" w:hRule="exact"/>
        </w:trPr>
        <w:tc>
          <w:tcPr>
            <w:tcW w:w="16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48"/>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应收账款</w:t>
            </w:r>
          </w:p>
        </w:tc>
        <w:tc>
          <w:tcPr>
            <w:tcW w:w="77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4" w:right="0"/>
              <w:jc w:val="center"/>
              <w:rPr>
                <w:rFonts w:ascii="Times New Roman" w:hAnsi="Times New Roman" w:cs="Times New Roman" w:eastAsia="Times New Roman" w:hint="default"/>
                <w:sz w:val="18"/>
                <w:szCs w:val="18"/>
              </w:rPr>
            </w:pPr>
            <w:r>
              <w:rPr>
                <w:rFonts w:ascii="Times New Roman"/>
                <w:sz w:val="18"/>
              </w:rPr>
              <w:t>486,822,</w:t>
            </w:r>
          </w:p>
          <w:p>
            <w:pPr>
              <w:pStyle w:val="TableParagraph"/>
              <w:spacing w:line="240" w:lineRule="auto" w:before="102"/>
              <w:ind w:left="221" w:right="0"/>
              <w:jc w:val="center"/>
              <w:rPr>
                <w:rFonts w:ascii="Times New Roman" w:hAnsi="Times New Roman" w:cs="Times New Roman" w:eastAsia="Times New Roman" w:hint="default"/>
                <w:sz w:val="18"/>
                <w:szCs w:val="18"/>
              </w:rPr>
            </w:pPr>
            <w:r>
              <w:rPr>
                <w:rFonts w:ascii="Times New Roman"/>
                <w:sz w:val="18"/>
              </w:rPr>
              <w:t>938.52</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99.03%</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49,378,3</w:t>
            </w:r>
          </w:p>
          <w:p>
            <w:pPr>
              <w:pStyle w:val="TableParagraph"/>
              <w:spacing w:line="240" w:lineRule="auto" w:before="102"/>
              <w:ind w:left="323" w:right="0"/>
              <w:jc w:val="left"/>
              <w:rPr>
                <w:rFonts w:ascii="Times New Roman" w:hAnsi="Times New Roman" w:cs="Times New Roman" w:eastAsia="Times New Roman" w:hint="default"/>
                <w:sz w:val="18"/>
                <w:szCs w:val="18"/>
              </w:rPr>
            </w:pPr>
            <w:r>
              <w:rPr>
                <w:rFonts w:ascii="Times New Roman"/>
                <w:sz w:val="18"/>
              </w:rPr>
              <w:t>29.85</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59" w:right="0"/>
              <w:jc w:val="center"/>
              <w:rPr>
                <w:rFonts w:ascii="Times New Roman" w:hAnsi="Times New Roman" w:cs="Times New Roman" w:eastAsia="Times New Roman" w:hint="default"/>
                <w:sz w:val="18"/>
                <w:szCs w:val="18"/>
              </w:rPr>
            </w:pPr>
            <w:r>
              <w:rPr>
                <w:rFonts w:ascii="Times New Roman"/>
                <w:sz w:val="18"/>
              </w:rPr>
              <w:t>10.14%</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5" w:right="0"/>
              <w:jc w:val="left"/>
              <w:rPr>
                <w:rFonts w:ascii="Times New Roman" w:hAnsi="Times New Roman" w:cs="Times New Roman" w:eastAsia="Times New Roman" w:hint="default"/>
                <w:sz w:val="18"/>
                <w:szCs w:val="18"/>
              </w:rPr>
            </w:pPr>
            <w:r>
              <w:rPr>
                <w:rFonts w:ascii="Times New Roman"/>
                <w:sz w:val="18"/>
              </w:rPr>
              <w:t>437,444,6</w:t>
            </w:r>
          </w:p>
          <w:p>
            <w:pPr>
              <w:pStyle w:val="TableParagraph"/>
              <w:spacing w:line="240" w:lineRule="auto" w:before="102"/>
              <w:ind w:left="350" w:right="0"/>
              <w:jc w:val="left"/>
              <w:rPr>
                <w:rFonts w:ascii="Times New Roman" w:hAnsi="Times New Roman" w:cs="Times New Roman" w:eastAsia="Times New Roman" w:hint="default"/>
                <w:sz w:val="18"/>
                <w:szCs w:val="18"/>
              </w:rPr>
            </w:pPr>
            <w:r>
              <w:rPr>
                <w:rFonts w:ascii="Times New Roman"/>
                <w:sz w:val="18"/>
              </w:rPr>
              <w:t>08.67</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8" w:right="0"/>
              <w:jc w:val="left"/>
              <w:rPr>
                <w:rFonts w:ascii="Times New Roman" w:hAnsi="Times New Roman" w:cs="Times New Roman" w:eastAsia="Times New Roman" w:hint="default"/>
                <w:sz w:val="18"/>
                <w:szCs w:val="18"/>
              </w:rPr>
            </w:pPr>
            <w:r>
              <w:rPr>
                <w:rFonts w:ascii="Times New Roman"/>
                <w:sz w:val="18"/>
              </w:rPr>
              <w:t>678,324</w:t>
            </w:r>
          </w:p>
          <w:p>
            <w:pPr>
              <w:pStyle w:val="TableParagraph"/>
              <w:spacing w:line="240" w:lineRule="auto" w:before="102"/>
              <w:ind w:left="83" w:right="0"/>
              <w:jc w:val="left"/>
              <w:rPr>
                <w:rFonts w:ascii="Times New Roman" w:hAnsi="Times New Roman" w:cs="Times New Roman" w:eastAsia="Times New Roman" w:hint="default"/>
                <w:sz w:val="18"/>
                <w:szCs w:val="18"/>
              </w:rPr>
            </w:pPr>
            <w:r>
              <w:rPr>
                <w:rFonts w:ascii="Times New Roman"/>
                <w:sz w:val="18"/>
              </w:rPr>
              <w:t>,342.98</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99.78%</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2" w:right="0"/>
              <w:jc w:val="left"/>
              <w:rPr>
                <w:rFonts w:ascii="Times New Roman" w:hAnsi="Times New Roman" w:cs="Times New Roman" w:eastAsia="Times New Roman" w:hint="default"/>
                <w:sz w:val="18"/>
                <w:szCs w:val="18"/>
              </w:rPr>
            </w:pPr>
            <w:r>
              <w:rPr>
                <w:rFonts w:ascii="Times New Roman"/>
                <w:sz w:val="18"/>
              </w:rPr>
              <w:t>51,370,02</w:t>
            </w:r>
          </w:p>
          <w:p>
            <w:pPr>
              <w:pStyle w:val="TableParagraph"/>
              <w:spacing w:line="240" w:lineRule="auto" w:before="102"/>
              <w:ind w:left="468" w:right="0"/>
              <w:jc w:val="left"/>
              <w:rPr>
                <w:rFonts w:ascii="Times New Roman" w:hAnsi="Times New Roman" w:cs="Times New Roman" w:eastAsia="Times New Roman" w:hint="default"/>
                <w:sz w:val="18"/>
                <w:szCs w:val="18"/>
              </w:rPr>
            </w:pPr>
            <w:r>
              <w:rPr>
                <w:rFonts w:ascii="Times New Roman"/>
                <w:sz w:val="18"/>
              </w:rPr>
              <w:t>6.56</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7.57%</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8" w:right="0"/>
              <w:jc w:val="left"/>
              <w:rPr>
                <w:rFonts w:ascii="Times New Roman" w:hAnsi="Times New Roman" w:cs="Times New Roman" w:eastAsia="Times New Roman" w:hint="default"/>
                <w:sz w:val="18"/>
                <w:szCs w:val="18"/>
              </w:rPr>
            </w:pPr>
            <w:r>
              <w:rPr>
                <w:rFonts w:ascii="Times New Roman"/>
                <w:sz w:val="18"/>
              </w:rPr>
              <w:t>626,954,31</w:t>
            </w:r>
          </w:p>
          <w:p>
            <w:pPr>
              <w:pStyle w:val="TableParagraph"/>
              <w:spacing w:line="240" w:lineRule="auto" w:before="102"/>
              <w:ind w:left="585" w:right="0"/>
              <w:jc w:val="left"/>
              <w:rPr>
                <w:rFonts w:ascii="Times New Roman" w:hAnsi="Times New Roman" w:cs="Times New Roman" w:eastAsia="Times New Roman" w:hint="default"/>
                <w:sz w:val="18"/>
                <w:szCs w:val="18"/>
              </w:rPr>
            </w:pPr>
            <w:r>
              <w:rPr>
                <w:rFonts w:ascii="Times New Roman"/>
                <w:sz w:val="18"/>
              </w:rPr>
              <w:t>6.42</w:t>
            </w:r>
          </w:p>
        </w:tc>
      </w:tr>
      <w:tr>
        <w:trPr>
          <w:trHeight w:val="1027" w:hRule="exact"/>
        </w:trPr>
        <w:tc>
          <w:tcPr>
            <w:tcW w:w="16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48"/>
              <w:jc w:val="both"/>
              <w:rPr>
                <w:rFonts w:ascii="宋体" w:hAnsi="宋体" w:cs="宋体" w:eastAsia="宋体" w:hint="default"/>
                <w:sz w:val="18"/>
                <w:szCs w:val="18"/>
              </w:rPr>
            </w:pPr>
            <w:r>
              <w:rPr>
                <w:rFonts w:ascii="宋体" w:hAnsi="宋体" w:cs="宋体" w:eastAsia="宋体" w:hint="default"/>
                <w:sz w:val="18"/>
                <w:szCs w:val="18"/>
              </w:rPr>
              <w:t>单项金额不重大但 单独计提坏账准备 的应收账款</w:t>
            </w:r>
          </w:p>
        </w:tc>
        <w:tc>
          <w:tcPr>
            <w:tcW w:w="77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5" w:right="0"/>
              <w:jc w:val="left"/>
              <w:rPr>
                <w:rFonts w:ascii="Times New Roman" w:hAnsi="Times New Roman" w:cs="Times New Roman" w:eastAsia="Times New Roman" w:hint="default"/>
                <w:sz w:val="18"/>
                <w:szCs w:val="18"/>
              </w:rPr>
            </w:pPr>
            <w:r>
              <w:rPr>
                <w:rFonts w:ascii="Times New Roman"/>
                <w:sz w:val="18"/>
              </w:rPr>
              <w:t>1,919,00</w:t>
            </w:r>
          </w:p>
          <w:p>
            <w:pPr>
              <w:pStyle w:val="TableParagraph"/>
              <w:spacing w:line="240" w:lineRule="auto" w:before="105"/>
              <w:ind w:left="422" w:right="0"/>
              <w:jc w:val="left"/>
              <w:rPr>
                <w:rFonts w:ascii="Times New Roman" w:hAnsi="Times New Roman" w:cs="Times New Roman" w:eastAsia="Times New Roman" w:hint="default"/>
                <w:sz w:val="18"/>
                <w:szCs w:val="18"/>
              </w:rPr>
            </w:pPr>
            <w:r>
              <w:rPr>
                <w:rFonts w:ascii="Times New Roman"/>
                <w:sz w:val="18"/>
              </w:rPr>
              <w:t>0.00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0.39%</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1,776,61</w:t>
            </w:r>
          </w:p>
          <w:p>
            <w:pPr>
              <w:pStyle w:val="TableParagraph"/>
              <w:spacing w:line="240" w:lineRule="auto" w:before="105"/>
              <w:ind w:left="415" w:right="0"/>
              <w:jc w:val="left"/>
              <w:rPr>
                <w:rFonts w:ascii="Times New Roman" w:hAnsi="Times New Roman" w:cs="Times New Roman" w:eastAsia="Times New Roman" w:hint="default"/>
                <w:sz w:val="18"/>
                <w:szCs w:val="18"/>
              </w:rPr>
            </w:pPr>
            <w:r>
              <w:rPr>
                <w:rFonts w:ascii="Times New Roman"/>
                <w:sz w:val="18"/>
              </w:rPr>
              <w:t>0.00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59" w:right="0"/>
              <w:jc w:val="center"/>
              <w:rPr>
                <w:rFonts w:ascii="Times New Roman" w:hAnsi="Times New Roman" w:cs="Times New Roman" w:eastAsia="Times New Roman" w:hint="default"/>
                <w:sz w:val="18"/>
                <w:szCs w:val="18"/>
              </w:rPr>
            </w:pPr>
            <w:r>
              <w:rPr>
                <w:rFonts w:ascii="Times New Roman"/>
                <w:sz w:val="18"/>
              </w:rPr>
              <w:t>92.58%</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142,390.0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2" w:right="0"/>
              <w:jc w:val="center"/>
              <w:rPr>
                <w:rFonts w:ascii="Times New Roman" w:hAnsi="Times New Roman" w:cs="Times New Roman" w:eastAsia="Times New Roman" w:hint="default"/>
                <w:sz w:val="18"/>
                <w:szCs w:val="18"/>
              </w:rPr>
            </w:pPr>
            <w:r>
              <w:rPr>
                <w:rFonts w:ascii="Times New Roman"/>
                <w:sz w:val="18"/>
              </w:rPr>
              <w:t>1,468,6</w:t>
            </w:r>
          </w:p>
          <w:p>
            <w:pPr>
              <w:pStyle w:val="TableParagraph"/>
              <w:spacing w:line="240" w:lineRule="auto" w:before="105"/>
              <w:ind w:left="197" w:right="0"/>
              <w:jc w:val="center"/>
              <w:rPr>
                <w:rFonts w:ascii="Times New Roman" w:hAnsi="Times New Roman" w:cs="Times New Roman" w:eastAsia="Times New Roman" w:hint="default"/>
                <w:sz w:val="18"/>
                <w:szCs w:val="18"/>
              </w:rPr>
            </w:pPr>
            <w:r>
              <w:rPr>
                <w:rFonts w:ascii="Times New Roman"/>
                <w:sz w:val="18"/>
              </w:rPr>
              <w:t>40.42</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0.22%</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1,468,640</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.42</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100.00%</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61" w:hRule="exact"/>
        </w:trPr>
        <w:tc>
          <w:tcPr>
            <w:tcW w:w="1612" w:type="dxa"/>
            <w:tcBorders>
              <w:top w:val="single" w:sz="4" w:space="0" w:color="000000"/>
              <w:left w:val="single" w:sz="4" w:space="0" w:color="000000"/>
              <w:bottom w:val="nil" w:sz="6" w:space="0" w:color="auto"/>
              <w:right w:val="single" w:sz="4" w:space="0" w:color="000000"/>
            </w:tcBorders>
            <w:shd w:val="clear" w:color="auto" w:fill="D2D2D2"/>
          </w:tcPr>
          <w:p>
            <w:pPr/>
          </w:p>
        </w:tc>
        <w:tc>
          <w:tcPr>
            <w:tcW w:w="774" w:type="dxa"/>
            <w:vMerge w:val="restart"/>
            <w:tcBorders>
              <w:top w:val="single" w:sz="4" w:space="0" w:color="000000"/>
              <w:left w:val="single" w:sz="9" w:space="0" w:color="D2D2D2"/>
              <w:right w:val="single" w:sz="4" w:space="0" w:color="000000"/>
            </w:tcBorders>
          </w:tcPr>
          <w:p>
            <w:pPr>
              <w:pStyle w:val="TableParagraph"/>
              <w:spacing w:line="240" w:lineRule="auto" w:before="91"/>
              <w:ind w:left="84" w:right="0"/>
              <w:jc w:val="center"/>
              <w:rPr>
                <w:rFonts w:ascii="Times New Roman" w:hAnsi="Times New Roman" w:cs="Times New Roman" w:eastAsia="Times New Roman" w:hint="default"/>
                <w:sz w:val="18"/>
                <w:szCs w:val="18"/>
              </w:rPr>
            </w:pPr>
            <w:r>
              <w:rPr>
                <w:rFonts w:ascii="Times New Roman"/>
                <w:sz w:val="18"/>
              </w:rPr>
              <w:t>491,574,</w:t>
            </w:r>
          </w:p>
          <w:p>
            <w:pPr>
              <w:pStyle w:val="TableParagraph"/>
              <w:spacing w:line="240" w:lineRule="auto" w:before="102"/>
              <w:ind w:left="221" w:right="0"/>
              <w:jc w:val="center"/>
              <w:rPr>
                <w:rFonts w:ascii="Times New Roman" w:hAnsi="Times New Roman" w:cs="Times New Roman" w:eastAsia="Times New Roman" w:hint="default"/>
                <w:sz w:val="18"/>
                <w:szCs w:val="18"/>
              </w:rPr>
            </w:pPr>
            <w:r>
              <w:rPr>
                <w:rFonts w:ascii="Times New Roman"/>
                <w:sz w:val="18"/>
              </w:rPr>
              <w:t>891.02</w:t>
            </w:r>
          </w:p>
        </w:tc>
        <w:tc>
          <w:tcPr>
            <w:tcW w:w="761"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3" w:type="dxa"/>
            <w:vMerge w:val="restart"/>
            <w:tcBorders>
              <w:top w:val="single" w:sz="4" w:space="0" w:color="000000"/>
              <w:left w:val="single" w:sz="4" w:space="0" w:color="000000"/>
              <w:right w:val="single" w:sz="4" w:space="0" w:color="000000"/>
            </w:tcBorders>
          </w:tcPr>
          <w:p>
            <w:pPr>
              <w:pStyle w:val="TableParagraph"/>
              <w:spacing w:line="240" w:lineRule="auto" w:before="91"/>
              <w:ind w:left="98" w:right="0"/>
              <w:jc w:val="left"/>
              <w:rPr>
                <w:rFonts w:ascii="Times New Roman" w:hAnsi="Times New Roman" w:cs="Times New Roman" w:eastAsia="Times New Roman" w:hint="default"/>
                <w:sz w:val="18"/>
                <w:szCs w:val="18"/>
              </w:rPr>
            </w:pPr>
            <w:r>
              <w:rPr>
                <w:rFonts w:ascii="Times New Roman"/>
                <w:sz w:val="18"/>
              </w:rPr>
              <w:t>53,987,8</w:t>
            </w:r>
          </w:p>
          <w:p>
            <w:pPr>
              <w:pStyle w:val="TableParagraph"/>
              <w:spacing w:line="240" w:lineRule="auto" w:before="102"/>
              <w:ind w:left="323" w:right="0"/>
              <w:jc w:val="left"/>
              <w:rPr>
                <w:rFonts w:ascii="Times New Roman" w:hAnsi="Times New Roman" w:cs="Times New Roman" w:eastAsia="Times New Roman" w:hint="default"/>
                <w:sz w:val="18"/>
                <w:szCs w:val="18"/>
              </w:rPr>
            </w:pPr>
            <w:r>
              <w:rPr>
                <w:rFonts w:ascii="Times New Roman"/>
                <w:sz w:val="18"/>
              </w:rPr>
              <w:t>92.35</w:t>
            </w:r>
          </w:p>
        </w:tc>
        <w:tc>
          <w:tcPr>
            <w:tcW w:w="76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788" w:type="dxa"/>
            <w:vMerge w:val="restart"/>
            <w:tcBorders>
              <w:top w:val="single" w:sz="4" w:space="0" w:color="000000"/>
              <w:left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437,586,9</w:t>
            </w:r>
          </w:p>
          <w:p>
            <w:pPr>
              <w:pStyle w:val="TableParagraph"/>
              <w:spacing w:line="240" w:lineRule="auto" w:before="102"/>
              <w:ind w:left="350" w:right="0"/>
              <w:jc w:val="left"/>
              <w:rPr>
                <w:rFonts w:ascii="Times New Roman" w:hAnsi="Times New Roman" w:cs="Times New Roman" w:eastAsia="Times New Roman" w:hint="default"/>
                <w:sz w:val="18"/>
                <w:szCs w:val="18"/>
              </w:rPr>
            </w:pPr>
            <w:r>
              <w:rPr>
                <w:rFonts w:ascii="Times New Roman"/>
                <w:sz w:val="18"/>
              </w:rPr>
              <w:t>98.67</w:t>
            </w:r>
          </w:p>
        </w:tc>
        <w:tc>
          <w:tcPr>
            <w:tcW w:w="655" w:type="dxa"/>
            <w:vMerge w:val="restart"/>
            <w:tcBorders>
              <w:top w:val="single" w:sz="4" w:space="0" w:color="000000"/>
              <w:left w:val="single" w:sz="4" w:space="0" w:color="000000"/>
              <w:right w:val="single" w:sz="4" w:space="0" w:color="000000"/>
            </w:tcBorders>
          </w:tcPr>
          <w:p>
            <w:pPr>
              <w:pStyle w:val="TableParagraph"/>
              <w:spacing w:line="240" w:lineRule="auto" w:before="91"/>
              <w:ind w:left="38" w:right="0"/>
              <w:jc w:val="left"/>
              <w:rPr>
                <w:rFonts w:ascii="Times New Roman" w:hAnsi="Times New Roman" w:cs="Times New Roman" w:eastAsia="Times New Roman" w:hint="default"/>
                <w:sz w:val="18"/>
                <w:szCs w:val="18"/>
              </w:rPr>
            </w:pPr>
            <w:r>
              <w:rPr>
                <w:rFonts w:ascii="Times New Roman"/>
                <w:sz w:val="18"/>
              </w:rPr>
              <w:t>679,792</w:t>
            </w:r>
          </w:p>
          <w:p>
            <w:pPr>
              <w:pStyle w:val="TableParagraph"/>
              <w:spacing w:line="240" w:lineRule="auto" w:before="102"/>
              <w:ind w:left="83" w:right="0"/>
              <w:jc w:val="left"/>
              <w:rPr>
                <w:rFonts w:ascii="Times New Roman" w:hAnsi="Times New Roman" w:cs="Times New Roman" w:eastAsia="Times New Roman" w:hint="default"/>
                <w:sz w:val="18"/>
                <w:szCs w:val="18"/>
              </w:rPr>
            </w:pPr>
            <w:r>
              <w:rPr>
                <w:rFonts w:ascii="Times New Roman"/>
                <w:sz w:val="18"/>
              </w:rPr>
              <w:t>,983.40</w:t>
            </w:r>
          </w:p>
        </w:tc>
        <w:tc>
          <w:tcPr>
            <w:tcW w:w="761"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4" w:type="dxa"/>
            <w:vMerge w:val="restart"/>
            <w:tcBorders>
              <w:top w:val="single" w:sz="4" w:space="0" w:color="000000"/>
              <w:left w:val="single" w:sz="4" w:space="0" w:color="000000"/>
              <w:right w:val="single" w:sz="4" w:space="0" w:color="000000"/>
            </w:tcBorders>
          </w:tcPr>
          <w:p>
            <w:pPr>
              <w:pStyle w:val="TableParagraph"/>
              <w:spacing w:line="240" w:lineRule="auto" w:before="91"/>
              <w:ind w:left="62" w:right="0"/>
              <w:jc w:val="left"/>
              <w:rPr>
                <w:rFonts w:ascii="Times New Roman" w:hAnsi="Times New Roman" w:cs="Times New Roman" w:eastAsia="Times New Roman" w:hint="default"/>
                <w:sz w:val="18"/>
                <w:szCs w:val="18"/>
              </w:rPr>
            </w:pPr>
            <w:r>
              <w:rPr>
                <w:rFonts w:ascii="Times New Roman"/>
                <w:sz w:val="18"/>
              </w:rPr>
              <w:t>52,838,66</w:t>
            </w:r>
          </w:p>
          <w:p>
            <w:pPr>
              <w:pStyle w:val="TableParagraph"/>
              <w:spacing w:line="240" w:lineRule="auto" w:before="102"/>
              <w:ind w:left="468" w:right="0"/>
              <w:jc w:val="left"/>
              <w:rPr>
                <w:rFonts w:ascii="Times New Roman" w:hAnsi="Times New Roman" w:cs="Times New Roman" w:eastAsia="Times New Roman" w:hint="default"/>
                <w:sz w:val="18"/>
                <w:szCs w:val="18"/>
              </w:rPr>
            </w:pPr>
            <w:r>
              <w:rPr>
                <w:rFonts w:ascii="Times New Roman"/>
                <w:sz w:val="18"/>
              </w:rPr>
              <w:t>6.98</w:t>
            </w:r>
          </w:p>
        </w:tc>
        <w:tc>
          <w:tcPr>
            <w:tcW w:w="93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931" w:type="dxa"/>
            <w:vMerge w:val="restart"/>
            <w:tcBorders>
              <w:top w:val="single" w:sz="4" w:space="0" w:color="000000"/>
              <w:left w:val="single" w:sz="4" w:space="0" w:color="000000"/>
              <w:right w:val="single" w:sz="4" w:space="0" w:color="000000"/>
            </w:tcBorders>
          </w:tcPr>
          <w:p>
            <w:pPr>
              <w:pStyle w:val="TableParagraph"/>
              <w:spacing w:line="240" w:lineRule="auto" w:before="91"/>
              <w:ind w:left="88" w:right="0"/>
              <w:jc w:val="left"/>
              <w:rPr>
                <w:rFonts w:ascii="Times New Roman" w:hAnsi="Times New Roman" w:cs="Times New Roman" w:eastAsia="Times New Roman" w:hint="default"/>
                <w:sz w:val="18"/>
                <w:szCs w:val="18"/>
              </w:rPr>
            </w:pPr>
            <w:r>
              <w:rPr>
                <w:rFonts w:ascii="Times New Roman"/>
                <w:sz w:val="18"/>
              </w:rPr>
              <w:t>626,954,31</w:t>
            </w:r>
          </w:p>
          <w:p>
            <w:pPr>
              <w:pStyle w:val="TableParagraph"/>
              <w:spacing w:line="240" w:lineRule="auto" w:before="102"/>
              <w:ind w:left="585" w:right="0"/>
              <w:jc w:val="left"/>
              <w:rPr>
                <w:rFonts w:ascii="Times New Roman" w:hAnsi="Times New Roman" w:cs="Times New Roman" w:eastAsia="Times New Roman" w:hint="default"/>
                <w:sz w:val="18"/>
                <w:szCs w:val="18"/>
              </w:rPr>
            </w:pPr>
            <w:r>
              <w:rPr>
                <w:rFonts w:ascii="Times New Roman"/>
                <w:sz w:val="18"/>
              </w:rPr>
              <w:t>6.42</w:t>
            </w:r>
          </w:p>
        </w:tc>
      </w:tr>
      <w:tr>
        <w:trPr>
          <w:trHeight w:val="391" w:hRule="exact"/>
        </w:trPr>
        <w:tc>
          <w:tcPr>
            <w:tcW w:w="16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74" w:type="dxa"/>
            <w:vMerge/>
            <w:tcBorders>
              <w:left w:val="single" w:sz="9" w:space="0" w:color="D2D2D2"/>
              <w:right w:val="single" w:sz="4" w:space="0" w:color="000000"/>
            </w:tcBorders>
          </w:tcPr>
          <w:p>
            <w:pPr/>
          </w:p>
        </w:tc>
        <w:tc>
          <w:tcPr>
            <w:tcW w:w="761" w:type="dxa"/>
            <w:vMerge/>
            <w:tcBorders>
              <w:left w:val="single" w:sz="4" w:space="0" w:color="000000"/>
              <w:right w:val="single" w:sz="4" w:space="0" w:color="000000"/>
            </w:tcBorders>
          </w:tcPr>
          <w:p>
            <w:pPr/>
          </w:p>
        </w:tc>
        <w:tc>
          <w:tcPr>
            <w:tcW w:w="763" w:type="dxa"/>
            <w:vMerge/>
            <w:tcBorders>
              <w:left w:val="single" w:sz="4" w:space="0" w:color="000000"/>
              <w:right w:val="single" w:sz="4" w:space="0" w:color="000000"/>
            </w:tcBorders>
          </w:tcPr>
          <w:p>
            <w:pPr/>
          </w:p>
        </w:tc>
        <w:tc>
          <w:tcPr>
            <w:tcW w:w="763" w:type="dxa"/>
            <w:vMerge/>
            <w:tcBorders>
              <w:left w:val="single" w:sz="4" w:space="0" w:color="000000"/>
              <w:right w:val="single" w:sz="4" w:space="0" w:color="000000"/>
            </w:tcBorders>
          </w:tcPr>
          <w:p>
            <w:pPr/>
          </w:p>
        </w:tc>
        <w:tc>
          <w:tcPr>
            <w:tcW w:w="788" w:type="dxa"/>
            <w:vMerge/>
            <w:tcBorders>
              <w:left w:val="single" w:sz="4" w:space="0" w:color="000000"/>
              <w:right w:val="single" w:sz="4" w:space="0" w:color="000000"/>
            </w:tcBorders>
          </w:tcPr>
          <w:p>
            <w:pPr/>
          </w:p>
        </w:tc>
        <w:tc>
          <w:tcPr>
            <w:tcW w:w="655" w:type="dxa"/>
            <w:vMerge/>
            <w:tcBorders>
              <w:left w:val="single" w:sz="4" w:space="0" w:color="000000"/>
              <w:right w:val="single" w:sz="4" w:space="0" w:color="000000"/>
            </w:tcBorders>
          </w:tcPr>
          <w:p>
            <w:pPr/>
          </w:p>
        </w:tc>
        <w:tc>
          <w:tcPr>
            <w:tcW w:w="761" w:type="dxa"/>
            <w:vMerge/>
            <w:tcBorders>
              <w:left w:val="single" w:sz="4" w:space="0" w:color="000000"/>
              <w:right w:val="single" w:sz="4" w:space="0" w:color="000000"/>
            </w:tcBorders>
          </w:tcPr>
          <w:p>
            <w:pPr/>
          </w:p>
        </w:tc>
        <w:tc>
          <w:tcPr>
            <w:tcW w:w="814" w:type="dxa"/>
            <w:vMerge/>
            <w:tcBorders>
              <w:left w:val="single" w:sz="4" w:space="0" w:color="000000"/>
              <w:right w:val="single" w:sz="4" w:space="0" w:color="000000"/>
            </w:tcBorders>
          </w:tcPr>
          <w:p>
            <w:pPr/>
          </w:p>
        </w:tc>
        <w:tc>
          <w:tcPr>
            <w:tcW w:w="934" w:type="dxa"/>
            <w:vMerge/>
            <w:tcBorders>
              <w:left w:val="single" w:sz="4" w:space="0" w:color="000000"/>
              <w:right w:val="single" w:sz="4" w:space="0" w:color="000000"/>
            </w:tcBorders>
          </w:tcPr>
          <w:p>
            <w:pPr/>
          </w:p>
        </w:tc>
        <w:tc>
          <w:tcPr>
            <w:tcW w:w="931" w:type="dxa"/>
            <w:vMerge/>
            <w:tcBorders>
              <w:left w:val="single" w:sz="4" w:space="0" w:color="000000"/>
              <w:right w:val="single" w:sz="4" w:space="0" w:color="000000"/>
            </w:tcBorders>
          </w:tcPr>
          <w:p>
            <w:pPr/>
          </w:p>
        </w:tc>
      </w:tr>
      <w:tr>
        <w:trPr>
          <w:trHeight w:val="161" w:hRule="exact"/>
        </w:trPr>
        <w:tc>
          <w:tcPr>
            <w:tcW w:w="1612" w:type="dxa"/>
            <w:tcBorders>
              <w:top w:val="nil" w:sz="6" w:space="0" w:color="auto"/>
              <w:left w:val="single" w:sz="4" w:space="0" w:color="000000"/>
              <w:bottom w:val="single" w:sz="4" w:space="0" w:color="000000"/>
              <w:right w:val="single" w:sz="4" w:space="0" w:color="000000"/>
            </w:tcBorders>
            <w:shd w:val="clear" w:color="auto" w:fill="D2D2D2"/>
          </w:tcPr>
          <w:p>
            <w:pPr/>
          </w:p>
        </w:tc>
        <w:tc>
          <w:tcPr>
            <w:tcW w:w="774" w:type="dxa"/>
            <w:vMerge/>
            <w:tcBorders>
              <w:left w:val="single" w:sz="9" w:space="0" w:color="D2D2D2"/>
              <w:bottom w:val="single" w:sz="4" w:space="0" w:color="000000"/>
              <w:right w:val="single" w:sz="4" w:space="0" w:color="000000"/>
            </w:tcBorders>
          </w:tcPr>
          <w:p>
            <w:pPr/>
          </w:p>
        </w:tc>
        <w:tc>
          <w:tcPr>
            <w:tcW w:w="761" w:type="dxa"/>
            <w:vMerge/>
            <w:tcBorders>
              <w:left w:val="single" w:sz="4" w:space="0" w:color="000000"/>
              <w:bottom w:val="single" w:sz="4" w:space="0" w:color="000000"/>
              <w:right w:val="single" w:sz="4" w:space="0" w:color="000000"/>
            </w:tcBorders>
          </w:tcPr>
          <w:p>
            <w:pPr/>
          </w:p>
        </w:tc>
        <w:tc>
          <w:tcPr>
            <w:tcW w:w="763" w:type="dxa"/>
            <w:vMerge/>
            <w:tcBorders>
              <w:left w:val="single" w:sz="4" w:space="0" w:color="000000"/>
              <w:bottom w:val="single" w:sz="4" w:space="0" w:color="000000"/>
              <w:right w:val="single" w:sz="4" w:space="0" w:color="000000"/>
            </w:tcBorders>
          </w:tcPr>
          <w:p>
            <w:pPr/>
          </w:p>
        </w:tc>
        <w:tc>
          <w:tcPr>
            <w:tcW w:w="763" w:type="dxa"/>
            <w:vMerge/>
            <w:tcBorders>
              <w:left w:val="single" w:sz="4" w:space="0" w:color="000000"/>
              <w:bottom w:val="single" w:sz="4" w:space="0" w:color="000000"/>
              <w:right w:val="single" w:sz="4" w:space="0" w:color="000000"/>
            </w:tcBorders>
          </w:tcPr>
          <w:p>
            <w:pPr/>
          </w:p>
        </w:tc>
        <w:tc>
          <w:tcPr>
            <w:tcW w:w="788" w:type="dxa"/>
            <w:vMerge/>
            <w:tcBorders>
              <w:left w:val="single" w:sz="4" w:space="0" w:color="000000"/>
              <w:bottom w:val="single" w:sz="4" w:space="0" w:color="000000"/>
              <w:right w:val="single" w:sz="4" w:space="0" w:color="000000"/>
            </w:tcBorders>
          </w:tcPr>
          <w:p>
            <w:pPr/>
          </w:p>
        </w:tc>
        <w:tc>
          <w:tcPr>
            <w:tcW w:w="655" w:type="dxa"/>
            <w:vMerge/>
            <w:tcBorders>
              <w:left w:val="single" w:sz="4" w:space="0" w:color="000000"/>
              <w:bottom w:val="single" w:sz="4" w:space="0" w:color="000000"/>
              <w:right w:val="single" w:sz="4" w:space="0" w:color="000000"/>
            </w:tcBorders>
          </w:tcPr>
          <w:p>
            <w:pPr/>
          </w:p>
        </w:tc>
        <w:tc>
          <w:tcPr>
            <w:tcW w:w="761" w:type="dxa"/>
            <w:vMerge/>
            <w:tcBorders>
              <w:left w:val="single" w:sz="4" w:space="0" w:color="000000"/>
              <w:bottom w:val="single" w:sz="4" w:space="0" w:color="000000"/>
              <w:right w:val="single" w:sz="4" w:space="0" w:color="000000"/>
            </w:tcBorders>
          </w:tcPr>
          <w:p>
            <w:pPr/>
          </w:p>
        </w:tc>
        <w:tc>
          <w:tcPr>
            <w:tcW w:w="814" w:type="dxa"/>
            <w:vMerge/>
            <w:tcBorders>
              <w:left w:val="single" w:sz="4" w:space="0" w:color="000000"/>
              <w:bottom w:val="single" w:sz="4" w:space="0" w:color="000000"/>
              <w:right w:val="single" w:sz="4" w:space="0" w:color="000000"/>
            </w:tcBorders>
          </w:tcPr>
          <w:p>
            <w:pPr/>
          </w:p>
        </w:tc>
        <w:tc>
          <w:tcPr>
            <w:tcW w:w="934" w:type="dxa"/>
            <w:vMerge/>
            <w:tcBorders>
              <w:left w:val="single" w:sz="4" w:space="0" w:color="000000"/>
              <w:bottom w:val="single" w:sz="4" w:space="0" w:color="000000"/>
              <w:right w:val="single" w:sz="4" w:space="0" w:color="000000"/>
            </w:tcBorders>
          </w:tcPr>
          <w:p>
            <w:pPr/>
          </w:p>
        </w:tc>
        <w:tc>
          <w:tcPr>
            <w:tcW w:w="931" w:type="dxa"/>
            <w:vMerge/>
            <w:tcBorders>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0"/>
        </w:sectPr>
      </w:pPr>
    </w:p>
    <w:p>
      <w:pPr>
        <w:pStyle w:val="BodyText"/>
        <w:spacing w:line="240" w:lineRule="auto" w:before="49"/>
        <w:ind w:right="-20"/>
        <w:jc w:val="left"/>
      </w:pPr>
      <w:r>
        <w:rPr/>
        <w:t>期末单项金额重大并单项计提坏账准备的应收账款：</w:t>
      </w:r>
    </w:p>
    <w:p>
      <w:pPr>
        <w:pStyle w:val="BodyText"/>
        <w:spacing w:line="240" w:lineRule="auto" w:before="117"/>
        <w:ind w:right="-2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21"/>
          <w:szCs w:val="21"/>
        </w:rPr>
      </w:pPr>
    </w:p>
    <w:p>
      <w:pPr>
        <w:pStyle w:val="BodyText"/>
        <w:spacing w:line="240" w:lineRule="auto"/>
        <w:ind w:right="0"/>
        <w:jc w:val="left"/>
      </w:pPr>
      <w:r>
        <w:rPr/>
        <w:t>单位：</w:t>
      </w:r>
      <w:r>
        <w:rPr>
          <w:spacing w:val="1"/>
        </w:rPr>
        <w:t> </w:t>
      </w:r>
      <w:r>
        <w:rPr/>
        <w:t>元</w:t>
      </w:r>
    </w:p>
    <w:p>
      <w:pPr>
        <w:spacing w:after="0" w:line="240" w:lineRule="auto"/>
        <w:jc w:val="left"/>
        <w:sectPr>
          <w:type w:val="continuous"/>
          <w:pgSz w:w="11910" w:h="16840"/>
          <w:pgMar w:top="1060" w:bottom="1160" w:left="980" w:right="0"/>
          <w:cols w:num="2" w:equalWidth="0">
            <w:col w:w="4293" w:space="4536"/>
            <w:col w:w="2101"/>
          </w:cols>
        </w:sectPr>
      </w:pP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913"/>
        <w:gridCol w:w="1916"/>
        <w:gridCol w:w="1916"/>
        <w:gridCol w:w="1913"/>
        <w:gridCol w:w="1916"/>
      </w:tblGrid>
      <w:tr>
        <w:trPr>
          <w:trHeight w:val="402" w:hRule="exact"/>
        </w:trPr>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141" w:right="0"/>
              <w:jc w:val="left"/>
              <w:rPr>
                <w:rFonts w:ascii="宋体" w:hAnsi="宋体" w:cs="宋体" w:eastAsia="宋体" w:hint="default"/>
                <w:sz w:val="18"/>
                <w:szCs w:val="18"/>
              </w:rPr>
            </w:pPr>
            <w:r>
              <w:rPr>
                <w:rFonts w:ascii="宋体" w:hAnsi="宋体" w:cs="宋体" w:eastAsia="宋体" w:hint="default"/>
                <w:sz w:val="18"/>
                <w:szCs w:val="18"/>
              </w:rPr>
              <w:t>应收账款（按单位）</w:t>
            </w:r>
          </w:p>
        </w:tc>
        <w:tc>
          <w:tcPr>
            <w:tcW w:w="7660"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913" w:type="dxa"/>
            <w:vMerge/>
            <w:tcBorders>
              <w:left w:val="single" w:sz="4" w:space="0" w:color="000000"/>
              <w:bottom w:val="single" w:sz="4" w:space="0" w:color="000000"/>
              <w:right w:val="single" w:sz="4" w:space="0" w:color="000000"/>
            </w:tcBorders>
            <w:shd w:val="clear" w:color="auto" w:fill="D2D2D2"/>
          </w:tcPr>
          <w:p>
            <w:pP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2"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3" w:right="0"/>
              <w:jc w:val="left"/>
              <w:rPr>
                <w:rFonts w:ascii="宋体" w:hAnsi="宋体" w:cs="宋体" w:eastAsia="宋体" w:hint="default"/>
                <w:sz w:val="18"/>
                <w:szCs w:val="18"/>
              </w:rPr>
            </w:pPr>
            <w:r>
              <w:rPr>
                <w:rFonts w:ascii="宋体" w:hAnsi="宋体" w:cs="宋体" w:eastAsia="宋体" w:hint="default"/>
                <w:sz w:val="18"/>
                <w:szCs w:val="18"/>
              </w:rPr>
              <w:t>计提理由</w:t>
            </w:r>
          </w:p>
        </w:tc>
      </w:tr>
      <w:tr>
        <w:trPr>
          <w:trHeight w:val="713"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77"/>
              <w:jc w:val="left"/>
              <w:rPr>
                <w:rFonts w:ascii="宋体" w:hAnsi="宋体" w:cs="宋体" w:eastAsia="宋体" w:hint="default"/>
                <w:sz w:val="18"/>
                <w:szCs w:val="18"/>
              </w:rPr>
            </w:pPr>
            <w:r>
              <w:rPr>
                <w:rFonts w:ascii="宋体" w:hAnsi="宋体" w:cs="宋体" w:eastAsia="宋体" w:hint="default"/>
                <w:sz w:val="18"/>
                <w:szCs w:val="18"/>
              </w:rPr>
              <w:t>中国公路工程咨询集团 有限公司新疆分公司</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2,832,952.50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2,832,952.50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235" w:right="0"/>
              <w:jc w:val="left"/>
              <w:rPr>
                <w:rFonts w:ascii="Times New Roman" w:hAnsi="Times New Roman" w:cs="Times New Roman" w:eastAsia="Times New Roman" w:hint="default"/>
                <w:sz w:val="18"/>
                <w:szCs w:val="18"/>
              </w:rPr>
            </w:pPr>
            <w:r>
              <w:rPr>
                <w:rFonts w:ascii="Times New Roman"/>
                <w:sz w:val="18"/>
              </w:rPr>
              <w:t>100.00%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无法收回</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2,832,952.50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2,832,952.50</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left="2" w:right="0"/>
              <w:jc w:val="center"/>
              <w:rPr>
                <w:rFonts w:ascii="Times New Roman" w:hAnsi="Times New Roman" w:cs="Times New Roman" w:eastAsia="Times New Roman" w:hint="default"/>
                <w:sz w:val="18"/>
                <w:szCs w:val="18"/>
              </w:rPr>
            </w:pPr>
            <w:r>
              <w:rPr>
                <w:rFonts w:ascii="Times New Roman"/>
                <w:sz w:val="18"/>
              </w:rPr>
              <w:t>--</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type w:val="continuous"/>
          <w:pgSz w:w="11910" w:h="16840"/>
          <w:pgMar w:top="1060" w:bottom="1160" w:left="980" w:right="0"/>
        </w:sectPr>
      </w:pPr>
    </w:p>
    <w:p>
      <w:pPr>
        <w:pStyle w:val="BodyText"/>
        <w:spacing w:line="240" w:lineRule="auto" w:before="49"/>
        <w:ind w:right="-20"/>
        <w:jc w:val="left"/>
      </w:pPr>
      <w:r>
        <w:rPr/>
        <w:t>组合中，按账龄分析法计提坏账准备的应收账款：</w:t>
      </w:r>
    </w:p>
    <w:p>
      <w:pPr>
        <w:pStyle w:val="BodyText"/>
        <w:spacing w:line="240" w:lineRule="auto" w:before="115"/>
        <w:ind w:right="-2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21"/>
          <w:szCs w:val="21"/>
        </w:rPr>
      </w:pPr>
    </w:p>
    <w:p>
      <w:pPr>
        <w:pStyle w:val="BodyText"/>
        <w:spacing w:line="240" w:lineRule="auto"/>
        <w:ind w:right="0"/>
        <w:jc w:val="left"/>
      </w:pPr>
      <w:r>
        <w:rPr/>
        <w:t>单位：</w:t>
      </w:r>
      <w:r>
        <w:rPr>
          <w:spacing w:val="1"/>
        </w:rPr>
        <w:t> </w:t>
      </w:r>
      <w:r>
        <w:rPr/>
        <w:t>元</w:t>
      </w:r>
    </w:p>
    <w:p>
      <w:pPr>
        <w:spacing w:after="0" w:line="240" w:lineRule="auto"/>
        <w:jc w:val="left"/>
        <w:sectPr>
          <w:type w:val="continuous"/>
          <w:pgSz w:w="11910" w:h="16840"/>
          <w:pgMar w:top="1060" w:bottom="1160" w:left="980" w:right="0"/>
          <w:cols w:num="2" w:equalWidth="0">
            <w:col w:w="4113" w:space="4716"/>
            <w:col w:w="2101"/>
          </w:cols>
        </w:sectPr>
      </w:pP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381"/>
        <w:gridCol w:w="2392"/>
        <w:gridCol w:w="2393"/>
        <w:gridCol w:w="2393"/>
      </w:tblGrid>
      <w:tr>
        <w:trPr>
          <w:trHeight w:val="206" w:hRule="exact"/>
        </w:trPr>
        <w:tc>
          <w:tcPr>
            <w:tcW w:w="2381" w:type="dxa"/>
            <w:tcBorders>
              <w:top w:val="single" w:sz="4" w:space="0" w:color="000000"/>
              <w:left w:val="single" w:sz="4" w:space="0" w:color="000000"/>
              <w:bottom w:val="nil" w:sz="6" w:space="0" w:color="auto"/>
              <w:right w:val="single" w:sz="4" w:space="0" w:color="000000"/>
            </w:tcBorders>
            <w:shd w:val="clear" w:color="auto" w:fill="D2D2D2"/>
          </w:tcPr>
          <w:p>
            <w:pPr/>
          </w:p>
        </w:tc>
        <w:tc>
          <w:tcPr>
            <w:tcW w:w="7178"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0" w:hRule="exact"/>
        </w:trPr>
        <w:tc>
          <w:tcPr>
            <w:tcW w:w="238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13"/>
              <w:jc w:val="center"/>
              <w:rPr>
                <w:rFonts w:ascii="宋体" w:hAnsi="宋体" w:cs="宋体" w:eastAsia="宋体" w:hint="default"/>
                <w:sz w:val="18"/>
                <w:szCs w:val="18"/>
              </w:rPr>
            </w:pPr>
            <w:r>
              <w:rPr>
                <w:rFonts w:ascii="宋体" w:hAnsi="宋体" w:cs="宋体" w:eastAsia="宋体" w:hint="default"/>
                <w:sz w:val="18"/>
                <w:szCs w:val="18"/>
              </w:rPr>
              <w:t>账龄</w:t>
            </w:r>
          </w:p>
        </w:tc>
        <w:tc>
          <w:tcPr>
            <w:tcW w:w="7178" w:type="dxa"/>
            <w:gridSpan w:val="3"/>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2381" w:type="dxa"/>
            <w:vMerge/>
            <w:tcBorders>
              <w:left w:val="single" w:sz="4" w:space="0" w:color="000000"/>
              <w:bottom w:val="nil" w:sz="6" w:space="0" w:color="auto"/>
              <w:right w:val="single" w:sz="4" w:space="0" w:color="000000"/>
            </w:tcBorders>
            <w:shd w:val="clear" w:color="auto" w:fill="D2D2D2"/>
          </w:tcPr>
          <w:p>
            <w:pPr/>
          </w:p>
        </w:tc>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239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211" w:hRule="exact"/>
        </w:trPr>
        <w:tc>
          <w:tcPr>
            <w:tcW w:w="2381"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2" w:type="dxa"/>
            <w:vMerge/>
            <w:tcBorders>
              <w:left w:val="single" w:sz="4" w:space="0" w:color="000000"/>
              <w:bottom w:val="single" w:sz="4" w:space="0" w:color="000000"/>
              <w:right w:val="single" w:sz="4" w:space="0" w:color="000000"/>
            </w:tcBorders>
            <w:shd w:val="clear" w:color="auto" w:fill="D2D2D2"/>
          </w:tcPr>
          <w:p>
            <w:pPr/>
          </w:p>
        </w:tc>
        <w:tc>
          <w:tcPr>
            <w:tcW w:w="2393" w:type="dxa"/>
            <w:vMerge/>
            <w:tcBorders>
              <w:left w:val="single" w:sz="4" w:space="0" w:color="000000"/>
              <w:bottom w:val="single" w:sz="4" w:space="0" w:color="000000"/>
              <w:right w:val="single" w:sz="4" w:space="0" w:color="000000"/>
            </w:tcBorders>
            <w:shd w:val="clear" w:color="auto" w:fill="D2D2D2"/>
          </w:tcPr>
          <w:p>
            <w:pPr/>
          </w:p>
        </w:tc>
        <w:tc>
          <w:tcPr>
            <w:tcW w:w="2393" w:type="dxa"/>
            <w:vMerge/>
            <w:tcBorders>
              <w:left w:val="single" w:sz="4" w:space="0" w:color="000000"/>
              <w:bottom w:val="single" w:sz="4" w:space="0" w:color="000000"/>
              <w:right w:val="single" w:sz="4" w:space="0" w:color="000000"/>
            </w:tcBorders>
            <w:shd w:val="clear" w:color="auto" w:fill="D2D2D2"/>
          </w:tcPr>
          <w:p>
            <w:pPr/>
          </w:p>
        </w:tc>
      </w:tr>
      <w:tr>
        <w:trPr>
          <w:trHeight w:val="396" w:hRule="exact"/>
        </w:trPr>
        <w:tc>
          <w:tcPr>
            <w:tcW w:w="955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年以内分项</w:t>
            </w:r>
          </w:p>
        </w:tc>
      </w:tr>
      <w:tr>
        <w:trPr>
          <w:trHeight w:val="403" w:hRule="exact"/>
        </w:trPr>
        <w:tc>
          <w:tcPr>
            <w:tcW w:w="2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239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222,372,956.46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2,223,729.56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1.00%</w:t>
            </w:r>
          </w:p>
        </w:tc>
      </w:tr>
      <w:tr>
        <w:trPr>
          <w:trHeight w:val="401" w:hRule="exact"/>
        </w:trPr>
        <w:tc>
          <w:tcPr>
            <w:tcW w:w="2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51,987,733.47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5,198,773.35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10.00%</w:t>
            </w:r>
          </w:p>
        </w:tc>
      </w:tr>
      <w:tr>
        <w:trPr>
          <w:trHeight w:val="403" w:hRule="exact"/>
        </w:trPr>
        <w:tc>
          <w:tcPr>
            <w:tcW w:w="2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26,377,895.31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13,188,947.66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50.00%</w:t>
            </w:r>
          </w:p>
        </w:tc>
      </w:tr>
      <w:tr>
        <w:trPr>
          <w:trHeight w:val="401" w:hRule="exact"/>
        </w:trPr>
        <w:tc>
          <w:tcPr>
            <w:tcW w:w="2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9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28,766,879.28</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28,766,879.28</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3" w:hRule="exact"/>
        </w:trPr>
        <w:tc>
          <w:tcPr>
            <w:tcW w:w="2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329,505,464.52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49,378,329.85</w:t>
            </w:r>
          </w:p>
        </w:tc>
        <w:tc>
          <w:tcPr>
            <w:tcW w:w="2393" w:type="dxa"/>
            <w:tcBorders>
              <w:top w:val="single" w:sz="4" w:space="0" w:color="000000"/>
              <w:left w:val="single" w:sz="4" w:space="0" w:color="000000"/>
              <w:bottom w:val="single" w:sz="4" w:space="0" w:color="000000"/>
              <w:right w:val="single" w:sz="4" w:space="0" w:color="000000"/>
            </w:tcBorders>
          </w:tcPr>
          <w:p>
            <w:pPr/>
          </w:p>
        </w:tc>
      </w:tr>
    </w:tbl>
    <w:p>
      <w:pPr>
        <w:pStyle w:val="BodyText"/>
        <w:spacing w:line="357" w:lineRule="auto" w:before="49"/>
        <w:ind w:right="6434"/>
        <w:jc w:val="left"/>
      </w:pPr>
      <w:r>
        <w:rPr/>
        <w:t>确定该组合依据的说明： 组合中，采用余额百分比法计提坏账准备的应收账款：</w:t>
      </w:r>
    </w:p>
    <w:p>
      <w:pPr>
        <w:spacing w:after="0" w:line="357" w:lineRule="auto"/>
        <w:jc w:val="left"/>
        <w:sectPr>
          <w:type w:val="continuous"/>
          <w:pgSz w:w="11910" w:h="16840"/>
          <w:pgMar w:top="1060" w:bottom="1160" w:left="980" w:right="0"/>
        </w:sectPr>
      </w:pPr>
    </w:p>
    <w:p>
      <w:pPr>
        <w:spacing w:line="240" w:lineRule="auto" w:before="9"/>
        <w:rPr>
          <w:rFonts w:ascii="宋体" w:hAnsi="宋体" w:cs="宋体" w:eastAsia="宋体" w:hint="default"/>
          <w:sz w:val="25"/>
          <w:szCs w:val="25"/>
        </w:rPr>
      </w:pPr>
    </w:p>
    <w:p>
      <w:pPr>
        <w:pStyle w:val="BodyText"/>
        <w:spacing w:line="340" w:lineRule="auto" w:before="44"/>
        <w:ind w:right="679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组合中，采用其他方法计提坏账准备的应收账款：</w:t>
      </w:r>
    </w:p>
    <w:p>
      <w:pPr>
        <w:spacing w:line="240" w:lineRule="auto" w:before="5"/>
        <w:rPr>
          <w:rFonts w:ascii="宋体" w:hAnsi="宋体" w:cs="宋体" w:eastAsia="宋体" w:hint="default"/>
          <w:sz w:val="2"/>
          <w:szCs w:val="2"/>
        </w:rPr>
      </w:pPr>
    </w:p>
    <w:tbl>
      <w:tblPr>
        <w:tblW w:w="0" w:type="auto"/>
        <w:jc w:val="left"/>
        <w:tblInd w:w="145" w:type="dxa"/>
        <w:tblLayout w:type="fixed"/>
        <w:tblCellMar>
          <w:top w:w="0" w:type="dxa"/>
          <w:left w:w="0" w:type="dxa"/>
          <w:bottom w:w="0" w:type="dxa"/>
          <w:right w:w="0" w:type="dxa"/>
        </w:tblCellMar>
        <w:tblLook w:val="01E0"/>
      </w:tblPr>
      <w:tblGrid>
        <w:gridCol w:w="2412"/>
        <w:gridCol w:w="1985"/>
        <w:gridCol w:w="1983"/>
        <w:gridCol w:w="3121"/>
      </w:tblGrid>
      <w:tr>
        <w:trPr>
          <w:trHeight w:val="348" w:hRule="exact"/>
        </w:trPr>
        <w:tc>
          <w:tcPr>
            <w:tcW w:w="2412" w:type="dxa"/>
            <w:vMerge w:val="restart"/>
            <w:tcBorders>
              <w:top w:val="single" w:sz="6" w:space="0" w:color="000000"/>
              <w:left w:val="single" w:sz="6" w:space="0" w:color="000000"/>
              <w:right w:val="single" w:sz="6" w:space="0" w:color="000000"/>
            </w:tcBorders>
            <w:shd w:val="clear" w:color="auto" w:fill="D9D9D9"/>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组合名称</w:t>
            </w:r>
          </w:p>
        </w:tc>
        <w:tc>
          <w:tcPr>
            <w:tcW w:w="7089" w:type="dxa"/>
            <w:gridSpan w:val="3"/>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0"/>
              <w:ind w:left="2" w:right="0"/>
              <w:jc w:val="center"/>
              <w:rPr>
                <w:rFonts w:ascii="宋体" w:hAnsi="宋体" w:cs="宋体" w:eastAsia="宋体" w:hint="default"/>
                <w:sz w:val="18"/>
                <w:szCs w:val="18"/>
              </w:rPr>
            </w:pPr>
            <w:r>
              <w:rPr>
                <w:rFonts w:ascii="宋体" w:hAnsi="宋体" w:cs="宋体" w:eastAsia="宋体" w:hint="default"/>
                <w:sz w:val="18"/>
                <w:szCs w:val="18"/>
              </w:rPr>
              <w:t>年末余额</w:t>
            </w:r>
          </w:p>
        </w:tc>
      </w:tr>
      <w:tr>
        <w:trPr>
          <w:trHeight w:val="346" w:hRule="exact"/>
        </w:trPr>
        <w:tc>
          <w:tcPr>
            <w:tcW w:w="2412" w:type="dxa"/>
            <w:vMerge/>
            <w:tcBorders>
              <w:left w:val="single" w:sz="6" w:space="0" w:color="000000"/>
              <w:bottom w:val="single" w:sz="6" w:space="0" w:color="000000"/>
              <w:right w:val="single" w:sz="6" w:space="0" w:color="000000"/>
            </w:tcBorders>
            <w:shd w:val="clear" w:color="auto" w:fill="D9D9D9"/>
          </w:tcPr>
          <w:p>
            <w:pPr/>
          </w:p>
        </w:tc>
        <w:tc>
          <w:tcPr>
            <w:tcW w:w="1985"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7"/>
              <w:ind w:left="626"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98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7"/>
              <w:ind w:left="623"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3121"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7"/>
              <w:ind w:left="938" w:right="0"/>
              <w:jc w:val="left"/>
              <w:rPr>
                <w:rFonts w:ascii="宋体" w:hAnsi="宋体" w:cs="宋体" w:eastAsia="宋体"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348" w:hRule="exact"/>
        </w:trPr>
        <w:tc>
          <w:tcPr>
            <w:tcW w:w="2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交易风险组合</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right"/>
              <w:rPr>
                <w:rFonts w:ascii="Times New Roman" w:hAnsi="Times New Roman" w:cs="Times New Roman" w:eastAsia="Times New Roman" w:hint="default"/>
                <w:sz w:val="18"/>
                <w:szCs w:val="18"/>
              </w:rPr>
            </w:pPr>
            <w:r>
              <w:rPr>
                <w:rFonts w:ascii="Times New Roman"/>
                <w:spacing w:val="-1"/>
                <w:sz w:val="18"/>
              </w:rPr>
              <w:t>157,317,474.00</w:t>
            </w:r>
          </w:p>
        </w:tc>
        <w:tc>
          <w:tcPr>
            <w:tcW w:w="19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1"/>
              <w:jc w:val="right"/>
              <w:rPr>
                <w:rFonts w:ascii="Times New Roman" w:hAnsi="Times New Roman" w:cs="Times New Roman" w:eastAsia="Times New Roman" w:hint="default"/>
                <w:sz w:val="18"/>
                <w:szCs w:val="18"/>
              </w:rPr>
            </w:pPr>
            <w:r>
              <w:rPr>
                <w:rFonts w:ascii="Times New Roman"/>
                <w:spacing w:val="-1"/>
                <w:sz w:val="18"/>
              </w:rPr>
              <w:t>0.00</w:t>
            </w:r>
          </w:p>
        </w:tc>
        <w:tc>
          <w:tcPr>
            <w:tcW w:w="31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1"/>
              <w:jc w:val="right"/>
              <w:rPr>
                <w:rFonts w:ascii="Times New Roman" w:hAnsi="Times New Roman" w:cs="Times New Roman" w:eastAsia="Times New Roman" w:hint="default"/>
                <w:sz w:val="18"/>
                <w:szCs w:val="18"/>
              </w:rPr>
            </w:pPr>
            <w:r>
              <w:rPr>
                <w:rFonts w:ascii="Times New Roman"/>
                <w:spacing w:val="-1"/>
                <w:sz w:val="18"/>
              </w:rPr>
              <w:t>0.00</w:t>
            </w:r>
          </w:p>
        </w:tc>
      </w:tr>
      <w:tr>
        <w:trPr>
          <w:trHeight w:val="348" w:hRule="exact"/>
        </w:trPr>
        <w:tc>
          <w:tcPr>
            <w:tcW w:w="241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right"/>
              <w:rPr>
                <w:rFonts w:ascii="Times New Roman" w:hAnsi="Times New Roman" w:cs="Times New Roman" w:eastAsia="Times New Roman" w:hint="default"/>
                <w:sz w:val="18"/>
                <w:szCs w:val="18"/>
              </w:rPr>
            </w:pPr>
            <w:r>
              <w:rPr>
                <w:rFonts w:ascii="Times New Roman"/>
                <w:spacing w:val="-1"/>
                <w:sz w:val="18"/>
              </w:rPr>
              <w:t>157,317,474.00</w:t>
            </w:r>
          </w:p>
        </w:tc>
        <w:tc>
          <w:tcPr>
            <w:tcW w:w="19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1"/>
              <w:jc w:val="right"/>
              <w:rPr>
                <w:rFonts w:ascii="Times New Roman" w:hAnsi="Times New Roman" w:cs="Times New Roman" w:eastAsia="Times New Roman" w:hint="default"/>
                <w:sz w:val="18"/>
                <w:szCs w:val="18"/>
              </w:rPr>
            </w:pPr>
            <w:r>
              <w:rPr>
                <w:rFonts w:ascii="Times New Roman"/>
                <w:spacing w:val="-1"/>
                <w:sz w:val="18"/>
              </w:rPr>
              <w:t>0.00</w:t>
            </w:r>
          </w:p>
        </w:tc>
        <w:tc>
          <w:tcPr>
            <w:tcW w:w="31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1"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bl>
    <w:p>
      <w:pPr>
        <w:spacing w:after="0" w:line="240" w:lineRule="auto"/>
        <w:jc w:val="center"/>
        <w:rPr>
          <w:rFonts w:ascii="Times New Roman" w:hAnsi="Times New Roman" w:cs="Times New Roman" w:eastAsia="Times New Roman" w:hint="default"/>
          <w:sz w:val="18"/>
          <w:szCs w:val="18"/>
        </w:rPr>
        <w:sectPr>
          <w:pgSz w:w="11910" w:h="16840"/>
          <w:pgMar w:header="745" w:footer="979" w:top="1060" w:bottom="1160" w:left="980" w:right="0"/>
        </w:sectPr>
      </w:pPr>
    </w:p>
    <w:p>
      <w:pPr>
        <w:pStyle w:val="BodyText"/>
        <w:spacing w:line="240" w:lineRule="auto" w:before="49"/>
        <w:ind w:right="-13"/>
        <w:jc w:val="left"/>
      </w:pPr>
      <w:r>
        <w:rPr>
          <w:rFonts w:ascii="Times New Roman" w:hAnsi="Times New Roman" w:cs="Times New Roman" w:eastAsia="Times New Roman" w:hint="default"/>
        </w:rPr>
        <w:t>2)</w:t>
      </w:r>
      <w:r>
        <w:rPr/>
        <w:t>本期计提、收回或转回的坏账准备情况</w:t>
      </w:r>
    </w:p>
    <w:p>
      <w:pPr>
        <w:pStyle w:val="BodyText"/>
        <w:spacing w:line="340" w:lineRule="auto" w:before="101"/>
        <w:ind w:right="-13"/>
        <w:jc w:val="left"/>
      </w:pPr>
      <w:r>
        <w:rPr/>
        <w:t>本期计提坏账准备金额</w:t>
      </w:r>
      <w:r>
        <w:rPr>
          <w:spacing w:val="-46"/>
        </w:rPr>
        <w:t> </w:t>
      </w:r>
      <w:r>
        <w:rPr>
          <w:rFonts w:ascii="Times New Roman" w:hAnsi="Times New Roman" w:cs="Times New Roman" w:eastAsia="Times New Roman" w:hint="default"/>
        </w:rPr>
        <w:t>19,309,571.06</w:t>
      </w:r>
      <w:r>
        <w:rPr>
          <w:rFonts w:ascii="Times New Roman" w:hAnsi="Times New Roman" w:cs="Times New Roman" w:eastAsia="Times New Roman" w:hint="default"/>
          <w:spacing w:val="1"/>
        </w:rPr>
        <w:t> </w:t>
      </w:r>
      <w:r>
        <w:rPr/>
        <w:t>元；本期收回或转回坏账准备金额</w:t>
      </w:r>
      <w:r>
        <w:rPr>
          <w:spacing w:val="-47"/>
        </w:rPr>
        <w:t> </w:t>
      </w:r>
      <w:r>
        <w:rPr>
          <w:rFonts w:ascii="Times New Roman" w:hAnsi="Times New Roman" w:cs="Times New Roman" w:eastAsia="Times New Roman" w:hint="default"/>
        </w:rPr>
        <w:t>0.00 </w:t>
      </w:r>
      <w:r>
        <w:rPr/>
        <w:t>元。 其中本期坏账准备收回或转回金额重要的：</w:t>
      </w:r>
    </w:p>
    <w:p>
      <w:pPr>
        <w:pStyle w:val="BodyText"/>
        <w:spacing w:line="240" w:lineRule="auto" w:before="41"/>
        <w:ind w:right="-13"/>
        <w:jc w:val="left"/>
      </w:pPr>
      <w:r>
        <w:rPr/>
        <w:t>无</w:t>
      </w:r>
    </w:p>
    <w:p>
      <w:pPr>
        <w:pStyle w:val="BodyText"/>
        <w:spacing w:line="240" w:lineRule="auto" w:before="118"/>
        <w:ind w:right="-13"/>
        <w:jc w:val="left"/>
      </w:pPr>
      <w:r>
        <w:rPr>
          <w:rFonts w:ascii="Times New Roman" w:hAnsi="Times New Roman" w:cs="Times New Roman" w:eastAsia="Times New Roman" w:hint="default"/>
        </w:rPr>
        <w:t>3)</w:t>
      </w:r>
      <w:r>
        <w:rPr/>
        <w:t>本期实际核销的应收账款情况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BodyText"/>
        <w:spacing w:line="240" w:lineRule="auto" w:before="160"/>
        <w:ind w:right="0"/>
        <w:jc w:val="left"/>
      </w:pPr>
      <w:r>
        <w:rPr/>
        <w:t>单位：</w:t>
      </w:r>
      <w:r>
        <w:rPr>
          <w:spacing w:val="1"/>
        </w:rPr>
        <w:t> </w:t>
      </w:r>
      <w:r>
        <w:rPr/>
        <w:t>元</w:t>
      </w:r>
    </w:p>
    <w:p>
      <w:pPr>
        <w:spacing w:after="0" w:line="240" w:lineRule="auto"/>
        <w:jc w:val="left"/>
        <w:sectPr>
          <w:type w:val="continuous"/>
          <w:pgSz w:w="11910" w:h="16840"/>
          <w:pgMar w:top="1060" w:bottom="1160" w:left="980" w:right="0"/>
          <w:cols w:num="2" w:equalWidth="0">
            <w:col w:w="6548" w:space="2281"/>
            <w:col w:w="2101"/>
          </w:cols>
        </w:sectPr>
      </w:pP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4784"/>
        <w:gridCol w:w="4787"/>
      </w:tblGrid>
      <w:tr>
        <w:trPr>
          <w:trHeight w:val="401"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7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核销金额</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实际核销的应收账款</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17,273,530.22</w:t>
            </w:r>
          </w:p>
        </w:tc>
      </w:tr>
    </w:tbl>
    <w:p>
      <w:pPr>
        <w:pStyle w:val="BodyText"/>
        <w:spacing w:line="240" w:lineRule="auto" w:before="49"/>
        <w:ind w:right="982"/>
        <w:jc w:val="left"/>
      </w:pPr>
      <w:r>
        <w:rPr/>
        <w:t>其中重要的应收账款核销情况：</w:t>
      </w:r>
    </w:p>
    <w:p>
      <w:pPr>
        <w:pStyle w:val="BodyText"/>
        <w:spacing w:line="240" w:lineRule="auto" w:before="115"/>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410"/>
        <w:gridCol w:w="1431"/>
        <w:gridCol w:w="1433"/>
        <w:gridCol w:w="1431"/>
        <w:gridCol w:w="1431"/>
        <w:gridCol w:w="1433"/>
      </w:tblGrid>
      <w:tr>
        <w:trPr>
          <w:trHeight w:val="713" w:hRule="exact"/>
        </w:trPr>
        <w:tc>
          <w:tcPr>
            <w:tcW w:w="24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4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70" w:right="0"/>
              <w:jc w:val="left"/>
              <w:rPr>
                <w:rFonts w:ascii="宋体" w:hAnsi="宋体" w:cs="宋体" w:eastAsia="宋体" w:hint="default"/>
                <w:sz w:val="18"/>
                <w:szCs w:val="18"/>
              </w:rPr>
            </w:pPr>
            <w:r>
              <w:rPr>
                <w:rFonts w:ascii="宋体" w:hAnsi="宋体" w:cs="宋体" w:eastAsia="宋体" w:hint="default"/>
                <w:sz w:val="18"/>
                <w:szCs w:val="18"/>
              </w:rPr>
              <w:t>应收账款性质</w:t>
            </w:r>
          </w:p>
        </w:tc>
        <w:tc>
          <w:tcPr>
            <w:tcW w:w="14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52"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4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核销原因</w:t>
            </w:r>
          </w:p>
        </w:tc>
        <w:tc>
          <w:tcPr>
            <w:tcW w:w="14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履行的核销程序</w:t>
            </w:r>
          </w:p>
        </w:tc>
        <w:tc>
          <w:tcPr>
            <w:tcW w:w="14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350" w:right="79" w:hanging="269"/>
              <w:jc w:val="left"/>
              <w:rPr>
                <w:rFonts w:ascii="宋体" w:hAnsi="宋体" w:cs="宋体" w:eastAsia="宋体" w:hint="default"/>
                <w:sz w:val="18"/>
                <w:szCs w:val="18"/>
              </w:rPr>
            </w:pPr>
            <w:r>
              <w:rPr>
                <w:rFonts w:ascii="宋体" w:hAnsi="宋体" w:cs="宋体" w:eastAsia="宋体" w:hint="default"/>
                <w:sz w:val="18"/>
                <w:szCs w:val="18"/>
              </w:rPr>
              <w:t>款项是否由关联 交易产生</w:t>
            </w:r>
          </w:p>
        </w:tc>
      </w:tr>
      <w:tr>
        <w:trPr>
          <w:trHeight w:val="403"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天津市天梓科技发展有限公司</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货款</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3,800,000.00</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预计无法收回</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管理层审批</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长沙趣动文化科技有限公司</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货款</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1,850,000.00</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预计无法收回</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管理层审批</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长沙创彤科技实业有限公司</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货款</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1,620,000.00</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预计无法收回</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管理层审批</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24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43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7,270,000.00</w:t>
            </w:r>
          </w:p>
        </w:tc>
        <w:tc>
          <w:tcPr>
            <w:tcW w:w="14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4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4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360" w:lineRule="auto" w:before="49"/>
        <w:ind w:right="9134"/>
        <w:jc w:val="left"/>
      </w:pPr>
      <w:r>
        <w:rPr/>
        <w:t>应收账款核销说明： 无</w:t>
      </w:r>
    </w:p>
    <w:p>
      <w:pPr>
        <w:pStyle w:val="BodyText"/>
        <w:spacing w:line="240" w:lineRule="auto" w:before="27"/>
        <w:ind w:right="982"/>
        <w:jc w:val="left"/>
      </w:pPr>
      <w:r>
        <w:rPr>
          <w:rFonts w:ascii="Times New Roman" w:hAnsi="Times New Roman" w:cs="Times New Roman" w:eastAsia="Times New Roman" w:hint="default"/>
        </w:rPr>
        <w:t>4)</w:t>
      </w:r>
      <w:r>
        <w:rPr/>
        <w:t>按欠款方归集的期末余额前五名的应收账款情况</w:t>
      </w:r>
    </w:p>
    <w:p>
      <w:pPr>
        <w:spacing w:line="240" w:lineRule="auto" w:before="1"/>
        <w:rPr>
          <w:rFonts w:ascii="宋体" w:hAnsi="宋体" w:cs="宋体" w:eastAsia="宋体" w:hint="default"/>
          <w:sz w:val="7"/>
          <w:szCs w:val="7"/>
        </w:rPr>
      </w:pPr>
    </w:p>
    <w:tbl>
      <w:tblPr>
        <w:tblW w:w="0" w:type="auto"/>
        <w:jc w:val="left"/>
        <w:tblInd w:w="145" w:type="dxa"/>
        <w:tblLayout w:type="fixed"/>
        <w:tblCellMar>
          <w:top w:w="0" w:type="dxa"/>
          <w:left w:w="0" w:type="dxa"/>
          <w:bottom w:w="0" w:type="dxa"/>
          <w:right w:w="0" w:type="dxa"/>
        </w:tblCellMar>
        <w:tblLook w:val="01E0"/>
      </w:tblPr>
      <w:tblGrid>
        <w:gridCol w:w="2268"/>
        <w:gridCol w:w="2093"/>
        <w:gridCol w:w="1558"/>
        <w:gridCol w:w="1562"/>
        <w:gridCol w:w="2019"/>
      </w:tblGrid>
      <w:tr>
        <w:trPr>
          <w:trHeight w:val="659" w:hRule="exact"/>
        </w:trPr>
        <w:tc>
          <w:tcPr>
            <w:tcW w:w="2268"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57"/>
              <w:ind w:left="730" w:right="0"/>
              <w:jc w:val="left"/>
              <w:rPr>
                <w:rFonts w:ascii="宋体" w:hAnsi="宋体" w:cs="宋体" w:eastAsia="宋体" w:hint="default"/>
                <w:sz w:val="20"/>
                <w:szCs w:val="20"/>
              </w:rPr>
            </w:pPr>
            <w:r>
              <w:rPr>
                <w:rFonts w:ascii="宋体" w:hAnsi="宋体" w:cs="宋体" w:eastAsia="宋体" w:hint="default"/>
                <w:sz w:val="20"/>
                <w:szCs w:val="20"/>
              </w:rPr>
              <w:t>单位名称</w:t>
            </w:r>
          </w:p>
        </w:tc>
        <w:tc>
          <w:tcPr>
            <w:tcW w:w="209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57"/>
              <w:ind w:left="641" w:right="0"/>
              <w:jc w:val="left"/>
              <w:rPr>
                <w:rFonts w:ascii="宋体" w:hAnsi="宋体" w:cs="宋体" w:eastAsia="宋体" w:hint="default"/>
                <w:sz w:val="20"/>
                <w:szCs w:val="20"/>
              </w:rPr>
            </w:pPr>
            <w:r>
              <w:rPr>
                <w:rFonts w:ascii="宋体" w:hAnsi="宋体" w:cs="宋体" w:eastAsia="宋体" w:hint="default"/>
                <w:sz w:val="20"/>
                <w:szCs w:val="20"/>
              </w:rPr>
              <w:t>年末余额</w:t>
            </w:r>
          </w:p>
        </w:tc>
        <w:tc>
          <w:tcPr>
            <w:tcW w:w="1558"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57"/>
              <w:ind w:right="0"/>
              <w:jc w:val="center"/>
              <w:rPr>
                <w:rFonts w:ascii="宋体" w:hAnsi="宋体" w:cs="宋体" w:eastAsia="宋体" w:hint="default"/>
                <w:sz w:val="20"/>
                <w:szCs w:val="20"/>
              </w:rPr>
            </w:pPr>
            <w:r>
              <w:rPr>
                <w:rFonts w:ascii="宋体" w:hAnsi="宋体" w:cs="宋体" w:eastAsia="宋体" w:hint="default"/>
                <w:sz w:val="20"/>
                <w:szCs w:val="20"/>
              </w:rPr>
              <w:t>账龄</w:t>
            </w:r>
          </w:p>
        </w:tc>
        <w:tc>
          <w:tcPr>
            <w:tcW w:w="156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85" w:lineRule="auto" w:before="1"/>
              <w:ind w:left="323" w:right="75" w:hanging="250"/>
              <w:jc w:val="left"/>
              <w:rPr>
                <w:rFonts w:ascii="Times New Roman" w:hAnsi="Times New Roman" w:cs="Times New Roman" w:eastAsia="Times New Roman" w:hint="default"/>
                <w:sz w:val="20"/>
                <w:szCs w:val="20"/>
              </w:rPr>
            </w:pPr>
            <w:r>
              <w:rPr>
                <w:rFonts w:ascii="宋体" w:hAnsi="宋体" w:cs="宋体" w:eastAsia="宋体" w:hint="default"/>
                <w:sz w:val="20"/>
                <w:szCs w:val="20"/>
              </w:rPr>
              <w:t>占应收账款总额</w:t>
            </w:r>
            <w:r>
              <w:rPr>
                <w:rFonts w:ascii="宋体" w:hAnsi="宋体" w:cs="宋体" w:eastAsia="宋体" w:hint="default"/>
                <w:w w:val="99"/>
                <w:sz w:val="20"/>
                <w:szCs w:val="20"/>
              </w:rPr>
              <w:t> </w:t>
            </w:r>
            <w:r>
              <w:rPr>
                <w:rFonts w:ascii="宋体" w:hAnsi="宋体" w:cs="宋体" w:eastAsia="宋体" w:hint="default"/>
                <w:sz w:val="20"/>
                <w:szCs w:val="20"/>
              </w:rPr>
              <w:t>的比例</w:t>
            </w:r>
            <w:r>
              <w:rPr>
                <w:rFonts w:ascii="Times New Roman" w:hAnsi="Times New Roman" w:cs="Times New Roman" w:eastAsia="Times New Roman" w:hint="default"/>
                <w:sz w:val="20"/>
                <w:szCs w:val="20"/>
              </w:rPr>
              <w:t>(%)</w:t>
            </w:r>
          </w:p>
        </w:tc>
        <w:tc>
          <w:tcPr>
            <w:tcW w:w="2019"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85" w:lineRule="auto" w:before="1"/>
              <w:ind w:left="600" w:right="605"/>
              <w:jc w:val="left"/>
              <w:rPr>
                <w:rFonts w:ascii="宋体" w:hAnsi="宋体" w:cs="宋体" w:eastAsia="宋体" w:hint="default"/>
                <w:sz w:val="20"/>
                <w:szCs w:val="20"/>
              </w:rPr>
            </w:pPr>
            <w:r>
              <w:rPr>
                <w:rFonts w:ascii="宋体" w:hAnsi="宋体" w:cs="宋体" w:eastAsia="宋体" w:hint="default"/>
                <w:sz w:val="20"/>
                <w:szCs w:val="20"/>
              </w:rPr>
              <w:t>坏账准备</w:t>
            </w:r>
            <w:r>
              <w:rPr>
                <w:rFonts w:ascii="宋体" w:hAnsi="宋体" w:cs="宋体" w:eastAsia="宋体" w:hint="default"/>
                <w:w w:val="99"/>
                <w:sz w:val="20"/>
                <w:szCs w:val="20"/>
              </w:rPr>
              <w:t> </w:t>
            </w:r>
            <w:r>
              <w:rPr>
                <w:rFonts w:ascii="宋体" w:hAnsi="宋体" w:cs="宋体" w:eastAsia="宋体" w:hint="default"/>
                <w:sz w:val="20"/>
                <w:szCs w:val="20"/>
              </w:rPr>
              <w:t>年末余额</w:t>
            </w:r>
          </w:p>
        </w:tc>
      </w:tr>
      <w:tr>
        <w:trPr>
          <w:trHeight w:val="347" w:hRule="exact"/>
        </w:trPr>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4" w:right="0"/>
              <w:jc w:val="left"/>
              <w:rPr>
                <w:rFonts w:ascii="Times New Roman" w:hAnsi="Times New Roman" w:cs="Times New Roman" w:eastAsia="Times New Roman" w:hint="default"/>
                <w:sz w:val="20"/>
                <w:szCs w:val="20"/>
              </w:rPr>
            </w:pPr>
            <w:r>
              <w:rPr>
                <w:rFonts w:ascii="宋体" w:hAnsi="宋体" w:cs="宋体" w:eastAsia="宋体" w:hint="default"/>
                <w:sz w:val="20"/>
                <w:szCs w:val="20"/>
              </w:rPr>
              <w:t>客户</w:t>
            </w:r>
            <w:r>
              <w:rPr>
                <w:rFonts w:ascii="Times New Roman" w:hAnsi="Times New Roman" w:cs="Times New Roman" w:eastAsia="Times New Roman" w:hint="default"/>
                <w:sz w:val="20"/>
                <w:szCs w:val="20"/>
              </w:rPr>
              <w:t>1</w:t>
            </w:r>
          </w:p>
        </w:tc>
        <w:tc>
          <w:tcPr>
            <w:tcW w:w="20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9"/>
              <w:ind w:right="1"/>
              <w:jc w:val="right"/>
              <w:rPr>
                <w:rFonts w:ascii="Times New Roman" w:hAnsi="Times New Roman" w:cs="Times New Roman" w:eastAsia="Times New Roman" w:hint="default"/>
                <w:sz w:val="20"/>
                <w:szCs w:val="20"/>
              </w:rPr>
            </w:pPr>
            <w:r>
              <w:rPr>
                <w:rFonts w:ascii="Times New Roman"/>
                <w:w w:val="95"/>
                <w:sz w:val="20"/>
              </w:rPr>
              <w:t>49,737,642.45</w:t>
            </w:r>
            <w:r>
              <w:rPr>
                <w:rFonts w:ascii="Times New Roman"/>
                <w:sz w:val="20"/>
              </w:rPr>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3"/>
              <w:jc w:val="center"/>
              <w:rPr>
                <w:rFonts w:ascii="宋体" w:hAnsi="宋体" w:cs="宋体" w:eastAsia="宋体" w:hint="default"/>
                <w:sz w:val="20"/>
                <w:szCs w:val="20"/>
              </w:rPr>
            </w:pPr>
            <w:r>
              <w:rPr>
                <w:rFonts w:ascii="Times New Roman" w:hAnsi="Times New Roman" w:cs="Times New Roman" w:eastAsia="Times New Roman" w:hint="default"/>
                <w:sz w:val="20"/>
                <w:szCs w:val="20"/>
              </w:rPr>
              <w:t>1</w:t>
            </w:r>
            <w:r>
              <w:rPr>
                <w:rFonts w:ascii="宋体" w:hAnsi="宋体" w:cs="宋体" w:eastAsia="宋体" w:hint="default"/>
                <w:sz w:val="20"/>
                <w:szCs w:val="20"/>
              </w:rPr>
              <w:t>年以内</w:t>
            </w:r>
          </w:p>
        </w:tc>
        <w:tc>
          <w:tcPr>
            <w:tcW w:w="15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9"/>
              <w:ind w:right="0"/>
              <w:jc w:val="right"/>
              <w:rPr>
                <w:rFonts w:ascii="Times New Roman" w:hAnsi="Times New Roman" w:cs="Times New Roman" w:eastAsia="Times New Roman" w:hint="default"/>
                <w:sz w:val="20"/>
                <w:szCs w:val="20"/>
              </w:rPr>
            </w:pPr>
            <w:r>
              <w:rPr>
                <w:rFonts w:ascii="Times New Roman"/>
                <w:sz w:val="20"/>
              </w:rPr>
              <w:t>10.12</w:t>
            </w:r>
          </w:p>
        </w:tc>
        <w:tc>
          <w:tcPr>
            <w:tcW w:w="20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9"/>
              <w:ind w:right="2"/>
              <w:jc w:val="right"/>
              <w:rPr>
                <w:rFonts w:ascii="Times New Roman" w:hAnsi="Times New Roman" w:cs="Times New Roman" w:eastAsia="Times New Roman" w:hint="default"/>
                <w:sz w:val="20"/>
                <w:szCs w:val="20"/>
              </w:rPr>
            </w:pPr>
            <w:r>
              <w:rPr>
                <w:rFonts w:ascii="Times New Roman"/>
                <w:sz w:val="20"/>
              </w:rPr>
              <w:t>0.00</w:t>
            </w:r>
          </w:p>
        </w:tc>
      </w:tr>
      <w:tr>
        <w:trPr>
          <w:trHeight w:val="348" w:hRule="exact"/>
        </w:trPr>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4" w:right="0"/>
              <w:jc w:val="left"/>
              <w:rPr>
                <w:rFonts w:ascii="Times New Roman" w:hAnsi="Times New Roman" w:cs="Times New Roman" w:eastAsia="Times New Roman" w:hint="default"/>
                <w:sz w:val="20"/>
                <w:szCs w:val="20"/>
              </w:rPr>
            </w:pPr>
            <w:r>
              <w:rPr>
                <w:rFonts w:ascii="宋体" w:hAnsi="宋体" w:cs="宋体" w:eastAsia="宋体" w:hint="default"/>
                <w:sz w:val="20"/>
                <w:szCs w:val="20"/>
              </w:rPr>
              <w:t>客户</w:t>
            </w:r>
            <w:r>
              <w:rPr>
                <w:rFonts w:ascii="Times New Roman" w:hAnsi="Times New Roman" w:cs="Times New Roman" w:eastAsia="Times New Roman" w:hint="default"/>
                <w:sz w:val="20"/>
                <w:szCs w:val="20"/>
              </w:rPr>
              <w:t>2</w:t>
            </w:r>
          </w:p>
        </w:tc>
        <w:tc>
          <w:tcPr>
            <w:tcW w:w="20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w w:val="95"/>
                <w:sz w:val="20"/>
              </w:rPr>
              <w:t>39,586,581.06</w:t>
            </w:r>
            <w:r>
              <w:rPr>
                <w:rFonts w:ascii="Times New Roman"/>
                <w:sz w:val="20"/>
              </w:rPr>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3"/>
              <w:jc w:val="center"/>
              <w:rPr>
                <w:rFonts w:ascii="宋体" w:hAnsi="宋体" w:cs="宋体" w:eastAsia="宋体" w:hint="default"/>
                <w:sz w:val="20"/>
                <w:szCs w:val="20"/>
              </w:rPr>
            </w:pPr>
            <w:r>
              <w:rPr>
                <w:rFonts w:ascii="Times New Roman" w:hAnsi="Times New Roman" w:cs="Times New Roman" w:eastAsia="Times New Roman" w:hint="default"/>
                <w:sz w:val="20"/>
                <w:szCs w:val="20"/>
              </w:rPr>
              <w:t>1</w:t>
            </w:r>
            <w:r>
              <w:rPr>
                <w:rFonts w:ascii="宋体" w:hAnsi="宋体" w:cs="宋体" w:eastAsia="宋体" w:hint="default"/>
                <w:sz w:val="20"/>
                <w:szCs w:val="20"/>
              </w:rPr>
              <w:t>年以内</w:t>
            </w:r>
          </w:p>
        </w:tc>
        <w:tc>
          <w:tcPr>
            <w:tcW w:w="15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sz w:val="20"/>
              </w:rPr>
              <w:t>8.05</w:t>
            </w:r>
          </w:p>
        </w:tc>
        <w:tc>
          <w:tcPr>
            <w:tcW w:w="20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2"/>
              <w:jc w:val="right"/>
              <w:rPr>
                <w:rFonts w:ascii="Times New Roman" w:hAnsi="Times New Roman" w:cs="Times New Roman" w:eastAsia="Times New Roman" w:hint="default"/>
                <w:sz w:val="20"/>
                <w:szCs w:val="20"/>
              </w:rPr>
            </w:pPr>
            <w:r>
              <w:rPr>
                <w:rFonts w:ascii="Times New Roman"/>
                <w:sz w:val="20"/>
              </w:rPr>
              <w:t>0.00</w:t>
            </w:r>
          </w:p>
        </w:tc>
      </w:tr>
      <w:tr>
        <w:trPr>
          <w:trHeight w:val="346" w:hRule="exact"/>
        </w:trPr>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left="4" w:right="0"/>
              <w:jc w:val="left"/>
              <w:rPr>
                <w:rFonts w:ascii="Times New Roman" w:hAnsi="Times New Roman" w:cs="Times New Roman" w:eastAsia="Times New Roman" w:hint="default"/>
                <w:sz w:val="20"/>
                <w:szCs w:val="20"/>
              </w:rPr>
            </w:pPr>
            <w:r>
              <w:rPr>
                <w:rFonts w:ascii="宋体" w:hAnsi="宋体" w:cs="宋体" w:eastAsia="宋体" w:hint="default"/>
                <w:sz w:val="20"/>
                <w:szCs w:val="20"/>
              </w:rPr>
              <w:t>客户</w:t>
            </w:r>
            <w:r>
              <w:rPr>
                <w:rFonts w:ascii="Times New Roman" w:hAnsi="Times New Roman" w:cs="Times New Roman" w:eastAsia="Times New Roman" w:hint="default"/>
                <w:sz w:val="20"/>
                <w:szCs w:val="20"/>
              </w:rPr>
              <w:t>3</w:t>
            </w:r>
          </w:p>
        </w:tc>
        <w:tc>
          <w:tcPr>
            <w:tcW w:w="20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9"/>
              <w:ind w:right="1"/>
              <w:jc w:val="right"/>
              <w:rPr>
                <w:rFonts w:ascii="Times New Roman" w:hAnsi="Times New Roman" w:cs="Times New Roman" w:eastAsia="Times New Roman" w:hint="default"/>
                <w:sz w:val="20"/>
                <w:szCs w:val="20"/>
              </w:rPr>
            </w:pPr>
            <w:r>
              <w:rPr>
                <w:rFonts w:ascii="Times New Roman"/>
                <w:w w:val="95"/>
                <w:sz w:val="20"/>
              </w:rPr>
              <w:t>35,144,007.46</w:t>
            </w:r>
            <w:r>
              <w:rPr>
                <w:rFonts w:ascii="Times New Roman"/>
                <w:sz w:val="20"/>
              </w:rPr>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3"/>
              <w:jc w:val="center"/>
              <w:rPr>
                <w:rFonts w:ascii="宋体" w:hAnsi="宋体" w:cs="宋体" w:eastAsia="宋体" w:hint="default"/>
                <w:sz w:val="20"/>
                <w:szCs w:val="20"/>
              </w:rPr>
            </w:pPr>
            <w:r>
              <w:rPr>
                <w:rFonts w:ascii="Times New Roman" w:hAnsi="Times New Roman" w:cs="Times New Roman" w:eastAsia="Times New Roman" w:hint="default"/>
                <w:sz w:val="20"/>
                <w:szCs w:val="20"/>
              </w:rPr>
              <w:t>1</w:t>
            </w:r>
            <w:r>
              <w:rPr>
                <w:rFonts w:ascii="宋体" w:hAnsi="宋体" w:cs="宋体" w:eastAsia="宋体" w:hint="default"/>
                <w:sz w:val="20"/>
                <w:szCs w:val="20"/>
              </w:rPr>
              <w:t>年以内</w:t>
            </w:r>
          </w:p>
        </w:tc>
        <w:tc>
          <w:tcPr>
            <w:tcW w:w="15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9"/>
              <w:ind w:right="1"/>
              <w:jc w:val="right"/>
              <w:rPr>
                <w:rFonts w:ascii="Times New Roman" w:hAnsi="Times New Roman" w:cs="Times New Roman" w:eastAsia="Times New Roman" w:hint="default"/>
                <w:sz w:val="20"/>
                <w:szCs w:val="20"/>
              </w:rPr>
            </w:pPr>
            <w:r>
              <w:rPr>
                <w:rFonts w:ascii="Times New Roman"/>
                <w:sz w:val="20"/>
              </w:rPr>
              <w:t>7.15</w:t>
            </w:r>
          </w:p>
        </w:tc>
        <w:tc>
          <w:tcPr>
            <w:tcW w:w="20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9"/>
              <w:ind w:right="3"/>
              <w:jc w:val="right"/>
              <w:rPr>
                <w:rFonts w:ascii="Times New Roman" w:hAnsi="Times New Roman" w:cs="Times New Roman" w:eastAsia="Times New Roman" w:hint="default"/>
                <w:sz w:val="20"/>
                <w:szCs w:val="20"/>
              </w:rPr>
            </w:pPr>
            <w:r>
              <w:rPr>
                <w:rFonts w:ascii="Times New Roman"/>
                <w:w w:val="95"/>
                <w:sz w:val="20"/>
              </w:rPr>
              <w:t>351,440.08</w:t>
            </w:r>
            <w:r>
              <w:rPr>
                <w:rFonts w:ascii="Times New Roman"/>
                <w:sz w:val="20"/>
              </w:rPr>
            </w:r>
          </w:p>
        </w:tc>
      </w:tr>
      <w:tr>
        <w:trPr>
          <w:trHeight w:val="348" w:hRule="exact"/>
        </w:trPr>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4" w:right="0"/>
              <w:jc w:val="left"/>
              <w:rPr>
                <w:rFonts w:ascii="Times New Roman" w:hAnsi="Times New Roman" w:cs="Times New Roman" w:eastAsia="Times New Roman" w:hint="default"/>
                <w:sz w:val="20"/>
                <w:szCs w:val="20"/>
              </w:rPr>
            </w:pPr>
            <w:r>
              <w:rPr>
                <w:rFonts w:ascii="宋体" w:hAnsi="宋体" w:cs="宋体" w:eastAsia="宋体" w:hint="default"/>
                <w:sz w:val="20"/>
                <w:szCs w:val="20"/>
              </w:rPr>
              <w:t>客户</w:t>
            </w:r>
            <w:r>
              <w:rPr>
                <w:rFonts w:ascii="Times New Roman" w:hAnsi="Times New Roman" w:cs="Times New Roman" w:eastAsia="Times New Roman" w:hint="default"/>
                <w:sz w:val="20"/>
                <w:szCs w:val="20"/>
              </w:rPr>
              <w:t>4</w:t>
            </w:r>
          </w:p>
        </w:tc>
        <w:tc>
          <w:tcPr>
            <w:tcW w:w="20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w w:val="95"/>
                <w:sz w:val="20"/>
              </w:rPr>
              <w:t>33,370,631.95</w:t>
            </w:r>
            <w:r>
              <w:rPr>
                <w:rFonts w:ascii="Times New Roman"/>
                <w:sz w:val="20"/>
              </w:rPr>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3"/>
              <w:jc w:val="center"/>
              <w:rPr>
                <w:rFonts w:ascii="宋体" w:hAnsi="宋体" w:cs="宋体" w:eastAsia="宋体" w:hint="default"/>
                <w:sz w:val="20"/>
                <w:szCs w:val="20"/>
              </w:rPr>
            </w:pPr>
            <w:r>
              <w:rPr>
                <w:rFonts w:ascii="Times New Roman" w:hAnsi="Times New Roman" w:cs="Times New Roman" w:eastAsia="Times New Roman" w:hint="default"/>
                <w:sz w:val="20"/>
                <w:szCs w:val="20"/>
              </w:rPr>
              <w:t>1</w:t>
            </w:r>
            <w:r>
              <w:rPr>
                <w:rFonts w:ascii="宋体" w:hAnsi="宋体" w:cs="宋体" w:eastAsia="宋体" w:hint="default"/>
                <w:sz w:val="20"/>
                <w:szCs w:val="20"/>
              </w:rPr>
              <w:t>年以内</w:t>
            </w:r>
          </w:p>
        </w:tc>
        <w:tc>
          <w:tcPr>
            <w:tcW w:w="15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sz w:val="20"/>
              </w:rPr>
              <w:t>6.79</w:t>
            </w:r>
          </w:p>
        </w:tc>
        <w:tc>
          <w:tcPr>
            <w:tcW w:w="20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2"/>
              <w:jc w:val="right"/>
              <w:rPr>
                <w:rFonts w:ascii="Times New Roman" w:hAnsi="Times New Roman" w:cs="Times New Roman" w:eastAsia="Times New Roman" w:hint="default"/>
                <w:sz w:val="20"/>
                <w:szCs w:val="20"/>
              </w:rPr>
            </w:pPr>
            <w:r>
              <w:rPr>
                <w:rFonts w:ascii="Times New Roman"/>
                <w:sz w:val="20"/>
              </w:rPr>
              <w:t>0.00</w:t>
            </w:r>
          </w:p>
        </w:tc>
      </w:tr>
      <w:tr>
        <w:trPr>
          <w:trHeight w:val="348" w:hRule="exact"/>
        </w:trPr>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left="4" w:right="0"/>
              <w:jc w:val="left"/>
              <w:rPr>
                <w:rFonts w:ascii="Times New Roman" w:hAnsi="Times New Roman" w:cs="Times New Roman" w:eastAsia="Times New Roman" w:hint="default"/>
                <w:sz w:val="20"/>
                <w:szCs w:val="20"/>
              </w:rPr>
            </w:pPr>
            <w:r>
              <w:rPr>
                <w:rFonts w:ascii="宋体" w:hAnsi="宋体" w:cs="宋体" w:eastAsia="宋体" w:hint="default"/>
                <w:sz w:val="20"/>
                <w:szCs w:val="20"/>
              </w:rPr>
              <w:t>客户</w:t>
            </w:r>
            <w:r>
              <w:rPr>
                <w:rFonts w:ascii="Times New Roman" w:hAnsi="Times New Roman" w:cs="Times New Roman" w:eastAsia="Times New Roman" w:hint="default"/>
                <w:sz w:val="20"/>
                <w:szCs w:val="20"/>
              </w:rPr>
              <w:t>5</w:t>
            </w:r>
          </w:p>
        </w:tc>
        <w:tc>
          <w:tcPr>
            <w:tcW w:w="20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w w:val="95"/>
                <w:sz w:val="20"/>
              </w:rPr>
              <w:t>25,493,804.00</w:t>
            </w:r>
            <w:r>
              <w:rPr>
                <w:rFonts w:ascii="Times New Roman"/>
                <w:sz w:val="20"/>
              </w:rPr>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3"/>
              <w:jc w:val="center"/>
              <w:rPr>
                <w:rFonts w:ascii="宋体" w:hAnsi="宋体" w:cs="宋体" w:eastAsia="宋体" w:hint="default"/>
                <w:sz w:val="20"/>
                <w:szCs w:val="20"/>
              </w:rPr>
            </w:pPr>
            <w:r>
              <w:rPr>
                <w:rFonts w:ascii="Times New Roman" w:hAnsi="Times New Roman" w:cs="Times New Roman" w:eastAsia="Times New Roman" w:hint="default"/>
                <w:sz w:val="20"/>
                <w:szCs w:val="20"/>
              </w:rPr>
              <w:t>3</w:t>
            </w:r>
            <w:r>
              <w:rPr>
                <w:rFonts w:ascii="宋体" w:hAnsi="宋体" w:cs="宋体" w:eastAsia="宋体" w:hint="default"/>
                <w:sz w:val="20"/>
                <w:szCs w:val="20"/>
              </w:rPr>
              <w:t>年以内</w:t>
            </w:r>
          </w:p>
        </w:tc>
        <w:tc>
          <w:tcPr>
            <w:tcW w:w="15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sz w:val="20"/>
              </w:rPr>
              <w:t>5.18</w:t>
            </w:r>
          </w:p>
        </w:tc>
        <w:tc>
          <w:tcPr>
            <w:tcW w:w="20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3"/>
              <w:jc w:val="right"/>
              <w:rPr>
                <w:rFonts w:ascii="Times New Roman" w:hAnsi="Times New Roman" w:cs="Times New Roman" w:eastAsia="Times New Roman" w:hint="default"/>
                <w:sz w:val="20"/>
                <w:szCs w:val="20"/>
              </w:rPr>
            </w:pPr>
            <w:r>
              <w:rPr>
                <w:rFonts w:ascii="Times New Roman"/>
                <w:w w:val="95"/>
                <w:sz w:val="20"/>
              </w:rPr>
              <w:t>4,324,887.72</w:t>
            </w:r>
            <w:r>
              <w:rPr>
                <w:rFonts w:ascii="Times New Roman"/>
                <w:sz w:val="20"/>
              </w:rPr>
            </w:r>
          </w:p>
        </w:tc>
      </w:tr>
      <w:tr>
        <w:trPr>
          <w:trHeight w:val="329" w:hRule="exact"/>
        </w:trPr>
        <w:tc>
          <w:tcPr>
            <w:tcW w:w="2268"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
              <w:ind w:left="4"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209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w w:val="95"/>
                <w:sz w:val="20"/>
              </w:rPr>
              <w:t>183,332,666.92</w:t>
            </w:r>
            <w:r>
              <w:rPr>
                <w:rFonts w:ascii="Times New Roman"/>
                <w:sz w:val="20"/>
              </w:rPr>
            </w:r>
          </w:p>
        </w:tc>
        <w:tc>
          <w:tcPr>
            <w:tcW w:w="1558"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48"/>
              <w:ind w:right="0"/>
              <w:jc w:val="center"/>
              <w:rPr>
                <w:rFonts w:ascii="Times New Roman" w:hAnsi="Times New Roman" w:cs="Times New Roman" w:eastAsia="Times New Roman" w:hint="default"/>
                <w:sz w:val="20"/>
                <w:szCs w:val="20"/>
              </w:rPr>
            </w:pPr>
            <w:r>
              <w:rPr>
                <w:rFonts w:ascii="Times New Roman" w:hAnsi="Times New Roman" w:cs="Times New Roman" w:eastAsia="Times New Roman" w:hint="default"/>
                <w:w w:val="99"/>
                <w:sz w:val="20"/>
                <w:szCs w:val="20"/>
              </w:rPr>
              <w:t>—</w:t>
            </w:r>
            <w:r>
              <w:rPr>
                <w:rFonts w:ascii="Times New Roman" w:hAnsi="Times New Roman" w:cs="Times New Roman" w:eastAsia="Times New Roman" w:hint="default"/>
                <w:sz w:val="20"/>
                <w:szCs w:val="20"/>
              </w:rPr>
            </w:r>
          </w:p>
        </w:tc>
        <w:tc>
          <w:tcPr>
            <w:tcW w:w="156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48"/>
              <w:ind w:right="0"/>
              <w:jc w:val="right"/>
              <w:rPr>
                <w:rFonts w:ascii="Times New Roman" w:hAnsi="Times New Roman" w:cs="Times New Roman" w:eastAsia="Times New Roman" w:hint="default"/>
                <w:sz w:val="20"/>
                <w:szCs w:val="20"/>
              </w:rPr>
            </w:pPr>
            <w:r>
              <w:rPr>
                <w:rFonts w:ascii="Times New Roman"/>
                <w:sz w:val="20"/>
              </w:rPr>
              <w:t>37.29</w:t>
            </w:r>
          </w:p>
        </w:tc>
        <w:tc>
          <w:tcPr>
            <w:tcW w:w="2019"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48"/>
              <w:ind w:right="3"/>
              <w:jc w:val="right"/>
              <w:rPr>
                <w:rFonts w:ascii="Times New Roman" w:hAnsi="Times New Roman" w:cs="Times New Roman" w:eastAsia="Times New Roman" w:hint="default"/>
                <w:sz w:val="20"/>
                <w:szCs w:val="20"/>
              </w:rPr>
            </w:pPr>
            <w:r>
              <w:rPr>
                <w:rFonts w:ascii="Times New Roman"/>
                <w:w w:val="95"/>
                <w:sz w:val="20"/>
              </w:rPr>
              <w:t>4,676,327.80</w:t>
            </w:r>
            <w:r>
              <w:rPr>
                <w:rFonts w:ascii="Times New Roman"/>
                <w:sz w:val="20"/>
              </w:rPr>
            </w:r>
          </w:p>
        </w:tc>
      </w:tr>
    </w:tbl>
    <w:p>
      <w:pPr>
        <w:pStyle w:val="BodyText"/>
        <w:spacing w:line="340" w:lineRule="auto" w:before="65"/>
        <w:ind w:right="7544"/>
        <w:jc w:val="left"/>
      </w:pPr>
      <w:r>
        <w:rPr>
          <w:rFonts w:ascii="Times New Roman" w:hAnsi="Times New Roman" w:cs="Times New Roman" w:eastAsia="Times New Roman" w:hint="default"/>
        </w:rPr>
        <w:t>5)</w:t>
      </w:r>
      <w:r>
        <w:rPr/>
        <w:t>因金融资产转移而终止确认的应收账款</w:t>
      </w:r>
      <w:r>
        <w:rPr>
          <w:w w:val="99"/>
        </w:rPr>
        <w:t> </w:t>
      </w:r>
      <w:r>
        <w:rPr/>
        <w:t>无</w:t>
      </w:r>
    </w:p>
    <w:p>
      <w:pPr>
        <w:pStyle w:val="BodyText"/>
        <w:spacing w:line="338" w:lineRule="auto" w:before="41"/>
        <w:ind w:right="6824"/>
        <w:jc w:val="left"/>
      </w:pPr>
      <w:r>
        <w:rPr>
          <w:rFonts w:ascii="Times New Roman" w:hAnsi="Times New Roman" w:cs="Times New Roman" w:eastAsia="Times New Roman" w:hint="default"/>
        </w:rPr>
        <w:t>6)</w:t>
      </w:r>
      <w:r>
        <w:rPr/>
        <w:t>转移应收账款且继续涉入形成的资产、负债金额</w:t>
      </w:r>
      <w:r>
        <w:rPr>
          <w:w w:val="99"/>
        </w:rPr>
        <w:t> </w:t>
      </w:r>
      <w:r>
        <w:rPr/>
        <w:t>无</w:t>
      </w:r>
    </w:p>
    <w:p>
      <w:pPr>
        <w:pStyle w:val="BodyText"/>
        <w:spacing w:line="240" w:lineRule="auto" w:before="43"/>
        <w:ind w:right="982"/>
        <w:jc w:val="left"/>
      </w:pPr>
      <w:r>
        <w:rPr/>
        <w:t>其他说明：</w:t>
      </w:r>
    </w:p>
    <w:p>
      <w:pPr>
        <w:spacing w:after="0" w:line="240" w:lineRule="auto"/>
        <w:jc w:val="left"/>
        <w:sectPr>
          <w:type w:val="continuous"/>
          <w:pgSz w:w="11910" w:h="16840"/>
          <w:pgMar w:top="1060" w:bottom="1160" w:left="980" w:right="0"/>
        </w:sectPr>
      </w:pPr>
    </w:p>
    <w:p>
      <w:pPr>
        <w:spacing w:line="240" w:lineRule="auto" w:before="9"/>
        <w:rPr>
          <w:rFonts w:ascii="宋体" w:hAnsi="宋体" w:cs="宋体" w:eastAsia="宋体" w:hint="default"/>
          <w:sz w:val="25"/>
          <w:szCs w:val="25"/>
        </w:rPr>
      </w:pPr>
    </w:p>
    <w:p>
      <w:pPr>
        <w:pStyle w:val="BodyText"/>
        <w:spacing w:line="240" w:lineRule="auto" w:before="44"/>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rFonts w:ascii="Times New Roman" w:hAnsi="Times New Roman" w:cs="Times New Roman" w:eastAsia="Times New Roman" w:hint="default"/>
        </w:rPr>
        <w:t>5</w:t>
      </w:r>
      <w:r>
        <w:rPr/>
        <w:t>、预付款项</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2"/>
        <w:jc w:val="left"/>
        <w:rPr>
          <w:b w:val="0"/>
          <w:bCs w:val="0"/>
        </w:rPr>
      </w:pPr>
      <w:r>
        <w:rPr/>
        <w:t>（</w:t>
      </w:r>
      <w:r>
        <w:rPr>
          <w:rFonts w:ascii="Times New Roman" w:hAnsi="Times New Roman" w:cs="Times New Roman" w:eastAsia="Times New Roman" w:hint="default"/>
        </w:rPr>
        <w:t>1</w:t>
      </w:r>
      <w:r>
        <w:rPr/>
        <w:t>）预付款项按账龄列示</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889"/>
        <w:gridCol w:w="1928"/>
        <w:gridCol w:w="1913"/>
        <w:gridCol w:w="1915"/>
        <w:gridCol w:w="1916"/>
      </w:tblGrid>
      <w:tr>
        <w:trPr>
          <w:trHeight w:val="206" w:hRule="exact"/>
        </w:trPr>
        <w:tc>
          <w:tcPr>
            <w:tcW w:w="1889" w:type="dxa"/>
            <w:tcBorders>
              <w:top w:val="single" w:sz="4" w:space="0" w:color="000000"/>
              <w:left w:val="single" w:sz="4" w:space="0" w:color="000000"/>
              <w:bottom w:val="nil" w:sz="6" w:space="0" w:color="auto"/>
              <w:right w:val="single" w:sz="4" w:space="0" w:color="000000"/>
            </w:tcBorders>
            <w:shd w:val="clear" w:color="auto" w:fill="D2D2D2"/>
          </w:tcPr>
          <w:p>
            <w:pPr/>
          </w:p>
        </w:tc>
        <w:tc>
          <w:tcPr>
            <w:tcW w:w="384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4"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3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0" w:hRule="exact"/>
        </w:trPr>
        <w:tc>
          <w:tcPr>
            <w:tcW w:w="188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3841" w:type="dxa"/>
            <w:gridSpan w:val="2"/>
            <w:vMerge/>
            <w:tcBorders>
              <w:left w:val="single" w:sz="4" w:space="0" w:color="000000"/>
              <w:bottom w:val="single" w:sz="4" w:space="0" w:color="000000"/>
              <w:right w:val="single" w:sz="4" w:space="0" w:color="000000"/>
            </w:tcBorders>
            <w:shd w:val="clear" w:color="auto" w:fill="D2D2D2"/>
          </w:tcPr>
          <w:p>
            <w:pPr/>
          </w:p>
        </w:tc>
        <w:tc>
          <w:tcPr>
            <w:tcW w:w="3831" w:type="dxa"/>
            <w:gridSpan w:val="2"/>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1889" w:type="dxa"/>
            <w:vMerge/>
            <w:tcBorders>
              <w:left w:val="single" w:sz="4" w:space="0" w:color="000000"/>
              <w:bottom w:val="nil" w:sz="6" w:space="0" w:color="auto"/>
              <w:right w:val="single" w:sz="4" w:space="0" w:color="000000"/>
            </w:tcBorders>
            <w:shd w:val="clear" w:color="auto" w:fill="D2D2D2"/>
          </w:tcPr>
          <w:p>
            <w:pPr/>
          </w:p>
        </w:tc>
        <w:tc>
          <w:tcPr>
            <w:tcW w:w="192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1"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 w:right="0"/>
              <w:jc w:val="center"/>
              <w:rPr>
                <w:rFonts w:ascii="宋体" w:hAnsi="宋体" w:cs="宋体" w:eastAsia="宋体" w:hint="default"/>
                <w:sz w:val="18"/>
                <w:szCs w:val="18"/>
              </w:rPr>
            </w:pPr>
            <w:r>
              <w:rPr>
                <w:rFonts w:ascii="宋体" w:hAnsi="宋体" w:cs="宋体" w:eastAsia="宋体" w:hint="default"/>
                <w:sz w:val="18"/>
                <w:szCs w:val="18"/>
              </w:rPr>
              <w:t>比例</w:t>
            </w:r>
          </w:p>
        </w:tc>
        <w:tc>
          <w:tcPr>
            <w:tcW w:w="191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比例</w:t>
            </w:r>
          </w:p>
        </w:tc>
      </w:tr>
      <w:tr>
        <w:trPr>
          <w:trHeight w:val="206" w:hRule="exact"/>
        </w:trPr>
        <w:tc>
          <w:tcPr>
            <w:tcW w:w="1889" w:type="dxa"/>
            <w:tcBorders>
              <w:top w:val="nil" w:sz="6" w:space="0" w:color="auto"/>
              <w:left w:val="single" w:sz="4" w:space="0" w:color="000000"/>
              <w:bottom w:val="single" w:sz="4" w:space="0" w:color="000000"/>
              <w:right w:val="single" w:sz="4" w:space="0" w:color="000000"/>
            </w:tcBorders>
            <w:shd w:val="clear" w:color="auto" w:fill="D2D2D2"/>
          </w:tcPr>
          <w:p>
            <w:pPr/>
          </w:p>
        </w:tc>
        <w:tc>
          <w:tcPr>
            <w:tcW w:w="1928"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5" w:type="dxa"/>
            <w:vMerge/>
            <w:tcBorders>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36,008,048.18</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85.35%</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33,471,009.86</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93.90%</w:t>
            </w:r>
          </w:p>
        </w:tc>
      </w:tr>
      <w:tr>
        <w:trPr>
          <w:trHeight w:val="404"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5,925,998.64</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14.04%</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2,012,827.40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5.65%</w:t>
            </w:r>
          </w:p>
        </w:tc>
      </w:tr>
      <w:tr>
        <w:trPr>
          <w:trHeight w:val="401"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155,753.55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0.37%</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144,785.70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0.40%</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100,962.63</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0.24%</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18,215.00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0.05%</w:t>
            </w:r>
          </w:p>
        </w:tc>
      </w:tr>
      <w:tr>
        <w:trPr>
          <w:trHeight w:val="401"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8" w:type="dxa"/>
            <w:tcBorders>
              <w:top w:val="single" w:sz="4" w:space="0" w:color="000000"/>
              <w:left w:val="single" w:sz="13" w:space="0" w:color="D2D2D2"/>
              <w:bottom w:val="single" w:sz="4" w:space="0" w:color="000000"/>
              <w:right w:val="single" w:sz="13" w:space="0" w:color="D2D2D2"/>
            </w:tcBorders>
          </w:tcPr>
          <w:p>
            <w:pPr>
              <w:pStyle w:val="TableParagraph"/>
              <w:spacing w:line="240" w:lineRule="auto" w:before="91"/>
              <w:ind w:right="8"/>
              <w:jc w:val="right"/>
              <w:rPr>
                <w:rFonts w:ascii="Times New Roman" w:hAnsi="Times New Roman" w:cs="Times New Roman" w:eastAsia="Times New Roman" w:hint="default"/>
                <w:sz w:val="18"/>
                <w:szCs w:val="18"/>
              </w:rPr>
            </w:pPr>
            <w:r>
              <w:rPr>
                <w:rFonts w:ascii="Times New Roman"/>
                <w:spacing w:val="-1"/>
                <w:sz w:val="18"/>
              </w:rPr>
              <w:t>42,190,763.00</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1915"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35,646,837.96</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340" w:lineRule="auto" w:before="49"/>
        <w:ind w:right="5896"/>
        <w:jc w:val="left"/>
      </w:pPr>
      <w:r>
        <w:rPr/>
        <w:t>账龄超过</w:t>
      </w:r>
      <w:r>
        <w:rPr>
          <w:spacing w:val="-46"/>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年且金额重要的预付款项未及时结算原因的说明： 合同期内，未结算</w:t>
      </w:r>
    </w:p>
    <w:p>
      <w:pPr>
        <w:spacing w:line="240" w:lineRule="auto" w:before="5"/>
        <w:rPr>
          <w:rFonts w:ascii="宋体" w:hAnsi="宋体" w:cs="宋体" w:eastAsia="宋体" w:hint="default"/>
          <w:sz w:val="21"/>
          <w:szCs w:val="21"/>
        </w:rPr>
      </w:pPr>
    </w:p>
    <w:p>
      <w:pPr>
        <w:pStyle w:val="Heading4"/>
        <w:spacing w:line="240" w:lineRule="auto"/>
        <w:ind w:right="982"/>
        <w:jc w:val="left"/>
        <w:rPr>
          <w:b w:val="0"/>
          <w:bCs w:val="0"/>
        </w:rPr>
      </w:pPr>
      <w:r>
        <w:rPr/>
        <w:t>（</w:t>
      </w:r>
      <w:r>
        <w:rPr>
          <w:rFonts w:ascii="Times New Roman" w:hAnsi="Times New Roman" w:cs="Times New Roman" w:eastAsia="Times New Roman" w:hint="default"/>
        </w:rPr>
        <w:t>2</w:t>
      </w:r>
      <w:r>
        <w:rPr/>
        <w:t>）按预付对象归集的期末余额前五名的预付款情况</w:t>
      </w:r>
      <w:r>
        <w:rPr>
          <w:b w:val="0"/>
          <w:bCs w:val="0"/>
        </w:rPr>
      </w:r>
    </w:p>
    <w:p>
      <w:pPr>
        <w:spacing w:line="240" w:lineRule="auto" w:before="8"/>
        <w:rPr>
          <w:rFonts w:ascii="宋体" w:hAnsi="宋体" w:cs="宋体" w:eastAsia="宋体" w:hint="default"/>
          <w:b/>
          <w:bCs/>
          <w:sz w:val="25"/>
          <w:szCs w:val="25"/>
        </w:rPr>
      </w:pPr>
    </w:p>
    <w:tbl>
      <w:tblPr>
        <w:tblW w:w="0" w:type="auto"/>
        <w:jc w:val="left"/>
        <w:tblInd w:w="145" w:type="dxa"/>
        <w:tblLayout w:type="fixed"/>
        <w:tblCellMar>
          <w:top w:w="0" w:type="dxa"/>
          <w:left w:w="0" w:type="dxa"/>
          <w:bottom w:w="0" w:type="dxa"/>
          <w:right w:w="0" w:type="dxa"/>
        </w:tblCellMar>
        <w:tblLook w:val="01E0"/>
      </w:tblPr>
      <w:tblGrid>
        <w:gridCol w:w="3546"/>
        <w:gridCol w:w="1985"/>
        <w:gridCol w:w="1416"/>
        <w:gridCol w:w="2554"/>
      </w:tblGrid>
      <w:tr>
        <w:trPr>
          <w:trHeight w:val="659" w:hRule="exact"/>
        </w:trPr>
        <w:tc>
          <w:tcPr>
            <w:tcW w:w="354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59"/>
              <w:ind w:right="0"/>
              <w:jc w:val="center"/>
              <w:rPr>
                <w:rFonts w:ascii="宋体" w:hAnsi="宋体" w:cs="宋体" w:eastAsia="宋体" w:hint="default"/>
                <w:sz w:val="20"/>
                <w:szCs w:val="20"/>
              </w:rPr>
            </w:pPr>
            <w:r>
              <w:rPr>
                <w:rFonts w:ascii="宋体" w:hAnsi="宋体" w:cs="宋体" w:eastAsia="宋体" w:hint="default"/>
                <w:sz w:val="20"/>
                <w:szCs w:val="20"/>
              </w:rPr>
              <w:t>单位名称</w:t>
            </w:r>
          </w:p>
        </w:tc>
        <w:tc>
          <w:tcPr>
            <w:tcW w:w="1985"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59"/>
              <w:ind w:left="585" w:right="0"/>
              <w:jc w:val="left"/>
              <w:rPr>
                <w:rFonts w:ascii="宋体" w:hAnsi="宋体" w:cs="宋体" w:eastAsia="宋体" w:hint="default"/>
                <w:sz w:val="20"/>
                <w:szCs w:val="20"/>
              </w:rPr>
            </w:pPr>
            <w:r>
              <w:rPr>
                <w:rFonts w:ascii="宋体" w:hAnsi="宋体" w:cs="宋体" w:eastAsia="宋体" w:hint="default"/>
                <w:sz w:val="20"/>
                <w:szCs w:val="20"/>
              </w:rPr>
              <w:t>年末余额</w:t>
            </w:r>
          </w:p>
        </w:tc>
        <w:tc>
          <w:tcPr>
            <w:tcW w:w="141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59"/>
              <w:ind w:right="2"/>
              <w:jc w:val="center"/>
              <w:rPr>
                <w:rFonts w:ascii="宋体" w:hAnsi="宋体" w:cs="宋体" w:eastAsia="宋体" w:hint="default"/>
                <w:sz w:val="20"/>
                <w:szCs w:val="20"/>
              </w:rPr>
            </w:pPr>
            <w:r>
              <w:rPr>
                <w:rFonts w:ascii="宋体" w:hAnsi="宋体" w:cs="宋体" w:eastAsia="宋体" w:hint="default"/>
                <w:sz w:val="20"/>
                <w:szCs w:val="20"/>
              </w:rPr>
              <w:t>账龄</w:t>
            </w:r>
          </w:p>
        </w:tc>
        <w:tc>
          <w:tcPr>
            <w:tcW w:w="255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85" w:lineRule="auto" w:before="3"/>
              <w:ind w:left="686" w:right="71" w:hanging="617"/>
              <w:jc w:val="left"/>
              <w:rPr>
                <w:rFonts w:ascii="宋体" w:hAnsi="宋体" w:cs="宋体" w:eastAsia="宋体" w:hint="default"/>
                <w:sz w:val="20"/>
                <w:szCs w:val="20"/>
              </w:rPr>
            </w:pPr>
            <w:r>
              <w:rPr>
                <w:rFonts w:ascii="宋体" w:hAnsi="宋体" w:cs="宋体" w:eastAsia="宋体" w:hint="default"/>
                <w:sz w:val="20"/>
                <w:szCs w:val="20"/>
              </w:rPr>
              <w:t>占预付款项年末余额合计数</w:t>
            </w:r>
            <w:r>
              <w:rPr>
                <w:rFonts w:ascii="宋体" w:hAnsi="宋体" w:cs="宋体" w:eastAsia="宋体" w:hint="default"/>
                <w:w w:val="99"/>
                <w:sz w:val="20"/>
                <w:szCs w:val="20"/>
              </w:rPr>
              <w:t> </w:t>
            </w:r>
            <w:r>
              <w:rPr>
                <w:rFonts w:ascii="宋体" w:hAnsi="宋体" w:cs="宋体" w:eastAsia="宋体" w:hint="default"/>
                <w:sz w:val="20"/>
                <w:szCs w:val="20"/>
              </w:rPr>
              <w:t>的比例（</w:t>
            </w:r>
            <w:r>
              <w:rPr>
                <w:rFonts w:ascii="Times New Roman" w:hAnsi="Times New Roman" w:cs="Times New Roman" w:eastAsia="Times New Roman" w:hint="default"/>
                <w:sz w:val="20"/>
                <w:szCs w:val="20"/>
              </w:rPr>
              <w:t>%</w:t>
            </w:r>
            <w:r>
              <w:rPr>
                <w:rFonts w:ascii="宋体" w:hAnsi="宋体" w:cs="宋体" w:eastAsia="宋体" w:hint="default"/>
                <w:sz w:val="20"/>
                <w:szCs w:val="20"/>
              </w:rPr>
              <w:t>）</w:t>
            </w:r>
          </w:p>
        </w:tc>
      </w:tr>
      <w:tr>
        <w:trPr>
          <w:trHeight w:val="346" w:hRule="exact"/>
        </w:trPr>
        <w:tc>
          <w:tcPr>
            <w:tcW w:w="35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left="4" w:right="0"/>
              <w:jc w:val="left"/>
              <w:rPr>
                <w:rFonts w:ascii="Times New Roman" w:hAnsi="Times New Roman" w:cs="Times New Roman" w:eastAsia="Times New Roman" w:hint="default"/>
                <w:sz w:val="20"/>
                <w:szCs w:val="20"/>
              </w:rPr>
            </w:pPr>
            <w:r>
              <w:rPr>
                <w:rFonts w:ascii="Times New Roman"/>
                <w:sz w:val="20"/>
              </w:rPr>
              <w:t>M31 Technology</w:t>
            </w:r>
            <w:r>
              <w:rPr>
                <w:rFonts w:ascii="Times New Roman"/>
                <w:spacing w:val="-7"/>
                <w:sz w:val="20"/>
              </w:rPr>
              <w:t> </w:t>
            </w:r>
            <w:r>
              <w:rPr>
                <w:rFonts w:ascii="Times New Roman"/>
                <w:sz w:val="20"/>
              </w:rPr>
              <w:t>Corporation</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w w:val="95"/>
                <w:sz w:val="20"/>
              </w:rPr>
              <w:t>4,666,976.00</w:t>
            </w:r>
            <w:r>
              <w:rPr>
                <w:rFonts w:ascii="Times New Roman"/>
                <w:sz w:val="20"/>
              </w:rPr>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center"/>
              <w:rPr>
                <w:rFonts w:ascii="宋体" w:hAnsi="宋体" w:cs="宋体" w:eastAsia="宋体" w:hint="default"/>
                <w:sz w:val="20"/>
                <w:szCs w:val="20"/>
              </w:rPr>
            </w:pPr>
            <w:r>
              <w:rPr>
                <w:rFonts w:ascii="Times New Roman" w:hAnsi="Times New Roman" w:cs="Times New Roman" w:eastAsia="Times New Roman" w:hint="default"/>
                <w:sz w:val="20"/>
                <w:szCs w:val="20"/>
              </w:rPr>
              <w:t>1</w:t>
            </w:r>
            <w:r>
              <w:rPr>
                <w:rFonts w:ascii="宋体" w:hAnsi="宋体" w:cs="宋体" w:eastAsia="宋体" w:hint="default"/>
                <w:sz w:val="20"/>
                <w:szCs w:val="20"/>
              </w:rPr>
              <w:t>年以内</w:t>
            </w:r>
          </w:p>
        </w:tc>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0"/>
              <w:jc w:val="right"/>
              <w:rPr>
                <w:rFonts w:ascii="Times New Roman" w:hAnsi="Times New Roman" w:cs="Times New Roman" w:eastAsia="Times New Roman" w:hint="default"/>
                <w:sz w:val="20"/>
                <w:szCs w:val="20"/>
              </w:rPr>
            </w:pPr>
            <w:r>
              <w:rPr>
                <w:rFonts w:ascii="Times New Roman"/>
                <w:sz w:val="20"/>
              </w:rPr>
              <w:t>11.06</w:t>
            </w:r>
          </w:p>
        </w:tc>
      </w:tr>
      <w:tr>
        <w:trPr>
          <w:trHeight w:val="348" w:hRule="exact"/>
        </w:trPr>
        <w:tc>
          <w:tcPr>
            <w:tcW w:w="35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4" w:right="0"/>
              <w:jc w:val="left"/>
              <w:rPr>
                <w:rFonts w:ascii="Times New Roman" w:hAnsi="Times New Roman" w:cs="Times New Roman" w:eastAsia="Times New Roman" w:hint="default"/>
                <w:sz w:val="20"/>
                <w:szCs w:val="20"/>
              </w:rPr>
            </w:pPr>
            <w:r>
              <w:rPr>
                <w:rFonts w:ascii="Times New Roman"/>
                <w:sz w:val="20"/>
              </w:rPr>
              <w:t>Real Networks,</w:t>
            </w:r>
            <w:r>
              <w:rPr>
                <w:rFonts w:ascii="Times New Roman"/>
                <w:spacing w:val="-10"/>
                <w:sz w:val="20"/>
              </w:rPr>
              <w:t> </w:t>
            </w:r>
            <w:r>
              <w:rPr>
                <w:rFonts w:ascii="Times New Roman"/>
                <w:sz w:val="20"/>
              </w:rPr>
              <w:t>Inc</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w w:val="95"/>
                <w:sz w:val="20"/>
              </w:rPr>
              <w:t>4,613,467.61</w:t>
            </w:r>
            <w:r>
              <w:rPr>
                <w:rFonts w:ascii="Times New Roman"/>
                <w:sz w:val="20"/>
              </w:rPr>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center"/>
              <w:rPr>
                <w:rFonts w:ascii="宋体" w:hAnsi="宋体" w:cs="宋体" w:eastAsia="宋体" w:hint="default"/>
                <w:sz w:val="20"/>
                <w:szCs w:val="20"/>
              </w:rPr>
            </w:pPr>
            <w:r>
              <w:rPr>
                <w:rFonts w:ascii="Times New Roman" w:hAnsi="Times New Roman" w:cs="Times New Roman" w:eastAsia="Times New Roman" w:hint="default"/>
                <w:sz w:val="20"/>
                <w:szCs w:val="20"/>
              </w:rPr>
              <w:t>1</w:t>
            </w:r>
            <w:r>
              <w:rPr>
                <w:rFonts w:ascii="宋体" w:hAnsi="宋体" w:cs="宋体" w:eastAsia="宋体" w:hint="default"/>
                <w:sz w:val="20"/>
                <w:szCs w:val="20"/>
              </w:rPr>
              <w:t>年以内</w:t>
            </w:r>
          </w:p>
        </w:tc>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right"/>
              <w:rPr>
                <w:rFonts w:ascii="Times New Roman" w:hAnsi="Times New Roman" w:cs="Times New Roman" w:eastAsia="Times New Roman" w:hint="default"/>
                <w:sz w:val="20"/>
                <w:szCs w:val="20"/>
              </w:rPr>
            </w:pPr>
            <w:r>
              <w:rPr>
                <w:rFonts w:ascii="Times New Roman"/>
                <w:sz w:val="20"/>
              </w:rPr>
              <w:t>10.94</w:t>
            </w:r>
          </w:p>
        </w:tc>
      </w:tr>
      <w:tr>
        <w:trPr>
          <w:trHeight w:val="348" w:hRule="exact"/>
        </w:trPr>
        <w:tc>
          <w:tcPr>
            <w:tcW w:w="35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left="4" w:right="0"/>
              <w:jc w:val="left"/>
              <w:rPr>
                <w:rFonts w:ascii="Times New Roman" w:hAnsi="Times New Roman" w:cs="Times New Roman" w:eastAsia="Times New Roman" w:hint="default"/>
                <w:sz w:val="20"/>
                <w:szCs w:val="20"/>
              </w:rPr>
            </w:pPr>
            <w:r>
              <w:rPr>
                <w:rFonts w:ascii="Times New Roman"/>
                <w:sz w:val="20"/>
              </w:rPr>
              <w:t>Cadence Design Systems (Ireland)</w:t>
            </w:r>
            <w:r>
              <w:rPr>
                <w:rFonts w:ascii="Times New Roman"/>
                <w:spacing w:val="-17"/>
                <w:sz w:val="20"/>
              </w:rPr>
              <w:t> </w:t>
            </w:r>
            <w:r>
              <w:rPr>
                <w:rFonts w:ascii="Times New Roman"/>
                <w:sz w:val="20"/>
              </w:rPr>
              <w:t>Limited</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w w:val="95"/>
                <w:sz w:val="20"/>
              </w:rPr>
              <w:t>4,043,187.37</w:t>
            </w:r>
            <w:r>
              <w:rPr>
                <w:rFonts w:ascii="Times New Roman"/>
                <w:sz w:val="20"/>
              </w:rPr>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center"/>
              <w:rPr>
                <w:rFonts w:ascii="宋体" w:hAnsi="宋体" w:cs="宋体" w:eastAsia="宋体" w:hint="default"/>
                <w:sz w:val="20"/>
                <w:szCs w:val="20"/>
              </w:rPr>
            </w:pPr>
            <w:r>
              <w:rPr>
                <w:rFonts w:ascii="Times New Roman" w:hAnsi="Times New Roman" w:cs="Times New Roman" w:eastAsia="Times New Roman" w:hint="default"/>
                <w:sz w:val="20"/>
                <w:szCs w:val="20"/>
              </w:rPr>
              <w:t>1-2</w:t>
            </w:r>
            <w:r>
              <w:rPr>
                <w:rFonts w:ascii="宋体" w:hAnsi="宋体" w:cs="宋体" w:eastAsia="宋体" w:hint="default"/>
                <w:sz w:val="20"/>
                <w:szCs w:val="20"/>
              </w:rPr>
              <w:t>年</w:t>
            </w:r>
          </w:p>
        </w:tc>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sz w:val="20"/>
              </w:rPr>
              <w:t>9.58</w:t>
            </w:r>
          </w:p>
        </w:tc>
      </w:tr>
      <w:tr>
        <w:trPr>
          <w:trHeight w:val="346" w:hRule="exact"/>
        </w:trPr>
        <w:tc>
          <w:tcPr>
            <w:tcW w:w="35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left="4" w:right="0"/>
              <w:jc w:val="left"/>
              <w:rPr>
                <w:rFonts w:ascii="宋体" w:hAnsi="宋体" w:cs="宋体" w:eastAsia="宋体" w:hint="default"/>
                <w:sz w:val="20"/>
                <w:szCs w:val="20"/>
              </w:rPr>
            </w:pPr>
            <w:r>
              <w:rPr>
                <w:rFonts w:ascii="宋体" w:hAnsi="宋体" w:cs="宋体" w:eastAsia="宋体" w:hint="default"/>
                <w:sz w:val="20"/>
                <w:szCs w:val="20"/>
              </w:rPr>
              <w:t>广东好帮手电子科技股份有限公司</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w w:val="95"/>
                <w:sz w:val="20"/>
              </w:rPr>
              <w:t>2,946,293.28</w:t>
            </w:r>
            <w:r>
              <w:rPr>
                <w:rFonts w:ascii="Times New Roman"/>
                <w:sz w:val="20"/>
              </w:rPr>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center"/>
              <w:rPr>
                <w:rFonts w:ascii="宋体" w:hAnsi="宋体" w:cs="宋体" w:eastAsia="宋体" w:hint="default"/>
                <w:sz w:val="20"/>
                <w:szCs w:val="20"/>
              </w:rPr>
            </w:pPr>
            <w:r>
              <w:rPr>
                <w:rFonts w:ascii="Times New Roman" w:hAnsi="Times New Roman" w:cs="Times New Roman" w:eastAsia="Times New Roman" w:hint="default"/>
                <w:sz w:val="20"/>
                <w:szCs w:val="20"/>
              </w:rPr>
              <w:t>1</w:t>
            </w:r>
            <w:r>
              <w:rPr>
                <w:rFonts w:ascii="宋体" w:hAnsi="宋体" w:cs="宋体" w:eastAsia="宋体" w:hint="default"/>
                <w:sz w:val="20"/>
                <w:szCs w:val="20"/>
              </w:rPr>
              <w:t>年以内</w:t>
            </w:r>
          </w:p>
        </w:tc>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sz w:val="20"/>
              </w:rPr>
              <w:t>6.98</w:t>
            </w:r>
          </w:p>
        </w:tc>
      </w:tr>
      <w:tr>
        <w:trPr>
          <w:trHeight w:val="348" w:hRule="exact"/>
        </w:trPr>
        <w:tc>
          <w:tcPr>
            <w:tcW w:w="35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4" w:right="0"/>
              <w:jc w:val="left"/>
              <w:rPr>
                <w:rFonts w:ascii="宋体" w:hAnsi="宋体" w:cs="宋体" w:eastAsia="宋体" w:hint="default"/>
                <w:sz w:val="20"/>
                <w:szCs w:val="20"/>
              </w:rPr>
            </w:pPr>
            <w:r>
              <w:rPr>
                <w:rFonts w:ascii="宋体" w:hAnsi="宋体" w:cs="宋体" w:eastAsia="宋体" w:hint="default"/>
                <w:sz w:val="20"/>
                <w:szCs w:val="20"/>
              </w:rPr>
              <w:t>深圳市锐明技术股份有限公司</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w w:val="95"/>
                <w:sz w:val="20"/>
              </w:rPr>
              <w:t>2,355,829.59</w:t>
            </w:r>
            <w:r>
              <w:rPr>
                <w:rFonts w:ascii="Times New Roman"/>
                <w:sz w:val="20"/>
              </w:rPr>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center"/>
              <w:rPr>
                <w:rFonts w:ascii="宋体" w:hAnsi="宋体" w:cs="宋体" w:eastAsia="宋体" w:hint="default"/>
                <w:sz w:val="20"/>
                <w:szCs w:val="20"/>
              </w:rPr>
            </w:pPr>
            <w:r>
              <w:rPr>
                <w:rFonts w:ascii="Times New Roman" w:hAnsi="Times New Roman" w:cs="Times New Roman" w:eastAsia="Times New Roman" w:hint="default"/>
                <w:sz w:val="20"/>
                <w:szCs w:val="20"/>
              </w:rPr>
              <w:t>1</w:t>
            </w:r>
            <w:r>
              <w:rPr>
                <w:rFonts w:ascii="宋体" w:hAnsi="宋体" w:cs="宋体" w:eastAsia="宋体" w:hint="default"/>
                <w:sz w:val="20"/>
                <w:szCs w:val="20"/>
              </w:rPr>
              <w:t>年以内</w:t>
            </w:r>
          </w:p>
        </w:tc>
        <w:tc>
          <w:tcPr>
            <w:tcW w:w="2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sz w:val="20"/>
              </w:rPr>
              <w:t>5.59</w:t>
            </w:r>
          </w:p>
        </w:tc>
      </w:tr>
      <w:tr>
        <w:trPr>
          <w:trHeight w:val="329" w:hRule="exact"/>
        </w:trPr>
        <w:tc>
          <w:tcPr>
            <w:tcW w:w="354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
              <w:ind w:left="4"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1985"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w w:val="95"/>
                <w:sz w:val="20"/>
              </w:rPr>
              <w:t>18,625,753.85</w:t>
            </w:r>
            <w:r>
              <w:rPr>
                <w:rFonts w:ascii="Times New Roman"/>
                <w:sz w:val="20"/>
              </w:rPr>
            </w:r>
          </w:p>
        </w:tc>
        <w:tc>
          <w:tcPr>
            <w:tcW w:w="141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48"/>
              <w:ind w:right="0"/>
              <w:jc w:val="center"/>
              <w:rPr>
                <w:rFonts w:ascii="Times New Roman" w:hAnsi="Times New Roman" w:cs="Times New Roman" w:eastAsia="Times New Roman" w:hint="default"/>
                <w:sz w:val="20"/>
                <w:szCs w:val="20"/>
              </w:rPr>
            </w:pPr>
            <w:r>
              <w:rPr>
                <w:rFonts w:ascii="Times New Roman" w:hAnsi="Times New Roman" w:cs="Times New Roman" w:eastAsia="Times New Roman" w:hint="default"/>
                <w:w w:val="99"/>
                <w:sz w:val="20"/>
                <w:szCs w:val="20"/>
              </w:rPr>
              <w:t>—</w:t>
            </w:r>
            <w:r>
              <w:rPr>
                <w:rFonts w:ascii="Times New Roman" w:hAnsi="Times New Roman" w:cs="Times New Roman" w:eastAsia="Times New Roman" w:hint="default"/>
                <w:sz w:val="20"/>
                <w:szCs w:val="20"/>
              </w:rPr>
            </w:r>
          </w:p>
        </w:tc>
        <w:tc>
          <w:tcPr>
            <w:tcW w:w="255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48"/>
              <w:ind w:right="0"/>
              <w:jc w:val="right"/>
              <w:rPr>
                <w:rFonts w:ascii="Times New Roman" w:hAnsi="Times New Roman" w:cs="Times New Roman" w:eastAsia="Times New Roman" w:hint="default"/>
                <w:sz w:val="20"/>
                <w:szCs w:val="20"/>
              </w:rPr>
            </w:pPr>
            <w:r>
              <w:rPr>
                <w:rFonts w:ascii="Times New Roman"/>
                <w:sz w:val="20"/>
              </w:rPr>
              <w:t>44.15</w:t>
            </w:r>
          </w:p>
        </w:tc>
      </w:tr>
    </w:tbl>
    <w:p>
      <w:pPr>
        <w:pStyle w:val="BodyText"/>
        <w:spacing w:line="357" w:lineRule="auto" w:before="68"/>
        <w:ind w:right="9854"/>
        <w:jc w:val="left"/>
      </w:pPr>
      <w:r>
        <w:rPr/>
        <w:t>其他说明： 无</w:t>
      </w:r>
    </w:p>
    <w:p>
      <w:pPr>
        <w:spacing w:line="240" w:lineRule="auto" w:before="6"/>
        <w:rPr>
          <w:rFonts w:ascii="宋体" w:hAnsi="宋体" w:cs="宋体" w:eastAsia="宋体" w:hint="default"/>
          <w:sz w:val="20"/>
          <w:szCs w:val="20"/>
        </w:rPr>
      </w:pPr>
    </w:p>
    <w:p>
      <w:pPr>
        <w:pStyle w:val="Heading4"/>
        <w:spacing w:line="240" w:lineRule="auto"/>
        <w:ind w:right="982"/>
        <w:jc w:val="left"/>
        <w:rPr>
          <w:b w:val="0"/>
          <w:bCs w:val="0"/>
        </w:rPr>
      </w:pPr>
      <w:r>
        <w:rPr>
          <w:rFonts w:ascii="Times New Roman" w:hAnsi="Times New Roman" w:cs="Times New Roman" w:eastAsia="Times New Roman" w:hint="default"/>
        </w:rPr>
        <w:t>6</w:t>
      </w:r>
      <w:r>
        <w:rPr/>
        <w:t>、其他应收款</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8"/>
        <w:gridCol w:w="3201"/>
        <w:gridCol w:w="3190"/>
      </w:tblGrid>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7,814,789.02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35,500,706.76</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23,924,933.06</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25,228,778.93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30,249,616.83</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33,043,567.95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89,675,256.65</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2"/>
        <w:jc w:val="left"/>
        <w:rPr>
          <w:b w:val="0"/>
          <w:bCs w:val="0"/>
        </w:rPr>
      </w:pPr>
      <w:r>
        <w:rPr/>
        <w:t>（</w:t>
      </w:r>
      <w:r>
        <w:rPr>
          <w:rFonts w:ascii="Times New Roman" w:hAnsi="Times New Roman" w:cs="Times New Roman" w:eastAsia="Times New Roman" w:hint="default"/>
        </w:rPr>
        <w:t>1</w:t>
      </w:r>
      <w:r>
        <w:rPr/>
        <w:t>）应收利息</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right="982"/>
        <w:jc w:val="left"/>
      </w:pPr>
      <w:r>
        <w:rPr>
          <w:rFonts w:ascii="Times New Roman" w:hAnsi="Times New Roman" w:cs="Times New Roman" w:eastAsia="Times New Roman" w:hint="default"/>
        </w:rPr>
        <w:t>1)</w:t>
      </w:r>
      <w:r>
        <w:rPr/>
        <w:t>应收利息分类</w:t>
      </w:r>
    </w:p>
    <w:p>
      <w:pPr>
        <w:pStyle w:val="BodyText"/>
        <w:spacing w:line="240" w:lineRule="auto" w:before="101"/>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8"/>
        <w:gridCol w:w="3201"/>
        <w:gridCol w:w="3190"/>
      </w:tblGrid>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定期存款</w:t>
            </w:r>
          </w:p>
        </w:tc>
        <w:tc>
          <w:tcPr>
            <w:tcW w:w="320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7,814,789.02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35,500,706.76</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委托贷款</w:t>
            </w:r>
          </w:p>
        </w:tc>
        <w:tc>
          <w:tcPr>
            <w:tcW w:w="320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债券投资</w:t>
            </w:r>
          </w:p>
        </w:tc>
        <w:tc>
          <w:tcPr>
            <w:tcW w:w="320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7,814,789.02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35,500,706.76</w:t>
            </w:r>
          </w:p>
        </w:tc>
      </w:tr>
    </w:tbl>
    <w:p>
      <w:pPr>
        <w:pStyle w:val="BodyText"/>
        <w:spacing w:line="338" w:lineRule="auto" w:before="49"/>
        <w:ind w:right="9524"/>
        <w:jc w:val="left"/>
      </w:pPr>
      <w:r>
        <w:rPr>
          <w:rFonts w:ascii="Times New Roman" w:hAnsi="Times New Roman" w:cs="Times New Roman" w:eastAsia="Times New Roman" w:hint="default"/>
        </w:rPr>
        <w:t>2)</w:t>
      </w:r>
      <w:r>
        <w:rPr/>
        <w:t>重要逾期利息</w:t>
      </w:r>
      <w:r>
        <w:rPr>
          <w:w w:val="99"/>
        </w:rPr>
        <w:t> </w:t>
      </w:r>
      <w:r>
        <w:rPr/>
        <w:t>无</w:t>
      </w:r>
    </w:p>
    <w:p>
      <w:pPr>
        <w:spacing w:line="240" w:lineRule="auto" w:before="7"/>
        <w:rPr>
          <w:rFonts w:ascii="宋体" w:hAnsi="宋体" w:cs="宋体" w:eastAsia="宋体" w:hint="default"/>
          <w:sz w:val="21"/>
          <w:szCs w:val="21"/>
        </w:rPr>
      </w:pPr>
    </w:p>
    <w:p>
      <w:pPr>
        <w:pStyle w:val="Heading4"/>
        <w:spacing w:line="240" w:lineRule="auto"/>
        <w:ind w:right="982"/>
        <w:jc w:val="left"/>
        <w:rPr>
          <w:b w:val="0"/>
          <w:bCs w:val="0"/>
        </w:rPr>
      </w:pPr>
      <w:r>
        <w:rPr/>
        <w:t>（</w:t>
      </w:r>
      <w:r>
        <w:rPr>
          <w:rFonts w:ascii="Times New Roman" w:hAnsi="Times New Roman" w:cs="Times New Roman" w:eastAsia="Times New Roman" w:hint="default"/>
        </w:rPr>
        <w:t>2</w:t>
      </w:r>
      <w:r>
        <w:rPr/>
        <w:t>）应收股利</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right="982"/>
        <w:jc w:val="left"/>
      </w:pPr>
      <w:r>
        <w:rPr>
          <w:rFonts w:ascii="Times New Roman" w:hAnsi="Times New Roman" w:cs="Times New Roman" w:eastAsia="Times New Roman" w:hint="default"/>
        </w:rPr>
        <w:t>1)</w:t>
      </w:r>
      <w:r>
        <w:rPr/>
        <w:t>应收股利</w:t>
      </w:r>
    </w:p>
    <w:p>
      <w:pPr>
        <w:pStyle w:val="BodyText"/>
        <w:spacing w:line="240" w:lineRule="auto" w:before="103"/>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81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项目</w:t>
            </w:r>
            <w:r>
              <w:rPr>
                <w:rFonts w:ascii="Times New Roman" w:hAnsi="Times New Roman" w:cs="Times New Roman" w:eastAsia="Times New Roman" w:hint="default"/>
                <w:sz w:val="18"/>
                <w:szCs w:val="18"/>
              </w:rPr>
              <w:t>(</w:t>
            </w:r>
            <w:r>
              <w:rPr>
                <w:rFonts w:ascii="宋体" w:hAnsi="宋体" w:cs="宋体" w:eastAsia="宋体" w:hint="default"/>
                <w:sz w:val="18"/>
                <w:szCs w:val="18"/>
              </w:rPr>
              <w:t>或被投资单位</w:t>
            </w:r>
            <w:r>
              <w:rPr>
                <w:rFonts w:ascii="Times New Roman" w:hAnsi="Times New Roman" w:cs="Times New Roman" w:eastAsia="Times New Roman" w:hint="default"/>
                <w:sz w:val="18"/>
                <w:szCs w:val="18"/>
              </w:rPr>
              <w:t>)</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上海安吉四维信息技术有限公司</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23,924,933.06</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23,924,933.06</w:t>
            </w:r>
          </w:p>
        </w:tc>
      </w:tr>
    </w:tbl>
    <w:p>
      <w:pPr>
        <w:pStyle w:val="BodyText"/>
        <w:spacing w:line="340" w:lineRule="auto" w:before="49"/>
        <w:ind w:right="8084"/>
        <w:jc w:val="left"/>
      </w:pPr>
      <w:r>
        <w:rPr>
          <w:rFonts w:ascii="Times New Roman" w:hAnsi="Times New Roman" w:cs="Times New Roman" w:eastAsia="Times New Roman" w:hint="default"/>
        </w:rPr>
        <w:t>2)</w:t>
      </w:r>
      <w:r>
        <w:rPr/>
        <w:t>重要的账龄超过</w:t>
      </w:r>
      <w:r>
        <w:rPr>
          <w:spacing w:val="-45"/>
        </w:rPr>
        <w:t> </w:t>
      </w:r>
      <w:r>
        <w:rPr>
          <w:rFonts w:ascii="Times New Roman" w:hAnsi="Times New Roman" w:cs="Times New Roman" w:eastAsia="Times New Roman" w:hint="default"/>
        </w:rPr>
        <w:t>1 </w:t>
      </w:r>
      <w:r>
        <w:rPr/>
        <w:t>年的应收股利</w:t>
      </w:r>
      <w:r>
        <w:rPr>
          <w:w w:val="99"/>
        </w:rPr>
        <w:t> </w:t>
      </w:r>
      <w:r>
        <w:rPr/>
        <w:t>无</w:t>
      </w:r>
    </w:p>
    <w:p>
      <w:pPr>
        <w:spacing w:line="240" w:lineRule="auto" w:before="5"/>
        <w:rPr>
          <w:rFonts w:ascii="宋体" w:hAnsi="宋体" w:cs="宋体" w:eastAsia="宋体" w:hint="default"/>
          <w:sz w:val="21"/>
          <w:szCs w:val="21"/>
        </w:rPr>
      </w:pPr>
    </w:p>
    <w:p>
      <w:pPr>
        <w:pStyle w:val="Heading4"/>
        <w:spacing w:line="240" w:lineRule="auto"/>
        <w:ind w:right="982"/>
        <w:jc w:val="left"/>
        <w:rPr>
          <w:b w:val="0"/>
          <w:bCs w:val="0"/>
        </w:rPr>
      </w:pPr>
      <w:r>
        <w:rPr/>
        <w:t>（</w:t>
      </w:r>
      <w:r>
        <w:rPr>
          <w:rFonts w:ascii="Times New Roman" w:hAnsi="Times New Roman" w:cs="Times New Roman" w:eastAsia="Times New Roman" w:hint="default"/>
        </w:rPr>
        <w:t>3</w:t>
      </w:r>
      <w:r>
        <w:rPr/>
        <w:t>）其他应收款</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right="982"/>
        <w:jc w:val="left"/>
      </w:pPr>
      <w:r>
        <w:rPr>
          <w:rFonts w:ascii="Times New Roman" w:hAnsi="Times New Roman" w:cs="Times New Roman" w:eastAsia="Times New Roman" w:hint="default"/>
        </w:rPr>
        <w:t>1)</w:t>
      </w:r>
      <w:r>
        <w:rPr/>
        <w:t>其他应收款分类披露</w:t>
      </w:r>
    </w:p>
    <w:p>
      <w:pPr>
        <w:pStyle w:val="BodyText"/>
        <w:spacing w:line="240" w:lineRule="auto" w:before="103"/>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612"/>
        <w:gridCol w:w="774"/>
        <w:gridCol w:w="761"/>
        <w:gridCol w:w="763"/>
        <w:gridCol w:w="763"/>
        <w:gridCol w:w="788"/>
        <w:gridCol w:w="655"/>
        <w:gridCol w:w="761"/>
        <w:gridCol w:w="814"/>
        <w:gridCol w:w="934"/>
        <w:gridCol w:w="931"/>
      </w:tblGrid>
      <w:tr>
        <w:trPr>
          <w:trHeight w:val="396" w:hRule="exact"/>
        </w:trPr>
        <w:tc>
          <w:tcPr>
            <w:tcW w:w="1612" w:type="dxa"/>
            <w:vMerge w:val="restart"/>
            <w:tcBorders>
              <w:top w:val="single" w:sz="4" w:space="0" w:color="000000"/>
              <w:left w:val="single" w:sz="4" w:space="0" w:color="000000"/>
              <w:right w:val="single" w:sz="4" w:space="0" w:color="000000"/>
            </w:tcBorders>
            <w:shd w:val="clear" w:color="auto" w:fill="D2D2D2"/>
          </w:tcPr>
          <w:p>
            <w:pPr/>
          </w:p>
        </w:tc>
        <w:tc>
          <w:tcPr>
            <w:tcW w:w="384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3"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5"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66" w:hRule="exact"/>
        </w:trPr>
        <w:tc>
          <w:tcPr>
            <w:tcW w:w="1612" w:type="dxa"/>
            <w:vMerge/>
            <w:tcBorders>
              <w:left w:val="single" w:sz="4" w:space="0" w:color="000000"/>
              <w:bottom w:val="nil" w:sz="6" w:space="0" w:color="auto"/>
              <w:right w:val="single" w:sz="4" w:space="0" w:color="000000"/>
            </w:tcBorders>
            <w:shd w:val="clear" w:color="auto" w:fill="D2D2D2"/>
          </w:tcPr>
          <w:p>
            <w:pPr/>
          </w:p>
        </w:tc>
        <w:tc>
          <w:tcPr>
            <w:tcW w:w="153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40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9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88" w:type="dxa"/>
            <w:vMerge w:val="restart"/>
            <w:tcBorders>
              <w:top w:val="single" w:sz="4" w:space="0" w:color="000000"/>
              <w:left w:val="single" w:sz="4" w:space="0" w:color="000000"/>
              <w:right w:val="single" w:sz="4" w:space="0" w:color="000000"/>
            </w:tcBorders>
            <w:shd w:val="clear" w:color="auto" w:fill="D2D2D2"/>
          </w:tcPr>
          <w:p>
            <w:pPr/>
          </w:p>
        </w:tc>
        <w:tc>
          <w:tcPr>
            <w:tcW w:w="141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4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8"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51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1" w:type="dxa"/>
            <w:vMerge w:val="restart"/>
            <w:tcBorders>
              <w:top w:val="single" w:sz="4" w:space="0" w:color="000000"/>
              <w:left w:val="single" w:sz="4" w:space="0" w:color="000000"/>
              <w:right w:val="single" w:sz="4" w:space="0" w:color="000000"/>
            </w:tcBorders>
            <w:shd w:val="clear" w:color="auto" w:fill="D2D2D2"/>
          </w:tcPr>
          <w:p>
            <w:pPr/>
          </w:p>
        </w:tc>
      </w:tr>
      <w:tr>
        <w:trPr>
          <w:trHeight w:val="242" w:hRule="exact"/>
        </w:trPr>
        <w:tc>
          <w:tcPr>
            <w:tcW w:w="161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1535" w:type="dxa"/>
            <w:gridSpan w:val="2"/>
            <w:vMerge/>
            <w:tcBorders>
              <w:left w:val="single" w:sz="4" w:space="0" w:color="000000"/>
              <w:bottom w:val="single" w:sz="4" w:space="0" w:color="000000"/>
              <w:right w:val="single" w:sz="4" w:space="0" w:color="000000"/>
            </w:tcBorders>
            <w:shd w:val="clear" w:color="auto" w:fill="D2D2D2"/>
          </w:tcPr>
          <w:p>
            <w:pPr/>
          </w:p>
        </w:tc>
        <w:tc>
          <w:tcPr>
            <w:tcW w:w="1526" w:type="dxa"/>
            <w:gridSpan w:val="2"/>
            <w:vMerge/>
            <w:tcBorders>
              <w:left w:val="single" w:sz="4" w:space="0" w:color="000000"/>
              <w:bottom w:val="single" w:sz="4" w:space="0" w:color="000000"/>
              <w:right w:val="single" w:sz="4" w:space="0" w:color="000000"/>
            </w:tcBorders>
            <w:shd w:val="clear" w:color="auto" w:fill="D2D2D2"/>
          </w:tcPr>
          <w:p>
            <w:pPr/>
          </w:p>
        </w:tc>
        <w:tc>
          <w:tcPr>
            <w:tcW w:w="788" w:type="dxa"/>
            <w:vMerge/>
            <w:tcBorders>
              <w:left w:val="single" w:sz="4" w:space="0" w:color="000000"/>
              <w:bottom w:val="nil" w:sz="6" w:space="0" w:color="auto"/>
              <w:right w:val="single" w:sz="4" w:space="0" w:color="000000"/>
            </w:tcBorders>
            <w:shd w:val="clear" w:color="auto" w:fill="D2D2D2"/>
          </w:tcPr>
          <w:p>
            <w:pPr/>
          </w:p>
        </w:tc>
        <w:tc>
          <w:tcPr>
            <w:tcW w:w="1416" w:type="dxa"/>
            <w:gridSpan w:val="2"/>
            <w:vMerge/>
            <w:tcBorders>
              <w:left w:val="single" w:sz="4" w:space="0" w:color="000000"/>
              <w:bottom w:val="single" w:sz="4" w:space="0" w:color="000000"/>
              <w:right w:val="single" w:sz="4" w:space="0" w:color="000000"/>
            </w:tcBorders>
            <w:shd w:val="clear" w:color="auto" w:fill="D2D2D2"/>
          </w:tcPr>
          <w:p>
            <w:pPr/>
          </w:p>
        </w:tc>
        <w:tc>
          <w:tcPr>
            <w:tcW w:w="1748" w:type="dxa"/>
            <w:gridSpan w:val="2"/>
            <w:vMerge/>
            <w:tcBorders>
              <w:left w:val="single" w:sz="4" w:space="0" w:color="000000"/>
              <w:bottom w:val="single" w:sz="4" w:space="0" w:color="000000"/>
              <w:right w:val="single" w:sz="4" w:space="0" w:color="000000"/>
            </w:tcBorders>
            <w:shd w:val="clear" w:color="auto" w:fill="D2D2D2"/>
          </w:tcPr>
          <w:p>
            <w:pPr/>
          </w:p>
        </w:tc>
        <w:tc>
          <w:tcPr>
            <w:tcW w:w="931" w:type="dxa"/>
            <w:vMerge/>
            <w:tcBorders>
              <w:left w:val="single" w:sz="4" w:space="0" w:color="000000"/>
              <w:bottom w:val="nil" w:sz="6" w:space="0" w:color="auto"/>
              <w:right w:val="single" w:sz="4" w:space="0" w:color="000000"/>
            </w:tcBorders>
            <w:shd w:val="clear" w:color="auto" w:fill="D2D2D2"/>
          </w:tcPr>
          <w:p>
            <w:pPr/>
          </w:p>
        </w:tc>
      </w:tr>
      <w:tr>
        <w:trPr>
          <w:trHeight w:val="158" w:hRule="exact"/>
        </w:trPr>
        <w:tc>
          <w:tcPr>
            <w:tcW w:w="1612" w:type="dxa"/>
            <w:vMerge/>
            <w:tcBorders>
              <w:left w:val="single" w:sz="4" w:space="0" w:color="000000"/>
              <w:bottom w:val="single" w:sz="4" w:space="0" w:color="FFFFFF"/>
              <w:right w:val="single" w:sz="4" w:space="0" w:color="000000"/>
            </w:tcBorders>
            <w:shd w:val="clear" w:color="auto" w:fill="D2D2D2"/>
          </w:tcPr>
          <w:p>
            <w:pPr/>
          </w:p>
        </w:tc>
        <w:tc>
          <w:tcPr>
            <w:tcW w:w="774"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1"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3"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3"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49"/>
              <w:ind w:left="288" w:right="103"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8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8"/>
              <w:ind w:left="2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655" w:type="dxa"/>
            <w:tcBorders>
              <w:top w:val="single" w:sz="4" w:space="0" w:color="000000"/>
              <w:left w:val="single" w:sz="4" w:space="0" w:color="000000"/>
              <w:bottom w:val="nil" w:sz="6" w:space="0" w:color="auto"/>
              <w:right w:val="single" w:sz="4" w:space="0" w:color="000000"/>
            </w:tcBorders>
            <w:shd w:val="clear" w:color="auto" w:fill="D2D2D2"/>
          </w:tcPr>
          <w:p>
            <w:pPr/>
          </w:p>
        </w:tc>
        <w:tc>
          <w:tcPr>
            <w:tcW w:w="761" w:type="dxa"/>
            <w:tcBorders>
              <w:top w:val="single" w:sz="4" w:space="0" w:color="000000"/>
              <w:left w:val="single" w:sz="4" w:space="0" w:color="000000"/>
              <w:bottom w:val="nil" w:sz="6" w:space="0" w:color="auto"/>
              <w:right w:val="single" w:sz="4" w:space="0" w:color="000000"/>
            </w:tcBorders>
            <w:shd w:val="clear" w:color="auto" w:fill="D2D2D2"/>
          </w:tcPr>
          <w:p>
            <w:pPr/>
          </w:p>
        </w:tc>
        <w:tc>
          <w:tcPr>
            <w:tcW w:w="814" w:type="dxa"/>
            <w:tcBorders>
              <w:top w:val="single" w:sz="4" w:space="0" w:color="000000"/>
              <w:left w:val="single" w:sz="4" w:space="0" w:color="000000"/>
              <w:bottom w:val="nil" w:sz="6" w:space="0" w:color="auto"/>
              <w:right w:val="single" w:sz="4" w:space="0" w:color="000000"/>
            </w:tcBorders>
            <w:shd w:val="clear" w:color="auto" w:fill="D2D2D2"/>
          </w:tcPr>
          <w:p>
            <w:pPr/>
          </w:p>
        </w:tc>
        <w:tc>
          <w:tcPr>
            <w:tcW w:w="934" w:type="dxa"/>
            <w:tcBorders>
              <w:top w:val="single" w:sz="4" w:space="0" w:color="000000"/>
              <w:left w:val="single" w:sz="4" w:space="0" w:color="000000"/>
              <w:bottom w:val="nil" w:sz="6" w:space="0" w:color="auto"/>
              <w:right w:val="single" w:sz="4" w:space="0" w:color="000000"/>
            </w:tcBorders>
            <w:shd w:val="clear" w:color="auto" w:fill="D2D2D2"/>
          </w:tcPr>
          <w:p>
            <w:pPr/>
          </w:p>
        </w:tc>
        <w:tc>
          <w:tcPr>
            <w:tcW w:w="93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92" w:hRule="exact"/>
        </w:trPr>
        <w:tc>
          <w:tcPr>
            <w:tcW w:w="1612" w:type="dxa"/>
            <w:vMerge w:val="restart"/>
            <w:tcBorders>
              <w:top w:val="single" w:sz="4" w:space="0" w:color="FFFFFF"/>
              <w:left w:val="single" w:sz="4" w:space="0" w:color="000000"/>
              <w:right w:val="single" w:sz="4" w:space="0" w:color="000000"/>
            </w:tcBorders>
            <w:shd w:val="clear" w:color="auto" w:fill="D2D2D2"/>
          </w:tcPr>
          <w:p>
            <w:pPr/>
          </w:p>
        </w:tc>
        <w:tc>
          <w:tcPr>
            <w:tcW w:w="774"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6"/>
              <w:ind w:left="207"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1"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6"/>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3"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6"/>
              <w:ind w:left="19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3" w:type="dxa"/>
            <w:vMerge/>
            <w:tcBorders>
              <w:left w:val="single" w:sz="4" w:space="0" w:color="000000"/>
              <w:right w:val="single" w:sz="4" w:space="0" w:color="000000"/>
            </w:tcBorders>
            <w:shd w:val="clear" w:color="auto" w:fill="D2D2D2"/>
          </w:tcPr>
          <w:p>
            <w:pPr/>
          </w:p>
        </w:tc>
        <w:tc>
          <w:tcPr>
            <w:tcW w:w="788" w:type="dxa"/>
            <w:vMerge/>
            <w:tcBorders>
              <w:left w:val="single" w:sz="4" w:space="0" w:color="000000"/>
              <w:bottom w:val="nil" w:sz="6" w:space="0" w:color="auto"/>
              <w:right w:val="single" w:sz="4" w:space="0" w:color="000000"/>
            </w:tcBorders>
            <w:shd w:val="clear" w:color="auto" w:fill="D2D2D2"/>
          </w:tcPr>
          <w:p>
            <w:pPr/>
          </w:p>
        </w:tc>
        <w:tc>
          <w:tcPr>
            <w:tcW w:w="65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4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2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00"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1" w:type="dxa"/>
            <w:vMerge/>
            <w:tcBorders>
              <w:left w:val="single" w:sz="4" w:space="0" w:color="000000"/>
              <w:bottom w:val="nil" w:sz="6" w:space="0" w:color="auto"/>
              <w:right w:val="single" w:sz="4" w:space="0" w:color="000000"/>
            </w:tcBorders>
            <w:shd w:val="clear" w:color="auto" w:fill="D2D2D2"/>
          </w:tcPr>
          <w:p>
            <w:pPr/>
          </w:p>
        </w:tc>
      </w:tr>
      <w:tr>
        <w:trPr>
          <w:trHeight w:val="202" w:hRule="exact"/>
        </w:trPr>
        <w:tc>
          <w:tcPr>
            <w:tcW w:w="1612" w:type="dxa"/>
            <w:vMerge/>
            <w:tcBorders>
              <w:left w:val="single" w:sz="4" w:space="0" w:color="000000"/>
              <w:right w:val="single" w:sz="4" w:space="0" w:color="000000"/>
            </w:tcBorders>
            <w:shd w:val="clear" w:color="auto" w:fill="D2D2D2"/>
          </w:tcPr>
          <w:p>
            <w:pPr/>
          </w:p>
        </w:tc>
        <w:tc>
          <w:tcPr>
            <w:tcW w:w="774" w:type="dxa"/>
            <w:vMerge/>
            <w:tcBorders>
              <w:left w:val="single" w:sz="4" w:space="0" w:color="000000"/>
              <w:bottom w:val="nil" w:sz="6" w:space="0" w:color="auto"/>
              <w:right w:val="single" w:sz="4" w:space="0" w:color="000000"/>
            </w:tcBorders>
            <w:shd w:val="clear" w:color="auto" w:fill="D2D2D2"/>
          </w:tcPr>
          <w:p>
            <w:pPr/>
          </w:p>
        </w:tc>
        <w:tc>
          <w:tcPr>
            <w:tcW w:w="761" w:type="dxa"/>
            <w:vMerge/>
            <w:tcBorders>
              <w:left w:val="single" w:sz="4" w:space="0" w:color="000000"/>
              <w:bottom w:val="nil" w:sz="6" w:space="0" w:color="auto"/>
              <w:right w:val="single" w:sz="4" w:space="0" w:color="000000"/>
            </w:tcBorders>
            <w:shd w:val="clear" w:color="auto" w:fill="D2D2D2"/>
          </w:tcPr>
          <w:p>
            <w:pPr/>
          </w:p>
        </w:tc>
        <w:tc>
          <w:tcPr>
            <w:tcW w:w="763" w:type="dxa"/>
            <w:vMerge/>
            <w:tcBorders>
              <w:left w:val="single" w:sz="4" w:space="0" w:color="000000"/>
              <w:bottom w:val="nil" w:sz="6" w:space="0" w:color="auto"/>
              <w:right w:val="single" w:sz="4" w:space="0" w:color="000000"/>
            </w:tcBorders>
            <w:shd w:val="clear" w:color="auto" w:fill="D2D2D2"/>
          </w:tcPr>
          <w:p>
            <w:pPr/>
          </w:p>
        </w:tc>
        <w:tc>
          <w:tcPr>
            <w:tcW w:w="763" w:type="dxa"/>
            <w:vMerge/>
            <w:tcBorders>
              <w:left w:val="single" w:sz="4" w:space="0" w:color="000000"/>
              <w:right w:val="single" w:sz="4" w:space="0" w:color="000000"/>
            </w:tcBorders>
            <w:shd w:val="clear" w:color="auto" w:fill="D2D2D2"/>
          </w:tcPr>
          <w:p>
            <w:pPr/>
          </w:p>
        </w:tc>
        <w:tc>
          <w:tcPr>
            <w:tcW w:w="788" w:type="dxa"/>
            <w:vMerge w:val="restart"/>
            <w:tcBorders>
              <w:top w:val="nil" w:sz="6" w:space="0" w:color="auto"/>
              <w:left w:val="single" w:sz="4" w:space="0" w:color="000000"/>
              <w:right w:val="single" w:sz="4" w:space="0" w:color="000000"/>
            </w:tcBorders>
            <w:shd w:val="clear" w:color="auto" w:fill="D2D2D2"/>
          </w:tcPr>
          <w:p>
            <w:pPr/>
          </w:p>
        </w:tc>
        <w:tc>
          <w:tcPr>
            <w:tcW w:w="655" w:type="dxa"/>
            <w:vMerge/>
            <w:tcBorders>
              <w:left w:val="single" w:sz="4" w:space="0" w:color="000000"/>
              <w:bottom w:val="nil" w:sz="6" w:space="0" w:color="auto"/>
              <w:right w:val="single" w:sz="4" w:space="0" w:color="000000"/>
            </w:tcBorders>
            <w:shd w:val="clear" w:color="auto" w:fill="D2D2D2"/>
          </w:tcPr>
          <w:p>
            <w:pPr/>
          </w:p>
        </w:tc>
        <w:tc>
          <w:tcPr>
            <w:tcW w:w="761" w:type="dxa"/>
            <w:vMerge/>
            <w:tcBorders>
              <w:left w:val="single" w:sz="4" w:space="0" w:color="000000"/>
              <w:bottom w:val="nil" w:sz="6" w:space="0" w:color="auto"/>
              <w:right w:val="single" w:sz="4" w:space="0" w:color="000000"/>
            </w:tcBorders>
            <w:shd w:val="clear" w:color="auto" w:fill="D2D2D2"/>
          </w:tcPr>
          <w:p>
            <w:pPr/>
          </w:p>
        </w:tc>
        <w:tc>
          <w:tcPr>
            <w:tcW w:w="814" w:type="dxa"/>
            <w:vMerge/>
            <w:tcBorders>
              <w:left w:val="single" w:sz="4" w:space="0" w:color="000000"/>
              <w:bottom w:val="nil" w:sz="6" w:space="0" w:color="auto"/>
              <w:right w:val="single" w:sz="4" w:space="0" w:color="000000"/>
            </w:tcBorders>
            <w:shd w:val="clear" w:color="auto" w:fill="D2D2D2"/>
          </w:tcPr>
          <w:p>
            <w:pPr/>
          </w:p>
        </w:tc>
        <w:tc>
          <w:tcPr>
            <w:tcW w:w="934" w:type="dxa"/>
            <w:vMerge/>
            <w:tcBorders>
              <w:left w:val="single" w:sz="4" w:space="0" w:color="000000"/>
              <w:bottom w:val="nil" w:sz="6" w:space="0" w:color="auto"/>
              <w:right w:val="single" w:sz="4" w:space="0" w:color="000000"/>
            </w:tcBorders>
            <w:shd w:val="clear" w:color="auto" w:fill="D2D2D2"/>
          </w:tcPr>
          <w:p>
            <w:pPr/>
          </w:p>
        </w:tc>
        <w:tc>
          <w:tcPr>
            <w:tcW w:w="931"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612" w:type="dxa"/>
            <w:vMerge/>
            <w:tcBorders>
              <w:left w:val="single" w:sz="4" w:space="0" w:color="000000"/>
              <w:bottom w:val="single" w:sz="4" w:space="0" w:color="000000"/>
              <w:right w:val="single" w:sz="4" w:space="0" w:color="000000"/>
            </w:tcBorders>
            <w:shd w:val="clear" w:color="auto" w:fill="D2D2D2"/>
          </w:tcPr>
          <w:p>
            <w:pPr/>
          </w:p>
        </w:tc>
        <w:tc>
          <w:tcPr>
            <w:tcW w:w="774" w:type="dxa"/>
            <w:tcBorders>
              <w:top w:val="nil" w:sz="6" w:space="0" w:color="auto"/>
              <w:left w:val="single" w:sz="4" w:space="0" w:color="000000"/>
              <w:bottom w:val="single" w:sz="4" w:space="0" w:color="000000"/>
              <w:right w:val="single" w:sz="4" w:space="0" w:color="000000"/>
            </w:tcBorders>
            <w:shd w:val="clear" w:color="auto" w:fill="D2D2D2"/>
          </w:tcPr>
          <w:p>
            <w:pPr/>
          </w:p>
        </w:tc>
        <w:tc>
          <w:tcPr>
            <w:tcW w:w="761"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vMerge/>
            <w:tcBorders>
              <w:left w:val="single" w:sz="4" w:space="0" w:color="000000"/>
              <w:bottom w:val="single" w:sz="4" w:space="0" w:color="000000"/>
              <w:right w:val="single" w:sz="4" w:space="0" w:color="000000"/>
            </w:tcBorders>
            <w:shd w:val="clear" w:color="auto" w:fill="D2D2D2"/>
          </w:tcPr>
          <w:p>
            <w:pPr/>
          </w:p>
        </w:tc>
        <w:tc>
          <w:tcPr>
            <w:tcW w:w="788" w:type="dxa"/>
            <w:vMerge/>
            <w:tcBorders>
              <w:left w:val="single" w:sz="4" w:space="0" w:color="000000"/>
              <w:bottom w:val="single" w:sz="4" w:space="0" w:color="000000"/>
              <w:right w:val="single" w:sz="4" w:space="0" w:color="000000"/>
            </w:tcBorders>
            <w:shd w:val="clear" w:color="auto" w:fill="D2D2D2"/>
          </w:tcPr>
          <w:p>
            <w:pPr/>
          </w:p>
        </w:tc>
        <w:tc>
          <w:tcPr>
            <w:tcW w:w="655" w:type="dxa"/>
            <w:tcBorders>
              <w:top w:val="nil" w:sz="6" w:space="0" w:color="auto"/>
              <w:left w:val="single" w:sz="4" w:space="0" w:color="000000"/>
              <w:bottom w:val="single" w:sz="4" w:space="0" w:color="000000"/>
              <w:right w:val="single" w:sz="4" w:space="0" w:color="000000"/>
            </w:tcBorders>
            <w:shd w:val="clear" w:color="auto" w:fill="D2D2D2"/>
          </w:tcPr>
          <w:p>
            <w:pPr/>
          </w:p>
        </w:tc>
        <w:tc>
          <w:tcPr>
            <w:tcW w:w="761" w:type="dxa"/>
            <w:tcBorders>
              <w:top w:val="nil" w:sz="6" w:space="0" w:color="auto"/>
              <w:left w:val="single" w:sz="4" w:space="0" w:color="000000"/>
              <w:bottom w:val="single" w:sz="4" w:space="0" w:color="000000"/>
              <w:right w:val="single" w:sz="4" w:space="0" w:color="000000"/>
            </w:tcBorders>
            <w:shd w:val="clear" w:color="auto" w:fill="D2D2D2"/>
          </w:tcPr>
          <w:p>
            <w:pPr/>
          </w:p>
        </w:tc>
        <w:tc>
          <w:tcPr>
            <w:tcW w:w="814" w:type="dxa"/>
            <w:tcBorders>
              <w:top w:val="nil" w:sz="6" w:space="0" w:color="auto"/>
              <w:left w:val="single" w:sz="4" w:space="0" w:color="000000"/>
              <w:bottom w:val="single" w:sz="4" w:space="0" w:color="000000"/>
              <w:right w:val="single" w:sz="4" w:space="0" w:color="000000"/>
            </w:tcBorders>
            <w:shd w:val="clear" w:color="auto" w:fill="D2D2D2"/>
          </w:tcPr>
          <w:p>
            <w:pPr/>
          </w:p>
        </w:tc>
        <w:tc>
          <w:tcPr>
            <w:tcW w:w="934" w:type="dxa"/>
            <w:tcBorders>
              <w:top w:val="nil" w:sz="6" w:space="0" w:color="auto"/>
              <w:left w:val="single" w:sz="4" w:space="0" w:color="000000"/>
              <w:bottom w:val="single" w:sz="4" w:space="0" w:color="000000"/>
              <w:right w:val="single" w:sz="4" w:space="0" w:color="000000"/>
            </w:tcBorders>
            <w:shd w:val="clear" w:color="auto" w:fill="D2D2D2"/>
          </w:tcPr>
          <w:p>
            <w:pPr/>
          </w:p>
        </w:tc>
        <w:tc>
          <w:tcPr>
            <w:tcW w:w="931" w:type="dxa"/>
            <w:vMerge/>
            <w:tcBorders>
              <w:left w:val="single" w:sz="4" w:space="0" w:color="000000"/>
              <w:bottom w:val="single" w:sz="4" w:space="0" w:color="000000"/>
              <w:right w:val="single" w:sz="4" w:space="0" w:color="000000"/>
            </w:tcBorders>
            <w:shd w:val="clear" w:color="auto" w:fill="D2D2D2"/>
          </w:tcPr>
          <w:p>
            <w:pPr/>
          </w:p>
        </w:tc>
      </w:tr>
      <w:tr>
        <w:trPr>
          <w:trHeight w:val="1027" w:hRule="exact"/>
        </w:trPr>
        <w:tc>
          <w:tcPr>
            <w:tcW w:w="16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48"/>
              <w:jc w:val="both"/>
              <w:rPr>
                <w:rFonts w:ascii="宋体" w:hAnsi="宋体" w:cs="宋体" w:eastAsia="宋体" w:hint="default"/>
                <w:sz w:val="18"/>
                <w:szCs w:val="18"/>
              </w:rPr>
            </w:pPr>
            <w:r>
              <w:rPr>
                <w:rFonts w:ascii="宋体" w:hAnsi="宋体" w:cs="宋体" w:eastAsia="宋体" w:hint="default"/>
                <w:sz w:val="18"/>
                <w:szCs w:val="18"/>
              </w:rPr>
              <w:t>单项金额重大并单 独计提坏账准备的 其他应收款</w:t>
            </w:r>
          </w:p>
        </w:tc>
        <w:tc>
          <w:tcPr>
            <w:tcW w:w="77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5" w:right="0"/>
              <w:jc w:val="left"/>
              <w:rPr>
                <w:rFonts w:ascii="Times New Roman" w:hAnsi="Times New Roman" w:cs="Times New Roman" w:eastAsia="Times New Roman" w:hint="default"/>
                <w:sz w:val="18"/>
                <w:szCs w:val="18"/>
              </w:rPr>
            </w:pPr>
            <w:r>
              <w:rPr>
                <w:rFonts w:ascii="Times New Roman"/>
                <w:sz w:val="18"/>
              </w:rPr>
              <w:t>3,000,00</w:t>
            </w:r>
          </w:p>
          <w:p>
            <w:pPr>
              <w:pStyle w:val="TableParagraph"/>
              <w:spacing w:line="240" w:lineRule="auto" w:before="105"/>
              <w:ind w:left="422" w:right="0"/>
              <w:jc w:val="left"/>
              <w:rPr>
                <w:rFonts w:ascii="Times New Roman" w:hAnsi="Times New Roman" w:cs="Times New Roman" w:eastAsia="Times New Roman" w:hint="default"/>
                <w:sz w:val="18"/>
                <w:szCs w:val="18"/>
              </w:rPr>
            </w:pPr>
            <w:r>
              <w:rPr>
                <w:rFonts w:ascii="Times New Roman"/>
                <w:sz w:val="18"/>
              </w:rPr>
              <w:t>0.00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10.60%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3,000,00</w:t>
            </w:r>
          </w:p>
          <w:p>
            <w:pPr>
              <w:pStyle w:val="TableParagraph"/>
              <w:spacing w:line="240" w:lineRule="auto" w:before="105"/>
              <w:ind w:left="415" w:right="0"/>
              <w:jc w:val="left"/>
              <w:rPr>
                <w:rFonts w:ascii="Times New Roman" w:hAnsi="Times New Roman" w:cs="Times New Roman" w:eastAsia="Times New Roman" w:hint="default"/>
                <w:sz w:val="18"/>
                <w:szCs w:val="18"/>
              </w:rPr>
            </w:pPr>
            <w:r>
              <w:rPr>
                <w:rFonts w:ascii="Times New Roman"/>
                <w:sz w:val="18"/>
              </w:rPr>
              <w:t>0.00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2" w:right="0"/>
              <w:jc w:val="center"/>
              <w:rPr>
                <w:rFonts w:ascii="Times New Roman" w:hAnsi="Times New Roman" w:cs="Times New Roman" w:eastAsia="Times New Roman" w:hint="default"/>
                <w:sz w:val="18"/>
                <w:szCs w:val="18"/>
              </w:rPr>
            </w:pPr>
            <w:r>
              <w:rPr>
                <w:rFonts w:ascii="Times New Roman"/>
                <w:sz w:val="18"/>
              </w:rPr>
              <w:t>3,000,0</w:t>
            </w:r>
          </w:p>
          <w:p>
            <w:pPr>
              <w:pStyle w:val="TableParagraph"/>
              <w:spacing w:line="240" w:lineRule="auto" w:before="105"/>
              <w:ind w:left="197" w:right="0"/>
              <w:jc w:val="center"/>
              <w:rPr>
                <w:rFonts w:ascii="Times New Roman" w:hAnsi="Times New Roman" w:cs="Times New Roman" w:eastAsia="Times New Roman" w:hint="default"/>
                <w:sz w:val="18"/>
                <w:szCs w:val="18"/>
              </w:rPr>
            </w:pPr>
            <w:r>
              <w:rPr>
                <w:rFonts w:ascii="Times New Roman"/>
                <w:sz w:val="18"/>
              </w:rPr>
              <w:t>00.00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8.74%</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3,000,000</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.00</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100.00%</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5" w:hRule="exact"/>
        </w:trPr>
        <w:tc>
          <w:tcPr>
            <w:tcW w:w="16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48"/>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其他应收款</w:t>
            </w:r>
          </w:p>
        </w:tc>
        <w:tc>
          <w:tcPr>
            <w:tcW w:w="77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5" w:right="0"/>
              <w:jc w:val="left"/>
              <w:rPr>
                <w:rFonts w:ascii="Times New Roman" w:hAnsi="Times New Roman" w:cs="Times New Roman" w:eastAsia="Times New Roman" w:hint="default"/>
                <w:sz w:val="18"/>
                <w:szCs w:val="18"/>
              </w:rPr>
            </w:pPr>
            <w:r>
              <w:rPr>
                <w:rFonts w:ascii="Times New Roman"/>
                <w:sz w:val="18"/>
              </w:rPr>
              <w:t>25,301,0</w:t>
            </w:r>
          </w:p>
          <w:p>
            <w:pPr>
              <w:pStyle w:val="TableParagraph"/>
              <w:spacing w:line="240" w:lineRule="auto" w:before="102"/>
              <w:ind w:left="331" w:right="0"/>
              <w:jc w:val="left"/>
              <w:rPr>
                <w:rFonts w:ascii="Times New Roman" w:hAnsi="Times New Roman" w:cs="Times New Roman" w:eastAsia="Times New Roman" w:hint="default"/>
                <w:sz w:val="18"/>
                <w:szCs w:val="18"/>
              </w:rPr>
            </w:pPr>
            <w:r>
              <w:rPr>
                <w:rFonts w:ascii="Times New Roman"/>
                <w:sz w:val="18"/>
              </w:rPr>
              <w:t>64.69</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89.40%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72,285.7</w:t>
            </w:r>
          </w:p>
          <w:p>
            <w:pPr>
              <w:pStyle w:val="TableParagraph"/>
              <w:spacing w:line="240" w:lineRule="auto" w:before="102"/>
              <w:ind w:right="23"/>
              <w:jc w:val="right"/>
              <w:rPr>
                <w:rFonts w:ascii="Times New Roman" w:hAnsi="Times New Roman" w:cs="Times New Roman" w:eastAsia="Times New Roman" w:hint="default"/>
                <w:sz w:val="18"/>
                <w:szCs w:val="18"/>
              </w:rPr>
            </w:pPr>
            <w:r>
              <w:rPr>
                <w:rFonts w:ascii="Times New Roman"/>
                <w:sz w:val="18"/>
              </w:rPr>
              <w:t>6</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0.29%</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5" w:right="0"/>
              <w:jc w:val="left"/>
              <w:rPr>
                <w:rFonts w:ascii="Times New Roman" w:hAnsi="Times New Roman" w:cs="Times New Roman" w:eastAsia="Times New Roman" w:hint="default"/>
                <w:sz w:val="18"/>
                <w:szCs w:val="18"/>
              </w:rPr>
            </w:pPr>
            <w:r>
              <w:rPr>
                <w:rFonts w:ascii="Times New Roman"/>
                <w:sz w:val="18"/>
              </w:rPr>
              <w:t>25,228,77</w:t>
            </w:r>
          </w:p>
          <w:p>
            <w:pPr>
              <w:pStyle w:val="TableParagraph"/>
              <w:spacing w:line="240" w:lineRule="auto" w:before="102"/>
              <w:ind w:left="441" w:right="0"/>
              <w:jc w:val="left"/>
              <w:rPr>
                <w:rFonts w:ascii="Times New Roman" w:hAnsi="Times New Roman" w:cs="Times New Roman" w:eastAsia="Times New Roman" w:hint="default"/>
                <w:sz w:val="18"/>
                <w:szCs w:val="18"/>
              </w:rPr>
            </w:pPr>
            <w:r>
              <w:rPr>
                <w:rFonts w:ascii="Times New Roman"/>
                <w:sz w:val="18"/>
              </w:rPr>
              <w:t>8.93</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30,990,</w:t>
            </w:r>
          </w:p>
          <w:p>
            <w:pPr>
              <w:pStyle w:val="TableParagraph"/>
              <w:spacing w:line="240" w:lineRule="auto" w:before="102"/>
              <w:ind w:left="129" w:right="0"/>
              <w:jc w:val="left"/>
              <w:rPr>
                <w:rFonts w:ascii="Times New Roman" w:hAnsi="Times New Roman" w:cs="Times New Roman" w:eastAsia="Times New Roman" w:hint="default"/>
                <w:sz w:val="18"/>
                <w:szCs w:val="18"/>
              </w:rPr>
            </w:pPr>
            <w:r>
              <w:rPr>
                <w:rFonts w:ascii="Times New Roman"/>
                <w:sz w:val="18"/>
              </w:rPr>
              <w:t>974.88</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90.21%</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741,358.0</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5</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2.39%</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30,249,616.</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83</w:t>
            </w:r>
          </w:p>
        </w:tc>
      </w:tr>
      <w:tr>
        <w:trPr>
          <w:trHeight w:val="1027" w:hRule="exact"/>
        </w:trPr>
        <w:tc>
          <w:tcPr>
            <w:tcW w:w="16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48"/>
              <w:jc w:val="both"/>
              <w:rPr>
                <w:rFonts w:ascii="宋体" w:hAnsi="宋体" w:cs="宋体" w:eastAsia="宋体" w:hint="default"/>
                <w:sz w:val="18"/>
                <w:szCs w:val="18"/>
              </w:rPr>
            </w:pPr>
            <w:r>
              <w:rPr>
                <w:rFonts w:ascii="宋体" w:hAnsi="宋体" w:cs="宋体" w:eastAsia="宋体" w:hint="default"/>
                <w:sz w:val="18"/>
                <w:szCs w:val="18"/>
              </w:rPr>
              <w:t>单项金额不重大但 单独计提坏账准备 的其他应收款</w:t>
            </w:r>
          </w:p>
        </w:tc>
        <w:tc>
          <w:tcPr>
            <w:tcW w:w="77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22" w:right="0"/>
              <w:jc w:val="left"/>
              <w:rPr>
                <w:rFonts w:ascii="Times New Roman" w:hAnsi="Times New Roman" w:cs="Times New Roman" w:eastAsia="Times New Roman" w:hint="default"/>
                <w:sz w:val="18"/>
                <w:szCs w:val="18"/>
              </w:rPr>
            </w:pPr>
            <w:r>
              <w:rPr>
                <w:rFonts w:ascii="Times New Roman"/>
                <w:sz w:val="18"/>
              </w:rPr>
              <w:t>0.00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15" w:right="0"/>
              <w:jc w:val="left"/>
              <w:rPr>
                <w:rFonts w:ascii="Times New Roman" w:hAnsi="Times New Roman" w:cs="Times New Roman" w:eastAsia="Times New Roman" w:hint="default"/>
                <w:sz w:val="18"/>
                <w:szCs w:val="18"/>
              </w:rPr>
            </w:pPr>
            <w:r>
              <w:rPr>
                <w:rFonts w:ascii="Times New Roman"/>
                <w:sz w:val="18"/>
              </w:rPr>
              <w:t>0.00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8" w:right="0"/>
              <w:jc w:val="left"/>
              <w:rPr>
                <w:rFonts w:ascii="Times New Roman" w:hAnsi="Times New Roman" w:cs="Times New Roman" w:eastAsia="Times New Roman" w:hint="default"/>
                <w:sz w:val="18"/>
                <w:szCs w:val="18"/>
              </w:rPr>
            </w:pPr>
            <w:r>
              <w:rPr>
                <w:rFonts w:ascii="Times New Roman"/>
                <w:sz w:val="18"/>
              </w:rPr>
              <w:t>361,500</w:t>
            </w:r>
          </w:p>
          <w:p>
            <w:pPr>
              <w:pStyle w:val="TableParagraph"/>
              <w:spacing w:line="240" w:lineRule="auto" w:before="105"/>
              <w:ind w:left="398" w:right="0"/>
              <w:jc w:val="left"/>
              <w:rPr>
                <w:rFonts w:ascii="Times New Roman" w:hAnsi="Times New Roman" w:cs="Times New Roman" w:eastAsia="Times New Roman" w:hint="default"/>
                <w:sz w:val="18"/>
                <w:szCs w:val="18"/>
              </w:rPr>
            </w:pPr>
            <w:r>
              <w:rPr>
                <w:rFonts w:ascii="Times New Roman"/>
                <w:sz w:val="18"/>
              </w:rPr>
              <w:t>.00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1.05%</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361,500.0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100.00%</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634"/>
        <w:gridCol w:w="763"/>
        <w:gridCol w:w="761"/>
        <w:gridCol w:w="763"/>
        <w:gridCol w:w="763"/>
        <w:gridCol w:w="788"/>
        <w:gridCol w:w="655"/>
        <w:gridCol w:w="761"/>
        <w:gridCol w:w="814"/>
        <w:gridCol w:w="934"/>
        <w:gridCol w:w="931"/>
      </w:tblGrid>
      <w:tr>
        <w:trPr>
          <w:trHeight w:val="716" w:hRule="exact"/>
        </w:trPr>
        <w:tc>
          <w:tcPr>
            <w:tcW w:w="16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0" w:right="0"/>
              <w:jc w:val="left"/>
              <w:rPr>
                <w:rFonts w:ascii="Times New Roman" w:hAnsi="Times New Roman" w:cs="Times New Roman" w:eastAsia="Times New Roman" w:hint="default"/>
                <w:sz w:val="18"/>
                <w:szCs w:val="18"/>
              </w:rPr>
            </w:pPr>
            <w:r>
              <w:rPr>
                <w:rFonts w:ascii="Times New Roman"/>
                <w:sz w:val="18"/>
              </w:rPr>
              <w:t>28,301,0</w:t>
            </w:r>
          </w:p>
          <w:p>
            <w:pPr>
              <w:pStyle w:val="TableParagraph"/>
              <w:spacing w:line="240" w:lineRule="auto" w:before="105"/>
              <w:ind w:left="326" w:right="0"/>
              <w:jc w:val="left"/>
              <w:rPr>
                <w:rFonts w:ascii="Times New Roman" w:hAnsi="Times New Roman" w:cs="Times New Roman" w:eastAsia="Times New Roman" w:hint="default"/>
                <w:sz w:val="18"/>
                <w:szCs w:val="18"/>
              </w:rPr>
            </w:pPr>
            <w:r>
              <w:rPr>
                <w:rFonts w:ascii="Times New Roman"/>
                <w:sz w:val="18"/>
              </w:rPr>
              <w:t>64.69</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8" w:right="0"/>
              <w:jc w:val="left"/>
              <w:rPr>
                <w:rFonts w:ascii="Times New Roman" w:hAnsi="Times New Roman" w:cs="Times New Roman" w:eastAsia="Times New Roman" w:hint="default"/>
                <w:sz w:val="18"/>
                <w:szCs w:val="18"/>
              </w:rPr>
            </w:pPr>
            <w:r>
              <w:rPr>
                <w:rFonts w:ascii="Times New Roman"/>
                <w:sz w:val="18"/>
              </w:rPr>
              <w:t>3,072,28</w:t>
            </w:r>
          </w:p>
          <w:p>
            <w:pPr>
              <w:pStyle w:val="TableParagraph"/>
              <w:spacing w:line="240" w:lineRule="auto" w:before="105"/>
              <w:ind w:left="415" w:right="0"/>
              <w:jc w:val="left"/>
              <w:rPr>
                <w:rFonts w:ascii="Times New Roman" w:hAnsi="Times New Roman" w:cs="Times New Roman" w:eastAsia="Times New Roman" w:hint="default"/>
                <w:sz w:val="18"/>
                <w:szCs w:val="18"/>
              </w:rPr>
            </w:pPr>
            <w:r>
              <w:rPr>
                <w:rFonts w:ascii="Times New Roman"/>
                <w:sz w:val="18"/>
              </w:rPr>
              <w:t>5.76</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25,228,77</w:t>
            </w:r>
          </w:p>
          <w:p>
            <w:pPr>
              <w:pStyle w:val="TableParagraph"/>
              <w:spacing w:line="240" w:lineRule="auto" w:before="105"/>
              <w:ind w:left="441" w:right="0"/>
              <w:jc w:val="left"/>
              <w:rPr>
                <w:rFonts w:ascii="Times New Roman" w:hAnsi="Times New Roman" w:cs="Times New Roman" w:eastAsia="Times New Roman" w:hint="default"/>
                <w:sz w:val="18"/>
                <w:szCs w:val="18"/>
              </w:rPr>
            </w:pPr>
            <w:r>
              <w:rPr>
                <w:rFonts w:ascii="Times New Roman"/>
                <w:sz w:val="18"/>
              </w:rPr>
              <w:t>8.93</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3" w:right="0"/>
              <w:jc w:val="left"/>
              <w:rPr>
                <w:rFonts w:ascii="Times New Roman" w:hAnsi="Times New Roman" w:cs="Times New Roman" w:eastAsia="Times New Roman" w:hint="default"/>
                <w:sz w:val="18"/>
                <w:szCs w:val="18"/>
              </w:rPr>
            </w:pPr>
            <w:r>
              <w:rPr>
                <w:rFonts w:ascii="Times New Roman"/>
                <w:sz w:val="18"/>
              </w:rPr>
              <w:t>34,352,</w:t>
            </w:r>
          </w:p>
          <w:p>
            <w:pPr>
              <w:pStyle w:val="TableParagraph"/>
              <w:spacing w:line="240" w:lineRule="auto" w:before="105"/>
              <w:ind w:left="129" w:right="0"/>
              <w:jc w:val="left"/>
              <w:rPr>
                <w:rFonts w:ascii="Times New Roman" w:hAnsi="Times New Roman" w:cs="Times New Roman" w:eastAsia="Times New Roman" w:hint="default"/>
                <w:sz w:val="18"/>
                <w:szCs w:val="18"/>
              </w:rPr>
            </w:pPr>
            <w:r>
              <w:rPr>
                <w:rFonts w:ascii="Times New Roman"/>
                <w:sz w:val="18"/>
              </w:rPr>
              <w:t>474.88</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4,102,858</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.05</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30,249,616.</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83</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pStyle w:val="BodyText"/>
        <w:spacing w:line="240" w:lineRule="auto" w:before="49"/>
        <w:ind w:right="-20"/>
        <w:jc w:val="left"/>
      </w:pPr>
      <w:r>
        <w:rPr/>
        <w:t>期末单项金额重大并单项计提坏账准备的其他应收款：</w:t>
      </w:r>
    </w:p>
    <w:p>
      <w:pPr>
        <w:pStyle w:val="BodyText"/>
        <w:spacing w:line="240" w:lineRule="auto" w:before="115"/>
        <w:ind w:right="-2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21"/>
          <w:szCs w:val="21"/>
        </w:rPr>
      </w:pPr>
    </w:p>
    <w:p>
      <w:pPr>
        <w:pStyle w:val="BodyText"/>
        <w:spacing w:line="240" w:lineRule="auto"/>
        <w:ind w:right="0"/>
        <w:jc w:val="left"/>
      </w:pPr>
      <w:r>
        <w:rPr/>
        <w:t>单位：</w:t>
      </w:r>
      <w:r>
        <w:rPr>
          <w:spacing w:val="1"/>
        </w:rPr>
        <w:t> </w:t>
      </w:r>
      <w:r>
        <w:rPr/>
        <w:t>元</w:t>
      </w:r>
    </w:p>
    <w:p>
      <w:pPr>
        <w:spacing w:after="0" w:line="240" w:lineRule="auto"/>
        <w:jc w:val="left"/>
        <w:sectPr>
          <w:type w:val="continuous"/>
          <w:pgSz w:w="11910" w:h="16840"/>
          <w:pgMar w:top="1060" w:bottom="1160" w:left="980" w:right="0"/>
          <w:cols w:num="2" w:equalWidth="0">
            <w:col w:w="4473" w:space="4356"/>
            <w:col w:w="2101"/>
          </w:cols>
        </w:sectPr>
      </w:pP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696"/>
        <w:gridCol w:w="1719"/>
        <w:gridCol w:w="1719"/>
        <w:gridCol w:w="1718"/>
        <w:gridCol w:w="1721"/>
      </w:tblGrid>
      <w:tr>
        <w:trPr>
          <w:trHeight w:val="403" w:hRule="exact"/>
        </w:trPr>
        <w:tc>
          <w:tcPr>
            <w:tcW w:w="26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42" w:right="0"/>
              <w:jc w:val="left"/>
              <w:rPr>
                <w:rFonts w:ascii="宋体" w:hAnsi="宋体" w:cs="宋体" w:eastAsia="宋体" w:hint="default"/>
                <w:sz w:val="18"/>
                <w:szCs w:val="18"/>
              </w:rPr>
            </w:pPr>
            <w:r>
              <w:rPr>
                <w:rFonts w:ascii="宋体" w:hAnsi="宋体" w:cs="宋体" w:eastAsia="宋体" w:hint="default"/>
                <w:sz w:val="18"/>
                <w:szCs w:val="18"/>
              </w:rPr>
              <w:t>其他应收款（按单位）</w:t>
            </w:r>
          </w:p>
        </w:tc>
        <w:tc>
          <w:tcPr>
            <w:tcW w:w="6878"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2696" w:type="dxa"/>
            <w:vMerge/>
            <w:tcBorders>
              <w:left w:val="single" w:sz="4" w:space="0" w:color="000000"/>
              <w:bottom w:val="single" w:sz="4" w:space="0" w:color="000000"/>
              <w:right w:val="single" w:sz="4" w:space="0" w:color="000000"/>
            </w:tcBorders>
            <w:shd w:val="clear" w:color="auto" w:fill="D2D2D2"/>
          </w:tcPr>
          <w:p>
            <w:pPr/>
          </w:p>
        </w:tc>
        <w:tc>
          <w:tcPr>
            <w:tcW w:w="17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06"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7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94"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7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94"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17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计提理由</w:t>
            </w:r>
          </w:p>
        </w:tc>
      </w:tr>
      <w:tr>
        <w:trPr>
          <w:trHeight w:val="403" w:hRule="exact"/>
        </w:trPr>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北京老虎宝典科技有限责任公司</w:t>
            </w:r>
          </w:p>
        </w:tc>
        <w:tc>
          <w:tcPr>
            <w:tcW w:w="17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3,000,000.00</w:t>
            </w:r>
          </w:p>
        </w:tc>
        <w:tc>
          <w:tcPr>
            <w:tcW w:w="17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3,000,000.00</w:t>
            </w:r>
          </w:p>
        </w:tc>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41" w:right="0"/>
              <w:jc w:val="left"/>
              <w:rPr>
                <w:rFonts w:ascii="Times New Roman" w:hAnsi="Times New Roman" w:cs="Times New Roman" w:eastAsia="Times New Roman" w:hint="default"/>
                <w:sz w:val="18"/>
                <w:szCs w:val="18"/>
              </w:rPr>
            </w:pPr>
            <w:r>
              <w:rPr>
                <w:rFonts w:ascii="Times New Roman"/>
                <w:sz w:val="18"/>
              </w:rPr>
              <w:t>100.00%</w:t>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预计无法收回</w:t>
            </w:r>
          </w:p>
        </w:tc>
      </w:tr>
      <w:tr>
        <w:trPr>
          <w:trHeight w:val="401" w:hRule="exact"/>
        </w:trPr>
        <w:tc>
          <w:tcPr>
            <w:tcW w:w="26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7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3,000,000.00</w:t>
            </w:r>
          </w:p>
        </w:tc>
        <w:tc>
          <w:tcPr>
            <w:tcW w:w="17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3,000,000.00</w:t>
            </w:r>
          </w:p>
        </w:tc>
        <w:tc>
          <w:tcPr>
            <w:tcW w:w="17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7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type w:val="continuous"/>
          <w:pgSz w:w="11910" w:h="16840"/>
          <w:pgMar w:top="1060" w:bottom="1160" w:left="980" w:right="0"/>
        </w:sectPr>
      </w:pPr>
    </w:p>
    <w:p>
      <w:pPr>
        <w:pStyle w:val="BodyText"/>
        <w:spacing w:line="240" w:lineRule="auto" w:before="49"/>
        <w:ind w:right="-20"/>
        <w:jc w:val="left"/>
      </w:pPr>
      <w:r>
        <w:rPr/>
        <w:t>组合中，按账龄分析法计提坏账准备的其他应收款：</w:t>
      </w:r>
    </w:p>
    <w:p>
      <w:pPr>
        <w:pStyle w:val="BodyText"/>
        <w:spacing w:line="240" w:lineRule="auto" w:before="118"/>
        <w:ind w:right="-2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21"/>
          <w:szCs w:val="21"/>
        </w:rPr>
      </w:pPr>
    </w:p>
    <w:p>
      <w:pPr>
        <w:pStyle w:val="BodyText"/>
        <w:spacing w:line="240" w:lineRule="auto"/>
        <w:ind w:right="0"/>
        <w:jc w:val="left"/>
      </w:pPr>
      <w:r>
        <w:rPr/>
        <w:t>单位：</w:t>
      </w:r>
      <w:r>
        <w:rPr>
          <w:spacing w:val="1"/>
        </w:rPr>
        <w:t> </w:t>
      </w:r>
      <w:r>
        <w:rPr/>
        <w:t>元</w:t>
      </w:r>
    </w:p>
    <w:p>
      <w:pPr>
        <w:spacing w:after="0" w:line="240" w:lineRule="auto"/>
        <w:jc w:val="left"/>
        <w:sectPr>
          <w:type w:val="continuous"/>
          <w:pgSz w:w="11910" w:h="16840"/>
          <w:pgMar w:top="1060" w:bottom="1160" w:left="980" w:right="0"/>
          <w:cols w:num="2" w:equalWidth="0">
            <w:col w:w="4293" w:space="4536"/>
            <w:col w:w="2101"/>
          </w:cols>
        </w:sectPr>
      </w:pP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374"/>
        <w:gridCol w:w="2399"/>
        <w:gridCol w:w="2393"/>
        <w:gridCol w:w="2393"/>
      </w:tblGrid>
      <w:tr>
        <w:trPr>
          <w:trHeight w:val="206" w:hRule="exact"/>
        </w:trPr>
        <w:tc>
          <w:tcPr>
            <w:tcW w:w="2374" w:type="dxa"/>
            <w:tcBorders>
              <w:top w:val="single" w:sz="4" w:space="0" w:color="000000"/>
              <w:left w:val="single" w:sz="4" w:space="0" w:color="000000"/>
              <w:bottom w:val="nil" w:sz="6" w:space="0" w:color="auto"/>
              <w:right w:val="single" w:sz="4" w:space="0" w:color="000000"/>
            </w:tcBorders>
            <w:shd w:val="clear" w:color="auto" w:fill="D2D2D2"/>
          </w:tcPr>
          <w:p>
            <w:pPr/>
          </w:p>
        </w:tc>
        <w:tc>
          <w:tcPr>
            <w:tcW w:w="7185"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2" w:hRule="exact"/>
        </w:trPr>
        <w:tc>
          <w:tcPr>
            <w:tcW w:w="237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4"/>
              <w:jc w:val="center"/>
              <w:rPr>
                <w:rFonts w:ascii="宋体" w:hAnsi="宋体" w:cs="宋体" w:eastAsia="宋体" w:hint="default"/>
                <w:sz w:val="18"/>
                <w:szCs w:val="18"/>
              </w:rPr>
            </w:pPr>
            <w:r>
              <w:rPr>
                <w:rFonts w:ascii="宋体" w:hAnsi="宋体" w:cs="宋体" w:eastAsia="宋体" w:hint="default"/>
                <w:sz w:val="18"/>
                <w:szCs w:val="18"/>
              </w:rPr>
              <w:t>账龄</w:t>
            </w:r>
          </w:p>
        </w:tc>
        <w:tc>
          <w:tcPr>
            <w:tcW w:w="7185" w:type="dxa"/>
            <w:gridSpan w:val="3"/>
            <w:vMerge/>
            <w:tcBorders>
              <w:left w:val="single" w:sz="4" w:space="0" w:color="000000"/>
              <w:bottom w:val="single" w:sz="4" w:space="0" w:color="000000"/>
              <w:right w:val="single" w:sz="4" w:space="0" w:color="000000"/>
            </w:tcBorders>
            <w:shd w:val="clear" w:color="auto" w:fill="D2D2D2"/>
          </w:tcPr>
          <w:p>
            <w:pPr/>
          </w:p>
        </w:tc>
      </w:tr>
      <w:tr>
        <w:trPr>
          <w:trHeight w:val="199" w:hRule="exact"/>
        </w:trPr>
        <w:tc>
          <w:tcPr>
            <w:tcW w:w="2374" w:type="dxa"/>
            <w:vMerge/>
            <w:tcBorders>
              <w:left w:val="single" w:sz="4" w:space="0" w:color="000000"/>
              <w:bottom w:val="nil" w:sz="6" w:space="0" w:color="auto"/>
              <w:right w:val="single" w:sz="4" w:space="0" w:color="000000"/>
            </w:tcBorders>
            <w:shd w:val="clear" w:color="auto" w:fill="D2D2D2"/>
          </w:tcPr>
          <w:p>
            <w:pPr/>
          </w:p>
        </w:tc>
        <w:tc>
          <w:tcPr>
            <w:tcW w:w="239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746"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39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211" w:hRule="exact"/>
        </w:trPr>
        <w:tc>
          <w:tcPr>
            <w:tcW w:w="2374"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9" w:type="dxa"/>
            <w:vMerge/>
            <w:tcBorders>
              <w:left w:val="single" w:sz="4" w:space="0" w:color="000000"/>
              <w:bottom w:val="single" w:sz="4" w:space="0" w:color="000000"/>
              <w:right w:val="single" w:sz="4" w:space="0" w:color="000000"/>
            </w:tcBorders>
            <w:shd w:val="clear" w:color="auto" w:fill="D2D2D2"/>
          </w:tcPr>
          <w:p>
            <w:pPr/>
          </w:p>
        </w:tc>
        <w:tc>
          <w:tcPr>
            <w:tcW w:w="2393" w:type="dxa"/>
            <w:vMerge/>
            <w:tcBorders>
              <w:left w:val="single" w:sz="4" w:space="0" w:color="000000"/>
              <w:bottom w:val="single" w:sz="4" w:space="0" w:color="000000"/>
              <w:right w:val="single" w:sz="4" w:space="0" w:color="000000"/>
            </w:tcBorders>
            <w:shd w:val="clear" w:color="auto" w:fill="D2D2D2"/>
          </w:tcPr>
          <w:p>
            <w:pPr/>
          </w:p>
        </w:tc>
        <w:tc>
          <w:tcPr>
            <w:tcW w:w="2393" w:type="dxa"/>
            <w:vMerge/>
            <w:tcBorders>
              <w:left w:val="single" w:sz="4" w:space="0" w:color="000000"/>
              <w:bottom w:val="single" w:sz="4" w:space="0" w:color="000000"/>
              <w:right w:val="single" w:sz="4" w:space="0" w:color="000000"/>
            </w:tcBorders>
            <w:shd w:val="clear" w:color="auto" w:fill="D2D2D2"/>
          </w:tcPr>
          <w:p>
            <w:pPr/>
          </w:p>
        </w:tc>
      </w:tr>
      <w:tr>
        <w:trPr>
          <w:trHeight w:val="398" w:hRule="exact"/>
        </w:trPr>
        <w:tc>
          <w:tcPr>
            <w:tcW w:w="955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年以内分项</w:t>
            </w:r>
          </w:p>
        </w:tc>
      </w:tr>
      <w:tr>
        <w:trPr>
          <w:trHeight w:val="401" w:hRule="exact"/>
        </w:trPr>
        <w:tc>
          <w:tcPr>
            <w:tcW w:w="23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239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2,245,590.73</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22,455.91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1.00%</w:t>
            </w:r>
          </w:p>
        </w:tc>
      </w:tr>
      <w:tr>
        <w:trPr>
          <w:trHeight w:val="403" w:hRule="exact"/>
        </w:trPr>
        <w:tc>
          <w:tcPr>
            <w:tcW w:w="23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10.00%</w:t>
            </w:r>
          </w:p>
        </w:tc>
      </w:tr>
      <w:tr>
        <w:trPr>
          <w:trHeight w:val="401" w:hRule="exact"/>
        </w:trPr>
        <w:tc>
          <w:tcPr>
            <w:tcW w:w="23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50.00%</w:t>
            </w:r>
          </w:p>
        </w:tc>
      </w:tr>
      <w:tr>
        <w:trPr>
          <w:trHeight w:val="404" w:hRule="exact"/>
        </w:trPr>
        <w:tc>
          <w:tcPr>
            <w:tcW w:w="23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9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49,829.85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49,829.85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1" w:hRule="exact"/>
        </w:trPr>
        <w:tc>
          <w:tcPr>
            <w:tcW w:w="23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2,295,420.58</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72,285.76</w:t>
            </w:r>
          </w:p>
        </w:tc>
        <w:tc>
          <w:tcPr>
            <w:tcW w:w="2393" w:type="dxa"/>
            <w:tcBorders>
              <w:top w:val="single" w:sz="4" w:space="0" w:color="000000"/>
              <w:left w:val="single" w:sz="4" w:space="0" w:color="000000"/>
              <w:bottom w:val="single" w:sz="4" w:space="0" w:color="000000"/>
              <w:right w:val="single" w:sz="4" w:space="0" w:color="000000"/>
            </w:tcBorders>
          </w:tcPr>
          <w:p>
            <w:pPr/>
          </w:p>
        </w:tc>
      </w:tr>
    </w:tbl>
    <w:p>
      <w:pPr>
        <w:pStyle w:val="BodyText"/>
        <w:spacing w:line="360" w:lineRule="auto" w:before="49"/>
        <w:ind w:right="6254"/>
        <w:jc w:val="left"/>
      </w:pPr>
      <w:r>
        <w:rPr/>
        <w:t>确定该组合依据的说明： 组合中，采用余额百分比法计提坏账准备的其他应收款：</w:t>
      </w:r>
    </w:p>
    <w:p>
      <w:pPr>
        <w:pStyle w:val="BodyText"/>
        <w:spacing w:line="340" w:lineRule="auto" w:before="25"/>
        <w:ind w:right="661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组合中，采用其他方法计提坏账准备的其他应收款：</w:t>
      </w:r>
    </w:p>
    <w:p>
      <w:pPr>
        <w:pStyle w:val="BodyText"/>
        <w:spacing w:line="240" w:lineRule="auto" w:before="41"/>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1"/>
        <w:rPr>
          <w:rFonts w:ascii="宋体" w:hAnsi="宋体" w:cs="宋体" w:eastAsia="宋体" w:hint="default"/>
          <w:sz w:val="7"/>
          <w:szCs w:val="7"/>
        </w:rPr>
      </w:pPr>
    </w:p>
    <w:tbl>
      <w:tblPr>
        <w:tblW w:w="0" w:type="auto"/>
        <w:jc w:val="left"/>
        <w:tblInd w:w="145" w:type="dxa"/>
        <w:tblLayout w:type="fixed"/>
        <w:tblCellMar>
          <w:top w:w="0" w:type="dxa"/>
          <w:left w:w="0" w:type="dxa"/>
          <w:bottom w:w="0" w:type="dxa"/>
          <w:right w:w="0" w:type="dxa"/>
        </w:tblCellMar>
        <w:tblLook w:val="01E0"/>
      </w:tblPr>
      <w:tblGrid>
        <w:gridCol w:w="2444"/>
        <w:gridCol w:w="2069"/>
        <w:gridCol w:w="2067"/>
        <w:gridCol w:w="2921"/>
      </w:tblGrid>
      <w:tr>
        <w:trPr>
          <w:trHeight w:val="348" w:hRule="exact"/>
        </w:trPr>
        <w:tc>
          <w:tcPr>
            <w:tcW w:w="2444" w:type="dxa"/>
            <w:vMerge w:val="restart"/>
            <w:tcBorders>
              <w:top w:val="single" w:sz="6" w:space="0" w:color="000000"/>
              <w:left w:val="single" w:sz="6" w:space="0" w:color="000000"/>
              <w:right w:val="single" w:sz="6" w:space="0" w:color="000000"/>
            </w:tcBorders>
            <w:shd w:val="clear" w:color="auto" w:fill="D9D9D9"/>
          </w:tcPr>
          <w:p>
            <w:pPr>
              <w:pStyle w:val="TableParagraph"/>
              <w:spacing w:line="240" w:lineRule="auto" w:before="177"/>
              <w:ind w:right="0"/>
              <w:jc w:val="center"/>
              <w:rPr>
                <w:rFonts w:ascii="宋体" w:hAnsi="宋体" w:cs="宋体" w:eastAsia="宋体" w:hint="default"/>
                <w:sz w:val="20"/>
                <w:szCs w:val="20"/>
              </w:rPr>
            </w:pPr>
            <w:r>
              <w:rPr>
                <w:rFonts w:ascii="宋体" w:hAnsi="宋体" w:cs="宋体" w:eastAsia="宋体" w:hint="default"/>
                <w:sz w:val="20"/>
                <w:szCs w:val="20"/>
              </w:rPr>
              <w:t>组合名称</w:t>
            </w:r>
          </w:p>
        </w:tc>
        <w:tc>
          <w:tcPr>
            <w:tcW w:w="7058" w:type="dxa"/>
            <w:gridSpan w:val="3"/>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4"/>
              <w:ind w:right="0"/>
              <w:jc w:val="center"/>
              <w:rPr>
                <w:rFonts w:ascii="宋体" w:hAnsi="宋体" w:cs="宋体" w:eastAsia="宋体" w:hint="default"/>
                <w:sz w:val="20"/>
                <w:szCs w:val="20"/>
              </w:rPr>
            </w:pPr>
            <w:r>
              <w:rPr>
                <w:rFonts w:ascii="宋体" w:hAnsi="宋体" w:cs="宋体" w:eastAsia="宋体" w:hint="default"/>
                <w:sz w:val="20"/>
                <w:szCs w:val="20"/>
              </w:rPr>
              <w:t>年末余额</w:t>
            </w:r>
          </w:p>
        </w:tc>
      </w:tr>
      <w:tr>
        <w:trPr>
          <w:trHeight w:val="346" w:hRule="exact"/>
        </w:trPr>
        <w:tc>
          <w:tcPr>
            <w:tcW w:w="2444" w:type="dxa"/>
            <w:vMerge/>
            <w:tcBorders>
              <w:left w:val="single" w:sz="6" w:space="0" w:color="000000"/>
              <w:bottom w:val="single" w:sz="6" w:space="0" w:color="000000"/>
              <w:right w:val="single" w:sz="6" w:space="0" w:color="000000"/>
            </w:tcBorders>
            <w:shd w:val="clear" w:color="auto" w:fill="D9D9D9"/>
          </w:tcPr>
          <w:p>
            <w:pPr/>
          </w:p>
        </w:tc>
        <w:tc>
          <w:tcPr>
            <w:tcW w:w="2069"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
              <w:ind w:left="528" w:right="0"/>
              <w:jc w:val="left"/>
              <w:rPr>
                <w:rFonts w:ascii="宋体" w:hAnsi="宋体" w:cs="宋体" w:eastAsia="宋体" w:hint="default"/>
                <w:sz w:val="20"/>
                <w:szCs w:val="20"/>
              </w:rPr>
            </w:pPr>
            <w:r>
              <w:rPr>
                <w:rFonts w:ascii="宋体" w:hAnsi="宋体" w:cs="宋体" w:eastAsia="宋体" w:hint="default"/>
                <w:sz w:val="20"/>
                <w:szCs w:val="20"/>
              </w:rPr>
              <w:t>其他应收款</w:t>
            </w:r>
          </w:p>
        </w:tc>
        <w:tc>
          <w:tcPr>
            <w:tcW w:w="206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
              <w:ind w:left="626" w:right="0"/>
              <w:jc w:val="left"/>
              <w:rPr>
                <w:rFonts w:ascii="宋体" w:hAnsi="宋体" w:cs="宋体" w:eastAsia="宋体" w:hint="default"/>
                <w:sz w:val="20"/>
                <w:szCs w:val="20"/>
              </w:rPr>
            </w:pPr>
            <w:r>
              <w:rPr>
                <w:rFonts w:ascii="宋体" w:hAnsi="宋体" w:cs="宋体" w:eastAsia="宋体" w:hint="default"/>
                <w:sz w:val="20"/>
                <w:szCs w:val="20"/>
              </w:rPr>
              <w:t>坏账准备</w:t>
            </w:r>
          </w:p>
        </w:tc>
        <w:tc>
          <w:tcPr>
            <w:tcW w:w="2921"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
              <w:ind w:left="770" w:right="0"/>
              <w:jc w:val="left"/>
              <w:rPr>
                <w:rFonts w:ascii="宋体" w:hAnsi="宋体" w:cs="宋体" w:eastAsia="宋体" w:hint="default"/>
                <w:sz w:val="20"/>
                <w:szCs w:val="20"/>
              </w:rPr>
            </w:pPr>
            <w:r>
              <w:rPr>
                <w:rFonts w:ascii="宋体" w:hAnsi="宋体" w:cs="宋体" w:eastAsia="宋体" w:hint="default"/>
                <w:sz w:val="20"/>
                <w:szCs w:val="20"/>
              </w:rPr>
              <w:t>计提比例（</w:t>
            </w:r>
            <w:r>
              <w:rPr>
                <w:rFonts w:ascii="Times New Roman" w:hAnsi="Times New Roman" w:cs="Times New Roman" w:eastAsia="Times New Roman" w:hint="default"/>
                <w:sz w:val="20"/>
                <w:szCs w:val="20"/>
              </w:rPr>
              <w:t>%</w:t>
            </w:r>
            <w:r>
              <w:rPr>
                <w:rFonts w:ascii="宋体" w:hAnsi="宋体" w:cs="宋体" w:eastAsia="宋体" w:hint="default"/>
                <w:sz w:val="20"/>
                <w:szCs w:val="20"/>
              </w:rPr>
              <w:t>）</w:t>
            </w:r>
          </w:p>
        </w:tc>
      </w:tr>
      <w:tr>
        <w:trPr>
          <w:trHeight w:val="348" w:hRule="exact"/>
        </w:trPr>
        <w:tc>
          <w:tcPr>
            <w:tcW w:w="24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4" w:right="0"/>
              <w:jc w:val="left"/>
              <w:rPr>
                <w:rFonts w:ascii="宋体" w:hAnsi="宋体" w:cs="宋体" w:eastAsia="宋体" w:hint="default"/>
                <w:sz w:val="20"/>
                <w:szCs w:val="20"/>
              </w:rPr>
            </w:pPr>
            <w:r>
              <w:rPr>
                <w:rFonts w:ascii="宋体" w:hAnsi="宋体" w:cs="宋体" w:eastAsia="宋体" w:hint="default"/>
                <w:sz w:val="20"/>
                <w:szCs w:val="20"/>
              </w:rPr>
              <w:t>款项性质组合</w:t>
            </w:r>
          </w:p>
        </w:tc>
        <w:tc>
          <w:tcPr>
            <w:tcW w:w="20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w w:val="95"/>
                <w:sz w:val="20"/>
              </w:rPr>
              <w:t>21,901,962.00</w:t>
            </w:r>
            <w:r>
              <w:rPr>
                <w:rFonts w:ascii="Times New Roman"/>
                <w:sz w:val="20"/>
              </w:rPr>
            </w:r>
          </w:p>
        </w:tc>
        <w:tc>
          <w:tcPr>
            <w:tcW w:w="20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sz w:val="20"/>
              </w:rPr>
              <w:t>0.00</w:t>
            </w:r>
          </w:p>
        </w:tc>
        <w:tc>
          <w:tcPr>
            <w:tcW w:w="29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sz w:val="20"/>
              </w:rPr>
              <w:t>0.00</w:t>
            </w:r>
          </w:p>
        </w:tc>
      </w:tr>
      <w:tr>
        <w:trPr>
          <w:trHeight w:val="349" w:hRule="exact"/>
        </w:trPr>
        <w:tc>
          <w:tcPr>
            <w:tcW w:w="24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left="4" w:right="0"/>
              <w:jc w:val="left"/>
              <w:rPr>
                <w:rFonts w:ascii="宋体" w:hAnsi="宋体" w:cs="宋体" w:eastAsia="宋体" w:hint="default"/>
                <w:sz w:val="20"/>
                <w:szCs w:val="20"/>
              </w:rPr>
            </w:pPr>
            <w:r>
              <w:rPr>
                <w:rFonts w:ascii="宋体" w:hAnsi="宋体" w:cs="宋体" w:eastAsia="宋体" w:hint="default"/>
                <w:sz w:val="20"/>
                <w:szCs w:val="20"/>
              </w:rPr>
              <w:t>交易风险组合</w:t>
            </w:r>
          </w:p>
        </w:tc>
        <w:tc>
          <w:tcPr>
            <w:tcW w:w="20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9"/>
              <w:ind w:right="1"/>
              <w:jc w:val="right"/>
              <w:rPr>
                <w:rFonts w:ascii="Times New Roman" w:hAnsi="Times New Roman" w:cs="Times New Roman" w:eastAsia="Times New Roman" w:hint="default"/>
                <w:sz w:val="20"/>
                <w:szCs w:val="20"/>
              </w:rPr>
            </w:pPr>
            <w:r>
              <w:rPr>
                <w:rFonts w:ascii="Times New Roman"/>
                <w:w w:val="95"/>
                <w:sz w:val="20"/>
              </w:rPr>
              <w:t>1,103,682.11</w:t>
            </w:r>
            <w:r>
              <w:rPr>
                <w:rFonts w:ascii="Times New Roman"/>
                <w:sz w:val="20"/>
              </w:rPr>
            </w:r>
          </w:p>
        </w:tc>
        <w:tc>
          <w:tcPr>
            <w:tcW w:w="20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9"/>
              <w:ind w:right="1"/>
              <w:jc w:val="right"/>
              <w:rPr>
                <w:rFonts w:ascii="Times New Roman" w:hAnsi="Times New Roman" w:cs="Times New Roman" w:eastAsia="Times New Roman" w:hint="default"/>
                <w:sz w:val="20"/>
                <w:szCs w:val="20"/>
              </w:rPr>
            </w:pPr>
            <w:r>
              <w:rPr>
                <w:rFonts w:ascii="Times New Roman"/>
                <w:sz w:val="20"/>
              </w:rPr>
              <w:t>0.00</w:t>
            </w:r>
          </w:p>
        </w:tc>
        <w:tc>
          <w:tcPr>
            <w:tcW w:w="29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9"/>
              <w:ind w:right="1"/>
              <w:jc w:val="right"/>
              <w:rPr>
                <w:rFonts w:ascii="Times New Roman" w:hAnsi="Times New Roman" w:cs="Times New Roman" w:eastAsia="Times New Roman" w:hint="default"/>
                <w:sz w:val="20"/>
                <w:szCs w:val="20"/>
              </w:rPr>
            </w:pPr>
            <w:r>
              <w:rPr>
                <w:rFonts w:ascii="Times New Roman"/>
                <w:sz w:val="20"/>
              </w:rPr>
              <w:t>0.00</w:t>
            </w:r>
          </w:p>
        </w:tc>
      </w:tr>
      <w:tr>
        <w:trPr>
          <w:trHeight w:val="329" w:hRule="exact"/>
        </w:trPr>
        <w:tc>
          <w:tcPr>
            <w:tcW w:w="244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
              <w:ind w:left="4"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2069"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w w:val="95"/>
                <w:sz w:val="20"/>
              </w:rPr>
              <w:t>23,005,644.11</w:t>
            </w:r>
            <w:r>
              <w:rPr>
                <w:rFonts w:ascii="Times New Roman"/>
                <w:sz w:val="20"/>
              </w:rPr>
            </w:r>
          </w:p>
        </w:tc>
        <w:tc>
          <w:tcPr>
            <w:tcW w:w="206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sz w:val="20"/>
              </w:rPr>
              <w:t>0.00</w:t>
            </w:r>
          </w:p>
        </w:tc>
        <w:tc>
          <w:tcPr>
            <w:tcW w:w="2921"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37"/>
              <w:ind w:left="1" w:right="0"/>
              <w:jc w:val="center"/>
              <w:rPr>
                <w:rFonts w:ascii="Times New Roman" w:hAnsi="Times New Roman" w:cs="Times New Roman" w:eastAsia="Times New Roman" w:hint="default"/>
                <w:sz w:val="22"/>
                <w:szCs w:val="22"/>
              </w:rPr>
            </w:pPr>
            <w:r>
              <w:rPr>
                <w:rFonts w:ascii="Times New Roman" w:hAnsi="Times New Roman" w:cs="Times New Roman" w:eastAsia="Times New Roman" w:hint="default"/>
                <w:w w:val="100"/>
                <w:sz w:val="22"/>
                <w:szCs w:val="22"/>
              </w:rPr>
              <w:t>—</w:t>
            </w:r>
          </w:p>
        </w:tc>
      </w:tr>
    </w:tbl>
    <w:p>
      <w:pPr>
        <w:spacing w:after="0" w:line="240" w:lineRule="auto"/>
        <w:jc w:val="center"/>
        <w:rPr>
          <w:rFonts w:ascii="Times New Roman" w:hAnsi="Times New Roman" w:cs="Times New Roman" w:eastAsia="Times New Roman" w:hint="default"/>
          <w:sz w:val="22"/>
          <w:szCs w:val="22"/>
        </w:rPr>
        <w:sectPr>
          <w:type w:val="continuous"/>
          <w:pgSz w:w="11910" w:h="16840"/>
          <w:pgMar w:top="1060" w:bottom="1160" w:left="980" w:right="0"/>
        </w:sectPr>
      </w:pPr>
    </w:p>
    <w:p>
      <w:pPr>
        <w:pStyle w:val="BodyText"/>
        <w:spacing w:line="240" w:lineRule="auto" w:before="65"/>
        <w:ind w:right="-11"/>
        <w:jc w:val="left"/>
      </w:pPr>
      <w:r>
        <w:rPr>
          <w:rFonts w:ascii="Times New Roman" w:hAnsi="Times New Roman" w:cs="Times New Roman" w:eastAsia="Times New Roman" w:hint="default"/>
        </w:rPr>
        <w:t>2)</w:t>
      </w:r>
      <w:r>
        <w:rPr/>
        <w:t>本期计提、收回或转回的坏账准备情况</w:t>
      </w:r>
    </w:p>
    <w:p>
      <w:pPr>
        <w:pStyle w:val="BodyText"/>
        <w:spacing w:line="338" w:lineRule="auto" w:before="103"/>
        <w:ind w:right="-11"/>
        <w:jc w:val="left"/>
      </w:pPr>
      <w:r>
        <w:rPr/>
        <w:t>本期计提坏账准备金额</w:t>
      </w:r>
      <w:r>
        <w:rPr>
          <w:spacing w:val="-46"/>
        </w:rPr>
        <w:t> </w:t>
      </w:r>
      <w:r>
        <w:rPr>
          <w:rFonts w:ascii="Times New Roman" w:hAnsi="Times New Roman" w:cs="Times New Roman" w:eastAsia="Times New Roman" w:hint="default"/>
        </w:rPr>
        <w:t>148,097.10 </w:t>
      </w:r>
      <w:r>
        <w:rPr/>
        <w:t>元；本期收回或转回坏账准备金额</w:t>
      </w:r>
      <w:r>
        <w:rPr>
          <w:spacing w:val="-46"/>
        </w:rPr>
        <w:t> </w:t>
      </w:r>
      <w:r>
        <w:rPr>
          <w:rFonts w:ascii="Times New Roman" w:hAnsi="Times New Roman" w:cs="Times New Roman" w:eastAsia="Times New Roman" w:hint="default"/>
        </w:rPr>
        <w:t>0.00 </w:t>
      </w:r>
      <w:r>
        <w:rPr/>
        <w:t>元。 其中本期坏账准备转回或收回金额重要的：</w:t>
      </w:r>
    </w:p>
    <w:p>
      <w:pPr>
        <w:pStyle w:val="BodyText"/>
        <w:spacing w:line="240" w:lineRule="auto" w:before="43"/>
        <w:ind w:right="-11"/>
        <w:jc w:val="left"/>
      </w:pPr>
      <w:r>
        <w:rPr/>
        <w:t>无</w:t>
      </w:r>
    </w:p>
    <w:p>
      <w:pPr>
        <w:pStyle w:val="BodyText"/>
        <w:spacing w:line="240" w:lineRule="auto" w:before="117"/>
        <w:ind w:right="-11"/>
        <w:jc w:val="left"/>
      </w:pPr>
      <w:r>
        <w:rPr>
          <w:rFonts w:ascii="Times New Roman" w:hAnsi="Times New Roman" w:cs="Times New Roman" w:eastAsia="Times New Roman" w:hint="default"/>
        </w:rPr>
        <w:t>3)</w:t>
      </w:r>
      <w:r>
        <w:rPr/>
        <w:t>本期实际核销的其他应收款情况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13"/>
          <w:szCs w:val="13"/>
        </w:rPr>
      </w:pPr>
    </w:p>
    <w:p>
      <w:pPr>
        <w:pStyle w:val="BodyText"/>
        <w:spacing w:line="240" w:lineRule="auto"/>
        <w:ind w:right="0"/>
        <w:jc w:val="left"/>
      </w:pPr>
      <w:r>
        <w:rPr/>
        <w:t>单位：</w:t>
      </w:r>
      <w:r>
        <w:rPr>
          <w:spacing w:val="1"/>
        </w:rPr>
        <w:t> </w:t>
      </w:r>
      <w:r>
        <w:rPr/>
        <w:t>元</w:t>
      </w:r>
    </w:p>
    <w:p>
      <w:pPr>
        <w:spacing w:after="0" w:line="240" w:lineRule="auto"/>
        <w:jc w:val="left"/>
        <w:sectPr>
          <w:type w:val="continuous"/>
          <w:pgSz w:w="11910" w:h="16840"/>
          <w:pgMar w:top="1060" w:bottom="1160" w:left="980" w:right="0"/>
          <w:cols w:num="2" w:equalWidth="0">
            <w:col w:w="6325" w:space="2504"/>
            <w:col w:w="2101"/>
          </w:cols>
        </w:sectPr>
      </w:pP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781"/>
        <w:gridCol w:w="4789"/>
      </w:tblGrid>
      <w:tr>
        <w:trPr>
          <w:trHeight w:val="403" w:hRule="exact"/>
        </w:trPr>
        <w:tc>
          <w:tcPr>
            <w:tcW w:w="47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核销金额</w:t>
            </w:r>
          </w:p>
        </w:tc>
      </w:tr>
    </w:tbl>
    <w:p>
      <w:pPr>
        <w:spacing w:after="0" w:line="240" w:lineRule="auto"/>
        <w:jc w:val="center"/>
        <w:rPr>
          <w:rFonts w:ascii="宋体" w:hAnsi="宋体" w:cs="宋体" w:eastAsia="宋体" w:hint="default"/>
          <w:sz w:val="18"/>
          <w:szCs w:val="18"/>
        </w:rPr>
        <w:sectPr>
          <w:type w:val="continuous"/>
          <w:pgSz w:w="11910" w:h="16840"/>
          <w:pgMar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4782"/>
        <w:gridCol w:w="4789"/>
      </w:tblGrid>
      <w:tr>
        <w:trPr>
          <w:trHeight w:val="404"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实际核销的其他应收款</w:t>
            </w:r>
          </w:p>
        </w:tc>
        <w:tc>
          <w:tcPr>
            <w:tcW w:w="4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822,510.36</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pStyle w:val="BodyText"/>
        <w:spacing w:line="357" w:lineRule="auto" w:before="49"/>
        <w:ind w:right="-20"/>
        <w:jc w:val="left"/>
      </w:pPr>
      <w:r>
        <w:rPr/>
        <w:t>其中重要的其他应收款核销情况： 无 </w:t>
      </w:r>
      <w:r>
        <w:rPr>
          <w:rFonts w:ascii="Times New Roman" w:hAnsi="Times New Roman" w:cs="Times New Roman" w:eastAsia="Times New Roman" w:hint="default"/>
        </w:rPr>
        <w:t>4)</w:t>
      </w:r>
      <w:r>
        <w:rPr/>
        <w:t>其他应收款按款项性质分类情况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BodyText"/>
        <w:spacing w:line="240" w:lineRule="auto" w:before="160"/>
        <w:ind w:right="0"/>
        <w:jc w:val="left"/>
      </w:pPr>
      <w:r>
        <w:rPr/>
        <w:t>单位：</w:t>
      </w:r>
      <w:r>
        <w:rPr>
          <w:spacing w:val="1"/>
        </w:rPr>
        <w:t> </w:t>
      </w:r>
      <w:r>
        <w:rPr/>
        <w:t>元</w:t>
      </w:r>
    </w:p>
    <w:p>
      <w:pPr>
        <w:spacing w:after="0" w:line="240" w:lineRule="auto"/>
        <w:jc w:val="left"/>
        <w:sectPr>
          <w:type w:val="continuous"/>
          <w:pgSz w:w="11910" w:h="16840"/>
          <w:pgMar w:top="1060" w:bottom="1160" w:left="980" w:right="0"/>
          <w:cols w:num="2" w:equalWidth="0">
            <w:col w:w="2853" w:space="5976"/>
            <w:col w:w="2101"/>
          </w:cols>
        </w:sectPr>
      </w:pP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51"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51"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押金及保证金</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10,420,888.59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12,377,052.51</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员工备用金</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6,238,575.10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8,727,888.73</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6,858,415.77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10,292,139.16</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房租款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1,786,808.48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应收退税款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747,406.26</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2,996,376.75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2,207,988.22</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28,301,064.69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34,352,474.88</w:t>
            </w:r>
          </w:p>
        </w:tc>
      </w:tr>
    </w:tbl>
    <w:p>
      <w:pPr>
        <w:pStyle w:val="BodyText"/>
        <w:spacing w:line="240" w:lineRule="auto" w:before="49"/>
        <w:ind w:right="982"/>
        <w:jc w:val="left"/>
      </w:pPr>
      <w:r>
        <w:rPr>
          <w:rFonts w:ascii="Times New Roman" w:hAnsi="Times New Roman" w:cs="Times New Roman" w:eastAsia="Times New Roman" w:hint="default"/>
        </w:rPr>
        <w:t>5)</w:t>
      </w:r>
      <w:r>
        <w:rPr/>
        <w:t>按欠款方归集的期末余额前五名的其他应收款情况</w:t>
      </w:r>
    </w:p>
    <w:p>
      <w:pPr>
        <w:pStyle w:val="BodyText"/>
        <w:spacing w:line="240" w:lineRule="auto" w:before="101"/>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594"/>
        <w:gridCol w:w="1594"/>
        <w:gridCol w:w="1596"/>
        <w:gridCol w:w="1594"/>
        <w:gridCol w:w="1594"/>
        <w:gridCol w:w="1597"/>
      </w:tblGrid>
      <w:tr>
        <w:trPr>
          <w:trHeight w:val="715"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款项的性质</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72" w:right="71"/>
              <w:jc w:val="left"/>
              <w:rPr>
                <w:rFonts w:ascii="宋体" w:hAnsi="宋体" w:cs="宋体" w:eastAsia="宋体" w:hint="default"/>
                <w:sz w:val="18"/>
                <w:szCs w:val="18"/>
              </w:rPr>
            </w:pPr>
            <w:r>
              <w:rPr>
                <w:rFonts w:ascii="宋体" w:hAnsi="宋体" w:cs="宋体" w:eastAsia="宋体" w:hint="default"/>
                <w:sz w:val="18"/>
                <w:szCs w:val="18"/>
              </w:rPr>
              <w:t>占其他应收款期末 余额合计数的比例</w:t>
            </w:r>
          </w:p>
        </w:tc>
        <w:tc>
          <w:tcPr>
            <w:tcW w:w="15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72"/>
              <w:jc w:val="right"/>
              <w:rPr>
                <w:rFonts w:ascii="宋体" w:hAnsi="宋体" w:cs="宋体" w:eastAsia="宋体" w:hint="default"/>
                <w:sz w:val="18"/>
                <w:szCs w:val="18"/>
              </w:rPr>
            </w:pPr>
            <w:r>
              <w:rPr>
                <w:rFonts w:ascii="宋体" w:hAnsi="宋体" w:cs="宋体" w:eastAsia="宋体" w:hint="default"/>
                <w:sz w:val="18"/>
                <w:szCs w:val="18"/>
              </w:rPr>
              <w:t>坏账准备期末余额</w:t>
            </w:r>
          </w:p>
        </w:tc>
      </w:tr>
      <w:tr>
        <w:trPr>
          <w:trHeight w:val="713"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4" w:right="118"/>
              <w:jc w:val="left"/>
              <w:rPr>
                <w:rFonts w:ascii="宋体" w:hAnsi="宋体" w:cs="宋体" w:eastAsia="宋体" w:hint="default"/>
                <w:sz w:val="18"/>
                <w:szCs w:val="18"/>
              </w:rPr>
            </w:pPr>
            <w:r>
              <w:rPr>
                <w:rFonts w:ascii="宋体" w:hAnsi="宋体" w:cs="宋体" w:eastAsia="宋体" w:hint="default"/>
                <w:sz w:val="18"/>
                <w:szCs w:val="18"/>
              </w:rPr>
              <w:t>北京老虎宝典科技 有限责任公司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3,000,000.00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10.60%</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3,000,000.00</w:t>
            </w:r>
          </w:p>
        </w:tc>
      </w:tr>
      <w:tr>
        <w:trPr>
          <w:trHeight w:val="715"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18"/>
              <w:jc w:val="left"/>
              <w:rPr>
                <w:rFonts w:ascii="宋体" w:hAnsi="宋体" w:cs="宋体" w:eastAsia="宋体" w:hint="default"/>
                <w:sz w:val="18"/>
                <w:szCs w:val="18"/>
              </w:rPr>
            </w:pPr>
            <w:r>
              <w:rPr>
                <w:rFonts w:ascii="宋体" w:hAnsi="宋体" w:cs="宋体" w:eastAsia="宋体" w:hint="default"/>
                <w:sz w:val="18"/>
                <w:szCs w:val="18"/>
              </w:rPr>
              <w:t>普强信息技术（北 京）有限公司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房租款</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1,786,808.48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6.31%</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17,868.08</w:t>
            </w:r>
          </w:p>
        </w:tc>
      </w:tr>
      <w:tr>
        <w:trPr>
          <w:trHeight w:val="713"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4" w:right="118"/>
              <w:jc w:val="left"/>
              <w:rPr>
                <w:rFonts w:ascii="宋体" w:hAnsi="宋体" w:cs="宋体" w:eastAsia="宋体" w:hint="default"/>
                <w:sz w:val="18"/>
                <w:szCs w:val="18"/>
              </w:rPr>
            </w:pPr>
            <w:r>
              <w:rPr>
                <w:rFonts w:ascii="宋体" w:hAnsi="宋体" w:cs="宋体" w:eastAsia="宋体" w:hint="default"/>
                <w:sz w:val="18"/>
                <w:szCs w:val="18"/>
              </w:rPr>
              <w:t>辽宁恒隆地产有限 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押金及保证金</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1,020,369.45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3.60%</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18"/>
              <w:jc w:val="left"/>
              <w:rPr>
                <w:rFonts w:ascii="宋体" w:hAnsi="宋体" w:cs="宋体" w:eastAsia="宋体" w:hint="default"/>
                <w:sz w:val="18"/>
                <w:szCs w:val="18"/>
              </w:rPr>
            </w:pPr>
            <w:r>
              <w:rPr>
                <w:rFonts w:ascii="宋体" w:hAnsi="宋体" w:cs="宋体" w:eastAsia="宋体" w:hint="default"/>
                <w:sz w:val="18"/>
                <w:szCs w:val="18"/>
              </w:rPr>
              <w:t>武汉光谷资产投资 管理有限公司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押金及保证金</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636,416.88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2.25%</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4" w:right="118"/>
              <w:jc w:val="left"/>
              <w:rPr>
                <w:rFonts w:ascii="宋体" w:hAnsi="宋体" w:cs="宋体" w:eastAsia="宋体" w:hint="default"/>
                <w:sz w:val="18"/>
                <w:szCs w:val="18"/>
              </w:rPr>
            </w:pPr>
            <w:r>
              <w:rPr>
                <w:rFonts w:ascii="宋体" w:hAnsi="宋体" w:cs="宋体" w:eastAsia="宋体" w:hint="default"/>
                <w:sz w:val="18"/>
                <w:szCs w:val="18"/>
              </w:rPr>
              <w:t>上海杨浦中央社区 发展有限公司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押金及保证金</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576,068.21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2.04%</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596" w:type="dxa"/>
            <w:tcBorders>
              <w:top w:val="single" w:sz="4" w:space="0" w:color="000000"/>
              <w:left w:val="single" w:sz="10" w:space="0" w:color="D2D2D2"/>
              <w:bottom w:val="single" w:sz="4" w:space="0" w:color="000000"/>
              <w:right w:val="single" w:sz="10" w:space="0" w:color="D2D2D2"/>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pacing w:val="-1"/>
                <w:sz w:val="18"/>
              </w:rPr>
              <w:t>7,019,663.02</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24.80%</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3,017,868.08</w:t>
            </w:r>
          </w:p>
        </w:tc>
      </w:tr>
    </w:tbl>
    <w:p>
      <w:pPr>
        <w:pStyle w:val="BodyText"/>
        <w:spacing w:line="338" w:lineRule="auto" w:before="49"/>
        <w:ind w:right="8624"/>
        <w:jc w:val="left"/>
      </w:pPr>
      <w:r>
        <w:rPr>
          <w:rFonts w:ascii="Times New Roman" w:hAnsi="Times New Roman" w:cs="Times New Roman" w:eastAsia="Times New Roman" w:hint="default"/>
        </w:rPr>
        <w:t>6)</w:t>
      </w:r>
      <w:r>
        <w:rPr/>
        <w:t>涉及政府补助的应收款项</w:t>
      </w:r>
      <w:r>
        <w:rPr>
          <w:w w:val="99"/>
        </w:rPr>
        <w:t> </w:t>
      </w:r>
      <w:r>
        <w:rPr/>
        <w:t>无</w:t>
      </w:r>
    </w:p>
    <w:p>
      <w:pPr>
        <w:pStyle w:val="BodyText"/>
        <w:spacing w:line="338" w:lineRule="auto" w:before="43"/>
        <w:ind w:right="7364"/>
        <w:jc w:val="left"/>
      </w:pPr>
      <w:r>
        <w:rPr>
          <w:rFonts w:ascii="Times New Roman" w:hAnsi="Times New Roman" w:cs="Times New Roman" w:eastAsia="Times New Roman" w:hint="default"/>
        </w:rPr>
        <w:t>7)</w:t>
      </w:r>
      <w:r>
        <w:rPr/>
        <w:t>因金融资产转移而终止确认的其他应收款</w:t>
      </w:r>
      <w:r>
        <w:rPr>
          <w:w w:val="99"/>
        </w:rPr>
        <w:t> </w:t>
      </w:r>
      <w:r>
        <w:rPr/>
        <w:t>无</w:t>
      </w:r>
    </w:p>
    <w:p>
      <w:pPr>
        <w:pStyle w:val="BodyText"/>
        <w:spacing w:line="340" w:lineRule="auto" w:before="43"/>
        <w:ind w:right="6644"/>
        <w:jc w:val="left"/>
      </w:pPr>
      <w:r>
        <w:rPr>
          <w:rFonts w:ascii="Times New Roman" w:hAnsi="Times New Roman" w:cs="Times New Roman" w:eastAsia="Times New Roman" w:hint="default"/>
        </w:rPr>
        <w:t>8)</w:t>
      </w:r>
      <w:r>
        <w:rPr/>
        <w:t>转移其他应收款且继续涉入形成的资产、负债金额</w:t>
      </w:r>
      <w:r>
        <w:rPr>
          <w:w w:val="99"/>
        </w:rPr>
        <w:t> </w:t>
      </w:r>
      <w:r>
        <w:rPr/>
        <w:t>无</w:t>
      </w:r>
    </w:p>
    <w:p>
      <w:pPr>
        <w:spacing w:line="240" w:lineRule="auto" w:before="5"/>
        <w:rPr>
          <w:rFonts w:ascii="宋体" w:hAnsi="宋体" w:cs="宋体" w:eastAsia="宋体" w:hint="default"/>
          <w:sz w:val="21"/>
          <w:szCs w:val="21"/>
        </w:rPr>
      </w:pPr>
    </w:p>
    <w:p>
      <w:pPr>
        <w:pStyle w:val="Heading4"/>
        <w:spacing w:line="240" w:lineRule="auto"/>
        <w:ind w:right="982"/>
        <w:jc w:val="left"/>
        <w:rPr>
          <w:b w:val="0"/>
          <w:bCs w:val="0"/>
        </w:rPr>
      </w:pPr>
      <w:r>
        <w:rPr>
          <w:rFonts w:ascii="Times New Roman" w:hAnsi="Times New Roman" w:cs="Times New Roman" w:eastAsia="Times New Roman" w:hint="default"/>
        </w:rPr>
        <w:t>7</w:t>
      </w:r>
      <w:r>
        <w:rPr/>
        <w:t>、存货</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982"/>
        <w:jc w:val="left"/>
      </w:pPr>
      <w:r>
        <w:rPr/>
        <w:t>公司是否需要遵守房地产行业的披露要求</w:t>
      </w:r>
    </w:p>
    <w:p>
      <w:pPr>
        <w:spacing w:after="0" w:line="240" w:lineRule="auto"/>
        <w:jc w:val="left"/>
        <w:sectPr>
          <w:type w:val="continuous"/>
          <w:pgSz w:w="11910" w:h="16840"/>
          <w:pgMar w:top="1060" w:bottom="1160" w:left="980" w:right="0"/>
        </w:sectPr>
      </w:pPr>
    </w:p>
    <w:p>
      <w:pPr>
        <w:spacing w:line="240" w:lineRule="auto" w:before="9"/>
        <w:rPr>
          <w:rFonts w:ascii="宋体" w:hAnsi="宋体" w:cs="宋体" w:eastAsia="宋体" w:hint="default"/>
          <w:sz w:val="25"/>
          <w:szCs w:val="25"/>
        </w:rPr>
      </w:pPr>
    </w:p>
    <w:p>
      <w:pPr>
        <w:pStyle w:val="BodyText"/>
        <w:spacing w:line="240" w:lineRule="auto" w:before="44"/>
        <w:ind w:right="982"/>
        <w:jc w:val="left"/>
      </w:pPr>
      <w:r>
        <w:rPr/>
        <w:t>否</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t>（</w:t>
      </w:r>
      <w:r>
        <w:rPr>
          <w:rFonts w:ascii="Times New Roman" w:hAnsi="Times New Roman" w:cs="Times New Roman" w:eastAsia="Times New Roman" w:hint="default"/>
        </w:rPr>
        <w:t>1</w:t>
      </w:r>
      <w:r>
        <w:rPr/>
        <w:t>）存货分类</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346"/>
        <w:gridCol w:w="1379"/>
        <w:gridCol w:w="1369"/>
        <w:gridCol w:w="1366"/>
        <w:gridCol w:w="1368"/>
        <w:gridCol w:w="1366"/>
        <w:gridCol w:w="1368"/>
      </w:tblGrid>
      <w:tr>
        <w:trPr>
          <w:trHeight w:val="206" w:hRule="exact"/>
        </w:trPr>
        <w:tc>
          <w:tcPr>
            <w:tcW w:w="1346" w:type="dxa"/>
            <w:tcBorders>
              <w:top w:val="single" w:sz="4" w:space="0" w:color="000000"/>
              <w:left w:val="single" w:sz="4" w:space="0" w:color="000000"/>
              <w:bottom w:val="nil" w:sz="6" w:space="0" w:color="auto"/>
              <w:right w:val="single" w:sz="4" w:space="0" w:color="000000"/>
            </w:tcBorders>
            <w:shd w:val="clear" w:color="auto" w:fill="D2D2D2"/>
          </w:tcPr>
          <w:p>
            <w:pPr/>
          </w:p>
        </w:tc>
        <w:tc>
          <w:tcPr>
            <w:tcW w:w="4113"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3"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2" w:hRule="exact"/>
        </w:trPr>
        <w:tc>
          <w:tcPr>
            <w:tcW w:w="134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113" w:type="dxa"/>
            <w:gridSpan w:val="3"/>
            <w:vMerge/>
            <w:tcBorders>
              <w:left w:val="single" w:sz="4" w:space="0" w:color="000000"/>
              <w:bottom w:val="single" w:sz="4" w:space="0" w:color="000000"/>
              <w:right w:val="single" w:sz="4" w:space="0" w:color="000000"/>
            </w:tcBorders>
            <w:shd w:val="clear" w:color="auto" w:fill="D2D2D2"/>
          </w:tcPr>
          <w:p>
            <w:pPr/>
          </w:p>
        </w:tc>
        <w:tc>
          <w:tcPr>
            <w:tcW w:w="4102" w:type="dxa"/>
            <w:gridSpan w:val="3"/>
            <w:vMerge/>
            <w:tcBorders>
              <w:left w:val="single" w:sz="4" w:space="0" w:color="000000"/>
              <w:bottom w:val="single" w:sz="4" w:space="0" w:color="000000"/>
              <w:right w:val="single" w:sz="4" w:space="0" w:color="000000"/>
            </w:tcBorders>
            <w:shd w:val="clear" w:color="auto" w:fill="D2D2D2"/>
          </w:tcPr>
          <w:p>
            <w:pPr/>
          </w:p>
        </w:tc>
      </w:tr>
      <w:tr>
        <w:trPr>
          <w:trHeight w:val="199" w:hRule="exact"/>
        </w:trPr>
        <w:tc>
          <w:tcPr>
            <w:tcW w:w="1346" w:type="dxa"/>
            <w:vMerge/>
            <w:tcBorders>
              <w:left w:val="single" w:sz="4" w:space="0" w:color="000000"/>
              <w:bottom w:val="nil" w:sz="6" w:space="0" w:color="auto"/>
              <w:right w:val="single" w:sz="4" w:space="0" w:color="000000"/>
            </w:tcBorders>
            <w:shd w:val="clear" w:color="auto" w:fill="D2D2D2"/>
          </w:tcPr>
          <w:p>
            <w:pPr/>
          </w:p>
        </w:tc>
        <w:tc>
          <w:tcPr>
            <w:tcW w:w="137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2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206" w:hRule="exact"/>
        </w:trPr>
        <w:tc>
          <w:tcPr>
            <w:tcW w:w="1346" w:type="dxa"/>
            <w:tcBorders>
              <w:top w:val="nil" w:sz="6" w:space="0" w:color="auto"/>
              <w:left w:val="single" w:sz="4" w:space="0" w:color="000000"/>
              <w:bottom w:val="single" w:sz="4" w:space="0" w:color="000000"/>
              <w:right w:val="single" w:sz="4" w:space="0" w:color="000000"/>
            </w:tcBorders>
            <w:shd w:val="clear" w:color="auto" w:fill="D2D2D2"/>
          </w:tcPr>
          <w:p>
            <w:pPr/>
          </w:p>
        </w:tc>
        <w:tc>
          <w:tcPr>
            <w:tcW w:w="1379" w:type="dxa"/>
            <w:vMerge/>
            <w:tcBorders>
              <w:left w:val="single" w:sz="4" w:space="0" w:color="000000"/>
              <w:bottom w:val="single" w:sz="4" w:space="0" w:color="000000"/>
              <w:right w:val="single" w:sz="4" w:space="0" w:color="000000"/>
            </w:tcBorders>
            <w:shd w:val="clear" w:color="auto" w:fill="D2D2D2"/>
          </w:tcPr>
          <w:p>
            <w:pPr/>
          </w:p>
        </w:tc>
        <w:tc>
          <w:tcPr>
            <w:tcW w:w="1369" w:type="dxa"/>
            <w:vMerge/>
            <w:tcBorders>
              <w:left w:val="single" w:sz="4" w:space="0" w:color="000000"/>
              <w:bottom w:val="single" w:sz="4" w:space="0" w:color="000000"/>
              <w:right w:val="single" w:sz="4" w:space="0" w:color="000000"/>
            </w:tcBorders>
            <w:shd w:val="clear" w:color="auto" w:fill="D2D2D2"/>
          </w:tcPr>
          <w:p>
            <w:pPr/>
          </w:p>
        </w:tc>
        <w:tc>
          <w:tcPr>
            <w:tcW w:w="1366"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6"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37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137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21,508,941.82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21,508,941.82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18,076,976.65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18,076,976.65</w:t>
            </w:r>
          </w:p>
        </w:tc>
      </w:tr>
      <w:tr>
        <w:trPr>
          <w:trHeight w:val="403"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37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47,473,738.59</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841,653.55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46,632,085.04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44,154,989.10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184,207.33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43,970,781.77</w:t>
            </w:r>
          </w:p>
        </w:tc>
      </w:tr>
      <w:tr>
        <w:trPr>
          <w:trHeight w:val="401"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周转材料</w:t>
            </w:r>
          </w:p>
        </w:tc>
        <w:tc>
          <w:tcPr>
            <w:tcW w:w="137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消耗性生物资产</w:t>
            </w:r>
          </w:p>
        </w:tc>
        <w:tc>
          <w:tcPr>
            <w:tcW w:w="137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5"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63"/>
              <w:jc w:val="both"/>
              <w:rPr>
                <w:rFonts w:ascii="宋体" w:hAnsi="宋体" w:cs="宋体" w:eastAsia="宋体" w:hint="default"/>
                <w:sz w:val="18"/>
                <w:szCs w:val="18"/>
              </w:rPr>
            </w:pPr>
            <w:r>
              <w:rPr>
                <w:rFonts w:ascii="宋体" w:hAnsi="宋体" w:cs="宋体" w:eastAsia="宋体" w:hint="default"/>
                <w:sz w:val="18"/>
                <w:szCs w:val="18"/>
              </w:rPr>
              <w:t>建造合同形成的 已完工未结算资 产</w:t>
            </w:r>
          </w:p>
        </w:tc>
        <w:tc>
          <w:tcPr>
            <w:tcW w:w="137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13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劳务成本</w:t>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9,172,956.24</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9,172,956.24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17,840,629.59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17,840,629.59</w:t>
            </w:r>
          </w:p>
        </w:tc>
      </w:tr>
      <w:tr>
        <w:trPr>
          <w:trHeight w:val="401"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78,155,636.65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841,653.55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77,313,983.10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80,072,595.34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184,207.33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79,888,388.01</w:t>
            </w:r>
          </w:p>
        </w:tc>
      </w:tr>
    </w:tbl>
    <w:p>
      <w:pPr>
        <w:pStyle w:val="BodyText"/>
        <w:spacing w:line="340" w:lineRule="auto" w:before="49"/>
        <w:ind w:right="2476"/>
        <w:jc w:val="left"/>
      </w:pPr>
      <w:r>
        <w:rPr/>
        <w:t>公司是否需遵守《深圳证券交易所行业信息披露指引第</w:t>
      </w:r>
      <w:r>
        <w:rPr>
          <w:spacing w:val="-46"/>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号</w:t>
      </w:r>
      <w:r>
        <w:rPr>
          <w:rFonts w:ascii="Times New Roman" w:hAnsi="Times New Roman" w:cs="Times New Roman" w:eastAsia="Times New Roman" w:hint="default"/>
        </w:rPr>
        <w:t>—</w:t>
      </w:r>
      <w:r>
        <w:rPr/>
        <w:t>上市公司从事种业、种植业务》的披露要求 否</w:t>
      </w:r>
    </w:p>
    <w:p>
      <w:pPr>
        <w:pStyle w:val="BodyText"/>
        <w:spacing w:line="340" w:lineRule="auto" w:before="39"/>
        <w:ind w:right="2752"/>
        <w:jc w:val="left"/>
      </w:pPr>
      <w:r>
        <w:rPr/>
        <w:t>公司需遵守《深圳证券交易所行业信息披露指引第</w:t>
      </w:r>
      <w:r>
        <w:rPr>
          <w:spacing w:val="-46"/>
        </w:rPr>
        <w:t> </w:t>
      </w:r>
      <w:r>
        <w:rPr>
          <w:rFonts w:ascii="Times New Roman" w:hAnsi="Times New Roman" w:cs="Times New Roman" w:eastAsia="Times New Roman" w:hint="default"/>
          <w:spacing w:val="-3"/>
        </w:rPr>
        <w:t>11</w:t>
      </w:r>
      <w:r>
        <w:rPr>
          <w:rFonts w:ascii="Times New Roman" w:hAnsi="Times New Roman" w:cs="Times New Roman" w:eastAsia="Times New Roman" w:hint="default"/>
          <w:spacing w:val="-1"/>
        </w:rPr>
        <w:t> </w:t>
      </w:r>
      <w:r>
        <w:rPr/>
        <w:t>号</w:t>
      </w:r>
      <w:r>
        <w:rPr>
          <w:rFonts w:ascii="Times New Roman" w:hAnsi="Times New Roman" w:cs="Times New Roman" w:eastAsia="Times New Roman" w:hint="default"/>
        </w:rPr>
        <w:t>——</w:t>
      </w:r>
      <w:r>
        <w:rPr/>
        <w:t>上市公司从事珠宝相关业务》的披露要求 否</w:t>
      </w:r>
    </w:p>
    <w:p>
      <w:pPr>
        <w:spacing w:line="240" w:lineRule="auto" w:before="5"/>
        <w:rPr>
          <w:rFonts w:ascii="宋体" w:hAnsi="宋体" w:cs="宋体" w:eastAsia="宋体" w:hint="default"/>
          <w:sz w:val="21"/>
          <w:szCs w:val="21"/>
        </w:rPr>
      </w:pPr>
    </w:p>
    <w:p>
      <w:pPr>
        <w:pStyle w:val="Heading4"/>
        <w:spacing w:line="240" w:lineRule="auto"/>
        <w:ind w:right="982"/>
        <w:jc w:val="left"/>
        <w:rPr>
          <w:b w:val="0"/>
          <w:bCs w:val="0"/>
        </w:rPr>
      </w:pPr>
      <w:r>
        <w:rPr/>
        <w:t>（</w:t>
      </w:r>
      <w:r>
        <w:rPr>
          <w:rFonts w:ascii="Times New Roman" w:hAnsi="Times New Roman" w:cs="Times New Roman" w:eastAsia="Times New Roman" w:hint="default"/>
        </w:rPr>
        <w:t>2</w:t>
      </w:r>
      <w:r>
        <w:rPr/>
        <w:t>）存货跌价准备</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346"/>
        <w:gridCol w:w="1379"/>
        <w:gridCol w:w="1369"/>
        <w:gridCol w:w="1366"/>
        <w:gridCol w:w="1368"/>
        <w:gridCol w:w="1366"/>
        <w:gridCol w:w="1368"/>
      </w:tblGrid>
      <w:tr>
        <w:trPr>
          <w:trHeight w:val="206" w:hRule="exact"/>
        </w:trPr>
        <w:tc>
          <w:tcPr>
            <w:tcW w:w="1346" w:type="dxa"/>
            <w:tcBorders>
              <w:top w:val="single" w:sz="4" w:space="0" w:color="000000"/>
              <w:left w:val="single" w:sz="4" w:space="0" w:color="000000"/>
              <w:bottom w:val="nil" w:sz="6" w:space="0" w:color="auto"/>
              <w:right w:val="single" w:sz="4" w:space="0" w:color="000000"/>
            </w:tcBorders>
            <w:shd w:val="clear" w:color="auto" w:fill="D2D2D2"/>
          </w:tcPr>
          <w:p>
            <w:pPr/>
          </w:p>
        </w:tc>
        <w:tc>
          <w:tcPr>
            <w:tcW w:w="1379" w:type="dxa"/>
            <w:tcBorders>
              <w:top w:val="single" w:sz="4" w:space="0" w:color="000000"/>
              <w:left w:val="single" w:sz="4" w:space="0" w:color="000000"/>
              <w:bottom w:val="nil" w:sz="6" w:space="0" w:color="auto"/>
              <w:right w:val="single" w:sz="4" w:space="0" w:color="000000"/>
            </w:tcBorders>
            <w:shd w:val="clear" w:color="auto" w:fill="D2D2D2"/>
          </w:tcPr>
          <w:p>
            <w:pPr/>
          </w:p>
        </w:tc>
        <w:tc>
          <w:tcPr>
            <w:tcW w:w="273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823"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273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823"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368"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2" w:hRule="exact"/>
        </w:trPr>
        <w:tc>
          <w:tcPr>
            <w:tcW w:w="134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7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329"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5" w:type="dxa"/>
            <w:gridSpan w:val="2"/>
            <w:vMerge/>
            <w:tcBorders>
              <w:left w:val="single" w:sz="4" w:space="0" w:color="000000"/>
              <w:bottom w:val="single" w:sz="4" w:space="0" w:color="000000"/>
              <w:right w:val="single" w:sz="4" w:space="0" w:color="000000"/>
            </w:tcBorders>
            <w:shd w:val="clear" w:color="auto" w:fill="D2D2D2"/>
          </w:tcPr>
          <w:p>
            <w:pPr/>
          </w:p>
        </w:tc>
        <w:tc>
          <w:tcPr>
            <w:tcW w:w="2734" w:type="dxa"/>
            <w:gridSpan w:val="2"/>
            <w:vMerge/>
            <w:tcBorders>
              <w:left w:val="single" w:sz="4" w:space="0" w:color="000000"/>
              <w:bottom w:val="single" w:sz="4" w:space="0" w:color="000000"/>
              <w:right w:val="single" w:sz="4" w:space="0" w:color="000000"/>
            </w:tcBorders>
            <w:shd w:val="clear" w:color="auto" w:fill="D2D2D2"/>
          </w:tcPr>
          <w:p>
            <w:pPr/>
          </w:p>
        </w:tc>
        <w:tc>
          <w:tcPr>
            <w:tcW w:w="136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9" w:hRule="exact"/>
        </w:trPr>
        <w:tc>
          <w:tcPr>
            <w:tcW w:w="1346" w:type="dxa"/>
            <w:vMerge/>
            <w:tcBorders>
              <w:left w:val="single" w:sz="4" w:space="0" w:color="000000"/>
              <w:bottom w:val="nil" w:sz="6" w:space="0" w:color="auto"/>
              <w:right w:val="single" w:sz="4" w:space="0" w:color="000000"/>
            </w:tcBorders>
            <w:shd w:val="clear" w:color="auto" w:fill="D2D2D2"/>
          </w:tcPr>
          <w:p>
            <w:pPr/>
          </w:p>
        </w:tc>
        <w:tc>
          <w:tcPr>
            <w:tcW w:w="1379" w:type="dxa"/>
            <w:vMerge/>
            <w:tcBorders>
              <w:left w:val="single" w:sz="4" w:space="0" w:color="000000"/>
              <w:bottom w:val="nil" w:sz="6" w:space="0" w:color="auto"/>
              <w:right w:val="single" w:sz="4" w:space="0" w:color="000000"/>
            </w:tcBorders>
            <w:shd w:val="clear" w:color="auto" w:fill="D2D2D2"/>
          </w:tcPr>
          <w:p>
            <w:pPr/>
          </w:p>
        </w:tc>
        <w:tc>
          <w:tcPr>
            <w:tcW w:w="136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计提</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27" w:right="0"/>
              <w:jc w:val="left"/>
              <w:rPr>
                <w:rFonts w:ascii="宋体" w:hAnsi="宋体" w:cs="宋体" w:eastAsia="宋体" w:hint="default"/>
                <w:sz w:val="18"/>
                <w:szCs w:val="18"/>
              </w:rPr>
            </w:pPr>
            <w:r>
              <w:rPr>
                <w:rFonts w:ascii="宋体" w:hAnsi="宋体" w:cs="宋体" w:eastAsia="宋体" w:hint="default"/>
                <w:sz w:val="18"/>
                <w:szCs w:val="18"/>
              </w:rPr>
              <w:t>转回或转销</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368" w:type="dxa"/>
            <w:vMerge/>
            <w:tcBorders>
              <w:left w:val="single" w:sz="4" w:space="0" w:color="000000"/>
              <w:bottom w:val="nil" w:sz="6" w:space="0" w:color="auto"/>
              <w:right w:val="single" w:sz="4" w:space="0" w:color="000000"/>
            </w:tcBorders>
            <w:shd w:val="clear" w:color="auto" w:fill="D2D2D2"/>
          </w:tcPr>
          <w:p>
            <w:pPr/>
          </w:p>
        </w:tc>
      </w:tr>
      <w:tr>
        <w:trPr>
          <w:trHeight w:val="206" w:hRule="exact"/>
        </w:trPr>
        <w:tc>
          <w:tcPr>
            <w:tcW w:w="1346" w:type="dxa"/>
            <w:tcBorders>
              <w:top w:val="nil" w:sz="6" w:space="0" w:color="auto"/>
              <w:left w:val="single" w:sz="4" w:space="0" w:color="000000"/>
              <w:bottom w:val="single" w:sz="4" w:space="0" w:color="000000"/>
              <w:right w:val="single" w:sz="4" w:space="0" w:color="000000"/>
            </w:tcBorders>
            <w:shd w:val="clear" w:color="auto" w:fill="D2D2D2"/>
          </w:tcPr>
          <w:p>
            <w:pPr/>
          </w:p>
        </w:tc>
        <w:tc>
          <w:tcPr>
            <w:tcW w:w="1379"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9" w:type="dxa"/>
            <w:vMerge/>
            <w:tcBorders>
              <w:left w:val="single" w:sz="4" w:space="0" w:color="000000"/>
              <w:bottom w:val="single" w:sz="4" w:space="0" w:color="000000"/>
              <w:right w:val="single" w:sz="4" w:space="0" w:color="000000"/>
            </w:tcBorders>
            <w:shd w:val="clear" w:color="auto" w:fill="D2D2D2"/>
          </w:tcPr>
          <w:p>
            <w:pPr/>
          </w:p>
        </w:tc>
        <w:tc>
          <w:tcPr>
            <w:tcW w:w="1366"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6"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3"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37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137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4"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37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184,207.33</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721,590.54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64,144.32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841,653.55</w:t>
            </w:r>
          </w:p>
        </w:tc>
      </w:tr>
      <w:tr>
        <w:trPr>
          <w:trHeight w:val="401"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周转材料</w:t>
            </w:r>
          </w:p>
        </w:tc>
        <w:tc>
          <w:tcPr>
            <w:tcW w:w="137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消耗性生物资产</w:t>
            </w:r>
          </w:p>
        </w:tc>
        <w:tc>
          <w:tcPr>
            <w:tcW w:w="137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5"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63"/>
              <w:jc w:val="both"/>
              <w:rPr>
                <w:rFonts w:ascii="宋体" w:hAnsi="宋体" w:cs="宋体" w:eastAsia="宋体" w:hint="default"/>
                <w:sz w:val="18"/>
                <w:szCs w:val="18"/>
              </w:rPr>
            </w:pPr>
            <w:r>
              <w:rPr>
                <w:rFonts w:ascii="宋体" w:hAnsi="宋体" w:cs="宋体" w:eastAsia="宋体" w:hint="default"/>
                <w:sz w:val="18"/>
                <w:szCs w:val="18"/>
              </w:rPr>
              <w:t>建造合同形成的 已完工未结算资 产</w:t>
            </w:r>
          </w:p>
        </w:tc>
        <w:tc>
          <w:tcPr>
            <w:tcW w:w="137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劳务成本</w:t>
            </w:r>
          </w:p>
        </w:tc>
        <w:tc>
          <w:tcPr>
            <w:tcW w:w="137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7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184,207.33</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721,590.54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64,144.32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841,653.55</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2"/>
        <w:jc w:val="left"/>
        <w:rPr>
          <w:b w:val="0"/>
          <w:bCs w:val="0"/>
        </w:rPr>
      </w:pPr>
      <w:r>
        <w:rPr/>
        <w:t>（</w:t>
      </w:r>
      <w:r>
        <w:rPr>
          <w:rFonts w:ascii="Times New Roman" w:hAnsi="Times New Roman" w:cs="Times New Roman" w:eastAsia="Times New Roman" w:hint="default"/>
        </w:rPr>
        <w:t>3</w:t>
      </w:r>
      <w:r>
        <w:rPr/>
        <w:t>）存货期末余额含有借款费用资本化金额的说明</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t>（</w:t>
      </w:r>
      <w:r>
        <w:rPr>
          <w:rFonts w:ascii="Times New Roman" w:hAnsi="Times New Roman" w:cs="Times New Roman" w:eastAsia="Times New Roman" w:hint="default"/>
        </w:rPr>
        <w:t>4</w:t>
      </w:r>
      <w:r>
        <w:rPr/>
        <w:t>）期末建造合同形成的已完工未结算资产情况</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rFonts w:ascii="Times New Roman" w:hAnsi="Times New Roman" w:cs="Times New Roman" w:eastAsia="Times New Roman" w:hint="default"/>
        </w:rPr>
        <w:t>8</w:t>
      </w:r>
      <w:r>
        <w:rPr/>
        <w:t>、持有待售资产</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835"/>
        <w:gridCol w:w="1685"/>
        <w:gridCol w:w="1683"/>
        <w:gridCol w:w="1685"/>
        <w:gridCol w:w="1685"/>
      </w:tblGrid>
      <w:tr>
        <w:trPr>
          <w:trHeight w:val="404" w:hRule="exact"/>
        </w:trPr>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6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7" w:right="0"/>
              <w:jc w:val="left"/>
              <w:rPr>
                <w:rFonts w:ascii="宋体" w:hAnsi="宋体" w:cs="宋体" w:eastAsia="宋体" w:hint="default"/>
                <w:sz w:val="18"/>
                <w:szCs w:val="18"/>
              </w:rPr>
            </w:pPr>
            <w:r>
              <w:rPr>
                <w:rFonts w:ascii="宋体" w:hAnsi="宋体" w:cs="宋体" w:eastAsia="宋体" w:hint="default"/>
                <w:sz w:val="18"/>
                <w:szCs w:val="18"/>
              </w:rPr>
              <w:t>期末账面价值</w:t>
            </w:r>
          </w:p>
        </w:tc>
        <w:tc>
          <w:tcPr>
            <w:tcW w:w="16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77" w:right="0"/>
              <w:jc w:val="left"/>
              <w:rPr>
                <w:rFonts w:ascii="宋体" w:hAnsi="宋体" w:cs="宋体" w:eastAsia="宋体" w:hint="default"/>
                <w:sz w:val="18"/>
                <w:szCs w:val="18"/>
              </w:rPr>
            </w:pPr>
            <w:r>
              <w:rPr>
                <w:rFonts w:ascii="宋体" w:hAnsi="宋体" w:cs="宋体" w:eastAsia="宋体" w:hint="default"/>
                <w:sz w:val="18"/>
                <w:szCs w:val="18"/>
              </w:rPr>
              <w:t>公允价值</w:t>
            </w:r>
          </w:p>
        </w:tc>
        <w:tc>
          <w:tcPr>
            <w:tcW w:w="16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7" w:right="0"/>
              <w:jc w:val="left"/>
              <w:rPr>
                <w:rFonts w:ascii="宋体" w:hAnsi="宋体" w:cs="宋体" w:eastAsia="宋体" w:hint="default"/>
                <w:sz w:val="18"/>
                <w:szCs w:val="18"/>
              </w:rPr>
            </w:pPr>
            <w:r>
              <w:rPr>
                <w:rFonts w:ascii="宋体" w:hAnsi="宋体" w:cs="宋体" w:eastAsia="宋体" w:hint="default"/>
                <w:sz w:val="18"/>
                <w:szCs w:val="18"/>
              </w:rPr>
              <w:t>预计处置费用</w:t>
            </w:r>
          </w:p>
        </w:tc>
        <w:tc>
          <w:tcPr>
            <w:tcW w:w="16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8" w:right="0"/>
              <w:jc w:val="left"/>
              <w:rPr>
                <w:rFonts w:ascii="宋体" w:hAnsi="宋体" w:cs="宋体" w:eastAsia="宋体" w:hint="default"/>
                <w:sz w:val="18"/>
                <w:szCs w:val="18"/>
              </w:rPr>
            </w:pPr>
            <w:r>
              <w:rPr>
                <w:rFonts w:ascii="宋体" w:hAnsi="宋体" w:cs="宋体" w:eastAsia="宋体" w:hint="default"/>
                <w:sz w:val="18"/>
                <w:szCs w:val="18"/>
              </w:rPr>
              <w:t>预计处置时间</w:t>
            </w:r>
          </w:p>
        </w:tc>
      </w:tr>
      <w:tr>
        <w:trPr>
          <w:trHeight w:val="401" w:hRule="exact"/>
        </w:trPr>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山东中寰易发物流有限公司</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2,000,000.00</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2,000,000.00</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 </w:t>
            </w:r>
            <w:r>
              <w:rPr>
                <w:rFonts w:ascii="宋体" w:hAnsi="宋体" w:cs="宋体" w:eastAsia="宋体" w:hint="default"/>
                <w:sz w:val="18"/>
                <w:szCs w:val="18"/>
              </w:rPr>
              <w:t>日</w:t>
            </w:r>
          </w:p>
        </w:tc>
      </w:tr>
      <w:tr>
        <w:trPr>
          <w:trHeight w:val="403" w:hRule="exact"/>
        </w:trPr>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北京蜂云科创信息技术有限公司</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2,000,000.00</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2,000,000.00</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r>
      <w:tr>
        <w:trPr>
          <w:trHeight w:val="401" w:hRule="exact"/>
        </w:trPr>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685"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4,000,000.00</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4,000,000.00</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6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49"/>
        <w:ind w:right="982"/>
        <w:jc w:val="left"/>
      </w:pPr>
      <w:r>
        <w:rPr/>
        <w:t>其他说明：</w:t>
      </w:r>
    </w:p>
    <w:p>
      <w:pPr>
        <w:spacing w:line="240" w:lineRule="auto" w:before="3"/>
        <w:rPr>
          <w:rFonts w:ascii="宋体" w:hAnsi="宋体" w:cs="宋体" w:eastAsia="宋体" w:hint="default"/>
          <w:sz w:val="15"/>
          <w:szCs w:val="15"/>
        </w:rPr>
      </w:pPr>
    </w:p>
    <w:p>
      <w:pPr>
        <w:pStyle w:val="BodyText"/>
        <w:spacing w:line="300" w:lineRule="auto"/>
        <w:ind w:right="1130" w:firstLine="439"/>
        <w:jc w:val="both"/>
      </w:pPr>
      <w:r>
        <w:rPr/>
        <w:t>注</w:t>
      </w:r>
      <w:r>
        <w:rPr>
          <w:rFonts w:ascii="Times New Roman" w:hAnsi="Times New Roman" w:cs="Times New Roman" w:eastAsia="Times New Roman" w:hint="default"/>
        </w:rPr>
        <w:t>1:2018</w:t>
      </w:r>
      <w:r>
        <w:rPr/>
        <w:t>年</w:t>
      </w:r>
      <w:r>
        <w:rPr>
          <w:rFonts w:ascii="Times New Roman" w:hAnsi="Times New Roman" w:cs="Times New Roman" w:eastAsia="Times New Roman" w:hint="default"/>
        </w:rPr>
        <w:t>10</w:t>
      </w:r>
      <w:r>
        <w:rPr/>
        <w:t>月</w:t>
      </w:r>
      <w:r>
        <w:rPr>
          <w:rFonts w:ascii="Times New Roman" w:hAnsi="Times New Roman" w:cs="Times New Roman" w:eastAsia="Times New Roman" w:hint="default"/>
        </w:rPr>
        <w:t>30</w:t>
      </w:r>
      <w:r>
        <w:rPr/>
        <w:t>日，公司下属子公司甘肃中寰卫星导航通信有限公司（以下简称</w:t>
      </w:r>
      <w:r>
        <w:rPr>
          <w:spacing w:val="-34"/>
        </w:rPr>
        <w:t> </w:t>
      </w:r>
      <w:r>
        <w:rPr/>
        <w:t>甘肃中寰）与新泰市高佐物资有限</w:t>
      </w:r>
      <w:r>
        <w:rPr/>
        <w:t> </w:t>
      </w:r>
      <w:r>
        <w:rPr>
          <w:spacing w:val="-4"/>
        </w:rPr>
        <w:t>公司（以下简称</w:t>
      </w:r>
      <w:r>
        <w:rPr>
          <w:spacing w:val="-64"/>
        </w:rPr>
        <w:t> </w:t>
      </w:r>
      <w:r>
        <w:rPr/>
        <w:t>高佐物资）签署了股权转让协议，甘肃中寰以</w:t>
      </w:r>
      <w:r>
        <w:rPr>
          <w:rFonts w:ascii="Times New Roman" w:hAnsi="Times New Roman" w:cs="Times New Roman" w:eastAsia="Times New Roman" w:hint="default"/>
        </w:rPr>
        <w:t>200</w:t>
      </w:r>
      <w:r>
        <w:rPr/>
        <w:t>万元的价格将其持有的山东中寰易发物流有限公司</w:t>
      </w:r>
      <w:r>
        <w:rPr>
          <w:rFonts w:ascii="Times New Roman" w:hAnsi="Times New Roman" w:cs="Times New Roman" w:eastAsia="Times New Roman" w:hint="default"/>
        </w:rPr>
        <w:t>40.00% </w:t>
      </w:r>
      <w:r>
        <w:rPr/>
        <w:t>的股权转让给高佐物资。</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21</w:t>
      </w:r>
      <w:r>
        <w:rPr/>
        <w:t>日，高佐物资已支付全部转让款</w:t>
      </w:r>
      <w:r>
        <w:rPr>
          <w:rFonts w:ascii="Times New Roman" w:hAnsi="Times New Roman" w:cs="Times New Roman" w:eastAsia="Times New Roman" w:hint="default"/>
        </w:rPr>
        <w:t>200</w:t>
      </w:r>
      <w:r>
        <w:rPr/>
        <w:t>万元，山东中寰易发物流有限公司于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2</w:t>
      </w:r>
      <w:r>
        <w:rPr/>
        <w:t>月</w:t>
      </w:r>
      <w:r>
        <w:rPr>
          <w:rFonts w:ascii="Times New Roman" w:hAnsi="Times New Roman" w:cs="Times New Roman" w:eastAsia="Times New Roman" w:hint="default"/>
        </w:rPr>
        <w:t>1</w:t>
      </w:r>
      <w:r>
        <w:rPr>
          <w:rFonts w:ascii="Times New Roman" w:hAnsi="Times New Roman" w:cs="Times New Roman" w:eastAsia="Times New Roman" w:hint="default"/>
          <w:spacing w:val="40"/>
        </w:rPr>
        <w:t> </w:t>
      </w:r>
      <w:r>
        <w:rPr/>
        <w:t>日完成工商变更登记。</w:t>
      </w:r>
    </w:p>
    <w:p>
      <w:pPr>
        <w:pStyle w:val="BodyText"/>
        <w:spacing w:line="300" w:lineRule="auto" w:before="151"/>
        <w:ind w:right="1129" w:firstLine="439"/>
        <w:jc w:val="both"/>
      </w:pPr>
      <w:r>
        <w:rPr>
          <w:spacing w:val="-2"/>
        </w:rPr>
        <w:t>注</w:t>
      </w:r>
      <w:r>
        <w:rPr>
          <w:rFonts w:ascii="Times New Roman" w:hAnsi="Times New Roman" w:cs="Times New Roman" w:eastAsia="Times New Roman" w:hint="default"/>
          <w:spacing w:val="-2"/>
        </w:rPr>
        <w:t>2</w:t>
      </w:r>
      <w:r>
        <w:rPr>
          <w:spacing w:val="-2"/>
        </w:rPr>
        <w:t>：</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8</w:t>
      </w:r>
      <w:r>
        <w:rPr>
          <w:spacing w:val="-2"/>
        </w:rPr>
        <w:t>月</w:t>
      </w:r>
      <w:r>
        <w:rPr>
          <w:rFonts w:ascii="Times New Roman" w:hAnsi="Times New Roman" w:cs="Times New Roman" w:eastAsia="Times New Roman" w:hint="default"/>
          <w:spacing w:val="-2"/>
        </w:rPr>
        <w:t>31</w:t>
      </w:r>
      <w:r>
        <w:rPr>
          <w:spacing w:val="-2"/>
        </w:rPr>
        <w:t>日，公司与自然人卢浩雷签署了股权转让协议，公司以</w:t>
      </w:r>
      <w:r>
        <w:rPr>
          <w:rFonts w:ascii="Times New Roman" w:hAnsi="Times New Roman" w:cs="Times New Roman" w:eastAsia="Times New Roman" w:hint="default"/>
          <w:spacing w:val="-2"/>
        </w:rPr>
        <w:t>200</w:t>
      </w:r>
      <w:r>
        <w:rPr>
          <w:spacing w:val="-2"/>
        </w:rPr>
        <w:t>万元的价格将其所持有的北京蜂云科创信</w:t>
      </w:r>
      <w:r>
        <w:rPr/>
        <w:t> 息技术有限公司</w:t>
      </w:r>
      <w:r>
        <w:rPr>
          <w:rFonts w:ascii="Times New Roman" w:hAnsi="Times New Roman" w:cs="Times New Roman" w:eastAsia="Times New Roman" w:hint="default"/>
        </w:rPr>
        <w:t>24.50%</w:t>
      </w:r>
      <w:r>
        <w:rPr/>
        <w:t>的股权转让给卢浩雷。</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23</w:t>
      </w:r>
      <w:r>
        <w:rPr/>
        <w:t>日，卢浩雷已支付全部转让款</w:t>
      </w:r>
      <w:r>
        <w:rPr>
          <w:rFonts w:ascii="Times New Roman" w:hAnsi="Times New Roman" w:cs="Times New Roman" w:eastAsia="Times New Roman" w:hint="default"/>
        </w:rPr>
        <w:t>200</w:t>
      </w:r>
      <w:r>
        <w:rPr/>
        <w:t>万元，北京蜂云科创信息技术</w:t>
      </w:r>
      <w:r>
        <w:rPr>
          <w:spacing w:val="-16"/>
        </w:rPr>
        <w:t> </w:t>
      </w:r>
      <w:r>
        <w:rPr>
          <w:spacing w:val="-16"/>
        </w:rPr>
      </w:r>
      <w:r>
        <w:rPr/>
        <w:t>有限公司于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2</w:t>
      </w:r>
      <w:r>
        <w:rPr/>
        <w:t>月</w:t>
      </w:r>
      <w:r>
        <w:rPr>
          <w:rFonts w:ascii="Times New Roman" w:hAnsi="Times New Roman" w:cs="Times New Roman" w:eastAsia="Times New Roman" w:hint="default"/>
        </w:rPr>
        <w:t>25</w:t>
      </w:r>
      <w:r>
        <w:rPr/>
        <w:t>日完成工商变更登记。</w:t>
      </w:r>
    </w:p>
    <w:p>
      <w:pPr>
        <w:spacing w:line="240" w:lineRule="auto" w:before="4"/>
        <w:rPr>
          <w:rFonts w:ascii="宋体" w:hAnsi="宋体" w:cs="宋体" w:eastAsia="宋体" w:hint="default"/>
          <w:sz w:val="22"/>
          <w:szCs w:val="22"/>
        </w:rPr>
      </w:pPr>
    </w:p>
    <w:p>
      <w:pPr>
        <w:pStyle w:val="Heading4"/>
        <w:spacing w:line="240" w:lineRule="auto"/>
        <w:ind w:right="982"/>
        <w:jc w:val="left"/>
        <w:rPr>
          <w:b w:val="0"/>
          <w:bCs w:val="0"/>
        </w:rPr>
      </w:pPr>
      <w:r>
        <w:rPr>
          <w:rFonts w:ascii="Times New Roman" w:hAnsi="Times New Roman" w:cs="Times New Roman" w:eastAsia="Times New Roman" w:hint="default"/>
        </w:rPr>
        <w:t>9</w:t>
      </w:r>
      <w:r>
        <w:rPr/>
        <w:t>、一年内到期的非流动资产</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rFonts w:ascii="Times New Roman" w:hAnsi="Times New Roman" w:cs="Times New Roman" w:eastAsia="Times New Roman" w:hint="default"/>
        </w:rPr>
        <w:t>10</w:t>
      </w:r>
      <w:r>
        <w:rPr/>
        <w:t>、其他流动资产</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理财产品</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400,000,000.00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95,000,000.00</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待抵扣增值税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38,073,302.07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30,486,163.14</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预缴所得税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16,773,836.68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w w:val="95"/>
                <w:sz w:val="18"/>
              </w:rPr>
              <w:t>17,611.67</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待抵扣所得税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7,317,585.25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12,052,731.44</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462,164,724.00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137,556,506.25</w:t>
            </w:r>
          </w:p>
        </w:tc>
      </w:tr>
    </w:tbl>
    <w:p>
      <w:pPr>
        <w:pStyle w:val="BodyText"/>
        <w:spacing w:line="240" w:lineRule="auto" w:before="49"/>
        <w:ind w:right="982"/>
        <w:jc w:val="left"/>
      </w:pPr>
      <w:r>
        <w:rPr/>
        <w:t>其他说明：</w:t>
      </w:r>
    </w:p>
    <w:p>
      <w:pPr>
        <w:spacing w:line="240" w:lineRule="auto" w:before="0"/>
        <w:rPr>
          <w:rFonts w:ascii="宋体" w:hAnsi="宋体" w:cs="宋体" w:eastAsia="宋体" w:hint="default"/>
          <w:sz w:val="15"/>
          <w:szCs w:val="15"/>
        </w:rPr>
      </w:pPr>
    </w:p>
    <w:p>
      <w:pPr>
        <w:pStyle w:val="BodyText"/>
        <w:spacing w:line="316" w:lineRule="auto"/>
        <w:ind w:right="982"/>
        <w:jc w:val="left"/>
      </w:pPr>
      <w:r>
        <w:rPr>
          <w:spacing w:val="-2"/>
        </w:rPr>
        <w:t>注：待抵扣所得税为本集团来源自境外业务，收入来源国根据当地税法扣除并缴纳的境外所得税，根据相关税收规定，该部</w:t>
      </w:r>
      <w:r>
        <w:rPr>
          <w:spacing w:val="-64"/>
        </w:rPr>
        <w:t> </w:t>
      </w:r>
      <w:r>
        <w:rPr>
          <w:spacing w:val="-64"/>
        </w:rPr>
      </w:r>
      <w:r>
        <w:rPr/>
        <w:t>分所得税可在境内抵扣。</w:t>
      </w:r>
    </w:p>
    <w:p>
      <w:pPr>
        <w:spacing w:after="0" w:line="316" w:lineRule="auto"/>
        <w:jc w:val="left"/>
        <w:sectPr>
          <w:pgSz w:w="11910" w:h="16840"/>
          <w:pgMar w:header="745" w:footer="979"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2"/>
        <w:jc w:val="left"/>
        <w:rPr>
          <w:b w:val="0"/>
          <w:bCs w:val="0"/>
        </w:rPr>
      </w:pPr>
      <w:r>
        <w:rPr>
          <w:rFonts w:ascii="Times New Roman" w:hAnsi="Times New Roman" w:cs="Times New Roman" w:eastAsia="Times New Roman" w:hint="default"/>
        </w:rPr>
        <w:t>11</w:t>
      </w:r>
      <w:r>
        <w:rPr/>
        <w:t>、可供出售金融资产</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2"/>
        <w:jc w:val="left"/>
        <w:rPr>
          <w:b w:val="0"/>
          <w:bCs w:val="0"/>
        </w:rPr>
      </w:pPr>
      <w:r>
        <w:rPr/>
        <w:t>（</w:t>
      </w:r>
      <w:r>
        <w:rPr>
          <w:rFonts w:ascii="Times New Roman" w:hAnsi="Times New Roman" w:cs="Times New Roman" w:eastAsia="Times New Roman" w:hint="default"/>
        </w:rPr>
        <w:t>1</w:t>
      </w:r>
      <w:r>
        <w:rPr/>
        <w:t>）可供出售金融资产情况</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977"/>
        <w:gridCol w:w="1207"/>
        <w:gridCol w:w="1198"/>
        <w:gridCol w:w="1196"/>
        <w:gridCol w:w="1248"/>
        <w:gridCol w:w="1369"/>
        <w:gridCol w:w="1366"/>
      </w:tblGrid>
      <w:tr>
        <w:trPr>
          <w:trHeight w:val="206" w:hRule="exact"/>
        </w:trPr>
        <w:tc>
          <w:tcPr>
            <w:tcW w:w="1977" w:type="dxa"/>
            <w:tcBorders>
              <w:top w:val="single" w:sz="4" w:space="0" w:color="000000"/>
              <w:left w:val="single" w:sz="4" w:space="0" w:color="000000"/>
              <w:bottom w:val="nil" w:sz="6" w:space="0" w:color="auto"/>
              <w:right w:val="single" w:sz="4" w:space="0" w:color="000000"/>
            </w:tcBorders>
            <w:shd w:val="clear" w:color="auto" w:fill="D2D2D2"/>
          </w:tcPr>
          <w:p>
            <w:pPr/>
          </w:p>
        </w:tc>
        <w:tc>
          <w:tcPr>
            <w:tcW w:w="3600"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8"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98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0" w:hRule="exact"/>
        </w:trPr>
        <w:tc>
          <w:tcPr>
            <w:tcW w:w="197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600" w:type="dxa"/>
            <w:gridSpan w:val="3"/>
            <w:vMerge/>
            <w:tcBorders>
              <w:left w:val="single" w:sz="4" w:space="0" w:color="000000"/>
              <w:bottom w:val="single" w:sz="4" w:space="0" w:color="000000"/>
              <w:right w:val="single" w:sz="4" w:space="0" w:color="000000"/>
            </w:tcBorders>
            <w:shd w:val="clear" w:color="auto" w:fill="D2D2D2"/>
          </w:tcPr>
          <w:p>
            <w:pPr/>
          </w:p>
        </w:tc>
        <w:tc>
          <w:tcPr>
            <w:tcW w:w="3982" w:type="dxa"/>
            <w:gridSpan w:val="3"/>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1977" w:type="dxa"/>
            <w:vMerge/>
            <w:tcBorders>
              <w:left w:val="single" w:sz="4" w:space="0" w:color="000000"/>
              <w:bottom w:val="nil" w:sz="6" w:space="0" w:color="auto"/>
              <w:right w:val="single" w:sz="4" w:space="0" w:color="000000"/>
            </w:tcBorders>
            <w:shd w:val="clear" w:color="auto" w:fill="D2D2D2"/>
          </w:tcPr>
          <w:p>
            <w:pPr/>
          </w:p>
        </w:tc>
        <w:tc>
          <w:tcPr>
            <w:tcW w:w="120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4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32"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1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32"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24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5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206" w:hRule="exact"/>
        </w:trPr>
        <w:tc>
          <w:tcPr>
            <w:tcW w:w="1977" w:type="dxa"/>
            <w:tcBorders>
              <w:top w:val="nil" w:sz="6" w:space="0" w:color="auto"/>
              <w:left w:val="single" w:sz="4" w:space="0" w:color="000000"/>
              <w:bottom w:val="single" w:sz="4" w:space="0" w:color="000000"/>
              <w:right w:val="single" w:sz="4" w:space="0" w:color="000000"/>
            </w:tcBorders>
            <w:shd w:val="clear" w:color="auto" w:fill="D2D2D2"/>
          </w:tcPr>
          <w:p>
            <w:pPr/>
          </w:p>
        </w:tc>
        <w:tc>
          <w:tcPr>
            <w:tcW w:w="1207" w:type="dxa"/>
            <w:vMerge/>
            <w:tcBorders>
              <w:left w:val="single" w:sz="4" w:space="0" w:color="000000"/>
              <w:bottom w:val="single" w:sz="4" w:space="0" w:color="000000"/>
              <w:right w:val="single" w:sz="4" w:space="0" w:color="000000"/>
            </w:tcBorders>
            <w:shd w:val="clear" w:color="auto" w:fill="D2D2D2"/>
          </w:tcPr>
          <w:p>
            <w:pPr/>
          </w:p>
        </w:tc>
        <w:tc>
          <w:tcPr>
            <w:tcW w:w="1198" w:type="dxa"/>
            <w:vMerge/>
            <w:tcBorders>
              <w:left w:val="single" w:sz="4" w:space="0" w:color="000000"/>
              <w:bottom w:val="single" w:sz="4" w:space="0" w:color="000000"/>
              <w:right w:val="single" w:sz="4" w:space="0" w:color="000000"/>
            </w:tcBorders>
            <w:shd w:val="clear" w:color="auto" w:fill="D2D2D2"/>
          </w:tcPr>
          <w:p>
            <w:pPr/>
          </w:p>
        </w:tc>
        <w:tc>
          <w:tcPr>
            <w:tcW w:w="1196" w:type="dxa"/>
            <w:vMerge/>
            <w:tcBorders>
              <w:left w:val="single" w:sz="4" w:space="0" w:color="000000"/>
              <w:bottom w:val="single" w:sz="4" w:space="0" w:color="000000"/>
              <w:right w:val="single" w:sz="4" w:space="0" w:color="000000"/>
            </w:tcBorders>
            <w:shd w:val="clear" w:color="auto" w:fill="D2D2D2"/>
          </w:tcPr>
          <w:p>
            <w:pPr/>
          </w:p>
        </w:tc>
        <w:tc>
          <w:tcPr>
            <w:tcW w:w="1248" w:type="dxa"/>
            <w:vMerge/>
            <w:tcBorders>
              <w:left w:val="single" w:sz="4" w:space="0" w:color="000000"/>
              <w:bottom w:val="single" w:sz="4" w:space="0" w:color="000000"/>
              <w:right w:val="single" w:sz="4" w:space="0" w:color="000000"/>
            </w:tcBorders>
            <w:shd w:val="clear" w:color="auto" w:fill="D2D2D2"/>
          </w:tcPr>
          <w:p>
            <w:pPr/>
          </w:p>
        </w:tc>
        <w:tc>
          <w:tcPr>
            <w:tcW w:w="1369" w:type="dxa"/>
            <w:vMerge/>
            <w:tcBorders>
              <w:left w:val="single" w:sz="4" w:space="0" w:color="000000"/>
              <w:bottom w:val="single" w:sz="4" w:space="0" w:color="000000"/>
              <w:right w:val="single" w:sz="4" w:space="0" w:color="000000"/>
            </w:tcBorders>
            <w:shd w:val="clear" w:color="auto" w:fill="D2D2D2"/>
          </w:tcPr>
          <w:p>
            <w:pPr/>
          </w:p>
        </w:tc>
        <w:tc>
          <w:tcPr>
            <w:tcW w:w="1366"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19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可供出售权益工具：</w:t>
            </w:r>
          </w:p>
        </w:tc>
        <w:tc>
          <w:tcPr>
            <w:tcW w:w="120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318,062,293.79</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11,547,474.47</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306,514,819.32</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235,984,046.35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11,298,846.69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224,685,199.66</w:t>
            </w:r>
          </w:p>
        </w:tc>
      </w:tr>
      <w:tr>
        <w:trPr>
          <w:trHeight w:val="403" w:hRule="exact"/>
        </w:trPr>
        <w:tc>
          <w:tcPr>
            <w:tcW w:w="19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按公允价值计量的</w:t>
            </w:r>
          </w:p>
        </w:tc>
        <w:tc>
          <w:tcPr>
            <w:tcW w:w="120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19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按成本计量的</w:t>
            </w:r>
          </w:p>
        </w:tc>
        <w:tc>
          <w:tcPr>
            <w:tcW w:w="120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318,062,293.79</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11,547,474.47</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306,514,819.32</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235,984,046.35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11,298,846.69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224,685,199.66</w:t>
            </w:r>
          </w:p>
        </w:tc>
      </w:tr>
      <w:tr>
        <w:trPr>
          <w:trHeight w:val="404" w:hRule="exact"/>
        </w:trPr>
        <w:tc>
          <w:tcPr>
            <w:tcW w:w="19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0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318,062,293.79</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11,547,474.47</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306,514,819.32</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235,984,046.35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11,298,846.69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224,685,199.66</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t>（</w:t>
      </w:r>
      <w:r>
        <w:rPr>
          <w:rFonts w:ascii="Times New Roman" w:hAnsi="Times New Roman" w:cs="Times New Roman" w:eastAsia="Times New Roman" w:hint="default"/>
        </w:rPr>
        <w:t>2</w:t>
      </w:r>
      <w:r>
        <w:rPr/>
        <w:t>）期末按公允价值计量的可供出售金融资产</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t>（</w:t>
      </w:r>
      <w:r>
        <w:rPr>
          <w:rFonts w:ascii="Times New Roman" w:hAnsi="Times New Roman" w:cs="Times New Roman" w:eastAsia="Times New Roman" w:hint="default"/>
        </w:rPr>
        <w:t>3</w:t>
      </w:r>
      <w:r>
        <w:rPr/>
        <w:t>）期末按成本计量的可供出售金融资产</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864"/>
        <w:gridCol w:w="869"/>
        <w:gridCol w:w="871"/>
        <w:gridCol w:w="869"/>
        <w:gridCol w:w="871"/>
        <w:gridCol w:w="869"/>
        <w:gridCol w:w="872"/>
        <w:gridCol w:w="869"/>
        <w:gridCol w:w="871"/>
        <w:gridCol w:w="869"/>
        <w:gridCol w:w="871"/>
      </w:tblGrid>
      <w:tr>
        <w:trPr>
          <w:trHeight w:val="401" w:hRule="exact"/>
        </w:trPr>
        <w:tc>
          <w:tcPr>
            <w:tcW w:w="86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336" w:right="65" w:hanging="270"/>
              <w:jc w:val="left"/>
              <w:rPr>
                <w:rFonts w:ascii="宋体" w:hAnsi="宋体" w:cs="宋体" w:eastAsia="宋体" w:hint="default"/>
                <w:sz w:val="18"/>
                <w:szCs w:val="18"/>
              </w:rPr>
            </w:pPr>
            <w:r>
              <w:rPr>
                <w:rFonts w:ascii="宋体" w:hAnsi="宋体" w:cs="宋体" w:eastAsia="宋体" w:hint="default"/>
                <w:sz w:val="18"/>
                <w:szCs w:val="18"/>
              </w:rPr>
              <w:t>被投资单 位</w:t>
            </w:r>
          </w:p>
        </w:tc>
        <w:tc>
          <w:tcPr>
            <w:tcW w:w="3481"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3480"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减值准备</w:t>
            </w:r>
          </w:p>
        </w:tc>
        <w:tc>
          <w:tcPr>
            <w:tcW w:w="869"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69" w:right="68"/>
              <w:jc w:val="center"/>
              <w:rPr>
                <w:rFonts w:ascii="宋体" w:hAnsi="宋体" w:cs="宋体" w:eastAsia="宋体" w:hint="default"/>
                <w:sz w:val="18"/>
                <w:szCs w:val="18"/>
              </w:rPr>
            </w:pPr>
            <w:r>
              <w:rPr>
                <w:rFonts w:ascii="宋体" w:hAnsi="宋体" w:cs="宋体" w:eastAsia="宋体" w:hint="default"/>
                <w:sz w:val="18"/>
                <w:szCs w:val="18"/>
              </w:rPr>
              <w:t>在被投资 单位持股 比例</w:t>
            </w:r>
          </w:p>
        </w:tc>
        <w:tc>
          <w:tcPr>
            <w:tcW w:w="87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49" w:right="71" w:hanging="180"/>
              <w:jc w:val="left"/>
              <w:rPr>
                <w:rFonts w:ascii="宋体" w:hAnsi="宋体" w:cs="宋体" w:eastAsia="宋体" w:hint="default"/>
                <w:sz w:val="18"/>
                <w:szCs w:val="18"/>
              </w:rPr>
            </w:pPr>
            <w:r>
              <w:rPr>
                <w:rFonts w:ascii="宋体" w:hAnsi="宋体" w:cs="宋体" w:eastAsia="宋体" w:hint="default"/>
                <w:sz w:val="18"/>
                <w:szCs w:val="18"/>
              </w:rPr>
              <w:t>本期现金 红利</w:t>
            </w:r>
          </w:p>
        </w:tc>
      </w:tr>
      <w:tr>
        <w:trPr>
          <w:trHeight w:val="624" w:hRule="exact"/>
        </w:trPr>
        <w:tc>
          <w:tcPr>
            <w:tcW w:w="864" w:type="dxa"/>
            <w:vMerge/>
            <w:tcBorders>
              <w:left w:val="single" w:sz="4" w:space="0" w:color="000000"/>
              <w:bottom w:val="single" w:sz="4" w:space="0" w:color="000000"/>
              <w:right w:val="single" w:sz="4" w:space="0" w:color="000000"/>
            </w:tcBorders>
            <w:shd w:val="clear" w:color="auto" w:fill="D2D2D2"/>
          </w:tcPr>
          <w:p>
            <w:pP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249" w:right="0"/>
              <w:jc w:val="left"/>
              <w:rPr>
                <w:rFonts w:ascii="宋体" w:hAnsi="宋体" w:cs="宋体" w:eastAsia="宋体" w:hint="default"/>
                <w:sz w:val="18"/>
                <w:szCs w:val="18"/>
              </w:rPr>
            </w:pPr>
            <w:r>
              <w:rPr>
                <w:rFonts w:ascii="宋体" w:hAnsi="宋体" w:cs="宋体" w:eastAsia="宋体" w:hint="default"/>
                <w:sz w:val="18"/>
                <w:szCs w:val="18"/>
              </w:rPr>
              <w:t>期初</w:t>
            </w:r>
          </w:p>
        </w:tc>
        <w:tc>
          <w:tcPr>
            <w:tcW w:w="8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right="71"/>
              <w:jc w:val="right"/>
              <w:rPr>
                <w:rFonts w:ascii="宋体" w:hAnsi="宋体" w:cs="宋体" w:eastAsia="宋体" w:hint="default"/>
                <w:sz w:val="18"/>
                <w:szCs w:val="18"/>
              </w:rPr>
            </w:pPr>
            <w:r>
              <w:rPr>
                <w:rFonts w:ascii="宋体" w:hAnsi="宋体" w:cs="宋体" w:eastAsia="宋体" w:hint="default"/>
                <w:sz w:val="18"/>
                <w:szCs w:val="18"/>
              </w:rPr>
              <w:t>本期增加</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right="68"/>
              <w:jc w:val="right"/>
              <w:rPr>
                <w:rFonts w:ascii="宋体" w:hAnsi="宋体" w:cs="宋体" w:eastAsia="宋体" w:hint="default"/>
                <w:sz w:val="18"/>
                <w:szCs w:val="18"/>
              </w:rPr>
            </w:pPr>
            <w:r>
              <w:rPr>
                <w:rFonts w:ascii="宋体" w:hAnsi="宋体" w:cs="宋体" w:eastAsia="宋体" w:hint="default"/>
                <w:sz w:val="18"/>
                <w:szCs w:val="18"/>
              </w:rPr>
              <w:t>本期减少</w:t>
            </w:r>
          </w:p>
        </w:tc>
        <w:tc>
          <w:tcPr>
            <w:tcW w:w="8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249" w:right="0"/>
              <w:jc w:val="left"/>
              <w:rPr>
                <w:rFonts w:ascii="宋体" w:hAnsi="宋体" w:cs="宋体" w:eastAsia="宋体" w:hint="default"/>
                <w:sz w:val="18"/>
                <w:szCs w:val="18"/>
              </w:rPr>
            </w:pPr>
            <w:r>
              <w:rPr>
                <w:rFonts w:ascii="宋体" w:hAnsi="宋体" w:cs="宋体" w:eastAsia="宋体" w:hint="default"/>
                <w:sz w:val="18"/>
                <w:szCs w:val="18"/>
              </w:rPr>
              <w:t>期末</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249" w:right="0"/>
              <w:jc w:val="left"/>
              <w:rPr>
                <w:rFonts w:ascii="宋体" w:hAnsi="宋体" w:cs="宋体" w:eastAsia="宋体" w:hint="default"/>
                <w:sz w:val="18"/>
                <w:szCs w:val="18"/>
              </w:rPr>
            </w:pPr>
            <w:r>
              <w:rPr>
                <w:rFonts w:ascii="宋体" w:hAnsi="宋体" w:cs="宋体" w:eastAsia="宋体" w:hint="default"/>
                <w:sz w:val="18"/>
                <w:szCs w:val="18"/>
              </w:rPr>
              <w:t>期初</w:t>
            </w:r>
          </w:p>
        </w:tc>
        <w:tc>
          <w:tcPr>
            <w:tcW w:w="8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right="70"/>
              <w:jc w:val="right"/>
              <w:rPr>
                <w:rFonts w:ascii="宋体" w:hAnsi="宋体" w:cs="宋体" w:eastAsia="宋体" w:hint="default"/>
                <w:sz w:val="18"/>
                <w:szCs w:val="18"/>
              </w:rPr>
            </w:pPr>
            <w:r>
              <w:rPr>
                <w:rFonts w:ascii="宋体" w:hAnsi="宋体" w:cs="宋体" w:eastAsia="宋体" w:hint="default"/>
                <w:sz w:val="18"/>
                <w:szCs w:val="18"/>
              </w:rPr>
              <w:t>本期增加</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right="67"/>
              <w:jc w:val="right"/>
              <w:rPr>
                <w:rFonts w:ascii="宋体" w:hAnsi="宋体" w:cs="宋体" w:eastAsia="宋体" w:hint="default"/>
                <w:sz w:val="18"/>
                <w:szCs w:val="18"/>
              </w:rPr>
            </w:pPr>
            <w:r>
              <w:rPr>
                <w:rFonts w:ascii="宋体" w:hAnsi="宋体" w:cs="宋体" w:eastAsia="宋体" w:hint="default"/>
                <w:sz w:val="18"/>
                <w:szCs w:val="18"/>
              </w:rPr>
              <w:t>本期减少</w:t>
            </w:r>
          </w:p>
        </w:tc>
        <w:tc>
          <w:tcPr>
            <w:tcW w:w="8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249" w:right="0"/>
              <w:jc w:val="left"/>
              <w:rPr>
                <w:rFonts w:ascii="宋体" w:hAnsi="宋体" w:cs="宋体" w:eastAsia="宋体" w:hint="default"/>
                <w:sz w:val="18"/>
                <w:szCs w:val="18"/>
              </w:rPr>
            </w:pPr>
            <w:r>
              <w:rPr>
                <w:rFonts w:ascii="宋体" w:hAnsi="宋体" w:cs="宋体" w:eastAsia="宋体" w:hint="default"/>
                <w:sz w:val="18"/>
                <w:szCs w:val="18"/>
              </w:rPr>
              <w:t>期末</w:t>
            </w:r>
          </w:p>
        </w:tc>
        <w:tc>
          <w:tcPr>
            <w:tcW w:w="869" w:type="dxa"/>
            <w:vMerge/>
            <w:tcBorders>
              <w:left w:val="single" w:sz="4" w:space="0" w:color="000000"/>
              <w:bottom w:val="single" w:sz="4" w:space="0" w:color="000000"/>
              <w:right w:val="single" w:sz="4" w:space="0" w:color="000000"/>
            </w:tcBorders>
            <w:shd w:val="clear" w:color="auto" w:fill="D2D2D2"/>
          </w:tcPr>
          <w:p>
            <w:pPr/>
          </w:p>
        </w:tc>
        <w:tc>
          <w:tcPr>
            <w:tcW w:w="871" w:type="dxa"/>
            <w:vMerge/>
            <w:tcBorders>
              <w:left w:val="single" w:sz="4" w:space="0" w:color="000000"/>
              <w:bottom w:val="single" w:sz="4" w:space="0" w:color="000000"/>
              <w:right w:val="single" w:sz="4" w:space="0" w:color="000000"/>
            </w:tcBorders>
            <w:shd w:val="clear" w:color="auto" w:fill="D2D2D2"/>
          </w:tcPr>
          <w:p>
            <w:pPr/>
          </w:p>
        </w:tc>
      </w:tr>
      <w:tr>
        <w:trPr>
          <w:trHeight w:val="1339"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08"/>
              <w:jc w:val="both"/>
              <w:rPr>
                <w:rFonts w:ascii="宋体" w:hAnsi="宋体" w:cs="宋体" w:eastAsia="宋体" w:hint="default"/>
                <w:sz w:val="18"/>
                <w:szCs w:val="18"/>
              </w:rPr>
            </w:pPr>
            <w:r>
              <w:rPr>
                <w:rFonts w:ascii="宋体" w:hAnsi="宋体" w:cs="宋体" w:eastAsia="宋体" w:hint="default"/>
                <w:sz w:val="18"/>
                <w:szCs w:val="18"/>
              </w:rPr>
              <w:t>中国大地 财产保险 股份有限 公司</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88,000,000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88,000,000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0.26%</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1,183,069.</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00</w:t>
            </w:r>
          </w:p>
        </w:tc>
      </w:tr>
      <w:tr>
        <w:trPr>
          <w:trHeight w:val="1337"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08"/>
              <w:jc w:val="both"/>
              <w:rPr>
                <w:rFonts w:ascii="宋体" w:hAnsi="宋体" w:cs="宋体" w:eastAsia="宋体" w:hint="default"/>
                <w:sz w:val="18"/>
                <w:szCs w:val="18"/>
              </w:rPr>
            </w:pPr>
            <w:r>
              <w:rPr>
                <w:rFonts w:ascii="宋体" w:hAnsi="宋体" w:cs="宋体" w:eastAsia="宋体" w:hint="default"/>
                <w:sz w:val="18"/>
                <w:szCs w:val="18"/>
              </w:rPr>
              <w:t>佛吉亚好 帮手电子 科技有限 公司</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84,000,000</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84,000,000</w:t>
            </w:r>
          </w:p>
          <w:p>
            <w:pPr>
              <w:pStyle w:val="TableParagraph"/>
              <w:spacing w:line="240" w:lineRule="auto" w:before="102"/>
              <w:ind w:right="21"/>
              <w:jc w:val="right"/>
              <w:rPr>
                <w:rFonts w:ascii="Times New Roman" w:hAnsi="Times New Roman" w:cs="Times New Roman" w:eastAsia="Times New Roman" w:hint="default"/>
                <w:sz w:val="18"/>
                <w:szCs w:val="18"/>
              </w:rPr>
            </w:pPr>
            <w:r>
              <w:rPr>
                <w:rFonts w:ascii="Times New Roman"/>
                <w:sz w:val="18"/>
              </w:rPr>
              <w:t>.00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2.69%</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8"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4" w:right="86"/>
              <w:jc w:val="left"/>
              <w:rPr>
                <w:rFonts w:ascii="Times New Roman" w:hAnsi="Times New Roman" w:cs="Times New Roman" w:eastAsia="Times New Roman" w:hint="default"/>
                <w:sz w:val="18"/>
                <w:szCs w:val="18"/>
              </w:rPr>
            </w:pPr>
            <w:r>
              <w:rPr>
                <w:rFonts w:ascii="Times New Roman"/>
                <w:sz w:val="18"/>
              </w:rPr>
              <w:t>Pachira Enterprise</w:t>
            </w:r>
            <w:r>
              <w:rPr>
                <w:rFonts w:ascii="Times New Roman"/>
                <w:w w:val="99"/>
                <w:sz w:val="18"/>
              </w:rPr>
              <w:t> </w:t>
            </w:r>
            <w:r>
              <w:rPr>
                <w:rFonts w:ascii="Times New Roman"/>
                <w:sz w:val="18"/>
              </w:rPr>
              <w:t>s</w:t>
            </w:r>
            <w:r>
              <w:rPr>
                <w:rFonts w:ascii="Times New Roman"/>
                <w:spacing w:val="-5"/>
                <w:sz w:val="18"/>
              </w:rPr>
              <w:t> </w:t>
            </w:r>
            <w:r>
              <w:rPr>
                <w:rFonts w:ascii="Times New Roman"/>
                <w:sz w:val="18"/>
              </w:rPr>
              <w:t>Limited</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33,081,746</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.35</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16,479,212</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.15</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49,560,958</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.50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17.00%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1649"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08"/>
              <w:jc w:val="both"/>
              <w:rPr>
                <w:rFonts w:ascii="宋体" w:hAnsi="宋体" w:cs="宋体" w:eastAsia="宋体" w:hint="default"/>
                <w:sz w:val="18"/>
                <w:szCs w:val="18"/>
              </w:rPr>
            </w:pPr>
            <w:r>
              <w:rPr>
                <w:rFonts w:ascii="宋体" w:hAnsi="宋体" w:cs="宋体" w:eastAsia="宋体" w:hint="default"/>
                <w:sz w:val="18"/>
                <w:szCs w:val="18"/>
              </w:rPr>
              <w:t>国汽（北 京）智能 网联汽车 研究院有 限公司</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20,000,000</w:t>
            </w:r>
          </w:p>
          <w:p>
            <w:pPr>
              <w:pStyle w:val="TableParagraph"/>
              <w:spacing w:line="240" w:lineRule="auto" w:before="102"/>
              <w:ind w:right="21"/>
              <w:jc w:val="right"/>
              <w:rPr>
                <w:rFonts w:ascii="Times New Roman" w:hAnsi="Times New Roman" w:cs="Times New Roman" w:eastAsia="Times New Roman" w:hint="default"/>
                <w:sz w:val="18"/>
                <w:szCs w:val="18"/>
              </w:rPr>
            </w:pPr>
            <w:r>
              <w:rPr>
                <w:rFonts w:ascii="Times New Roman"/>
                <w:sz w:val="18"/>
              </w:rPr>
              <w:t>.00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20,000,000</w:t>
            </w:r>
          </w:p>
          <w:p>
            <w:pPr>
              <w:pStyle w:val="TableParagraph"/>
              <w:spacing w:line="240" w:lineRule="auto" w:before="102"/>
              <w:ind w:right="21"/>
              <w:jc w:val="right"/>
              <w:rPr>
                <w:rFonts w:ascii="Times New Roman" w:hAnsi="Times New Roman" w:cs="Times New Roman" w:eastAsia="Times New Roman" w:hint="default"/>
                <w:sz w:val="18"/>
                <w:szCs w:val="18"/>
              </w:rPr>
            </w:pPr>
            <w:r>
              <w:rPr>
                <w:rFonts w:ascii="Times New Roman"/>
                <w:sz w:val="18"/>
              </w:rPr>
              <w:t>.00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08"/>
              <w:jc w:val="left"/>
              <w:rPr>
                <w:rFonts w:ascii="宋体" w:hAnsi="宋体" w:cs="宋体" w:eastAsia="宋体" w:hint="default"/>
                <w:sz w:val="18"/>
                <w:szCs w:val="18"/>
              </w:rPr>
            </w:pPr>
            <w:r>
              <w:rPr>
                <w:rFonts w:ascii="宋体" w:hAnsi="宋体" w:cs="宋体" w:eastAsia="宋体" w:hint="default"/>
                <w:sz w:val="18"/>
                <w:szCs w:val="18"/>
              </w:rPr>
              <w:t>天地图有 限公司</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17,500,000</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17,500,000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9,152,647.</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61</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9,152,647.</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61</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17.50%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864"/>
        <w:gridCol w:w="869"/>
        <w:gridCol w:w="871"/>
        <w:gridCol w:w="869"/>
        <w:gridCol w:w="871"/>
        <w:gridCol w:w="869"/>
        <w:gridCol w:w="872"/>
        <w:gridCol w:w="869"/>
        <w:gridCol w:w="871"/>
        <w:gridCol w:w="869"/>
        <w:gridCol w:w="871"/>
      </w:tblGrid>
      <w:tr>
        <w:trPr>
          <w:trHeight w:val="1025"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禾多科技</w:t>
            </w:r>
          </w:p>
          <w:p>
            <w:pPr>
              <w:pStyle w:val="TableParagraph"/>
              <w:spacing w:line="316" w:lineRule="auto" w:before="77"/>
              <w:ind w:left="24" w:right="108"/>
              <w:jc w:val="left"/>
              <w:rPr>
                <w:rFonts w:ascii="宋体" w:hAnsi="宋体" w:cs="宋体" w:eastAsia="宋体" w:hint="default"/>
                <w:sz w:val="18"/>
                <w:szCs w:val="18"/>
              </w:rPr>
            </w:pPr>
            <w:r>
              <w:rPr>
                <w:rFonts w:ascii="宋体" w:hAnsi="宋体" w:cs="宋体" w:eastAsia="宋体" w:hint="default"/>
                <w:sz w:val="18"/>
                <w:szCs w:val="18"/>
              </w:rPr>
              <w:t>（北京） 有限公司</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12,800,000</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12,800,000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4.08%</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360" w:lineRule="auto" w:before="93"/>
              <w:ind w:left="24" w:right="117"/>
              <w:jc w:val="left"/>
              <w:rPr>
                <w:rFonts w:ascii="Times New Roman" w:hAnsi="Times New Roman" w:cs="Times New Roman" w:eastAsia="Times New Roman" w:hint="default"/>
                <w:sz w:val="18"/>
                <w:szCs w:val="18"/>
              </w:rPr>
            </w:pPr>
            <w:r>
              <w:rPr>
                <w:rFonts w:ascii="Times New Roman"/>
                <w:sz w:val="18"/>
              </w:rPr>
              <w:t>Mapillary </w:t>
            </w:r>
            <w:r>
              <w:rPr>
                <w:rFonts w:ascii="Times New Roman"/>
                <w:spacing w:val="-3"/>
                <w:sz w:val="18"/>
              </w:rPr>
              <w:t>AB</w:t>
            </w:r>
            <w:r>
              <w:rPr>
                <w:rFonts w:ascii="Times New Roman"/>
                <w:sz w:val="18"/>
              </w:rPr>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12,749,795</w:t>
            </w:r>
          </w:p>
          <w:p>
            <w:pPr>
              <w:pStyle w:val="TableParagraph"/>
              <w:spacing w:line="240" w:lineRule="auto" w:before="102"/>
              <w:ind w:right="21"/>
              <w:jc w:val="right"/>
              <w:rPr>
                <w:rFonts w:ascii="Times New Roman" w:hAnsi="Times New Roman" w:cs="Times New Roman" w:eastAsia="Times New Roman" w:hint="default"/>
                <w:sz w:val="18"/>
                <w:szCs w:val="18"/>
              </w:rPr>
            </w:pPr>
            <w:r>
              <w:rPr>
                <w:rFonts w:ascii="Times New Roman"/>
                <w:sz w:val="18"/>
              </w:rPr>
              <w:t>.29</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12,749,795</w:t>
            </w:r>
          </w:p>
          <w:p>
            <w:pPr>
              <w:pStyle w:val="TableParagraph"/>
              <w:spacing w:line="240" w:lineRule="auto" w:before="102"/>
              <w:ind w:right="21"/>
              <w:jc w:val="right"/>
              <w:rPr>
                <w:rFonts w:ascii="Times New Roman" w:hAnsi="Times New Roman" w:cs="Times New Roman" w:eastAsia="Times New Roman" w:hint="default"/>
                <w:sz w:val="18"/>
                <w:szCs w:val="18"/>
              </w:rPr>
            </w:pPr>
            <w:r>
              <w:rPr>
                <w:rFonts w:ascii="Times New Roman"/>
                <w:sz w:val="18"/>
              </w:rPr>
              <w:t>.29</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3.88%</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1337"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08"/>
              <w:jc w:val="both"/>
              <w:rPr>
                <w:rFonts w:ascii="宋体" w:hAnsi="宋体" w:cs="宋体" w:eastAsia="宋体" w:hint="default"/>
                <w:sz w:val="18"/>
                <w:szCs w:val="18"/>
              </w:rPr>
            </w:pPr>
            <w:r>
              <w:rPr>
                <w:rFonts w:ascii="宋体" w:hAnsi="宋体" w:cs="宋体" w:eastAsia="宋体" w:hint="default"/>
                <w:sz w:val="18"/>
                <w:szCs w:val="18"/>
              </w:rPr>
              <w:t>中再巨灾 风险管理 股份有限 公司</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10,000,000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10,000,000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6"/>
              <w:jc w:val="right"/>
              <w:rPr>
                <w:rFonts w:ascii="Times New Roman" w:hAnsi="Times New Roman" w:cs="Times New Roman" w:eastAsia="Times New Roman" w:hint="default"/>
                <w:sz w:val="18"/>
                <w:szCs w:val="18"/>
              </w:rPr>
            </w:pPr>
            <w:r>
              <w:rPr>
                <w:rFonts w:ascii="Times New Roman"/>
                <w:sz w:val="18"/>
              </w:rPr>
              <w:t>10.00%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6"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360" w:lineRule="auto" w:before="93"/>
              <w:ind w:left="24" w:right="97"/>
              <w:jc w:val="left"/>
              <w:rPr>
                <w:rFonts w:ascii="Times New Roman" w:hAnsi="Times New Roman" w:cs="Times New Roman" w:eastAsia="Times New Roman" w:hint="default"/>
                <w:sz w:val="18"/>
                <w:szCs w:val="18"/>
              </w:rPr>
            </w:pPr>
            <w:r>
              <w:rPr>
                <w:rFonts w:ascii="Times New Roman"/>
                <w:sz w:val="18"/>
              </w:rPr>
              <w:t>Sixan</w:t>
            </w:r>
            <w:r>
              <w:rPr>
                <w:rFonts w:ascii="Times New Roman"/>
                <w:spacing w:val="-2"/>
                <w:sz w:val="18"/>
              </w:rPr>
              <w:t> </w:t>
            </w:r>
            <w:r>
              <w:rPr>
                <w:rFonts w:ascii="Times New Roman"/>
                <w:sz w:val="18"/>
              </w:rPr>
              <w:t>Pte.</w:t>
            </w:r>
            <w:r>
              <w:rPr>
                <w:rFonts w:ascii="Times New Roman"/>
                <w:sz w:val="18"/>
              </w:rPr>
              <w:t> Ltd.</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7,802,300.</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-45,000.00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7,847,300.</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5"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08"/>
              <w:jc w:val="both"/>
              <w:rPr>
                <w:rFonts w:ascii="宋体" w:hAnsi="宋体" w:cs="宋体" w:eastAsia="宋体" w:hint="default"/>
                <w:sz w:val="18"/>
                <w:szCs w:val="18"/>
              </w:rPr>
            </w:pPr>
            <w:r>
              <w:rPr>
                <w:rFonts w:ascii="宋体" w:hAnsi="宋体" w:cs="宋体" w:eastAsia="宋体" w:hint="default"/>
                <w:sz w:val="18"/>
                <w:szCs w:val="18"/>
              </w:rPr>
              <w:t>北京未来 导航科技 有限公司</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5,000,000.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5,000,000.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1.32%</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7"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360" w:lineRule="auto" w:before="93"/>
              <w:ind w:left="24" w:right="313"/>
              <w:jc w:val="left"/>
              <w:rPr>
                <w:rFonts w:ascii="Times New Roman" w:hAnsi="Times New Roman" w:cs="Times New Roman" w:eastAsia="Times New Roman" w:hint="default"/>
                <w:sz w:val="18"/>
                <w:szCs w:val="18"/>
              </w:rPr>
            </w:pPr>
            <w:r>
              <w:rPr>
                <w:rFonts w:ascii="Times New Roman"/>
                <w:sz w:val="18"/>
              </w:rPr>
              <w:t>Deep </w:t>
            </w:r>
            <w:r>
              <w:rPr>
                <w:rFonts w:ascii="Times New Roman"/>
                <w:spacing w:val="-2"/>
                <w:sz w:val="18"/>
              </w:rPr>
              <w:t>Vision,</w:t>
            </w:r>
            <w:r>
              <w:rPr>
                <w:rFonts w:ascii="Times New Roman"/>
                <w:spacing w:val="-43"/>
                <w:sz w:val="18"/>
              </w:rPr>
              <w:t> </w:t>
            </w:r>
            <w:r>
              <w:rPr>
                <w:rFonts w:ascii="Times New Roman"/>
                <w:spacing w:val="-43"/>
                <w:sz w:val="18"/>
              </w:rPr>
            </w:r>
            <w:r>
              <w:rPr>
                <w:rFonts w:ascii="Times New Roman"/>
                <w:sz w:val="18"/>
              </w:rPr>
              <w:t>Inc.</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4,804,240.</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4,804,240.</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4.80%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1337"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08"/>
              <w:jc w:val="left"/>
              <w:rPr>
                <w:rFonts w:ascii="宋体" w:hAnsi="宋体" w:cs="宋体" w:eastAsia="宋体" w:hint="default"/>
                <w:sz w:val="18"/>
                <w:szCs w:val="18"/>
              </w:rPr>
            </w:pPr>
            <w:r>
              <w:rPr>
                <w:rFonts w:ascii="宋体" w:hAnsi="宋体" w:cs="宋体" w:eastAsia="宋体" w:hint="default"/>
                <w:sz w:val="18"/>
                <w:szCs w:val="18"/>
              </w:rPr>
              <w:t>北斗导航 位置服务</w:t>
            </w:r>
          </w:p>
          <w:p>
            <w:pPr>
              <w:pStyle w:val="TableParagraph"/>
              <w:spacing w:line="316" w:lineRule="auto" w:before="19"/>
              <w:ind w:left="24" w:right="108"/>
              <w:jc w:val="left"/>
              <w:rPr>
                <w:rFonts w:ascii="宋体" w:hAnsi="宋体" w:cs="宋体" w:eastAsia="宋体" w:hint="default"/>
                <w:sz w:val="18"/>
                <w:szCs w:val="18"/>
              </w:rPr>
            </w:pPr>
            <w:r>
              <w:rPr>
                <w:rFonts w:ascii="宋体" w:hAnsi="宋体" w:cs="宋体" w:eastAsia="宋体" w:hint="default"/>
                <w:sz w:val="18"/>
                <w:szCs w:val="18"/>
              </w:rPr>
              <w:t>（北京） 有限公司</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3,000,000.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3,000,000.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9"/>
              <w:jc w:val="right"/>
              <w:rPr>
                <w:rFonts w:ascii="Times New Roman" w:hAnsi="Times New Roman" w:cs="Times New Roman" w:eastAsia="Times New Roman" w:hint="default"/>
                <w:sz w:val="18"/>
                <w:szCs w:val="18"/>
              </w:rPr>
            </w:pPr>
            <w:r>
              <w:rPr>
                <w:rFonts w:ascii="Times New Roman"/>
                <w:spacing w:val="-1"/>
                <w:sz w:val="18"/>
              </w:rPr>
              <w:t>725,184.11</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2"/>
              <w:jc w:val="right"/>
              <w:rPr>
                <w:rFonts w:ascii="Times New Roman" w:hAnsi="Times New Roman" w:cs="Times New Roman" w:eastAsia="Times New Roman" w:hint="default"/>
                <w:sz w:val="18"/>
                <w:szCs w:val="18"/>
              </w:rPr>
            </w:pPr>
            <w:r>
              <w:rPr>
                <w:rFonts w:ascii="Times New Roman"/>
                <w:spacing w:val="-1"/>
                <w:sz w:val="18"/>
              </w:rPr>
              <w:t>248,627.78</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pacing w:val="-1"/>
                <w:sz w:val="18"/>
              </w:rPr>
              <w:t>973,811.89</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z w:val="18"/>
              </w:rPr>
              <w:t>1.00%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1339"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108"/>
              <w:jc w:val="both"/>
              <w:rPr>
                <w:rFonts w:ascii="宋体" w:hAnsi="宋体" w:cs="宋体" w:eastAsia="宋体" w:hint="default"/>
                <w:sz w:val="18"/>
                <w:szCs w:val="18"/>
              </w:rPr>
            </w:pPr>
            <w:r>
              <w:rPr>
                <w:rFonts w:ascii="宋体" w:hAnsi="宋体" w:cs="宋体" w:eastAsia="宋体" w:hint="default"/>
                <w:sz w:val="18"/>
                <w:szCs w:val="18"/>
              </w:rPr>
              <w:t>四维世景 科技（北 京）有限 公司</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1,300,000.</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1,300,000.</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16"/>
              <w:jc w:val="right"/>
              <w:rPr>
                <w:rFonts w:ascii="Times New Roman" w:hAnsi="Times New Roman" w:cs="Times New Roman" w:eastAsia="Times New Roman" w:hint="default"/>
                <w:sz w:val="18"/>
                <w:szCs w:val="18"/>
              </w:rPr>
            </w:pPr>
            <w:r>
              <w:rPr>
                <w:rFonts w:ascii="Times New Roman"/>
                <w:sz w:val="18"/>
              </w:rPr>
              <w:t>13.00%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5"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08"/>
              <w:jc w:val="both"/>
              <w:rPr>
                <w:rFonts w:ascii="宋体" w:hAnsi="宋体" w:cs="宋体" w:eastAsia="宋体" w:hint="default"/>
                <w:sz w:val="18"/>
                <w:szCs w:val="18"/>
              </w:rPr>
            </w:pPr>
            <w:r>
              <w:rPr>
                <w:rFonts w:ascii="宋体" w:hAnsi="宋体" w:cs="宋体" w:eastAsia="宋体" w:hint="default"/>
                <w:sz w:val="18"/>
                <w:szCs w:val="18"/>
              </w:rPr>
              <w:t>北京麦吉 姆科技有 限公司</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1,000,000.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1,000,000.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1,000,000.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00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1,000,000.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1340"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both"/>
              <w:rPr>
                <w:rFonts w:ascii="宋体" w:hAnsi="宋体" w:cs="宋体" w:eastAsia="宋体" w:hint="default"/>
                <w:sz w:val="18"/>
                <w:szCs w:val="18"/>
              </w:rPr>
            </w:pPr>
            <w:r>
              <w:rPr>
                <w:rFonts w:ascii="宋体" w:hAnsi="宋体" w:cs="宋体" w:eastAsia="宋体" w:hint="default"/>
                <w:sz w:val="18"/>
                <w:szCs w:val="18"/>
              </w:rPr>
              <w:t>中科劲点</w:t>
            </w:r>
          </w:p>
          <w:p>
            <w:pPr>
              <w:pStyle w:val="TableParagraph"/>
              <w:spacing w:line="319" w:lineRule="auto" w:before="74"/>
              <w:ind w:left="24" w:right="108"/>
              <w:jc w:val="both"/>
              <w:rPr>
                <w:rFonts w:ascii="宋体" w:hAnsi="宋体" w:cs="宋体" w:eastAsia="宋体" w:hint="default"/>
                <w:sz w:val="18"/>
                <w:szCs w:val="18"/>
              </w:rPr>
            </w:pPr>
            <w:r>
              <w:rPr>
                <w:rFonts w:ascii="宋体" w:hAnsi="宋体" w:cs="宋体" w:eastAsia="宋体" w:hint="default"/>
                <w:sz w:val="18"/>
                <w:szCs w:val="18"/>
              </w:rPr>
              <w:t>（北京） 科技有限 公司</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19"/>
              <w:jc w:val="right"/>
              <w:rPr>
                <w:rFonts w:ascii="Times New Roman" w:hAnsi="Times New Roman" w:cs="Times New Roman" w:eastAsia="Times New Roman" w:hint="default"/>
                <w:sz w:val="18"/>
                <w:szCs w:val="18"/>
              </w:rPr>
            </w:pPr>
            <w:r>
              <w:rPr>
                <w:rFonts w:ascii="Times New Roman"/>
                <w:spacing w:val="-1"/>
                <w:sz w:val="18"/>
              </w:rPr>
              <w:t>500,000.00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21"/>
              <w:jc w:val="right"/>
              <w:rPr>
                <w:rFonts w:ascii="Times New Roman" w:hAnsi="Times New Roman" w:cs="Times New Roman" w:eastAsia="Times New Roman" w:hint="default"/>
                <w:sz w:val="18"/>
                <w:szCs w:val="18"/>
              </w:rPr>
            </w:pPr>
            <w:r>
              <w:rPr>
                <w:rFonts w:ascii="Times New Roman"/>
                <w:spacing w:val="-1"/>
                <w:sz w:val="18"/>
              </w:rPr>
              <w:t>500,000.00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19"/>
              <w:jc w:val="right"/>
              <w:rPr>
                <w:rFonts w:ascii="Times New Roman" w:hAnsi="Times New Roman" w:cs="Times New Roman" w:eastAsia="Times New Roman" w:hint="default"/>
                <w:sz w:val="18"/>
                <w:szCs w:val="18"/>
              </w:rPr>
            </w:pPr>
            <w:r>
              <w:rPr>
                <w:rFonts w:ascii="Times New Roman"/>
                <w:spacing w:val="-1"/>
                <w:sz w:val="18"/>
              </w:rPr>
              <w:t>421,014.97</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21"/>
              <w:jc w:val="right"/>
              <w:rPr>
                <w:rFonts w:ascii="Times New Roman" w:hAnsi="Times New Roman" w:cs="Times New Roman" w:eastAsia="Times New Roman" w:hint="default"/>
                <w:sz w:val="18"/>
                <w:szCs w:val="18"/>
              </w:rPr>
            </w:pPr>
            <w:r>
              <w:rPr>
                <w:rFonts w:ascii="Times New Roman"/>
                <w:spacing w:val="-1"/>
                <w:sz w:val="18"/>
              </w:rPr>
              <w:t>421,014.97</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16"/>
              <w:jc w:val="right"/>
              <w:rPr>
                <w:rFonts w:ascii="Times New Roman" w:hAnsi="Times New Roman" w:cs="Times New Roman" w:eastAsia="Times New Roman" w:hint="default"/>
                <w:sz w:val="18"/>
                <w:szCs w:val="18"/>
              </w:rPr>
            </w:pPr>
            <w:r>
              <w:rPr>
                <w:rFonts w:ascii="Times New Roman"/>
                <w:sz w:val="18"/>
              </w:rPr>
              <w:t>10.00%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1337"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08"/>
              <w:jc w:val="both"/>
              <w:rPr>
                <w:rFonts w:ascii="宋体" w:hAnsi="宋体" w:cs="宋体" w:eastAsia="宋体" w:hint="default"/>
                <w:sz w:val="18"/>
                <w:szCs w:val="18"/>
              </w:rPr>
            </w:pPr>
            <w:r>
              <w:rPr>
                <w:rFonts w:ascii="宋体" w:hAnsi="宋体" w:cs="宋体" w:eastAsia="宋体" w:hint="default"/>
                <w:sz w:val="18"/>
                <w:szCs w:val="18"/>
              </w:rPr>
              <w:t>北京车联 天下信息 技术有限 公司</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70,000,000</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70,000,000</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z w:val="18"/>
              </w:rPr>
              <w:t>7.86%</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8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6" w:right="0"/>
              <w:jc w:val="left"/>
              <w:rPr>
                <w:rFonts w:ascii="Times New Roman" w:hAnsi="Times New Roman" w:cs="Times New Roman" w:eastAsia="Times New Roman" w:hint="default"/>
                <w:sz w:val="18"/>
                <w:szCs w:val="18"/>
              </w:rPr>
            </w:pPr>
            <w:r>
              <w:rPr>
                <w:rFonts w:ascii="Times New Roman"/>
                <w:sz w:val="18"/>
              </w:rPr>
              <w:t>235,984,04</w:t>
            </w:r>
          </w:p>
          <w:p>
            <w:pPr>
              <w:pStyle w:val="TableParagraph"/>
              <w:spacing w:line="240" w:lineRule="auto" w:before="102"/>
              <w:ind w:left="523" w:right="0"/>
              <w:jc w:val="left"/>
              <w:rPr>
                <w:rFonts w:ascii="Times New Roman" w:hAnsi="Times New Roman" w:cs="Times New Roman" w:eastAsia="Times New Roman" w:hint="default"/>
                <w:sz w:val="18"/>
                <w:szCs w:val="18"/>
              </w:rPr>
            </w:pPr>
            <w:r>
              <w:rPr>
                <w:rFonts w:ascii="Times New Roman"/>
                <w:sz w:val="18"/>
              </w:rPr>
              <w:t>6.35</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6" w:right="0"/>
              <w:jc w:val="left"/>
              <w:rPr>
                <w:rFonts w:ascii="Times New Roman" w:hAnsi="Times New Roman" w:cs="Times New Roman" w:eastAsia="Times New Roman" w:hint="default"/>
                <w:sz w:val="18"/>
                <w:szCs w:val="18"/>
              </w:rPr>
            </w:pPr>
            <w:r>
              <w:rPr>
                <w:rFonts w:ascii="Times New Roman"/>
                <w:sz w:val="18"/>
              </w:rPr>
              <w:t>152,033,24</w:t>
            </w:r>
          </w:p>
          <w:p>
            <w:pPr>
              <w:pStyle w:val="TableParagraph"/>
              <w:spacing w:line="240" w:lineRule="auto" w:before="102"/>
              <w:ind w:left="523" w:right="0"/>
              <w:jc w:val="left"/>
              <w:rPr>
                <w:rFonts w:ascii="Times New Roman" w:hAnsi="Times New Roman" w:cs="Times New Roman" w:eastAsia="Times New Roman" w:hint="default"/>
                <w:sz w:val="18"/>
                <w:szCs w:val="18"/>
              </w:rPr>
            </w:pPr>
            <w:r>
              <w:rPr>
                <w:rFonts w:ascii="Times New Roman"/>
                <w:sz w:val="18"/>
              </w:rPr>
              <w:t>7.44</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69,955,000</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6" w:right="0"/>
              <w:jc w:val="left"/>
              <w:rPr>
                <w:rFonts w:ascii="Times New Roman" w:hAnsi="Times New Roman" w:cs="Times New Roman" w:eastAsia="Times New Roman" w:hint="default"/>
                <w:sz w:val="18"/>
                <w:szCs w:val="18"/>
              </w:rPr>
            </w:pPr>
            <w:r>
              <w:rPr>
                <w:rFonts w:ascii="Times New Roman"/>
                <w:sz w:val="18"/>
              </w:rPr>
              <w:t>318,062,29</w:t>
            </w:r>
          </w:p>
          <w:p>
            <w:pPr>
              <w:pStyle w:val="TableParagraph"/>
              <w:spacing w:line="240" w:lineRule="auto" w:before="102"/>
              <w:ind w:left="523" w:right="0"/>
              <w:jc w:val="left"/>
              <w:rPr>
                <w:rFonts w:ascii="Times New Roman" w:hAnsi="Times New Roman" w:cs="Times New Roman" w:eastAsia="Times New Roman" w:hint="default"/>
                <w:sz w:val="18"/>
                <w:szCs w:val="18"/>
              </w:rPr>
            </w:pPr>
            <w:r>
              <w:rPr>
                <w:rFonts w:ascii="Times New Roman"/>
                <w:sz w:val="18"/>
              </w:rPr>
              <w:t>3.79</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11,298,846</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.69</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248,627.78</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11,547,474</w:t>
            </w:r>
          </w:p>
          <w:p>
            <w:pPr>
              <w:pStyle w:val="TableParagraph"/>
              <w:spacing w:line="240" w:lineRule="auto" w:before="102"/>
              <w:ind w:right="21"/>
              <w:jc w:val="right"/>
              <w:rPr>
                <w:rFonts w:ascii="Times New Roman" w:hAnsi="Times New Roman" w:cs="Times New Roman" w:eastAsia="Times New Roman" w:hint="default"/>
                <w:sz w:val="18"/>
                <w:szCs w:val="18"/>
              </w:rPr>
            </w:pPr>
            <w:r>
              <w:rPr>
                <w:rFonts w:ascii="Times New Roman"/>
                <w:sz w:val="18"/>
              </w:rPr>
              <w:t>.47</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1,183,069.</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2"/>
        <w:rPr>
          <w:rFonts w:ascii="Times New Roman" w:hAnsi="Times New Roman" w:cs="Times New Roman" w:eastAsia="Times New Roman" w:hint="default"/>
          <w:sz w:val="28"/>
          <w:szCs w:val="28"/>
        </w:rPr>
      </w:pPr>
    </w:p>
    <w:p>
      <w:pPr>
        <w:pStyle w:val="Heading4"/>
        <w:spacing w:line="240" w:lineRule="auto" w:before="36"/>
        <w:ind w:right="982"/>
        <w:jc w:val="left"/>
        <w:rPr>
          <w:b w:val="0"/>
          <w:bCs w:val="0"/>
        </w:rPr>
      </w:pPr>
      <w:r>
        <w:rPr/>
        <w:t>（</w:t>
      </w:r>
      <w:r>
        <w:rPr>
          <w:rFonts w:ascii="Times New Roman" w:hAnsi="Times New Roman" w:cs="Times New Roman" w:eastAsia="Times New Roman" w:hint="default"/>
        </w:rPr>
        <w:t>4</w:t>
      </w:r>
      <w:r>
        <w:rPr/>
        <w:t>）报告期内可供出售金融资产减值的变动情况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672"/>
        <w:gridCol w:w="1853"/>
        <w:gridCol w:w="2268"/>
        <w:gridCol w:w="2696"/>
      </w:tblGrid>
      <w:tr>
        <w:trPr>
          <w:trHeight w:val="403" w:hRule="exact"/>
        </w:trPr>
        <w:tc>
          <w:tcPr>
            <w:tcW w:w="26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0" w:right="0"/>
              <w:jc w:val="left"/>
              <w:rPr>
                <w:rFonts w:ascii="宋体" w:hAnsi="宋体" w:cs="宋体" w:eastAsia="宋体" w:hint="default"/>
                <w:sz w:val="18"/>
                <w:szCs w:val="18"/>
              </w:rPr>
            </w:pPr>
            <w:r>
              <w:rPr>
                <w:rFonts w:ascii="宋体" w:hAnsi="宋体" w:cs="宋体" w:eastAsia="宋体" w:hint="default"/>
                <w:sz w:val="18"/>
                <w:szCs w:val="18"/>
              </w:rPr>
              <w:t>可供出售金融资产分类</w:t>
            </w:r>
          </w:p>
        </w:tc>
        <w:tc>
          <w:tcPr>
            <w:tcW w:w="18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9" w:right="0"/>
              <w:jc w:val="left"/>
              <w:rPr>
                <w:rFonts w:ascii="宋体" w:hAnsi="宋体" w:cs="宋体" w:eastAsia="宋体" w:hint="default"/>
                <w:sz w:val="18"/>
                <w:szCs w:val="18"/>
              </w:rPr>
            </w:pPr>
            <w:r>
              <w:rPr>
                <w:rFonts w:ascii="宋体" w:hAnsi="宋体" w:cs="宋体" w:eastAsia="宋体" w:hint="default"/>
                <w:sz w:val="18"/>
                <w:szCs w:val="18"/>
              </w:rPr>
              <w:t>可供出售权益工具</w:t>
            </w:r>
          </w:p>
        </w:tc>
        <w:tc>
          <w:tcPr>
            <w:tcW w:w="2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10" w:right="0"/>
              <w:jc w:val="left"/>
              <w:rPr>
                <w:rFonts w:ascii="宋体" w:hAnsi="宋体" w:cs="宋体" w:eastAsia="宋体" w:hint="default"/>
                <w:sz w:val="18"/>
                <w:szCs w:val="18"/>
              </w:rPr>
            </w:pPr>
            <w:r>
              <w:rPr>
                <w:rFonts w:ascii="宋体" w:hAnsi="宋体" w:cs="宋体" w:eastAsia="宋体" w:hint="default"/>
                <w:sz w:val="18"/>
                <w:szCs w:val="18"/>
              </w:rPr>
              <w:t>可供出售债务工具</w:t>
            </w:r>
          </w:p>
        </w:tc>
        <w:tc>
          <w:tcPr>
            <w:tcW w:w="26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1" w:hRule="exact"/>
        </w:trPr>
        <w:tc>
          <w:tcPr>
            <w:tcW w:w="26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期初已计提减值余额</w:t>
            </w:r>
          </w:p>
        </w:tc>
        <w:tc>
          <w:tcPr>
            <w:tcW w:w="185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11,298,846.69</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11,298,846.69</w:t>
            </w:r>
          </w:p>
        </w:tc>
      </w:tr>
      <w:tr>
        <w:trPr>
          <w:trHeight w:val="403" w:hRule="exact"/>
        </w:trPr>
        <w:tc>
          <w:tcPr>
            <w:tcW w:w="26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本期计提</w:t>
            </w:r>
          </w:p>
        </w:tc>
        <w:tc>
          <w:tcPr>
            <w:tcW w:w="185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248,627.78</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248,627.78</w:t>
            </w:r>
          </w:p>
        </w:tc>
      </w:tr>
      <w:tr>
        <w:trPr>
          <w:trHeight w:val="401" w:hRule="exact"/>
        </w:trPr>
        <w:tc>
          <w:tcPr>
            <w:tcW w:w="26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其中：从其他综合收益转入</w:t>
            </w:r>
          </w:p>
        </w:tc>
        <w:tc>
          <w:tcPr>
            <w:tcW w:w="185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6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85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26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其中：期后公允价值回升转回</w:t>
            </w:r>
          </w:p>
        </w:tc>
        <w:tc>
          <w:tcPr>
            <w:tcW w:w="185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4" w:hRule="exact"/>
        </w:trPr>
        <w:tc>
          <w:tcPr>
            <w:tcW w:w="26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期末已计提减值余额</w:t>
            </w:r>
          </w:p>
        </w:tc>
        <w:tc>
          <w:tcPr>
            <w:tcW w:w="185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11,547,474.47</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11,547,474.47</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t>（</w:t>
      </w:r>
      <w:r>
        <w:rPr>
          <w:rFonts w:ascii="Times New Roman" w:hAnsi="Times New Roman" w:cs="Times New Roman" w:eastAsia="Times New Roman" w:hint="default"/>
        </w:rPr>
        <w:t>5</w:t>
      </w:r>
      <w:r>
        <w:rPr/>
        <w:t>）可供出售权益工具期末公允价值严重下跌或非暂时性下跌但未计提减值准备的相关说明</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rFonts w:ascii="Times New Roman" w:hAnsi="Times New Roman" w:cs="Times New Roman" w:eastAsia="Times New Roman" w:hint="default"/>
        </w:rPr>
        <w:t>12</w:t>
      </w:r>
      <w:r>
        <w:rPr/>
        <w:t>、持有至到期投资</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2"/>
        <w:jc w:val="left"/>
        <w:rPr>
          <w:b w:val="0"/>
          <w:bCs w:val="0"/>
        </w:rPr>
      </w:pPr>
      <w:r>
        <w:rPr/>
        <w:t>（</w:t>
      </w:r>
      <w:r>
        <w:rPr>
          <w:rFonts w:ascii="Times New Roman" w:hAnsi="Times New Roman" w:cs="Times New Roman" w:eastAsia="Times New Roman" w:hint="default"/>
        </w:rPr>
        <w:t>1</w:t>
      </w:r>
      <w:r>
        <w:rPr/>
        <w:t>）持有至到期投资情况</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t>（</w:t>
      </w:r>
      <w:r>
        <w:rPr>
          <w:rFonts w:ascii="Times New Roman" w:hAnsi="Times New Roman" w:cs="Times New Roman" w:eastAsia="Times New Roman" w:hint="default"/>
        </w:rPr>
        <w:t>2</w:t>
      </w:r>
      <w:r>
        <w:rPr/>
        <w:t>）期末重要的持有至到期投资</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t>（</w:t>
      </w:r>
      <w:r>
        <w:rPr>
          <w:rFonts w:ascii="Times New Roman" w:hAnsi="Times New Roman" w:cs="Times New Roman" w:eastAsia="Times New Roman" w:hint="default"/>
        </w:rPr>
        <w:t>3</w:t>
      </w:r>
      <w:r>
        <w:rPr/>
        <w:t>）本期重分类的持有至到期投资</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rFonts w:ascii="Times New Roman" w:hAnsi="Times New Roman" w:cs="Times New Roman" w:eastAsia="Times New Roman" w:hint="default"/>
        </w:rPr>
        <w:t>13</w:t>
      </w:r>
      <w:r>
        <w:rPr/>
        <w:t>、长期应收款</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21"/>
        <w:ind w:right="982"/>
        <w:jc w:val="left"/>
        <w:rPr>
          <w:b w:val="0"/>
          <w:bCs w:val="0"/>
        </w:rPr>
      </w:pPr>
      <w:r>
        <w:rPr>
          <w:rFonts w:ascii="Times New Roman" w:hAnsi="Times New Roman" w:cs="Times New Roman" w:eastAsia="Times New Roman" w:hint="default"/>
        </w:rPr>
        <w:t>14</w:t>
      </w:r>
      <w:r>
        <w:rPr/>
        <w:t>、长期股权投资</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796"/>
        <w:gridCol w:w="797"/>
        <w:gridCol w:w="797"/>
        <w:gridCol w:w="797"/>
        <w:gridCol w:w="799"/>
        <w:gridCol w:w="797"/>
        <w:gridCol w:w="800"/>
        <w:gridCol w:w="797"/>
        <w:gridCol w:w="799"/>
        <w:gridCol w:w="797"/>
        <w:gridCol w:w="800"/>
        <w:gridCol w:w="797"/>
      </w:tblGrid>
      <w:tr>
        <w:trPr>
          <w:trHeight w:val="403" w:hRule="exact"/>
        </w:trPr>
        <w:tc>
          <w:tcPr>
            <w:tcW w:w="7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316" w:lineRule="auto"/>
              <w:ind w:left="301" w:right="32" w:hanging="270"/>
              <w:jc w:val="left"/>
              <w:rPr>
                <w:rFonts w:ascii="宋体" w:hAnsi="宋体" w:cs="宋体" w:eastAsia="宋体" w:hint="default"/>
                <w:sz w:val="18"/>
                <w:szCs w:val="18"/>
              </w:rPr>
            </w:pPr>
            <w:r>
              <w:rPr>
                <w:rFonts w:ascii="宋体" w:hAnsi="宋体" w:cs="宋体" w:eastAsia="宋体" w:hint="default"/>
                <w:sz w:val="18"/>
                <w:szCs w:val="18"/>
              </w:rPr>
              <w:t>被投资单 位</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6383"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80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316" w:lineRule="auto"/>
              <w:ind w:left="33" w:right="31"/>
              <w:jc w:val="left"/>
              <w:rPr>
                <w:rFonts w:ascii="宋体" w:hAnsi="宋体" w:cs="宋体" w:eastAsia="宋体" w:hint="default"/>
                <w:sz w:val="18"/>
                <w:szCs w:val="18"/>
              </w:rPr>
            </w:pPr>
            <w:r>
              <w:rPr>
                <w:rFonts w:ascii="宋体" w:hAnsi="宋体" w:cs="宋体" w:eastAsia="宋体" w:hint="default"/>
                <w:sz w:val="18"/>
                <w:szCs w:val="18"/>
              </w:rPr>
              <w:t>减值准备 期末余额</w:t>
            </w:r>
          </w:p>
        </w:tc>
      </w:tr>
      <w:tr>
        <w:trPr>
          <w:trHeight w:val="1025" w:hRule="exact"/>
        </w:trPr>
        <w:tc>
          <w:tcPr>
            <w:tcW w:w="796"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33" w:right="0"/>
              <w:jc w:val="left"/>
              <w:rPr>
                <w:rFonts w:ascii="宋体" w:hAnsi="宋体" w:cs="宋体" w:eastAsia="宋体" w:hint="default"/>
                <w:sz w:val="18"/>
                <w:szCs w:val="18"/>
              </w:rPr>
            </w:pPr>
            <w:r>
              <w:rPr>
                <w:rFonts w:ascii="宋体" w:hAnsi="宋体" w:cs="宋体" w:eastAsia="宋体" w:hint="default"/>
                <w:sz w:val="18"/>
                <w:szCs w:val="18"/>
              </w:rPr>
              <w:t>追加投资</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33" w:right="0"/>
              <w:jc w:val="left"/>
              <w:rPr>
                <w:rFonts w:ascii="宋体" w:hAnsi="宋体" w:cs="宋体" w:eastAsia="宋体" w:hint="default"/>
                <w:sz w:val="18"/>
                <w:szCs w:val="18"/>
              </w:rPr>
            </w:pPr>
            <w:r>
              <w:rPr>
                <w:rFonts w:ascii="宋体" w:hAnsi="宋体" w:cs="宋体" w:eastAsia="宋体" w:hint="default"/>
                <w:sz w:val="18"/>
                <w:szCs w:val="18"/>
              </w:rPr>
              <w:t>减少投资</w:t>
            </w:r>
          </w:p>
        </w:tc>
        <w:tc>
          <w:tcPr>
            <w:tcW w:w="7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33" w:right="35"/>
              <w:jc w:val="both"/>
              <w:rPr>
                <w:rFonts w:ascii="宋体" w:hAnsi="宋体" w:cs="宋体" w:eastAsia="宋体" w:hint="default"/>
                <w:sz w:val="18"/>
                <w:szCs w:val="18"/>
              </w:rPr>
            </w:pPr>
            <w:r>
              <w:rPr>
                <w:rFonts w:ascii="宋体" w:hAnsi="宋体" w:cs="宋体" w:eastAsia="宋体" w:hint="default"/>
                <w:sz w:val="18"/>
                <w:szCs w:val="18"/>
              </w:rPr>
              <w:t>权益法下 确认的投 资损益</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33" w:right="31"/>
              <w:jc w:val="left"/>
              <w:rPr>
                <w:rFonts w:ascii="宋体" w:hAnsi="宋体" w:cs="宋体" w:eastAsia="宋体" w:hint="default"/>
                <w:sz w:val="18"/>
                <w:szCs w:val="18"/>
              </w:rPr>
            </w:pPr>
            <w:r>
              <w:rPr>
                <w:rFonts w:ascii="宋体" w:hAnsi="宋体" w:cs="宋体" w:eastAsia="宋体" w:hint="default"/>
                <w:sz w:val="18"/>
                <w:szCs w:val="18"/>
              </w:rPr>
              <w:t>其他综合 收益调整</w:t>
            </w:r>
          </w:p>
        </w:tc>
        <w:tc>
          <w:tcPr>
            <w:tcW w:w="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13" w:right="34" w:hanging="180"/>
              <w:jc w:val="left"/>
              <w:rPr>
                <w:rFonts w:ascii="宋体" w:hAnsi="宋体" w:cs="宋体" w:eastAsia="宋体" w:hint="default"/>
                <w:sz w:val="18"/>
                <w:szCs w:val="18"/>
              </w:rPr>
            </w:pPr>
            <w:r>
              <w:rPr>
                <w:rFonts w:ascii="宋体" w:hAnsi="宋体" w:cs="宋体" w:eastAsia="宋体" w:hint="default"/>
                <w:sz w:val="18"/>
                <w:szCs w:val="18"/>
              </w:rPr>
              <w:t>其他权益 变动</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33" w:right="31"/>
              <w:jc w:val="both"/>
              <w:rPr>
                <w:rFonts w:ascii="宋体" w:hAnsi="宋体" w:cs="宋体" w:eastAsia="宋体" w:hint="default"/>
                <w:sz w:val="18"/>
                <w:szCs w:val="18"/>
              </w:rPr>
            </w:pPr>
            <w:r>
              <w:rPr>
                <w:rFonts w:ascii="宋体" w:hAnsi="宋体" w:cs="宋体" w:eastAsia="宋体" w:hint="default"/>
                <w:sz w:val="18"/>
                <w:szCs w:val="18"/>
              </w:rPr>
              <w:t>宣告发放 现金股利 或利润</w:t>
            </w:r>
          </w:p>
        </w:tc>
        <w:tc>
          <w:tcPr>
            <w:tcW w:w="7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13" w:right="35" w:hanging="180"/>
              <w:jc w:val="left"/>
              <w:rPr>
                <w:rFonts w:ascii="宋体" w:hAnsi="宋体" w:cs="宋体" w:eastAsia="宋体" w:hint="default"/>
                <w:sz w:val="18"/>
                <w:szCs w:val="18"/>
              </w:rPr>
            </w:pPr>
            <w:r>
              <w:rPr>
                <w:rFonts w:ascii="宋体" w:hAnsi="宋体" w:cs="宋体" w:eastAsia="宋体" w:hint="default"/>
                <w:sz w:val="18"/>
                <w:szCs w:val="18"/>
              </w:rPr>
              <w:t>计提减值 准备</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1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00"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9572"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一、合营企业</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797"/>
        <w:gridCol w:w="797"/>
        <w:gridCol w:w="797"/>
        <w:gridCol w:w="797"/>
        <w:gridCol w:w="799"/>
        <w:gridCol w:w="797"/>
        <w:gridCol w:w="800"/>
        <w:gridCol w:w="797"/>
        <w:gridCol w:w="799"/>
        <w:gridCol w:w="797"/>
        <w:gridCol w:w="800"/>
        <w:gridCol w:w="797"/>
      </w:tblGrid>
      <w:tr>
        <w:trPr>
          <w:trHeight w:val="1025"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41"/>
              <w:jc w:val="both"/>
              <w:rPr>
                <w:rFonts w:ascii="宋体" w:hAnsi="宋体" w:cs="宋体" w:eastAsia="宋体" w:hint="default"/>
                <w:sz w:val="18"/>
                <w:szCs w:val="18"/>
              </w:rPr>
            </w:pPr>
            <w:r>
              <w:rPr>
                <w:rFonts w:ascii="宋体" w:hAnsi="宋体" w:cs="宋体" w:eastAsia="宋体" w:hint="default"/>
                <w:sz w:val="18"/>
                <w:szCs w:val="18"/>
              </w:rPr>
              <w:t>北京图新 瀚和科技 有限公司</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13,581,32</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6.82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6" w:right="0"/>
              <w:jc w:val="left"/>
              <w:rPr>
                <w:rFonts w:ascii="Times New Roman" w:hAnsi="Times New Roman" w:cs="Times New Roman" w:eastAsia="Times New Roman" w:hint="default"/>
                <w:sz w:val="18"/>
                <w:szCs w:val="18"/>
              </w:rPr>
            </w:pPr>
            <w:r>
              <w:rPr>
                <w:rFonts w:ascii="Times New Roman"/>
                <w:sz w:val="18"/>
              </w:rPr>
              <w:t>-7,441,78</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7.47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6,139,539</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.35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63" w:hRule="exact"/>
        </w:trPr>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vMerge w:val="restart"/>
            <w:tcBorders>
              <w:top w:val="single" w:sz="4" w:space="0" w:color="000000"/>
              <w:left w:val="single" w:sz="10" w:space="0" w:color="D2D2D2"/>
              <w:right w:val="single" w:sz="4" w:space="0" w:color="000000"/>
            </w:tcBorders>
          </w:tcPr>
          <w:p>
            <w:pPr>
              <w:pStyle w:val="TableParagraph"/>
              <w:spacing w:line="240" w:lineRule="auto" w:before="93"/>
              <w:ind w:left="38" w:right="0"/>
              <w:jc w:val="left"/>
              <w:rPr>
                <w:rFonts w:ascii="Times New Roman" w:hAnsi="Times New Roman" w:cs="Times New Roman" w:eastAsia="Times New Roman" w:hint="default"/>
                <w:sz w:val="18"/>
                <w:szCs w:val="18"/>
              </w:rPr>
            </w:pPr>
            <w:r>
              <w:rPr>
                <w:rFonts w:ascii="Times New Roman"/>
                <w:sz w:val="18"/>
              </w:rPr>
              <w:t>13,581,32</w:t>
            </w:r>
          </w:p>
          <w:p>
            <w:pPr>
              <w:pStyle w:val="TableParagraph"/>
              <w:spacing w:line="240" w:lineRule="auto" w:before="102"/>
              <w:ind w:left="443" w:right="0"/>
              <w:jc w:val="left"/>
              <w:rPr>
                <w:rFonts w:ascii="Times New Roman" w:hAnsi="Times New Roman" w:cs="Times New Roman" w:eastAsia="Times New Roman" w:hint="default"/>
                <w:sz w:val="18"/>
                <w:szCs w:val="18"/>
              </w:rPr>
            </w:pPr>
            <w:r>
              <w:rPr>
                <w:rFonts w:ascii="Times New Roman"/>
                <w:sz w:val="18"/>
              </w:rPr>
              <w:t>6.82</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51" w:right="0"/>
              <w:jc w:val="left"/>
              <w:rPr>
                <w:rFonts w:ascii="Times New Roman" w:hAnsi="Times New Roman" w:cs="Times New Roman" w:eastAsia="Times New Roman" w:hint="default"/>
                <w:sz w:val="18"/>
                <w:szCs w:val="18"/>
              </w:rPr>
            </w:pPr>
            <w:r>
              <w:rPr>
                <w:rFonts w:ascii="Times New Roman"/>
                <w:sz w:val="18"/>
              </w:rPr>
              <w:t>0.00</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51" w:right="0"/>
              <w:jc w:val="left"/>
              <w:rPr>
                <w:rFonts w:ascii="Times New Roman" w:hAnsi="Times New Roman" w:cs="Times New Roman" w:eastAsia="Times New Roman" w:hint="default"/>
                <w:sz w:val="18"/>
                <w:szCs w:val="18"/>
              </w:rPr>
            </w:pPr>
            <w:r>
              <w:rPr>
                <w:rFonts w:ascii="Times New Roman"/>
                <w:sz w:val="18"/>
              </w:rPr>
              <w:t>0.00</w:t>
            </w:r>
          </w:p>
        </w:tc>
        <w:tc>
          <w:tcPr>
            <w:tcW w:w="799" w:type="dxa"/>
            <w:vMerge w:val="restart"/>
            <w:tcBorders>
              <w:top w:val="single" w:sz="4" w:space="0" w:color="000000"/>
              <w:left w:val="single" w:sz="4" w:space="0" w:color="000000"/>
              <w:right w:val="single" w:sz="4" w:space="0" w:color="000000"/>
            </w:tcBorders>
          </w:tcPr>
          <w:p>
            <w:pPr>
              <w:pStyle w:val="TableParagraph"/>
              <w:spacing w:line="240" w:lineRule="auto" w:before="93"/>
              <w:ind w:left="76" w:right="0"/>
              <w:jc w:val="left"/>
              <w:rPr>
                <w:rFonts w:ascii="Times New Roman" w:hAnsi="Times New Roman" w:cs="Times New Roman" w:eastAsia="Times New Roman" w:hint="default"/>
                <w:sz w:val="18"/>
                <w:szCs w:val="18"/>
              </w:rPr>
            </w:pPr>
            <w:r>
              <w:rPr>
                <w:rFonts w:ascii="Times New Roman"/>
                <w:sz w:val="18"/>
              </w:rPr>
              <w:t>-7,441,78</w:t>
            </w:r>
          </w:p>
          <w:p>
            <w:pPr>
              <w:pStyle w:val="TableParagraph"/>
              <w:spacing w:line="240" w:lineRule="auto" w:before="102"/>
              <w:ind w:left="451" w:right="0"/>
              <w:jc w:val="left"/>
              <w:rPr>
                <w:rFonts w:ascii="Times New Roman" w:hAnsi="Times New Roman" w:cs="Times New Roman" w:eastAsia="Times New Roman" w:hint="default"/>
                <w:sz w:val="18"/>
                <w:szCs w:val="18"/>
              </w:rPr>
            </w:pPr>
            <w:r>
              <w:rPr>
                <w:rFonts w:ascii="Times New Roman"/>
                <w:sz w:val="18"/>
              </w:rPr>
              <w:t>7.47</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51" w:right="0"/>
              <w:jc w:val="left"/>
              <w:rPr>
                <w:rFonts w:ascii="Times New Roman" w:hAnsi="Times New Roman" w:cs="Times New Roman" w:eastAsia="Times New Roman" w:hint="default"/>
                <w:sz w:val="18"/>
                <w:szCs w:val="18"/>
              </w:rPr>
            </w:pPr>
            <w:r>
              <w:rPr>
                <w:rFonts w:ascii="Times New Roman"/>
                <w:sz w:val="18"/>
              </w:rPr>
              <w:t>0.00</w:t>
            </w:r>
          </w:p>
        </w:tc>
        <w:tc>
          <w:tcPr>
            <w:tcW w:w="800"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51" w:right="0"/>
              <w:jc w:val="left"/>
              <w:rPr>
                <w:rFonts w:ascii="Times New Roman" w:hAnsi="Times New Roman" w:cs="Times New Roman" w:eastAsia="Times New Roman" w:hint="default"/>
                <w:sz w:val="18"/>
                <w:szCs w:val="18"/>
              </w:rPr>
            </w:pPr>
            <w:r>
              <w:rPr>
                <w:rFonts w:ascii="Times New Roman"/>
                <w:sz w:val="18"/>
              </w:rPr>
              <w:t>0.00</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51" w:right="0"/>
              <w:jc w:val="left"/>
              <w:rPr>
                <w:rFonts w:ascii="Times New Roman" w:hAnsi="Times New Roman" w:cs="Times New Roman" w:eastAsia="Times New Roman" w:hint="default"/>
                <w:sz w:val="18"/>
                <w:szCs w:val="18"/>
              </w:rPr>
            </w:pPr>
            <w:r>
              <w:rPr>
                <w:rFonts w:ascii="Times New Roman"/>
                <w:sz w:val="18"/>
              </w:rPr>
              <w:t>0.00</w:t>
            </w:r>
          </w:p>
        </w:tc>
        <w:tc>
          <w:tcPr>
            <w:tcW w:w="799"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51" w:right="0"/>
              <w:jc w:val="left"/>
              <w:rPr>
                <w:rFonts w:ascii="Times New Roman" w:hAnsi="Times New Roman" w:cs="Times New Roman" w:eastAsia="Times New Roman" w:hint="default"/>
                <w:sz w:val="18"/>
                <w:szCs w:val="18"/>
              </w:rPr>
            </w:pPr>
            <w:r>
              <w:rPr>
                <w:rFonts w:ascii="Times New Roman"/>
                <w:sz w:val="18"/>
              </w:rPr>
              <w:t>0.00</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51" w:right="0"/>
              <w:jc w:val="left"/>
              <w:rPr>
                <w:rFonts w:ascii="Times New Roman" w:hAnsi="Times New Roman" w:cs="Times New Roman" w:eastAsia="Times New Roman" w:hint="default"/>
                <w:sz w:val="18"/>
                <w:szCs w:val="18"/>
              </w:rPr>
            </w:pPr>
            <w:r>
              <w:rPr>
                <w:rFonts w:ascii="Times New Roman"/>
                <w:sz w:val="18"/>
              </w:rPr>
              <w:t>0.00</w:t>
            </w:r>
          </w:p>
        </w:tc>
        <w:tc>
          <w:tcPr>
            <w:tcW w:w="800" w:type="dxa"/>
            <w:vMerge w:val="restart"/>
            <w:tcBorders>
              <w:top w:val="single" w:sz="4" w:space="0" w:color="000000"/>
              <w:left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6,139,539</w:t>
            </w:r>
          </w:p>
          <w:p>
            <w:pPr>
              <w:pStyle w:val="TableParagraph"/>
              <w:spacing w:line="240" w:lineRule="auto" w:before="102"/>
              <w:ind w:right="21"/>
              <w:jc w:val="right"/>
              <w:rPr>
                <w:rFonts w:ascii="Times New Roman" w:hAnsi="Times New Roman" w:cs="Times New Roman" w:eastAsia="Times New Roman" w:hint="default"/>
                <w:sz w:val="18"/>
                <w:szCs w:val="18"/>
              </w:rPr>
            </w:pPr>
            <w:r>
              <w:rPr>
                <w:rFonts w:ascii="Times New Roman"/>
                <w:sz w:val="18"/>
              </w:rPr>
              <w:t>.35</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51" w:right="0"/>
              <w:jc w:val="left"/>
              <w:rPr>
                <w:rFonts w:ascii="Times New Roman" w:hAnsi="Times New Roman" w:cs="Times New Roman" w:eastAsia="Times New Roman" w:hint="default"/>
                <w:sz w:val="18"/>
                <w:szCs w:val="18"/>
              </w:rPr>
            </w:pPr>
            <w:r>
              <w:rPr>
                <w:rFonts w:ascii="Times New Roman"/>
                <w:sz w:val="18"/>
              </w:rPr>
              <w:t>0.00</w:t>
            </w:r>
          </w:p>
        </w:tc>
      </w:tr>
      <w:tr>
        <w:trPr>
          <w:trHeight w:val="391" w:hRule="exact"/>
        </w:trPr>
        <w:tc>
          <w:tcPr>
            <w:tcW w:w="79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7" w:type="dxa"/>
            <w:vMerge/>
            <w:tcBorders>
              <w:left w:val="single" w:sz="10" w:space="0" w:color="D2D2D2"/>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9"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800"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9"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800"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r>
      <w:tr>
        <w:trPr>
          <w:trHeight w:val="161" w:hRule="exact"/>
        </w:trPr>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797" w:type="dxa"/>
            <w:vMerge/>
            <w:tcBorders>
              <w:left w:val="single" w:sz="10" w:space="0" w:color="D2D2D2"/>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9"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800"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9"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800"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r>
      <w:tr>
        <w:trPr>
          <w:trHeight w:val="401" w:hRule="exact"/>
        </w:trPr>
        <w:tc>
          <w:tcPr>
            <w:tcW w:w="9573"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二、联营企业</w:t>
            </w:r>
          </w:p>
        </w:tc>
      </w:tr>
      <w:tr>
        <w:trPr>
          <w:trHeight w:val="1339"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41"/>
              <w:jc w:val="both"/>
              <w:rPr>
                <w:rFonts w:ascii="宋体" w:hAnsi="宋体" w:cs="宋体" w:eastAsia="宋体" w:hint="default"/>
                <w:sz w:val="18"/>
                <w:szCs w:val="18"/>
              </w:rPr>
            </w:pPr>
            <w:r>
              <w:rPr>
                <w:rFonts w:ascii="宋体" w:hAnsi="宋体" w:cs="宋体" w:eastAsia="宋体" w:hint="default"/>
                <w:sz w:val="18"/>
                <w:szCs w:val="18"/>
              </w:rPr>
              <w:t>上海安吉 四维信息 技术有限 公司</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21,519,59</w:t>
            </w:r>
          </w:p>
          <w:p>
            <w:pPr>
              <w:pStyle w:val="TableParagraph"/>
              <w:spacing w:line="240" w:lineRule="auto" w:before="102"/>
              <w:ind w:left="451" w:right="0"/>
              <w:jc w:val="left"/>
              <w:rPr>
                <w:rFonts w:ascii="Times New Roman" w:hAnsi="Times New Roman" w:cs="Times New Roman" w:eastAsia="Times New Roman" w:hint="default"/>
                <w:sz w:val="18"/>
                <w:szCs w:val="18"/>
              </w:rPr>
            </w:pPr>
            <w:r>
              <w:rPr>
                <w:rFonts w:ascii="Times New Roman"/>
                <w:sz w:val="18"/>
              </w:rPr>
              <w:t>2.03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10,076,38</w:t>
            </w:r>
          </w:p>
          <w:p>
            <w:pPr>
              <w:pStyle w:val="TableParagraph"/>
              <w:spacing w:line="240" w:lineRule="auto" w:before="102"/>
              <w:ind w:left="451" w:right="0"/>
              <w:jc w:val="left"/>
              <w:rPr>
                <w:rFonts w:ascii="Times New Roman" w:hAnsi="Times New Roman" w:cs="Times New Roman" w:eastAsia="Times New Roman" w:hint="default"/>
                <w:sz w:val="18"/>
                <w:szCs w:val="18"/>
              </w:rPr>
            </w:pPr>
            <w:r>
              <w:rPr>
                <w:rFonts w:ascii="Times New Roman"/>
                <w:sz w:val="18"/>
              </w:rPr>
              <w:t>4.26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2,446,540</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.60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29,149,43</w:t>
            </w:r>
          </w:p>
          <w:p>
            <w:pPr>
              <w:pStyle w:val="TableParagraph"/>
              <w:spacing w:line="240" w:lineRule="auto" w:before="102"/>
              <w:ind w:left="451" w:right="0"/>
              <w:jc w:val="left"/>
              <w:rPr>
                <w:rFonts w:ascii="Times New Roman" w:hAnsi="Times New Roman" w:cs="Times New Roman" w:eastAsia="Times New Roman" w:hint="default"/>
                <w:sz w:val="18"/>
                <w:szCs w:val="18"/>
              </w:rPr>
            </w:pPr>
            <w:r>
              <w:rPr>
                <w:rFonts w:ascii="Times New Roman"/>
                <w:sz w:val="18"/>
              </w:rPr>
              <w:t>5.69</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5"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41"/>
              <w:jc w:val="both"/>
              <w:rPr>
                <w:rFonts w:ascii="宋体" w:hAnsi="宋体" w:cs="宋体" w:eastAsia="宋体" w:hint="default"/>
                <w:sz w:val="18"/>
                <w:szCs w:val="18"/>
              </w:rPr>
            </w:pPr>
            <w:r>
              <w:rPr>
                <w:rFonts w:ascii="宋体" w:hAnsi="宋体" w:cs="宋体" w:eastAsia="宋体" w:hint="default"/>
                <w:sz w:val="18"/>
                <w:szCs w:val="18"/>
              </w:rPr>
              <w:t>北京足迹 虎科技有 限公司</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100,752.3</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-728.54</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100,023.8</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1,853,460</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.29</w:t>
            </w:r>
          </w:p>
        </w:tc>
      </w:tr>
      <w:tr>
        <w:trPr>
          <w:trHeight w:val="1339"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41"/>
              <w:jc w:val="both"/>
              <w:rPr>
                <w:rFonts w:ascii="宋体" w:hAnsi="宋体" w:cs="宋体" w:eastAsia="宋体" w:hint="default"/>
                <w:sz w:val="18"/>
                <w:szCs w:val="18"/>
              </w:rPr>
            </w:pPr>
            <w:r>
              <w:rPr>
                <w:rFonts w:ascii="宋体" w:hAnsi="宋体" w:cs="宋体" w:eastAsia="宋体" w:hint="default"/>
                <w:sz w:val="18"/>
                <w:szCs w:val="18"/>
              </w:rPr>
              <w:t>北京蜂云 科创信息 技术有限 公司</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1,438,550</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.78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1,002,375</w:t>
            </w:r>
          </w:p>
          <w:p>
            <w:pPr>
              <w:pStyle w:val="TableParagraph"/>
              <w:spacing w:line="240" w:lineRule="auto" w:before="102"/>
              <w:ind w:right="21"/>
              <w:jc w:val="right"/>
              <w:rPr>
                <w:rFonts w:ascii="Times New Roman" w:hAnsi="Times New Roman" w:cs="Times New Roman" w:eastAsia="Times New Roman" w:hint="default"/>
                <w:sz w:val="18"/>
                <w:szCs w:val="18"/>
              </w:rPr>
            </w:pPr>
            <w:r>
              <w:rPr>
                <w:rFonts w:ascii="Times New Roman"/>
                <w:sz w:val="18"/>
              </w:rPr>
              <w:t>.98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left="76" w:right="0"/>
              <w:jc w:val="left"/>
              <w:rPr>
                <w:rFonts w:ascii="Times New Roman" w:hAnsi="Times New Roman" w:cs="Times New Roman" w:eastAsia="Times New Roman" w:hint="default"/>
                <w:sz w:val="18"/>
                <w:szCs w:val="18"/>
              </w:rPr>
            </w:pPr>
            <w:r>
              <w:rPr>
                <w:rFonts w:ascii="Times New Roman"/>
                <w:sz w:val="18"/>
              </w:rPr>
              <w:t>-2,440,92</w:t>
            </w:r>
          </w:p>
          <w:p>
            <w:pPr>
              <w:pStyle w:val="TableParagraph"/>
              <w:spacing w:line="240" w:lineRule="auto" w:before="102"/>
              <w:ind w:left="451" w:right="0"/>
              <w:jc w:val="left"/>
              <w:rPr>
                <w:rFonts w:ascii="Times New Roman" w:hAnsi="Times New Roman" w:cs="Times New Roman" w:eastAsia="Times New Roman" w:hint="default"/>
                <w:sz w:val="18"/>
                <w:szCs w:val="18"/>
              </w:rPr>
            </w:pPr>
            <w:r>
              <w:rPr>
                <w:rFonts w:ascii="Times New Roman"/>
                <w:sz w:val="18"/>
              </w:rPr>
              <w:t>6.76</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337"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41"/>
              <w:jc w:val="both"/>
              <w:rPr>
                <w:rFonts w:ascii="宋体" w:hAnsi="宋体" w:cs="宋体" w:eastAsia="宋体" w:hint="default"/>
                <w:sz w:val="18"/>
                <w:szCs w:val="18"/>
              </w:rPr>
            </w:pPr>
            <w:r>
              <w:rPr>
                <w:rFonts w:ascii="宋体" w:hAnsi="宋体" w:cs="宋体" w:eastAsia="宋体" w:hint="default"/>
                <w:sz w:val="18"/>
                <w:szCs w:val="18"/>
              </w:rPr>
              <w:t>嘉兴四维 智城信息 科技有限 公司</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2,401,314</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.96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w w:val="95"/>
                <w:sz w:val="18"/>
              </w:rPr>
              <w:t>118,727.9</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1</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2,520,042</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.87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7"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41"/>
              <w:jc w:val="both"/>
              <w:rPr>
                <w:rFonts w:ascii="宋体" w:hAnsi="宋体" w:cs="宋体" w:eastAsia="宋体" w:hint="default"/>
                <w:sz w:val="18"/>
                <w:szCs w:val="18"/>
              </w:rPr>
            </w:pPr>
            <w:r>
              <w:rPr>
                <w:rFonts w:ascii="宋体" w:hAnsi="宋体" w:cs="宋体" w:eastAsia="宋体" w:hint="default"/>
                <w:sz w:val="18"/>
                <w:szCs w:val="18"/>
              </w:rPr>
              <w:t>北京图新 数聚科技 有限公司</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2,662,126</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.02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704,754.2</w:t>
            </w:r>
          </w:p>
          <w:p>
            <w:pPr>
              <w:pStyle w:val="TableParagraph"/>
              <w:spacing w:line="240" w:lineRule="auto" w:before="102"/>
              <w:ind w:right="23"/>
              <w:jc w:val="right"/>
              <w:rPr>
                <w:rFonts w:ascii="Times New Roman" w:hAnsi="Times New Roman" w:cs="Times New Roman" w:eastAsia="Times New Roman" w:hint="default"/>
                <w:sz w:val="18"/>
                <w:szCs w:val="18"/>
              </w:rPr>
            </w:pPr>
            <w:r>
              <w:rPr>
                <w:rFonts w:ascii="Times New Roman"/>
                <w:sz w:val="18"/>
              </w:rPr>
              <w:t>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3,366,880</w:t>
            </w:r>
          </w:p>
          <w:p>
            <w:pPr>
              <w:pStyle w:val="TableParagraph"/>
              <w:spacing w:line="240" w:lineRule="auto" w:before="102"/>
              <w:ind w:right="21"/>
              <w:jc w:val="right"/>
              <w:rPr>
                <w:rFonts w:ascii="Times New Roman" w:hAnsi="Times New Roman" w:cs="Times New Roman" w:eastAsia="Times New Roman" w:hint="default"/>
                <w:sz w:val="18"/>
                <w:szCs w:val="18"/>
              </w:rPr>
            </w:pPr>
            <w:r>
              <w:rPr>
                <w:rFonts w:ascii="Times New Roman"/>
                <w:sz w:val="18"/>
              </w:rPr>
              <w:t>.25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337"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41"/>
              <w:jc w:val="both"/>
              <w:rPr>
                <w:rFonts w:ascii="宋体" w:hAnsi="宋体" w:cs="宋体" w:eastAsia="宋体" w:hint="default"/>
                <w:sz w:val="18"/>
                <w:szCs w:val="18"/>
              </w:rPr>
            </w:pPr>
            <w:r>
              <w:rPr>
                <w:rFonts w:ascii="宋体" w:hAnsi="宋体" w:cs="宋体" w:eastAsia="宋体" w:hint="default"/>
                <w:sz w:val="18"/>
                <w:szCs w:val="18"/>
              </w:rPr>
              <w:t>北京四维 天盛投资 管理有限 公司</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1,502,504</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.13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2,160,000</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1,935,928</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.33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1,797,278</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.32</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3,801,154</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.14</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652"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41"/>
              <w:jc w:val="both"/>
              <w:rPr>
                <w:rFonts w:ascii="宋体" w:hAnsi="宋体" w:cs="宋体" w:eastAsia="宋体" w:hint="default"/>
                <w:sz w:val="18"/>
                <w:szCs w:val="18"/>
              </w:rPr>
            </w:pPr>
            <w:r>
              <w:rPr>
                <w:rFonts w:ascii="宋体" w:hAnsi="宋体" w:cs="宋体" w:eastAsia="宋体" w:hint="default"/>
                <w:sz w:val="18"/>
                <w:szCs w:val="18"/>
              </w:rPr>
              <w:t>北京四维 互联基金 管理中心</w:t>
            </w:r>
          </w:p>
          <w:p>
            <w:pPr>
              <w:pStyle w:val="TableParagraph"/>
              <w:spacing w:line="316" w:lineRule="auto" w:before="19"/>
              <w:ind w:left="24" w:right="41"/>
              <w:jc w:val="both"/>
              <w:rPr>
                <w:rFonts w:ascii="宋体" w:hAnsi="宋体" w:cs="宋体" w:eastAsia="宋体" w:hint="default"/>
                <w:sz w:val="18"/>
                <w:szCs w:val="18"/>
              </w:rPr>
            </w:pPr>
            <w:r>
              <w:rPr>
                <w:rFonts w:ascii="宋体" w:hAnsi="宋体" w:cs="宋体" w:eastAsia="宋体" w:hint="default"/>
                <w:sz w:val="18"/>
                <w:szCs w:val="18"/>
              </w:rPr>
              <w:t>（有限合 伙）</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left="45" w:right="0"/>
              <w:jc w:val="left"/>
              <w:rPr>
                <w:rFonts w:ascii="Times New Roman" w:hAnsi="Times New Roman" w:cs="Times New Roman" w:eastAsia="Times New Roman" w:hint="default"/>
                <w:sz w:val="18"/>
                <w:szCs w:val="18"/>
              </w:rPr>
            </w:pPr>
            <w:r>
              <w:rPr>
                <w:rFonts w:ascii="Times New Roman"/>
                <w:sz w:val="18"/>
              </w:rPr>
              <w:t>39,559,93</w:t>
            </w:r>
          </w:p>
          <w:p>
            <w:pPr>
              <w:pStyle w:val="TableParagraph"/>
              <w:spacing w:line="240" w:lineRule="auto" w:before="102"/>
              <w:ind w:left="451" w:right="0"/>
              <w:jc w:val="left"/>
              <w:rPr>
                <w:rFonts w:ascii="Times New Roman" w:hAnsi="Times New Roman" w:cs="Times New Roman" w:eastAsia="Times New Roman" w:hint="default"/>
                <w:sz w:val="18"/>
                <w:szCs w:val="18"/>
              </w:rPr>
            </w:pPr>
            <w:r>
              <w:rPr>
                <w:rFonts w:ascii="Times New Roman"/>
                <w:sz w:val="18"/>
              </w:rPr>
              <w:t>3.33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left="76" w:right="0"/>
              <w:jc w:val="left"/>
              <w:rPr>
                <w:rFonts w:ascii="Times New Roman" w:hAnsi="Times New Roman" w:cs="Times New Roman" w:eastAsia="Times New Roman" w:hint="default"/>
                <w:sz w:val="18"/>
                <w:szCs w:val="18"/>
              </w:rPr>
            </w:pPr>
            <w:r>
              <w:rPr>
                <w:rFonts w:ascii="Times New Roman"/>
                <w:sz w:val="18"/>
              </w:rPr>
              <w:t>-4,970,18</w:t>
            </w:r>
          </w:p>
          <w:p>
            <w:pPr>
              <w:pStyle w:val="TableParagraph"/>
              <w:spacing w:line="240" w:lineRule="auto" w:before="102"/>
              <w:ind w:left="451" w:right="0"/>
              <w:jc w:val="left"/>
              <w:rPr>
                <w:rFonts w:ascii="Times New Roman" w:hAnsi="Times New Roman" w:cs="Times New Roman" w:eastAsia="Times New Roman" w:hint="default"/>
                <w:sz w:val="18"/>
                <w:szCs w:val="18"/>
              </w:rPr>
            </w:pPr>
            <w:r>
              <w:rPr>
                <w:rFonts w:ascii="Times New Roman"/>
                <w:sz w:val="18"/>
              </w:rPr>
              <w:t>5.13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left="45" w:right="0"/>
              <w:jc w:val="left"/>
              <w:rPr>
                <w:rFonts w:ascii="Times New Roman" w:hAnsi="Times New Roman" w:cs="Times New Roman" w:eastAsia="Times New Roman" w:hint="default"/>
                <w:sz w:val="18"/>
                <w:szCs w:val="18"/>
              </w:rPr>
            </w:pPr>
            <w:r>
              <w:rPr>
                <w:rFonts w:ascii="Times New Roman"/>
                <w:sz w:val="18"/>
              </w:rPr>
              <w:t>34,589,74</w:t>
            </w:r>
          </w:p>
          <w:p>
            <w:pPr>
              <w:pStyle w:val="TableParagraph"/>
              <w:spacing w:line="240" w:lineRule="auto" w:before="102"/>
              <w:ind w:left="451" w:right="0"/>
              <w:jc w:val="left"/>
              <w:rPr>
                <w:rFonts w:ascii="Times New Roman" w:hAnsi="Times New Roman" w:cs="Times New Roman" w:eastAsia="Times New Roman" w:hint="default"/>
                <w:sz w:val="18"/>
                <w:szCs w:val="18"/>
              </w:rPr>
            </w:pPr>
            <w:r>
              <w:rPr>
                <w:rFonts w:ascii="Times New Roman"/>
                <w:sz w:val="18"/>
              </w:rPr>
              <w:t>8.20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5"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41"/>
              <w:jc w:val="both"/>
              <w:rPr>
                <w:rFonts w:ascii="宋体" w:hAnsi="宋体" w:cs="宋体" w:eastAsia="宋体" w:hint="default"/>
                <w:sz w:val="18"/>
                <w:szCs w:val="18"/>
              </w:rPr>
            </w:pPr>
            <w:r>
              <w:rPr>
                <w:rFonts w:ascii="宋体" w:hAnsi="宋体" w:cs="宋体" w:eastAsia="宋体" w:hint="default"/>
                <w:sz w:val="18"/>
                <w:szCs w:val="18"/>
              </w:rPr>
              <w:t>北京四维 天和科技 有限公司</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1,832,645</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-185,761.</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1,646,884</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7"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41"/>
              <w:jc w:val="both"/>
              <w:rPr>
                <w:rFonts w:ascii="宋体" w:hAnsi="宋体" w:cs="宋体" w:eastAsia="宋体" w:hint="default"/>
                <w:sz w:val="18"/>
                <w:szCs w:val="18"/>
              </w:rPr>
            </w:pPr>
            <w:r>
              <w:rPr>
                <w:rFonts w:ascii="宋体" w:hAnsi="宋体" w:cs="宋体" w:eastAsia="宋体" w:hint="default"/>
                <w:sz w:val="18"/>
                <w:szCs w:val="18"/>
              </w:rPr>
              <w:t>北京万兔 思睿科技 有限公司</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3,000,000</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-2,890.09</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2,997,109</w:t>
            </w:r>
          </w:p>
          <w:p>
            <w:pPr>
              <w:pStyle w:val="TableParagraph"/>
              <w:spacing w:line="240" w:lineRule="auto" w:before="102"/>
              <w:ind w:right="21"/>
              <w:jc w:val="right"/>
              <w:rPr>
                <w:rFonts w:ascii="Times New Roman" w:hAnsi="Times New Roman" w:cs="Times New Roman" w:eastAsia="Times New Roman" w:hint="default"/>
                <w:sz w:val="18"/>
                <w:szCs w:val="18"/>
              </w:rPr>
            </w:pPr>
            <w:r>
              <w:rPr>
                <w:rFonts w:ascii="Times New Roman"/>
                <w:sz w:val="18"/>
              </w:rPr>
              <w:t>.91</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674"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4" w:right="94"/>
              <w:jc w:val="left"/>
              <w:rPr>
                <w:rFonts w:ascii="Times New Roman" w:hAnsi="Times New Roman" w:cs="Times New Roman" w:eastAsia="Times New Roman" w:hint="default"/>
                <w:sz w:val="18"/>
                <w:szCs w:val="18"/>
              </w:rPr>
            </w:pPr>
            <w:r>
              <w:rPr>
                <w:rFonts w:ascii="Times New Roman"/>
                <w:sz w:val="18"/>
              </w:rPr>
              <w:t>Mapbar </w:t>
            </w:r>
            <w:r>
              <w:rPr>
                <w:rFonts w:ascii="Times New Roman"/>
                <w:spacing w:val="-2"/>
                <w:sz w:val="18"/>
              </w:rPr>
              <w:t>Technolo</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-15,168,9</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-2,847,12</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1,224,376</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1,206,360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797"/>
        <w:gridCol w:w="797"/>
        <w:gridCol w:w="797"/>
        <w:gridCol w:w="797"/>
        <w:gridCol w:w="799"/>
        <w:gridCol w:w="797"/>
        <w:gridCol w:w="800"/>
        <w:gridCol w:w="797"/>
        <w:gridCol w:w="799"/>
        <w:gridCol w:w="797"/>
        <w:gridCol w:w="800"/>
        <w:gridCol w:w="797"/>
      </w:tblGrid>
      <w:tr>
        <w:trPr>
          <w:trHeight w:val="675"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50"/>
              <w:ind w:left="24" w:right="194"/>
              <w:jc w:val="left"/>
              <w:rPr>
                <w:rFonts w:ascii="Times New Roman" w:hAnsi="Times New Roman" w:cs="Times New Roman" w:eastAsia="Times New Roman" w:hint="default"/>
                <w:sz w:val="18"/>
                <w:szCs w:val="18"/>
              </w:rPr>
            </w:pPr>
            <w:r>
              <w:rPr>
                <w:rFonts w:ascii="Times New Roman"/>
                <w:sz w:val="18"/>
              </w:rPr>
              <w:t>gy Limited</w:t>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93.44</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8"/>
              <w:jc w:val="right"/>
              <w:rPr>
                <w:rFonts w:ascii="Times New Roman" w:hAnsi="Times New Roman" w:cs="Times New Roman" w:eastAsia="Times New Roman" w:hint="default"/>
                <w:sz w:val="18"/>
                <w:szCs w:val="18"/>
              </w:rPr>
            </w:pPr>
            <w:r>
              <w:rPr>
                <w:rFonts w:ascii="Times New Roman"/>
                <w:spacing w:val="-1"/>
                <w:sz w:val="18"/>
              </w:rPr>
              <w:t>8.72</w:t>
            </w:r>
          </w:p>
        </w:tc>
        <w:tc>
          <w:tcPr>
            <w:tcW w:w="800"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,182.08</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pacing w:val="-1"/>
                <w:sz w:val="18"/>
              </w:rPr>
              <w:t>,059.93</w:t>
            </w: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41"/>
              <w:jc w:val="both"/>
              <w:rPr>
                <w:rFonts w:ascii="宋体" w:hAnsi="宋体" w:cs="宋体" w:eastAsia="宋体" w:hint="default"/>
                <w:sz w:val="18"/>
                <w:szCs w:val="18"/>
              </w:rPr>
            </w:pPr>
            <w:r>
              <w:rPr>
                <w:rFonts w:ascii="宋体" w:hAnsi="宋体" w:cs="宋体" w:eastAsia="宋体" w:hint="default"/>
                <w:sz w:val="18"/>
                <w:szCs w:val="18"/>
              </w:rPr>
              <w:t>北京四维 万兴科技 有限公司</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2,000,000</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-219,103.</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10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1,780,896</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.90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7"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41"/>
              <w:jc w:val="both"/>
              <w:rPr>
                <w:rFonts w:ascii="宋体" w:hAnsi="宋体" w:cs="宋体" w:eastAsia="宋体" w:hint="default"/>
                <w:sz w:val="18"/>
                <w:szCs w:val="18"/>
              </w:rPr>
            </w:pPr>
            <w:r>
              <w:rPr>
                <w:rFonts w:ascii="宋体" w:hAnsi="宋体" w:cs="宋体" w:eastAsia="宋体" w:hint="default"/>
                <w:sz w:val="18"/>
                <w:szCs w:val="18"/>
              </w:rPr>
              <w:t>内蒙古四 维物流有 限公司</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1,200,000</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-58,205.2</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1,141,794</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.74</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5"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41"/>
              <w:jc w:val="both"/>
              <w:rPr>
                <w:rFonts w:ascii="宋体" w:hAnsi="宋体" w:cs="宋体" w:eastAsia="宋体" w:hint="default"/>
                <w:sz w:val="18"/>
                <w:szCs w:val="18"/>
              </w:rPr>
            </w:pPr>
            <w:r>
              <w:rPr>
                <w:rFonts w:ascii="宋体" w:hAnsi="宋体" w:cs="宋体" w:eastAsia="宋体" w:hint="default"/>
                <w:sz w:val="18"/>
                <w:szCs w:val="18"/>
              </w:rPr>
              <w:t>甘肃中寰 恒瑞物流 有限公司</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200,000.0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-32,053.2</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9</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167,946.7</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1</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7"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4" w:right="124"/>
              <w:jc w:val="both"/>
              <w:rPr>
                <w:rFonts w:ascii="Times New Roman" w:hAnsi="Times New Roman" w:cs="Times New Roman" w:eastAsia="Times New Roman" w:hint="default"/>
                <w:sz w:val="18"/>
                <w:szCs w:val="18"/>
              </w:rPr>
            </w:pPr>
            <w:r>
              <w:rPr>
                <w:rFonts w:ascii="Times New Roman"/>
                <w:sz w:val="18"/>
              </w:rPr>
              <w:t>Navinfo Datatech Pte</w:t>
            </w:r>
            <w:r>
              <w:rPr>
                <w:rFonts w:ascii="Times New Roman"/>
                <w:spacing w:val="-1"/>
                <w:sz w:val="18"/>
              </w:rPr>
              <w:t> </w:t>
            </w:r>
            <w:r>
              <w:rPr>
                <w:rFonts w:ascii="Times New Roman"/>
                <w:sz w:val="18"/>
              </w:rPr>
              <w:t>Ltd</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6,863,200</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6" w:right="0"/>
              <w:jc w:val="left"/>
              <w:rPr>
                <w:rFonts w:ascii="Times New Roman" w:hAnsi="Times New Roman" w:cs="Times New Roman" w:eastAsia="Times New Roman" w:hint="default"/>
                <w:sz w:val="18"/>
                <w:szCs w:val="18"/>
              </w:rPr>
            </w:pPr>
            <w:r>
              <w:rPr>
                <w:rFonts w:ascii="Times New Roman"/>
                <w:sz w:val="18"/>
              </w:rPr>
              <w:t>-2,265,45</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3.91</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-81,205.8</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2</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4,516,540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.27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5"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pacing w:val="-8"/>
                <w:sz w:val="18"/>
              </w:rPr>
              <w:t>SIWAY</w:t>
            </w:r>
          </w:p>
          <w:p>
            <w:pPr>
              <w:pStyle w:val="TableParagraph"/>
              <w:spacing w:line="362" w:lineRule="auto" w:before="105"/>
              <w:ind w:left="24" w:right="51"/>
              <w:jc w:val="left"/>
              <w:rPr>
                <w:rFonts w:ascii="Times New Roman" w:hAnsi="Times New Roman" w:cs="Times New Roman" w:eastAsia="Times New Roman" w:hint="default"/>
                <w:sz w:val="18"/>
                <w:szCs w:val="18"/>
              </w:rPr>
            </w:pPr>
            <w:r>
              <w:rPr>
                <w:rFonts w:ascii="Times New Roman" w:hAnsi="Times New Roman"/>
                <w:sz w:val="18"/>
              </w:rPr>
              <w:t>Coöperati ef</w:t>
            </w:r>
            <w:r>
              <w:rPr>
                <w:rFonts w:ascii="Times New Roman" w:hAnsi="Times New Roman"/>
                <w:spacing w:val="-5"/>
                <w:sz w:val="18"/>
              </w:rPr>
              <w:t> </w:t>
            </w:r>
            <w:r>
              <w:rPr>
                <w:rFonts w:ascii="Times New Roman" w:hAnsi="Times New Roman"/>
                <w:sz w:val="18"/>
              </w:rPr>
              <w:t>U.A.</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451" w:right="0"/>
              <w:jc w:val="left"/>
              <w:rPr>
                <w:rFonts w:ascii="Times New Roman" w:hAnsi="Times New Roman" w:cs="Times New Roman" w:eastAsia="Times New Roman" w:hint="default"/>
                <w:sz w:val="18"/>
                <w:szCs w:val="18"/>
              </w:rPr>
            </w:pPr>
            <w:r>
              <w:rPr>
                <w:rFonts w:ascii="Times New Roman"/>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69,184,77</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3.62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17,255,84</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5.00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6" w:right="0"/>
              <w:jc w:val="left"/>
              <w:rPr>
                <w:rFonts w:ascii="Times New Roman" w:hAnsi="Times New Roman" w:cs="Times New Roman" w:eastAsia="Times New Roman" w:hint="default"/>
                <w:sz w:val="18"/>
                <w:szCs w:val="18"/>
              </w:rPr>
            </w:pPr>
            <w:r>
              <w:rPr>
                <w:rFonts w:ascii="Times New Roman"/>
                <w:sz w:val="18"/>
              </w:rPr>
              <w:t>-9,065,20</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3.05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6" w:right="0"/>
              <w:jc w:val="left"/>
              <w:rPr>
                <w:rFonts w:ascii="Times New Roman" w:hAnsi="Times New Roman" w:cs="Times New Roman" w:eastAsia="Times New Roman" w:hint="default"/>
                <w:sz w:val="18"/>
                <w:szCs w:val="18"/>
              </w:rPr>
            </w:pPr>
            <w:r>
              <w:rPr>
                <w:rFonts w:ascii="Times New Roman"/>
                <w:sz w:val="18"/>
              </w:rPr>
              <w:t>-2,847,12</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8.72</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4,243,818</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.92</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center"/>
              <w:rPr>
                <w:rFonts w:ascii="Times New Roman" w:hAnsi="Times New Roman" w:cs="Times New Roman" w:eastAsia="Times New Roman" w:hint="default"/>
                <w:sz w:val="18"/>
                <w:szCs w:val="18"/>
              </w:rPr>
            </w:pPr>
            <w:r>
              <w:rPr>
                <w:rFonts w:ascii="Times New Roman"/>
                <w:sz w:val="18"/>
              </w:rPr>
              <w:t>1,221,854</w:t>
            </w:r>
          </w:p>
          <w:p>
            <w:pPr>
              <w:pStyle w:val="TableParagraph"/>
              <w:spacing w:line="240" w:lineRule="auto" w:before="105"/>
              <w:ind w:left="204" w:right="0"/>
              <w:jc w:val="center"/>
              <w:rPr>
                <w:rFonts w:ascii="Times New Roman" w:hAnsi="Times New Roman" w:cs="Times New Roman" w:eastAsia="Times New Roman" w:hint="default"/>
                <w:sz w:val="18"/>
                <w:szCs w:val="18"/>
              </w:rPr>
            </w:pPr>
            <w:r>
              <w:rPr>
                <w:rFonts w:ascii="Times New Roman"/>
                <w:sz w:val="18"/>
              </w:rPr>
              <w:t>,049.51</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 w:right="0"/>
              <w:jc w:val="center"/>
              <w:rPr>
                <w:rFonts w:ascii="Times New Roman" w:hAnsi="Times New Roman" w:cs="Times New Roman" w:eastAsia="Times New Roman" w:hint="default"/>
                <w:sz w:val="18"/>
                <w:szCs w:val="18"/>
              </w:rPr>
            </w:pPr>
            <w:r>
              <w:rPr>
                <w:rFonts w:ascii="Times New Roman"/>
                <w:sz w:val="18"/>
              </w:rPr>
              <w:t>1,292,138</w:t>
            </w:r>
          </w:p>
          <w:p>
            <w:pPr>
              <w:pStyle w:val="TableParagraph"/>
              <w:spacing w:line="240" w:lineRule="auto" w:before="105"/>
              <w:ind w:left="202" w:right="0"/>
              <w:jc w:val="center"/>
              <w:rPr>
                <w:rFonts w:ascii="Times New Roman" w:hAnsi="Times New Roman" w:cs="Times New Roman" w:eastAsia="Times New Roman" w:hint="default"/>
                <w:sz w:val="18"/>
                <w:szCs w:val="18"/>
              </w:rPr>
            </w:pPr>
            <w:r>
              <w:rPr>
                <w:rFonts w:ascii="Times New Roman"/>
                <w:sz w:val="18"/>
              </w:rPr>
              <w:t>,517.44</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1,853,460</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.29</w:t>
            </w:r>
          </w:p>
        </w:tc>
      </w:tr>
      <w:tr>
        <w:trPr>
          <w:trHeight w:val="713" w:hRule="exact"/>
        </w:trPr>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82,766,10</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0.44</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17,255,84</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5.00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6" w:right="0"/>
              <w:jc w:val="left"/>
              <w:rPr>
                <w:rFonts w:ascii="Times New Roman" w:hAnsi="Times New Roman" w:cs="Times New Roman" w:eastAsia="Times New Roman" w:hint="default"/>
                <w:sz w:val="18"/>
                <w:szCs w:val="18"/>
              </w:rPr>
            </w:pPr>
            <w:r>
              <w:rPr>
                <w:rFonts w:ascii="Times New Roman"/>
                <w:sz w:val="18"/>
              </w:rPr>
              <w:t>-16,506,9</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90.52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6" w:right="0"/>
              <w:jc w:val="left"/>
              <w:rPr>
                <w:rFonts w:ascii="Times New Roman" w:hAnsi="Times New Roman" w:cs="Times New Roman" w:eastAsia="Times New Roman" w:hint="default"/>
                <w:sz w:val="18"/>
                <w:szCs w:val="18"/>
              </w:rPr>
            </w:pPr>
            <w:r>
              <w:rPr>
                <w:rFonts w:ascii="Times New Roman"/>
                <w:sz w:val="18"/>
              </w:rPr>
              <w:t>-2,847,12</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8.72</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4,243,818</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.92</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center"/>
              <w:rPr>
                <w:rFonts w:ascii="Times New Roman" w:hAnsi="Times New Roman" w:cs="Times New Roman" w:eastAsia="Times New Roman" w:hint="default"/>
                <w:sz w:val="18"/>
                <w:szCs w:val="18"/>
              </w:rPr>
            </w:pPr>
            <w:r>
              <w:rPr>
                <w:rFonts w:ascii="Times New Roman"/>
                <w:sz w:val="18"/>
              </w:rPr>
              <w:t>1,221,854</w:t>
            </w:r>
          </w:p>
          <w:p>
            <w:pPr>
              <w:pStyle w:val="TableParagraph"/>
              <w:spacing w:line="240" w:lineRule="auto" w:before="105"/>
              <w:ind w:left="204" w:right="0"/>
              <w:jc w:val="center"/>
              <w:rPr>
                <w:rFonts w:ascii="Times New Roman" w:hAnsi="Times New Roman" w:cs="Times New Roman" w:eastAsia="Times New Roman" w:hint="default"/>
                <w:sz w:val="18"/>
                <w:szCs w:val="18"/>
              </w:rPr>
            </w:pPr>
            <w:r>
              <w:rPr>
                <w:rFonts w:ascii="Times New Roman"/>
                <w:sz w:val="18"/>
              </w:rPr>
              <w:t>,049.51</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 w:right="0"/>
              <w:jc w:val="center"/>
              <w:rPr>
                <w:rFonts w:ascii="Times New Roman" w:hAnsi="Times New Roman" w:cs="Times New Roman" w:eastAsia="Times New Roman" w:hint="default"/>
                <w:sz w:val="18"/>
                <w:szCs w:val="18"/>
              </w:rPr>
            </w:pPr>
            <w:r>
              <w:rPr>
                <w:rFonts w:ascii="Times New Roman"/>
                <w:sz w:val="18"/>
              </w:rPr>
              <w:t>1,298,278</w:t>
            </w:r>
          </w:p>
          <w:p>
            <w:pPr>
              <w:pStyle w:val="TableParagraph"/>
              <w:spacing w:line="240" w:lineRule="auto" w:before="105"/>
              <w:ind w:left="202" w:right="0"/>
              <w:jc w:val="center"/>
              <w:rPr>
                <w:rFonts w:ascii="Times New Roman" w:hAnsi="Times New Roman" w:cs="Times New Roman" w:eastAsia="Times New Roman" w:hint="default"/>
                <w:sz w:val="18"/>
                <w:szCs w:val="18"/>
              </w:rPr>
            </w:pPr>
            <w:r>
              <w:rPr>
                <w:rFonts w:ascii="Times New Roman"/>
                <w:sz w:val="18"/>
              </w:rPr>
              <w:t>,056.79</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1,853,460</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.29</w:t>
            </w:r>
          </w:p>
        </w:tc>
      </w:tr>
    </w:tbl>
    <w:p>
      <w:pPr>
        <w:pStyle w:val="BodyText"/>
        <w:spacing w:line="240" w:lineRule="auto" w:before="49"/>
        <w:ind w:right="982"/>
        <w:jc w:val="left"/>
      </w:pPr>
      <w:r>
        <w:rPr/>
        <w:t>其他说明</w:t>
      </w:r>
    </w:p>
    <w:p>
      <w:pPr>
        <w:spacing w:line="240" w:lineRule="auto" w:before="3"/>
        <w:rPr>
          <w:rFonts w:ascii="宋体" w:hAnsi="宋体" w:cs="宋体" w:eastAsia="宋体" w:hint="default"/>
          <w:sz w:val="15"/>
          <w:szCs w:val="15"/>
        </w:rPr>
      </w:pPr>
    </w:p>
    <w:p>
      <w:pPr>
        <w:pStyle w:val="BodyText"/>
        <w:spacing w:line="297" w:lineRule="auto"/>
        <w:ind w:right="1123" w:firstLine="360"/>
        <w:jc w:val="left"/>
      </w:pPr>
      <w:r>
        <w:rPr/>
        <w:t>注：</w:t>
      </w:r>
      <w:r>
        <w:rPr>
          <w:rFonts w:ascii="Times New Roman" w:hAnsi="Times New Roman" w:cs="Times New Roman" w:eastAsia="Times New Roman" w:hint="default"/>
        </w:rPr>
        <w:t>Mapbar Technology</w:t>
      </w:r>
      <w:r>
        <w:rPr>
          <w:rFonts w:ascii="Times New Roman" w:hAnsi="Times New Roman" w:cs="Times New Roman" w:eastAsia="Times New Roman" w:hint="default"/>
          <w:spacing w:val="-8"/>
        </w:rPr>
        <w:t> </w:t>
      </w:r>
      <w:r>
        <w:rPr>
          <w:rFonts w:ascii="Times New Roman" w:hAnsi="Times New Roman" w:cs="Times New Roman" w:eastAsia="Times New Roman" w:hint="default"/>
        </w:rPr>
        <w:t>Limited</w:t>
      </w:r>
      <w:r>
        <w:rPr/>
        <w:t>及其子公司本年由于第三方增资造成公司对其失去控制权，转换为权益法进行核算，具 体见本附注</w:t>
      </w:r>
      <w:r>
        <w:rPr>
          <w:rFonts w:ascii="Times New Roman" w:hAnsi="Times New Roman" w:cs="Times New Roman" w:eastAsia="Times New Roman" w:hint="default"/>
        </w:rPr>
        <w:t>“</w:t>
      </w:r>
      <w:r>
        <w:rPr/>
        <w:t>十六、</w:t>
      </w:r>
      <w:r>
        <w:rPr>
          <w:rFonts w:ascii="Times New Roman" w:hAnsi="Times New Roman" w:cs="Times New Roman" w:eastAsia="Times New Roman" w:hint="default"/>
        </w:rPr>
        <w:t>7</w:t>
      </w:r>
      <w:r>
        <w:rPr>
          <w:rFonts w:ascii="Times New Roman" w:hAnsi="Times New Roman" w:cs="Times New Roman" w:eastAsia="Times New Roman" w:hint="default"/>
          <w:spacing w:val="24"/>
        </w:rPr>
        <w:t> </w:t>
      </w:r>
      <w:r>
        <w:rPr/>
        <w:t>（</w:t>
      </w:r>
      <w:r>
        <w:rPr>
          <w:rFonts w:ascii="Times New Roman" w:hAnsi="Times New Roman" w:cs="Times New Roman" w:eastAsia="Times New Roman" w:hint="default"/>
        </w:rPr>
        <w:t>1</w:t>
      </w:r>
      <w:r>
        <w:rPr/>
        <w:t>）其他对投资者决策有影响的重要交易和事项</w:t>
      </w:r>
      <w:r>
        <w:rPr>
          <w:rFonts w:ascii="Times New Roman" w:hAnsi="Times New Roman" w:cs="Times New Roman" w:eastAsia="Times New Roman" w:hint="default"/>
        </w:rPr>
        <w:t>”</w:t>
      </w:r>
      <w:r>
        <w:rPr/>
        <w:t>所述。</w:t>
      </w:r>
    </w:p>
    <w:p>
      <w:pPr>
        <w:spacing w:line="240" w:lineRule="auto" w:before="6"/>
        <w:rPr>
          <w:rFonts w:ascii="宋体" w:hAnsi="宋体" w:cs="宋体" w:eastAsia="宋体" w:hint="default"/>
          <w:sz w:val="22"/>
          <w:szCs w:val="22"/>
        </w:rPr>
      </w:pPr>
    </w:p>
    <w:p>
      <w:pPr>
        <w:pStyle w:val="Heading4"/>
        <w:spacing w:line="240" w:lineRule="auto"/>
        <w:ind w:right="982"/>
        <w:jc w:val="left"/>
        <w:rPr>
          <w:b w:val="0"/>
          <w:bCs w:val="0"/>
        </w:rPr>
      </w:pPr>
      <w:r>
        <w:rPr>
          <w:rFonts w:ascii="Times New Roman" w:hAnsi="Times New Roman" w:cs="Times New Roman" w:eastAsia="Times New Roman" w:hint="default"/>
        </w:rPr>
        <w:t>15</w:t>
      </w:r>
      <w:r>
        <w:rPr/>
        <w:t>、投资性房地产</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rPr>
          <w:rFonts w:ascii="宋体" w:hAnsi="宋体" w:cs="宋体" w:eastAsia="宋体" w:hint="default"/>
        </w:rPr>
      </w:pPr>
      <w:r>
        <w:rPr/>
        <w:t>无</w:t>
      </w:r>
      <w:r>
        <w:rPr>
          <w:rFonts w:ascii="宋体" w:hAnsi="宋体" w:cs="宋体" w:eastAsia="宋体" w:hint="default"/>
        </w:rPr>
        <w:t> </w:t>
      </w:r>
    </w:p>
    <w:p>
      <w:pPr>
        <w:spacing w:line="240" w:lineRule="auto" w:before="0"/>
        <w:rPr>
          <w:rFonts w:ascii="宋体" w:hAnsi="宋体" w:cs="宋体" w:eastAsia="宋体" w:hint="default"/>
          <w:sz w:val="18"/>
          <w:szCs w:val="18"/>
        </w:rPr>
      </w:pPr>
    </w:p>
    <w:p>
      <w:pPr>
        <w:pStyle w:val="Heading4"/>
        <w:spacing w:line="240" w:lineRule="auto" w:before="118"/>
        <w:ind w:right="982"/>
        <w:jc w:val="left"/>
        <w:rPr>
          <w:b w:val="0"/>
          <w:bCs w:val="0"/>
        </w:rPr>
      </w:pPr>
      <w:r>
        <w:rPr>
          <w:rFonts w:ascii="Times New Roman" w:hAnsi="Times New Roman" w:cs="Times New Roman" w:eastAsia="Times New Roman" w:hint="default"/>
        </w:rPr>
        <w:t>16</w:t>
      </w:r>
      <w:r>
        <w:rPr/>
        <w:t>、固定资产</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73"/>
        <w:gridCol w:w="3198"/>
        <w:gridCol w:w="3188"/>
      </w:tblGrid>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198"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654,356,353.55</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647,443,991.80</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3198"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8"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654,356,353.55</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647,443,991.80</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t>（</w:t>
      </w:r>
      <w:r>
        <w:rPr>
          <w:rFonts w:ascii="Times New Roman" w:hAnsi="Times New Roman" w:cs="Times New Roman" w:eastAsia="Times New Roman" w:hint="default"/>
        </w:rPr>
        <w:t>1</w:t>
      </w:r>
      <w:r>
        <w:rPr/>
        <w:t>）固定资产情况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after="0" w:line="240" w:lineRule="auto"/>
        <w:jc w:val="right"/>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1368"/>
        <w:gridCol w:w="1366"/>
        <w:gridCol w:w="1369"/>
        <w:gridCol w:w="1366"/>
        <w:gridCol w:w="1368"/>
        <w:gridCol w:w="1369"/>
        <w:gridCol w:w="1366"/>
      </w:tblGrid>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7"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3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楼宇设备</w:t>
            </w:r>
          </w:p>
        </w:tc>
        <w:tc>
          <w:tcPr>
            <w:tcW w:w="13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电子设备</w:t>
            </w:r>
          </w:p>
        </w:tc>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3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366" w:type="dxa"/>
            <w:tcBorders>
              <w:top w:val="single" w:sz="4" w:space="0" w:color="000000"/>
              <w:left w:val="single" w:sz="13" w:space="0" w:color="D9D9D9"/>
              <w:bottom w:val="single" w:sz="4" w:space="0" w:color="000000"/>
              <w:right w:val="single" w:sz="4" w:space="0" w:color="000000"/>
            </w:tcBorders>
            <w:shd w:val="clear" w:color="auto" w:fill="D2D2D2"/>
          </w:tcPr>
          <w:p>
            <w:pPr>
              <w:pStyle w:val="TableParagraph"/>
              <w:spacing w:line="240" w:lineRule="auto" w:before="49"/>
              <w:ind w:right="7"/>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403,242,726.50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127,407,101.00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305,548,827.13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49,578,339.21</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24,388,957.85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910,165,951.69</w:t>
            </w: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4" w:right="115"/>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 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79,701,125.24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5,676,913.44</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3,505,842.80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88,883,881.48</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）购置</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79,701,125.24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5,676,913.44</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3,505,842.80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88,883,881.48</w:t>
            </w: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4" w:right="19"/>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pacing w:val="-19"/>
                <w:sz w:val="18"/>
                <w:szCs w:val="18"/>
              </w:rPr>
              <w:t> </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）在建工</w:t>
            </w:r>
            <w:r>
              <w:rPr>
                <w:rFonts w:ascii="宋体" w:hAnsi="宋体" w:cs="宋体" w:eastAsia="宋体" w:hint="default"/>
                <w:sz w:val="18"/>
                <w:szCs w:val="18"/>
              </w:rPr>
              <w:t> 程转入</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4" w:right="19"/>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pacing w:val="-19"/>
                <w:sz w:val="18"/>
                <w:szCs w:val="18"/>
              </w:rPr>
              <w:t> </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3</w:t>
            </w:r>
            <w:r>
              <w:rPr>
                <w:rFonts w:ascii="宋体" w:hAnsi="宋体" w:cs="宋体" w:eastAsia="宋体" w:hint="default"/>
                <w:spacing w:val="-4"/>
                <w:sz w:val="18"/>
                <w:szCs w:val="18"/>
              </w:rPr>
              <w:t>）企业合</w:t>
            </w:r>
            <w:r>
              <w:rPr>
                <w:rFonts w:ascii="宋体" w:hAnsi="宋体" w:cs="宋体" w:eastAsia="宋体" w:hint="default"/>
                <w:sz w:val="18"/>
                <w:szCs w:val="18"/>
              </w:rPr>
              <w:t> 并增加</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4" w:right="115"/>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 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-174,707.37</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27,750,491.04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7,592,479.50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2,565,197.81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37,733,460.98</w:t>
            </w:r>
          </w:p>
        </w:tc>
      </w:tr>
      <w:tr>
        <w:trPr>
          <w:trHeight w:val="71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4" w:right="19"/>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pacing w:val="-19"/>
                <w:sz w:val="18"/>
                <w:szCs w:val="18"/>
              </w:rPr>
              <w:t> </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）处置或</w:t>
            </w:r>
            <w:r>
              <w:rPr>
                <w:rFonts w:ascii="宋体" w:hAnsi="宋体" w:cs="宋体" w:eastAsia="宋体" w:hint="default"/>
                <w:sz w:val="18"/>
                <w:szCs w:val="18"/>
              </w:rPr>
              <w:t> 报废</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13,610,965.79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5,108,475.91</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326,753.10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19,046,194.80</w:t>
            </w: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97" w:lineRule="auto" w:before="51"/>
              <w:ind w:left="24" w:right="19" w:firstLine="362"/>
              <w:jc w:val="left"/>
              <w:rPr>
                <w:rFonts w:ascii="宋体" w:hAnsi="宋体" w:cs="宋体" w:eastAsia="宋体" w:hint="default"/>
                <w:sz w:val="18"/>
                <w:szCs w:val="18"/>
              </w:rPr>
            </w:pPr>
            <w:r>
              <w:rPr>
                <w:rFonts w:ascii="宋体" w:hAnsi="宋体" w:cs="宋体" w:eastAsia="宋体" w:hint="default"/>
                <w:spacing w:val="-7"/>
                <w:sz w:val="18"/>
                <w:szCs w:val="18"/>
              </w:rPr>
              <w:t>（</w:t>
            </w:r>
            <w:r>
              <w:rPr>
                <w:rFonts w:ascii="Times New Roman" w:hAnsi="Times New Roman" w:cs="Times New Roman" w:eastAsia="Times New Roman" w:hint="default"/>
                <w:spacing w:val="-7"/>
                <w:sz w:val="18"/>
                <w:szCs w:val="18"/>
              </w:rPr>
              <w:t>2</w:t>
            </w:r>
            <w:r>
              <w:rPr>
                <w:rFonts w:ascii="宋体" w:hAnsi="宋体" w:cs="宋体" w:eastAsia="宋体" w:hint="default"/>
                <w:spacing w:val="-7"/>
                <w:sz w:val="18"/>
                <w:szCs w:val="18"/>
              </w:rPr>
              <w:t>）外币报</w:t>
            </w:r>
            <w:r>
              <w:rPr>
                <w:rFonts w:ascii="宋体" w:hAnsi="宋体" w:cs="宋体" w:eastAsia="宋体" w:hint="default"/>
                <w:sz w:val="18"/>
                <w:szCs w:val="18"/>
              </w:rPr>
              <w:t> 表折算差额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-174,707.37</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-79,821.59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-3,748.73</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-17,929.56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-276,207.25</w:t>
            </w:r>
          </w:p>
        </w:tc>
      </w:tr>
      <w:tr>
        <w:trPr>
          <w:trHeight w:val="713"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49"/>
              <w:ind w:left="24" w:right="19" w:firstLine="362"/>
              <w:jc w:val="left"/>
              <w:rPr>
                <w:rFonts w:ascii="宋体" w:hAnsi="宋体" w:cs="宋体" w:eastAsia="宋体" w:hint="default"/>
                <w:sz w:val="18"/>
                <w:szCs w:val="18"/>
              </w:rPr>
            </w:pPr>
            <w:r>
              <w:rPr>
                <w:rFonts w:ascii="宋体" w:hAnsi="宋体" w:cs="宋体" w:eastAsia="宋体" w:hint="default"/>
                <w:spacing w:val="-7"/>
                <w:sz w:val="18"/>
                <w:szCs w:val="18"/>
              </w:rPr>
              <w:t>（</w:t>
            </w:r>
            <w:r>
              <w:rPr>
                <w:rFonts w:ascii="Times New Roman" w:hAnsi="Times New Roman" w:cs="Times New Roman" w:eastAsia="Times New Roman" w:hint="default"/>
                <w:spacing w:val="-7"/>
                <w:sz w:val="18"/>
                <w:szCs w:val="18"/>
              </w:rPr>
              <w:t>3</w:t>
            </w:r>
            <w:r>
              <w:rPr>
                <w:rFonts w:ascii="宋体" w:hAnsi="宋体" w:cs="宋体" w:eastAsia="宋体" w:hint="default"/>
                <w:spacing w:val="-7"/>
                <w:sz w:val="18"/>
                <w:szCs w:val="18"/>
              </w:rPr>
              <w:t>）合并范</w:t>
            </w:r>
            <w:r>
              <w:rPr>
                <w:rFonts w:ascii="宋体" w:hAnsi="宋体" w:cs="宋体" w:eastAsia="宋体" w:hint="default"/>
                <w:sz w:val="18"/>
                <w:szCs w:val="18"/>
              </w:rPr>
              <w:t> 围减少</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14,219,346.84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2,487,752.32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2,256,374.27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18,963,473.43</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403,417,433.87</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127,407,101.00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357,499,461.33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47,662,773.15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25,329,602.84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961,316,372.19</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二、累计折旧</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11,065,585.00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4,251,587.54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194,490,737.63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37,229,850.47</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15,411,009.39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262,448,770.03</w:t>
            </w:r>
          </w:p>
        </w:tc>
      </w:tr>
      <w:tr>
        <w:trPr>
          <w:trHeight w:val="71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4" w:right="115"/>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 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2"/>
                <w:sz w:val="18"/>
              </w:rPr>
              <w:t>10,267,111.75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9,752,888.38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40,758,217.16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4,236,237.50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3,817,637.12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68,832,091.92</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2"/>
                <w:sz w:val="18"/>
              </w:rPr>
              <w:t>10,267,111.75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9,752,888.38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40,758,217.16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4,236,237.50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3,817,637.12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68,832,091.92</w:t>
            </w:r>
          </w:p>
        </w:tc>
      </w:tr>
      <w:tr>
        <w:trPr>
          <w:trHeight w:val="71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4" w:right="115"/>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 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-17,474.22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16,851,441.56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6,246,771.68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1,513,294.15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24,594,033.17</w:t>
            </w: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4" w:right="19"/>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pacing w:val="-19"/>
                <w:sz w:val="18"/>
                <w:szCs w:val="18"/>
              </w:rPr>
              <w:t> </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）处置或</w:t>
            </w:r>
            <w:r>
              <w:rPr>
                <w:rFonts w:ascii="宋体" w:hAnsi="宋体" w:cs="宋体" w:eastAsia="宋体" w:hint="default"/>
                <w:sz w:val="18"/>
                <w:szCs w:val="18"/>
              </w:rPr>
              <w:t> 报废</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8,146,759.24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4,421,622.91</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311,409.55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12,879,791.70</w:t>
            </w:r>
          </w:p>
        </w:tc>
      </w:tr>
      <w:tr>
        <w:trPr>
          <w:trHeight w:val="713"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49"/>
              <w:ind w:left="24" w:right="19" w:firstLine="362"/>
              <w:jc w:val="left"/>
              <w:rPr>
                <w:rFonts w:ascii="宋体" w:hAnsi="宋体" w:cs="宋体" w:eastAsia="宋体" w:hint="default"/>
                <w:sz w:val="18"/>
                <w:szCs w:val="18"/>
              </w:rPr>
            </w:pPr>
            <w:r>
              <w:rPr>
                <w:rFonts w:ascii="宋体" w:hAnsi="宋体" w:cs="宋体" w:eastAsia="宋体" w:hint="default"/>
                <w:spacing w:val="-7"/>
                <w:sz w:val="18"/>
                <w:szCs w:val="18"/>
              </w:rPr>
              <w:t>（</w:t>
            </w:r>
            <w:r>
              <w:rPr>
                <w:rFonts w:ascii="Times New Roman" w:hAnsi="Times New Roman" w:cs="Times New Roman" w:eastAsia="Times New Roman" w:hint="default"/>
                <w:spacing w:val="-7"/>
                <w:sz w:val="18"/>
                <w:szCs w:val="18"/>
              </w:rPr>
              <w:t>2</w:t>
            </w:r>
            <w:r>
              <w:rPr>
                <w:rFonts w:ascii="宋体" w:hAnsi="宋体" w:cs="宋体" w:eastAsia="宋体" w:hint="default"/>
                <w:spacing w:val="-7"/>
                <w:sz w:val="18"/>
                <w:szCs w:val="18"/>
              </w:rPr>
              <w:t>）外币报</w:t>
            </w:r>
            <w:r>
              <w:rPr>
                <w:rFonts w:ascii="宋体" w:hAnsi="宋体" w:cs="宋体" w:eastAsia="宋体" w:hint="default"/>
                <w:sz w:val="18"/>
                <w:szCs w:val="18"/>
              </w:rPr>
              <w:t> 表折算差额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-17,474.22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-78,108.61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-2,330.55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-11,954.67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-109,868.05</w:t>
            </w: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97" w:lineRule="auto" w:before="51"/>
              <w:ind w:left="24" w:right="19" w:firstLine="362"/>
              <w:jc w:val="left"/>
              <w:rPr>
                <w:rFonts w:ascii="宋体" w:hAnsi="宋体" w:cs="宋体" w:eastAsia="宋体" w:hint="default"/>
                <w:sz w:val="18"/>
                <w:szCs w:val="18"/>
              </w:rPr>
            </w:pPr>
            <w:r>
              <w:rPr>
                <w:rFonts w:ascii="宋体" w:hAnsi="宋体" w:cs="宋体" w:eastAsia="宋体" w:hint="default"/>
                <w:spacing w:val="-7"/>
                <w:sz w:val="18"/>
                <w:szCs w:val="18"/>
              </w:rPr>
              <w:t>（</w:t>
            </w:r>
            <w:r>
              <w:rPr>
                <w:rFonts w:ascii="Times New Roman" w:hAnsi="Times New Roman" w:cs="Times New Roman" w:eastAsia="Times New Roman" w:hint="default"/>
                <w:spacing w:val="-7"/>
                <w:sz w:val="18"/>
                <w:szCs w:val="18"/>
              </w:rPr>
              <w:t>3</w:t>
            </w:r>
            <w:r>
              <w:rPr>
                <w:rFonts w:ascii="宋体" w:hAnsi="宋体" w:cs="宋体" w:eastAsia="宋体" w:hint="default"/>
                <w:spacing w:val="-7"/>
                <w:sz w:val="18"/>
                <w:szCs w:val="18"/>
              </w:rPr>
              <w:t>）合并范</w:t>
            </w:r>
            <w:r>
              <w:rPr>
                <w:rFonts w:ascii="宋体" w:hAnsi="宋体" w:cs="宋体" w:eastAsia="宋体" w:hint="default"/>
                <w:sz w:val="18"/>
                <w:szCs w:val="18"/>
              </w:rPr>
              <w:t> 围减少</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8,782,790.93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1,827,479.32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1,213,839.27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11,824,109.52</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21,350,170.97</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14,004,475.93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218,397,513.23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35,219,316.29</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17,715,352.36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306,686,828.78</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194,865.18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78,324.68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273,189.86</w:t>
            </w: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4" w:right="115"/>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 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4,074.19</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4,074.19</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1368"/>
        <w:gridCol w:w="1366"/>
        <w:gridCol w:w="1369"/>
        <w:gridCol w:w="1366"/>
        <w:gridCol w:w="1368"/>
        <w:gridCol w:w="1369"/>
        <w:gridCol w:w="1366"/>
      </w:tblGrid>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4,074.19</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4,074.19</w:t>
            </w: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4" w:right="115"/>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 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4,074.19</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4,074.19</w:t>
            </w:r>
          </w:p>
        </w:tc>
      </w:tr>
      <w:tr>
        <w:trPr>
          <w:trHeight w:val="71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4" w:right="19"/>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pacing w:val="-19"/>
                <w:sz w:val="18"/>
                <w:szCs w:val="18"/>
              </w:rPr>
              <w:t> </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）处置或</w:t>
            </w:r>
            <w:r>
              <w:rPr>
                <w:rFonts w:ascii="宋体" w:hAnsi="宋体" w:cs="宋体" w:eastAsia="宋体" w:hint="default"/>
                <w:sz w:val="18"/>
                <w:szCs w:val="18"/>
              </w:rPr>
              <w:t> 报废</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97" w:lineRule="auto" w:before="51"/>
              <w:ind w:left="24" w:right="19" w:firstLine="362"/>
              <w:jc w:val="left"/>
              <w:rPr>
                <w:rFonts w:ascii="宋体" w:hAnsi="宋体" w:cs="宋体" w:eastAsia="宋体" w:hint="default"/>
                <w:sz w:val="18"/>
                <w:szCs w:val="18"/>
              </w:rPr>
            </w:pPr>
            <w:r>
              <w:rPr>
                <w:rFonts w:ascii="宋体" w:hAnsi="宋体" w:cs="宋体" w:eastAsia="宋体" w:hint="default"/>
                <w:spacing w:val="-7"/>
                <w:sz w:val="18"/>
                <w:szCs w:val="18"/>
              </w:rPr>
              <w:t>（</w:t>
            </w:r>
            <w:r>
              <w:rPr>
                <w:rFonts w:ascii="Times New Roman" w:hAnsi="Times New Roman" w:cs="Times New Roman" w:eastAsia="Times New Roman" w:hint="default"/>
                <w:spacing w:val="-7"/>
                <w:sz w:val="18"/>
                <w:szCs w:val="18"/>
              </w:rPr>
              <w:t>2</w:t>
            </w:r>
            <w:r>
              <w:rPr>
                <w:rFonts w:ascii="宋体" w:hAnsi="宋体" w:cs="宋体" w:eastAsia="宋体" w:hint="default"/>
                <w:spacing w:val="-7"/>
                <w:sz w:val="18"/>
                <w:szCs w:val="18"/>
              </w:rPr>
              <w:t>）合并范</w:t>
            </w:r>
            <w:r>
              <w:rPr>
                <w:rFonts w:ascii="宋体" w:hAnsi="宋体" w:cs="宋体" w:eastAsia="宋体" w:hint="default"/>
                <w:sz w:val="18"/>
                <w:szCs w:val="18"/>
              </w:rPr>
              <w:t> 围减少</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4,074.19</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4,074.19</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194,865.18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78,324.68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273,189.86</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4" w:right="115"/>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期末账面价 值</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382,067,262.90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113,402,625.07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138,907,082.92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12,365,132.18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7,609,123.95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654,356,353.55</w:t>
            </w: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4" w:right="115"/>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期初账面价 值</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392,177,141.50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123,155,513.46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110,863,224.32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12,270,164.06</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8,977,948.46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647,443,991.80</w:t>
            </w:r>
          </w:p>
        </w:tc>
      </w:tr>
    </w:tbl>
    <w:p>
      <w:pPr>
        <w:spacing w:line="240" w:lineRule="auto" w:before="10"/>
        <w:rPr>
          <w:rFonts w:ascii="Times New Roman" w:hAnsi="Times New Roman" w:cs="Times New Roman" w:eastAsia="Times New Roman" w:hint="default"/>
          <w:sz w:val="21"/>
          <w:szCs w:val="21"/>
        </w:rPr>
      </w:pPr>
    </w:p>
    <w:p>
      <w:pPr>
        <w:pStyle w:val="Heading4"/>
        <w:spacing w:line="240" w:lineRule="auto" w:before="36"/>
        <w:ind w:right="982"/>
        <w:jc w:val="left"/>
        <w:rPr>
          <w:b w:val="0"/>
          <w:bCs w:val="0"/>
        </w:rPr>
      </w:pPr>
      <w:r>
        <w:rPr/>
        <w:t>（</w:t>
      </w:r>
      <w:r>
        <w:rPr>
          <w:rFonts w:ascii="Times New Roman" w:hAnsi="Times New Roman" w:cs="Times New Roman" w:eastAsia="Times New Roman" w:hint="default"/>
        </w:rPr>
        <w:t>2</w:t>
      </w:r>
      <w:r>
        <w:rPr/>
        <w:t>）暂时闲置的固定资产情况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t>（</w:t>
      </w:r>
      <w:r>
        <w:rPr>
          <w:rFonts w:ascii="Times New Roman" w:hAnsi="Times New Roman" w:cs="Times New Roman" w:eastAsia="Times New Roman" w:hint="default"/>
        </w:rPr>
        <w:t>3</w:t>
      </w:r>
      <w:r>
        <w:rPr/>
        <w:t>）通过融资租赁租入的固定资产情况</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t>（</w:t>
      </w:r>
      <w:r>
        <w:rPr>
          <w:rFonts w:ascii="Times New Roman" w:hAnsi="Times New Roman" w:cs="Times New Roman" w:eastAsia="Times New Roman" w:hint="default"/>
        </w:rPr>
        <w:t>4</w:t>
      </w:r>
      <w:r>
        <w:rPr/>
        <w:t>）通过经营租赁租出的固定资产</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t>（</w:t>
      </w:r>
      <w:r>
        <w:rPr>
          <w:rFonts w:ascii="Times New Roman" w:hAnsi="Times New Roman" w:cs="Times New Roman" w:eastAsia="Times New Roman" w:hint="default"/>
        </w:rPr>
        <w:t>5</w:t>
      </w:r>
      <w:r>
        <w:rPr/>
        <w:t>）未办妥产权证书的固定资产情况</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552"/>
        <w:gridCol w:w="2693"/>
        <w:gridCol w:w="4326"/>
      </w:tblGrid>
      <w:tr>
        <w:trPr>
          <w:trHeight w:val="401" w:hRule="exact"/>
        </w:trPr>
        <w:tc>
          <w:tcPr>
            <w:tcW w:w="2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6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43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60" w:right="0"/>
              <w:jc w:val="left"/>
              <w:rPr>
                <w:rFonts w:ascii="宋体" w:hAnsi="宋体" w:cs="宋体" w:eastAsia="宋体" w:hint="default"/>
                <w:sz w:val="18"/>
                <w:szCs w:val="18"/>
              </w:rPr>
            </w:pPr>
            <w:r>
              <w:rPr>
                <w:rFonts w:ascii="宋体" w:hAnsi="宋体" w:cs="宋体" w:eastAsia="宋体" w:hint="default"/>
                <w:sz w:val="18"/>
                <w:szCs w:val="18"/>
              </w:rPr>
              <w:t>未办妥产权证书的原因</w:t>
            </w:r>
          </w:p>
        </w:tc>
      </w:tr>
      <w:tr>
        <w:trPr>
          <w:trHeight w:val="716"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永丰基地综合办公大楼</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536" w:right="0"/>
              <w:jc w:val="left"/>
              <w:rPr>
                <w:rFonts w:ascii="Times New Roman" w:hAnsi="Times New Roman" w:cs="Times New Roman" w:eastAsia="Times New Roman" w:hint="default"/>
                <w:sz w:val="18"/>
                <w:szCs w:val="18"/>
              </w:rPr>
            </w:pPr>
            <w:r>
              <w:rPr>
                <w:rFonts w:ascii="Times New Roman"/>
                <w:sz w:val="18"/>
              </w:rPr>
              <w:t>352,952,288.90</w:t>
            </w:r>
          </w:p>
        </w:tc>
        <w:tc>
          <w:tcPr>
            <w:tcW w:w="432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6" w:right="20"/>
              <w:jc w:val="left"/>
              <w:rPr>
                <w:rFonts w:ascii="宋体" w:hAnsi="宋体" w:cs="宋体" w:eastAsia="宋体" w:hint="default"/>
                <w:sz w:val="18"/>
                <w:szCs w:val="18"/>
              </w:rPr>
            </w:pPr>
            <w:r>
              <w:rPr>
                <w:rFonts w:ascii="宋体" w:hAnsi="宋体" w:cs="宋体" w:eastAsia="宋体" w:hint="default"/>
                <w:spacing w:val="-3"/>
                <w:sz w:val="18"/>
                <w:szCs w:val="18"/>
              </w:rPr>
              <w:t>公司正在与北京市规划和自然资源委员会签订《国有建</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pacing w:val="-5"/>
                <w:sz w:val="18"/>
                <w:szCs w:val="18"/>
              </w:rPr>
              <w:t>设用地使用权出让合同》，后续手续正在办理中</w:t>
            </w:r>
          </w:p>
        </w:tc>
      </w:tr>
    </w:tbl>
    <w:p>
      <w:pPr>
        <w:pStyle w:val="BodyText"/>
        <w:spacing w:line="240" w:lineRule="auto" w:before="49"/>
        <w:ind w:right="982"/>
        <w:jc w:val="left"/>
      </w:pPr>
      <w:r>
        <w:rPr/>
        <w:t>其他说明</w:t>
      </w:r>
    </w:p>
    <w:p>
      <w:pPr>
        <w:spacing w:line="240" w:lineRule="auto" w:before="0"/>
        <w:rPr>
          <w:rFonts w:ascii="宋体" w:hAnsi="宋体" w:cs="宋体" w:eastAsia="宋体" w:hint="default"/>
          <w:sz w:val="18"/>
          <w:szCs w:val="18"/>
        </w:rPr>
      </w:pPr>
    </w:p>
    <w:p>
      <w:pPr>
        <w:pStyle w:val="Heading4"/>
        <w:spacing w:line="240" w:lineRule="auto" w:before="118"/>
        <w:ind w:right="982"/>
        <w:jc w:val="left"/>
        <w:rPr>
          <w:b w:val="0"/>
          <w:bCs w:val="0"/>
        </w:rPr>
      </w:pPr>
      <w:r>
        <w:rPr/>
        <w:t>（</w:t>
      </w:r>
      <w:r>
        <w:rPr>
          <w:rFonts w:ascii="Times New Roman" w:hAnsi="Times New Roman" w:cs="Times New Roman" w:eastAsia="Times New Roman" w:hint="default"/>
        </w:rPr>
        <w:t>6</w:t>
      </w:r>
      <w:r>
        <w:rPr/>
        <w:t>）固定资产清理</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rFonts w:ascii="Times New Roman" w:hAnsi="Times New Roman" w:cs="Times New Roman" w:eastAsia="Times New Roman" w:hint="default"/>
        </w:rPr>
        <w:t>17</w:t>
      </w:r>
      <w:r>
        <w:rPr/>
        <w:t>、在建工程</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t>无</w:t>
      </w:r>
    </w:p>
    <w:p>
      <w:pPr>
        <w:spacing w:after="0" w:line="240" w:lineRule="auto"/>
        <w:jc w:val="left"/>
        <w:sectPr>
          <w:pgSz w:w="11910" w:h="16840"/>
          <w:pgMar w:header="745" w:footer="979"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2"/>
        <w:jc w:val="left"/>
        <w:rPr>
          <w:b w:val="0"/>
          <w:bCs w:val="0"/>
        </w:rPr>
      </w:pPr>
      <w:r>
        <w:rPr>
          <w:rFonts w:ascii="Times New Roman" w:hAnsi="Times New Roman" w:cs="Times New Roman" w:eastAsia="Times New Roman" w:hint="default"/>
        </w:rPr>
        <w:t>18</w:t>
      </w:r>
      <w:r>
        <w:rPr/>
        <w:t>、生产性生物资产</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2"/>
        <w:jc w:val="left"/>
        <w:rPr>
          <w:b w:val="0"/>
          <w:bCs w:val="0"/>
        </w:rPr>
      </w:pPr>
      <w:r>
        <w:rPr/>
        <w:t>（</w:t>
      </w:r>
      <w:r>
        <w:rPr>
          <w:rFonts w:ascii="Times New Roman" w:hAnsi="Times New Roman" w:cs="Times New Roman" w:eastAsia="Times New Roman" w:hint="default"/>
        </w:rPr>
        <w:t>1</w:t>
      </w:r>
      <w:r>
        <w:rPr/>
        <w:t>）采用成本计量模式的生产性生物资产</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2"/>
        <w:rPr>
          <w:rFonts w:ascii="宋体" w:hAnsi="宋体" w:cs="宋体" w:eastAsia="宋体" w:hint="default"/>
          <w:sz w:val="26"/>
          <w:szCs w:val="26"/>
        </w:rPr>
      </w:pPr>
    </w:p>
    <w:p>
      <w:pPr>
        <w:pStyle w:val="Heading4"/>
        <w:spacing w:line="240" w:lineRule="auto"/>
        <w:ind w:right="982"/>
        <w:jc w:val="left"/>
        <w:rPr>
          <w:b w:val="0"/>
          <w:bCs w:val="0"/>
        </w:rPr>
      </w:pPr>
      <w:r>
        <w:rPr/>
        <w:t>（</w:t>
      </w:r>
      <w:r>
        <w:rPr>
          <w:rFonts w:ascii="Times New Roman" w:hAnsi="Times New Roman" w:cs="Times New Roman" w:eastAsia="Times New Roman" w:hint="default"/>
        </w:rPr>
        <w:t>2</w:t>
      </w:r>
      <w:r>
        <w:rPr/>
        <w:t>）采用公允价值计量模式的生产性生物资产</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13"/>
        <w:rPr>
          <w:rFonts w:ascii="宋体" w:hAnsi="宋体" w:cs="宋体" w:eastAsia="宋体" w:hint="default"/>
          <w:sz w:val="25"/>
          <w:szCs w:val="25"/>
        </w:rPr>
      </w:pPr>
    </w:p>
    <w:p>
      <w:pPr>
        <w:pStyle w:val="Heading4"/>
        <w:spacing w:line="240" w:lineRule="auto"/>
        <w:ind w:right="982"/>
        <w:jc w:val="left"/>
        <w:rPr>
          <w:b w:val="0"/>
          <w:bCs w:val="0"/>
        </w:rPr>
      </w:pPr>
      <w:r>
        <w:rPr>
          <w:rFonts w:ascii="Times New Roman" w:hAnsi="Times New Roman" w:cs="Times New Roman" w:eastAsia="Times New Roman" w:hint="default"/>
        </w:rPr>
        <w:t>19</w:t>
      </w:r>
      <w:r>
        <w:rPr/>
        <w:t>、油气资产</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2"/>
        <w:rPr>
          <w:rFonts w:ascii="宋体" w:hAnsi="宋体" w:cs="宋体" w:eastAsia="宋体" w:hint="default"/>
          <w:sz w:val="26"/>
          <w:szCs w:val="26"/>
        </w:rPr>
      </w:pPr>
    </w:p>
    <w:p>
      <w:pPr>
        <w:pStyle w:val="Heading4"/>
        <w:spacing w:line="240" w:lineRule="auto"/>
        <w:ind w:right="982"/>
        <w:jc w:val="left"/>
        <w:rPr>
          <w:b w:val="0"/>
          <w:bCs w:val="0"/>
        </w:rPr>
      </w:pPr>
      <w:r>
        <w:rPr>
          <w:rFonts w:ascii="Times New Roman" w:hAnsi="Times New Roman" w:cs="Times New Roman" w:eastAsia="Times New Roman" w:hint="default"/>
        </w:rPr>
        <w:t>20</w:t>
      </w:r>
      <w:r>
        <w:rPr/>
        <w:t>、无形资产</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2"/>
        <w:jc w:val="left"/>
        <w:rPr>
          <w:b w:val="0"/>
          <w:bCs w:val="0"/>
        </w:rPr>
      </w:pPr>
      <w:r>
        <w:rPr/>
        <w:t>（</w:t>
      </w:r>
      <w:r>
        <w:rPr>
          <w:rFonts w:ascii="Times New Roman" w:hAnsi="Times New Roman" w:cs="Times New Roman" w:eastAsia="Times New Roman" w:hint="default"/>
        </w:rPr>
        <w:t>1</w:t>
      </w:r>
      <w:r>
        <w:rPr/>
        <w:t>）无形资产情况</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368"/>
        <w:gridCol w:w="1366"/>
        <w:gridCol w:w="1369"/>
        <w:gridCol w:w="1366"/>
        <w:gridCol w:w="1368"/>
        <w:gridCol w:w="1369"/>
        <w:gridCol w:w="1366"/>
      </w:tblGrid>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7"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08" w:right="0"/>
              <w:jc w:val="left"/>
              <w:rPr>
                <w:rFonts w:ascii="宋体" w:hAnsi="宋体" w:cs="宋体" w:eastAsia="宋体" w:hint="default"/>
                <w:sz w:val="18"/>
                <w:szCs w:val="18"/>
              </w:rPr>
            </w:pPr>
            <w:r>
              <w:rPr>
                <w:rFonts w:ascii="宋体" w:hAnsi="宋体" w:cs="宋体" w:eastAsia="宋体" w:hint="default"/>
                <w:sz w:val="18"/>
                <w:szCs w:val="18"/>
              </w:rPr>
              <w:t>专利权</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8" w:right="0"/>
              <w:jc w:val="left"/>
              <w:rPr>
                <w:rFonts w:ascii="宋体" w:hAnsi="宋体" w:cs="宋体" w:eastAsia="宋体" w:hint="default"/>
                <w:sz w:val="18"/>
                <w:szCs w:val="18"/>
              </w:rPr>
            </w:pPr>
            <w:r>
              <w:rPr>
                <w:rFonts w:ascii="宋体" w:hAnsi="宋体" w:cs="宋体" w:eastAsia="宋体" w:hint="default"/>
                <w:sz w:val="18"/>
                <w:szCs w:val="18"/>
              </w:rPr>
              <w:t>非专利技术</w:t>
            </w:r>
          </w:p>
        </w:tc>
        <w:tc>
          <w:tcPr>
            <w:tcW w:w="1368" w:type="dxa"/>
            <w:tcBorders>
              <w:top w:val="single" w:sz="4" w:space="0" w:color="000000"/>
              <w:left w:val="single" w:sz="10" w:space="0" w:color="D2D2D2"/>
              <w:bottom w:val="single" w:sz="4" w:space="0" w:color="000000"/>
              <w:right w:val="single" w:sz="4" w:space="0" w:color="000000"/>
            </w:tcBorders>
            <w:shd w:val="clear" w:color="auto" w:fill="D9D9D9"/>
          </w:tcPr>
          <w:p>
            <w:pPr>
              <w:pStyle w:val="TableParagraph"/>
              <w:spacing w:line="240" w:lineRule="auto" w:before="49"/>
              <w:ind w:right="5"/>
              <w:jc w:val="center"/>
              <w:rPr>
                <w:rFonts w:ascii="宋体" w:hAnsi="宋体" w:cs="宋体" w:eastAsia="宋体" w:hint="default"/>
                <w:sz w:val="18"/>
                <w:szCs w:val="18"/>
              </w:rPr>
            </w:pPr>
            <w:r>
              <w:rPr>
                <w:rFonts w:ascii="宋体" w:hAnsi="宋体" w:cs="宋体" w:eastAsia="宋体" w:hint="default"/>
                <w:sz w:val="18"/>
                <w:szCs w:val="18"/>
              </w:rPr>
              <w:t>软件</w:t>
            </w:r>
          </w:p>
        </w:tc>
        <w:tc>
          <w:tcPr>
            <w:tcW w:w="13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366" w:type="dxa"/>
            <w:tcBorders>
              <w:top w:val="single" w:sz="4" w:space="0" w:color="000000"/>
              <w:left w:val="single" w:sz="13" w:space="0" w:color="D9D9D9"/>
              <w:bottom w:val="single" w:sz="4" w:space="0" w:color="000000"/>
              <w:right w:val="single" w:sz="4" w:space="0" w:color="000000"/>
            </w:tcBorders>
            <w:shd w:val="clear" w:color="auto" w:fill="D2D2D2"/>
          </w:tcPr>
          <w:p>
            <w:pPr>
              <w:pStyle w:val="TableParagraph"/>
              <w:spacing w:line="240" w:lineRule="auto" w:before="49"/>
              <w:ind w:right="7"/>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366" w:type="dxa"/>
            <w:tcBorders>
              <w:top w:val="single" w:sz="4" w:space="0" w:color="000000"/>
              <w:left w:val="single" w:sz="13" w:space="0" w:color="D2D2D2"/>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246,086,570.02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112,329,855.79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298,366,154.66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373,591,249.68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9,642,200.30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1,040,016,030.45</w:t>
            </w:r>
          </w:p>
        </w:tc>
      </w:tr>
      <w:tr>
        <w:trPr>
          <w:trHeight w:val="716"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4" w:right="115"/>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 金额</w:t>
            </w:r>
          </w:p>
        </w:tc>
        <w:tc>
          <w:tcPr>
            <w:tcW w:w="13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439,777,126.18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53,587,725.55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243,799,827.53</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737,164,679.26</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）购置</w:t>
            </w:r>
          </w:p>
        </w:tc>
        <w:tc>
          <w:tcPr>
            <w:tcW w:w="13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439,777,126.18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53,587,725.55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52,919,065.16</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546,283,916.89</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19"/>
                <w:sz w:val="18"/>
                <w:szCs w:val="18"/>
              </w:rPr>
              <w:t> </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）内部研发</w:t>
            </w:r>
          </w:p>
        </w:tc>
        <w:tc>
          <w:tcPr>
            <w:tcW w:w="13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190,880,762.37</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190,880,762.37</w:t>
            </w:r>
          </w:p>
        </w:tc>
      </w:tr>
      <w:tr>
        <w:trPr>
          <w:trHeight w:val="71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4" w:right="19"/>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19"/>
                <w:sz w:val="18"/>
                <w:szCs w:val="18"/>
              </w:rPr>
              <w:t> </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）企业合并</w:t>
            </w:r>
            <w:r>
              <w:rPr>
                <w:rFonts w:ascii="宋体" w:hAnsi="宋体" w:cs="宋体" w:eastAsia="宋体" w:hint="default"/>
                <w:sz w:val="18"/>
                <w:szCs w:val="18"/>
              </w:rPr>
              <w:t> 增加</w:t>
            </w:r>
          </w:p>
        </w:tc>
        <w:tc>
          <w:tcPr>
            <w:tcW w:w="13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4" w:right="115"/>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 额</w:t>
            </w:r>
          </w:p>
        </w:tc>
        <w:tc>
          <w:tcPr>
            <w:tcW w:w="13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-18,450.00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51,213,131.97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69,956,431.46</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-28,333.33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121,122,780.10</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3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1,413,131.97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16,059,688.67</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17,472,820.64</w:t>
            </w:r>
          </w:p>
        </w:tc>
      </w:tr>
      <w:tr>
        <w:trPr>
          <w:trHeight w:val="716"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97" w:lineRule="auto" w:before="52"/>
              <w:ind w:left="24" w:right="69" w:firstLine="274"/>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）外币报 表折算差额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-18,450.00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-921,871.39</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-28,333.33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-968,654.72</w:t>
            </w:r>
          </w:p>
        </w:tc>
      </w:tr>
      <w:tr>
        <w:trPr>
          <w:trHeight w:val="713"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49"/>
              <w:ind w:left="24" w:right="69" w:firstLine="274"/>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）合并范 围减少</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49,800,000.00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54,818,614.18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104,618,614.18</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685,863,696.20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112,348,305.79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300,740,748.24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547,434,645.75</w:t>
            </w:r>
            <w:r>
              <w:rPr>
                <w:rFonts w:ascii="Times New Roman"/>
                <w:sz w:val="18"/>
              </w:rPr>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9,670,533.63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1,656,057,929.61</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二、累计摊销</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5,639,483.85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70,128,093.58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75,817,826.07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255,093,099.66</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9,642,200.30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416,320,703.46</w:t>
            </w: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4" w:right="115"/>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 金额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20,651,957.84</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21,309,298.23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2"/>
                <w:sz w:val="18"/>
              </w:rPr>
              <w:t>43,512,593.11</w:t>
            </w:r>
            <w:r>
              <w:rPr>
                <w:rFonts w:ascii="Times New Roman"/>
                <w:sz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126,385,262.05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2"/>
                <w:sz w:val="18"/>
              </w:rPr>
              <w:t>211,859,111.23</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368"/>
        <w:gridCol w:w="1366"/>
        <w:gridCol w:w="1369"/>
        <w:gridCol w:w="1366"/>
        <w:gridCol w:w="1368"/>
        <w:gridCol w:w="1369"/>
        <w:gridCol w:w="1366"/>
      </w:tblGrid>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20,651,957.84</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21,309,298.23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4"/>
              <w:jc w:val="right"/>
              <w:rPr>
                <w:rFonts w:ascii="Times New Roman" w:hAnsi="Times New Roman" w:cs="Times New Roman" w:eastAsia="Times New Roman" w:hint="default"/>
                <w:sz w:val="18"/>
                <w:szCs w:val="18"/>
              </w:rPr>
            </w:pPr>
            <w:r>
              <w:rPr>
                <w:rFonts w:ascii="Times New Roman"/>
                <w:spacing w:val="-2"/>
                <w:sz w:val="18"/>
              </w:rPr>
              <w:t>43,512,593.11</w:t>
            </w:r>
            <w:r>
              <w:rPr>
                <w:rFonts w:ascii="Times New Roman"/>
                <w:sz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126,385,262.05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2"/>
                <w:sz w:val="18"/>
              </w:rPr>
              <w:t>211,859,111.23</w:t>
            </w: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4" w:right="115"/>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 金额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-14,759.99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20,880,619.51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32,384,865.85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-28,333.33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53,222,392.04</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15,849,076.98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15,849,076.98</w:t>
            </w: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97" w:lineRule="auto" w:before="51"/>
              <w:ind w:left="24" w:right="19" w:firstLine="182"/>
              <w:jc w:val="left"/>
              <w:rPr>
                <w:rFonts w:ascii="宋体" w:hAnsi="宋体" w:cs="宋体" w:eastAsia="宋体" w:hint="default"/>
                <w:sz w:val="18"/>
                <w:szCs w:val="18"/>
              </w:rPr>
            </w:pPr>
            <w:r>
              <w:rPr>
                <w:rFonts w:ascii="宋体" w:hAnsi="宋体" w:cs="宋体" w:eastAsia="宋体" w:hint="default"/>
                <w:spacing w:val="-6"/>
                <w:sz w:val="18"/>
                <w:szCs w:val="18"/>
              </w:rPr>
              <w:t>（</w:t>
            </w:r>
            <w:r>
              <w:rPr>
                <w:rFonts w:ascii="Times New Roman" w:hAnsi="Times New Roman" w:cs="Times New Roman" w:eastAsia="Times New Roman" w:hint="default"/>
                <w:spacing w:val="-6"/>
                <w:sz w:val="18"/>
                <w:szCs w:val="18"/>
              </w:rPr>
              <w:t>2</w:t>
            </w:r>
            <w:r>
              <w:rPr>
                <w:rFonts w:ascii="宋体" w:hAnsi="宋体" w:cs="宋体" w:eastAsia="宋体" w:hint="default"/>
                <w:spacing w:val="-6"/>
                <w:sz w:val="18"/>
                <w:szCs w:val="18"/>
              </w:rPr>
              <w:t>）外币报表</w:t>
            </w:r>
            <w:r>
              <w:rPr>
                <w:rFonts w:ascii="宋体" w:hAnsi="宋体" w:cs="宋体" w:eastAsia="宋体" w:hint="default"/>
                <w:sz w:val="18"/>
                <w:szCs w:val="18"/>
              </w:rPr>
              <w:t> 折算差额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-14,759.99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-501,202.11</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-28,333.33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-544,295.43</w:t>
            </w:r>
          </w:p>
        </w:tc>
      </w:tr>
      <w:tr>
        <w:trPr>
          <w:trHeight w:val="713"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49"/>
              <w:ind w:left="24" w:right="19" w:firstLine="182"/>
              <w:jc w:val="left"/>
              <w:rPr>
                <w:rFonts w:ascii="宋体" w:hAnsi="宋体" w:cs="宋体" w:eastAsia="宋体" w:hint="default"/>
                <w:sz w:val="18"/>
                <w:szCs w:val="18"/>
              </w:rPr>
            </w:pPr>
            <w:r>
              <w:rPr>
                <w:rFonts w:ascii="宋体" w:hAnsi="宋体" w:cs="宋体" w:eastAsia="宋体" w:hint="default"/>
                <w:spacing w:val="-6"/>
                <w:sz w:val="18"/>
                <w:szCs w:val="18"/>
              </w:rPr>
              <w:t>（</w:t>
            </w:r>
            <w:r>
              <w:rPr>
                <w:rFonts w:ascii="Times New Roman" w:hAnsi="Times New Roman" w:cs="Times New Roman" w:eastAsia="Times New Roman" w:hint="default"/>
                <w:spacing w:val="-6"/>
                <w:sz w:val="18"/>
                <w:szCs w:val="18"/>
              </w:rPr>
              <w:t>3</w:t>
            </w:r>
            <w:r>
              <w:rPr>
                <w:rFonts w:ascii="宋体" w:hAnsi="宋体" w:cs="宋体" w:eastAsia="宋体" w:hint="default"/>
                <w:spacing w:val="-6"/>
                <w:sz w:val="18"/>
                <w:szCs w:val="18"/>
              </w:rPr>
              <w:t>）合并范围</w:t>
            </w:r>
            <w:r>
              <w:rPr>
                <w:rFonts w:ascii="宋体" w:hAnsi="宋体" w:cs="宋体" w:eastAsia="宋体" w:hint="default"/>
                <w:sz w:val="18"/>
                <w:szCs w:val="18"/>
              </w:rPr>
              <w:t> 减少</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20,880,619.51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17,036,990.98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37,917,610.49</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26,291,441.69</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91,452,151.80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98,449,799.67</w:t>
            </w:r>
            <w:r>
              <w:rPr>
                <w:rFonts w:ascii="Times New Roman"/>
                <w:sz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349,093,495.86</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9,670,533.63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574,957,422.65</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26,635,000.00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26,635,000.00</w:t>
            </w:r>
          </w:p>
        </w:tc>
      </w:tr>
      <w:tr>
        <w:trPr>
          <w:trHeight w:val="71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4" w:right="115"/>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 金额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4" w:right="115"/>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 金额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20,440,000.00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20,440,000.00</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49"/>
              <w:ind w:left="24" w:right="19" w:firstLine="182"/>
              <w:jc w:val="left"/>
              <w:rPr>
                <w:rFonts w:ascii="宋体" w:hAnsi="宋体" w:cs="宋体" w:eastAsia="宋体" w:hint="default"/>
                <w:sz w:val="18"/>
                <w:szCs w:val="18"/>
              </w:rPr>
            </w:pPr>
            <w:r>
              <w:rPr>
                <w:rFonts w:ascii="宋体" w:hAnsi="宋体" w:cs="宋体" w:eastAsia="宋体" w:hint="default"/>
                <w:spacing w:val="-6"/>
                <w:sz w:val="18"/>
                <w:szCs w:val="18"/>
              </w:rPr>
              <w:t>（</w:t>
            </w:r>
            <w:r>
              <w:rPr>
                <w:rFonts w:ascii="Times New Roman" w:hAnsi="Times New Roman" w:cs="Times New Roman" w:eastAsia="Times New Roman" w:hint="default"/>
                <w:spacing w:val="-6"/>
                <w:sz w:val="18"/>
                <w:szCs w:val="18"/>
              </w:rPr>
              <w:t>2</w:t>
            </w:r>
            <w:r>
              <w:rPr>
                <w:rFonts w:ascii="宋体" w:hAnsi="宋体" w:cs="宋体" w:eastAsia="宋体" w:hint="default"/>
                <w:spacing w:val="-6"/>
                <w:sz w:val="18"/>
                <w:szCs w:val="18"/>
              </w:rPr>
              <w:t>）合并范围</w:t>
            </w:r>
            <w:r>
              <w:rPr>
                <w:rFonts w:ascii="宋体" w:hAnsi="宋体" w:cs="宋体" w:eastAsia="宋体" w:hint="default"/>
                <w:sz w:val="18"/>
                <w:szCs w:val="18"/>
              </w:rPr>
              <w:t> 减少</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20,440,000.00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20,440,000.00</w:t>
            </w:r>
          </w:p>
        </w:tc>
      </w:tr>
      <w:tr>
        <w:trPr>
          <w:trHeight w:val="40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6,195,000.00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6,195,000.00</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4" w:right="115"/>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 价值</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659,572,254.51</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20,896,153.99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196,095,948.57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198,341,149.89</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1,074,905,506.96</w:t>
            </w: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4" w:right="115"/>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 价值</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240,447,086.17</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42,201,762.21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195,913,328.59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118,498,150.02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597,060,326.99</w:t>
            </w:r>
          </w:p>
        </w:tc>
      </w:tr>
    </w:tbl>
    <w:p>
      <w:pPr>
        <w:pStyle w:val="BodyText"/>
        <w:spacing w:line="240" w:lineRule="auto" w:before="49"/>
        <w:ind w:right="982"/>
        <w:jc w:val="left"/>
      </w:pPr>
      <w:r>
        <w:rPr/>
        <w:t>本期末通过公司内部研发形成的无形资产占无形资产余额的比例</w:t>
      </w:r>
      <w:r>
        <w:rPr>
          <w:spacing w:val="-44"/>
        </w:rPr>
        <w:t> </w:t>
      </w:r>
      <w:r>
        <w:rPr>
          <w:rFonts w:ascii="Times New Roman" w:hAnsi="Times New Roman" w:cs="Times New Roman" w:eastAsia="Times New Roman" w:hint="default"/>
        </w:rPr>
        <w:t>16.54%</w:t>
      </w:r>
      <w:r>
        <w:rPr/>
        <w:t>。</w:t>
      </w:r>
    </w:p>
    <w:p>
      <w:pPr>
        <w:spacing w:line="240" w:lineRule="auto" w:before="13"/>
        <w:rPr>
          <w:rFonts w:ascii="宋体" w:hAnsi="宋体" w:cs="宋体" w:eastAsia="宋体" w:hint="default"/>
          <w:sz w:val="25"/>
          <w:szCs w:val="25"/>
        </w:rPr>
      </w:pPr>
    </w:p>
    <w:p>
      <w:pPr>
        <w:pStyle w:val="Heading4"/>
        <w:spacing w:line="240" w:lineRule="auto"/>
        <w:ind w:right="982"/>
        <w:jc w:val="left"/>
        <w:rPr>
          <w:b w:val="0"/>
          <w:bCs w:val="0"/>
        </w:rPr>
      </w:pPr>
      <w:r>
        <w:rPr/>
        <w:t>（</w:t>
      </w:r>
      <w:r>
        <w:rPr>
          <w:rFonts w:ascii="Times New Roman" w:hAnsi="Times New Roman" w:cs="Times New Roman" w:eastAsia="Times New Roman" w:hint="default"/>
        </w:rPr>
        <w:t>2</w:t>
      </w:r>
      <w:r>
        <w:rPr/>
        <w:t>）未办妥产权证书的土地使用权情况</w:t>
      </w:r>
      <w:r>
        <w:rPr>
          <w:b w:val="0"/>
          <w:bCs w:val="0"/>
        </w:rPr>
      </w:r>
    </w:p>
    <w:p>
      <w:pPr>
        <w:spacing w:line="240" w:lineRule="auto" w:before="13"/>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268"/>
        <w:gridCol w:w="2269"/>
        <w:gridCol w:w="5034"/>
      </w:tblGrid>
      <w:tr>
        <w:trPr>
          <w:trHeight w:val="401" w:hRule="exact"/>
        </w:trPr>
        <w:tc>
          <w:tcPr>
            <w:tcW w:w="2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2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 w:right="0"/>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50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613" w:right="0"/>
              <w:jc w:val="left"/>
              <w:rPr>
                <w:rFonts w:ascii="宋体" w:hAnsi="宋体" w:cs="宋体" w:eastAsia="宋体" w:hint="default"/>
                <w:sz w:val="18"/>
                <w:szCs w:val="18"/>
              </w:rPr>
            </w:pPr>
            <w:r>
              <w:rPr>
                <w:rFonts w:ascii="宋体" w:hAnsi="宋体" w:cs="宋体" w:eastAsia="宋体" w:hint="default"/>
                <w:sz w:val="18"/>
                <w:szCs w:val="18"/>
              </w:rPr>
              <w:t>未办妥产权证书的原因</w:t>
            </w:r>
          </w:p>
        </w:tc>
      </w:tr>
      <w:tr>
        <w:trPr>
          <w:trHeight w:val="715"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永丰基地综合办公大楼</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111" w:right="0"/>
              <w:jc w:val="left"/>
              <w:rPr>
                <w:rFonts w:ascii="Times New Roman" w:hAnsi="Times New Roman" w:cs="Times New Roman" w:eastAsia="Times New Roman" w:hint="default"/>
                <w:sz w:val="18"/>
                <w:szCs w:val="18"/>
              </w:rPr>
            </w:pPr>
            <w:r>
              <w:rPr>
                <w:rFonts w:ascii="Times New Roman"/>
                <w:sz w:val="18"/>
              </w:rPr>
              <w:t>659,572,254.51</w:t>
            </w:r>
          </w:p>
        </w:tc>
        <w:tc>
          <w:tcPr>
            <w:tcW w:w="503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20"/>
              <w:jc w:val="left"/>
              <w:rPr>
                <w:rFonts w:ascii="宋体" w:hAnsi="宋体" w:cs="宋体" w:eastAsia="宋体" w:hint="default"/>
                <w:sz w:val="18"/>
                <w:szCs w:val="18"/>
              </w:rPr>
            </w:pPr>
            <w:r>
              <w:rPr>
                <w:rFonts w:ascii="宋体" w:hAnsi="宋体" w:cs="宋体" w:eastAsia="宋体" w:hint="default"/>
                <w:spacing w:val="-3"/>
                <w:sz w:val="18"/>
                <w:szCs w:val="18"/>
              </w:rPr>
              <w:t>公司正在与北京市规划和自然资源委员会签订《国有建设用地使</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pacing w:val="-6"/>
                <w:sz w:val="18"/>
                <w:szCs w:val="18"/>
              </w:rPr>
              <w:t>用权出让合同》，后续手续正在办理中</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rFonts w:ascii="Times New Roman" w:hAnsi="Times New Roman" w:cs="Times New Roman" w:eastAsia="Times New Roman" w:hint="default"/>
        </w:rPr>
        <w:t>21</w:t>
      </w:r>
      <w:r>
        <w:rPr/>
        <w:t>、开发支出</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59"/>
        <w:gridCol w:w="1561"/>
        <w:gridCol w:w="2196"/>
        <w:gridCol w:w="3188"/>
        <w:gridCol w:w="1063"/>
      </w:tblGrid>
      <w:tr>
        <w:trPr>
          <w:trHeight w:val="402" w:hRule="exact"/>
        </w:trPr>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1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54"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49"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67" w:right="0"/>
              <w:jc w:val="left"/>
              <w:rPr>
                <w:rFonts w:ascii="宋体" w:hAnsi="宋体" w:cs="宋体" w:eastAsia="宋体" w:hint="default"/>
                <w:sz w:val="18"/>
                <w:szCs w:val="18"/>
              </w:rPr>
            </w:pPr>
            <w:r>
              <w:rPr>
                <w:rFonts w:ascii="宋体" w:hAnsi="宋体" w:cs="宋体" w:eastAsia="宋体" w:hint="default"/>
                <w:sz w:val="18"/>
                <w:szCs w:val="18"/>
              </w:rPr>
              <w:t>期末余额</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559"/>
        <w:gridCol w:w="1561"/>
        <w:gridCol w:w="1416"/>
        <w:gridCol w:w="780"/>
        <w:gridCol w:w="1064"/>
        <w:gridCol w:w="1061"/>
        <w:gridCol w:w="1064"/>
        <w:gridCol w:w="1063"/>
      </w:tblGrid>
      <w:tr>
        <w:trPr>
          <w:trHeight w:val="713" w:hRule="exact"/>
        </w:trPr>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56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4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63" w:right="0"/>
              <w:jc w:val="left"/>
              <w:rPr>
                <w:rFonts w:ascii="宋体" w:hAnsi="宋体" w:cs="宋体" w:eastAsia="宋体" w:hint="default"/>
                <w:sz w:val="18"/>
                <w:szCs w:val="18"/>
              </w:rPr>
            </w:pPr>
            <w:r>
              <w:rPr>
                <w:rFonts w:ascii="宋体" w:hAnsi="宋体" w:cs="宋体" w:eastAsia="宋体" w:hint="default"/>
                <w:sz w:val="18"/>
                <w:szCs w:val="18"/>
              </w:rPr>
              <w:t>内部开发支出</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0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348" w:right="75" w:hanging="272"/>
              <w:jc w:val="left"/>
              <w:rPr>
                <w:rFonts w:ascii="宋体" w:hAnsi="宋体" w:cs="宋体" w:eastAsia="宋体" w:hint="default"/>
                <w:sz w:val="18"/>
                <w:szCs w:val="18"/>
              </w:rPr>
            </w:pPr>
            <w:r>
              <w:rPr>
                <w:rFonts w:ascii="宋体" w:hAnsi="宋体" w:cs="宋体" w:eastAsia="宋体" w:hint="default"/>
                <w:sz w:val="18"/>
                <w:szCs w:val="18"/>
              </w:rPr>
              <w:t>确认为无形 资产</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436" w:right="72" w:hanging="360"/>
              <w:jc w:val="left"/>
              <w:rPr>
                <w:rFonts w:ascii="宋体" w:hAnsi="宋体" w:cs="宋体" w:eastAsia="宋体" w:hint="default"/>
                <w:sz w:val="18"/>
                <w:szCs w:val="18"/>
              </w:rPr>
            </w:pPr>
            <w:r>
              <w:rPr>
                <w:rFonts w:ascii="宋体" w:hAnsi="宋体" w:cs="宋体" w:eastAsia="宋体" w:hint="default"/>
                <w:sz w:val="18"/>
                <w:szCs w:val="18"/>
              </w:rPr>
              <w:t>转入当期损 益</w:t>
            </w:r>
          </w:p>
        </w:tc>
        <w:tc>
          <w:tcPr>
            <w:tcW w:w="10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49"/>
              <w:ind w:left="439" w:right="74" w:hanging="360"/>
              <w:jc w:val="left"/>
              <w:rPr>
                <w:rFonts w:ascii="宋体" w:hAnsi="宋体" w:cs="宋体" w:eastAsia="宋体" w:hint="default"/>
                <w:sz w:val="18"/>
                <w:szCs w:val="18"/>
              </w:rPr>
            </w:pPr>
            <w:r>
              <w:rPr>
                <w:rFonts w:ascii="宋体" w:hAnsi="宋体" w:cs="宋体" w:eastAsia="宋体" w:hint="default"/>
                <w:sz w:val="18"/>
                <w:szCs w:val="18"/>
              </w:rPr>
              <w:t>合并范围减 少</w:t>
            </w:r>
          </w:p>
        </w:tc>
        <w:tc>
          <w:tcPr>
            <w:tcW w:w="1063" w:type="dxa"/>
            <w:tcBorders>
              <w:top w:val="single" w:sz="4" w:space="0" w:color="000000"/>
              <w:left w:val="single" w:sz="10" w:space="0" w:color="D9D9D9"/>
              <w:bottom w:val="single" w:sz="4" w:space="0" w:color="000000"/>
              <w:right w:val="single" w:sz="4" w:space="0" w:color="000000"/>
            </w:tcBorders>
            <w:shd w:val="clear" w:color="auto" w:fill="D2D2D2"/>
          </w:tcPr>
          <w:p>
            <w:pPr/>
          </w:p>
        </w:tc>
      </w:tr>
      <w:tr>
        <w:trPr>
          <w:trHeight w:val="1380"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47"/>
              <w:ind w:left="22" w:right="84"/>
              <w:jc w:val="left"/>
              <w:rPr>
                <w:rFonts w:ascii="宋体" w:hAnsi="宋体" w:cs="宋体" w:eastAsia="宋体" w:hint="default"/>
                <w:sz w:val="18"/>
                <w:szCs w:val="18"/>
              </w:rPr>
            </w:pPr>
            <w:r>
              <w:rPr>
                <w:rFonts w:ascii="宋体" w:hAnsi="宋体" w:cs="宋体" w:eastAsia="宋体" w:hint="default"/>
                <w:sz w:val="18"/>
                <w:szCs w:val="18"/>
              </w:rPr>
              <w:t>高精度智能驾驶电 子地图开发项目</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105,717,594.43</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16,134,154.66</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121,851,749.</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09</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数据库</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2"/>
                <w:sz w:val="18"/>
              </w:rPr>
              <w:t>69,117,711.33</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2"/>
                <w:sz w:val="18"/>
              </w:rPr>
              <w:t>69,117,711.3</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3</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22" w:right="84"/>
              <w:jc w:val="left"/>
              <w:rPr>
                <w:rFonts w:ascii="宋体" w:hAnsi="宋体" w:cs="宋体" w:eastAsia="宋体" w:hint="default"/>
                <w:sz w:val="18"/>
                <w:szCs w:val="18"/>
              </w:rPr>
            </w:pPr>
            <w:r>
              <w:rPr>
                <w:rFonts w:ascii="宋体" w:hAnsi="宋体" w:cs="宋体" w:eastAsia="宋体" w:hint="default"/>
                <w:sz w:val="18"/>
                <w:szCs w:val="18"/>
              </w:rPr>
              <w:t>可追溯商用车高效 物流服务平台</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18,768,504.66</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18,768,504.6</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6</w:t>
            </w:r>
          </w:p>
        </w:tc>
      </w:tr>
      <w:tr>
        <w:trPr>
          <w:trHeight w:val="713"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49"/>
              <w:ind w:left="22" w:right="84"/>
              <w:jc w:val="left"/>
              <w:rPr>
                <w:rFonts w:ascii="宋体" w:hAnsi="宋体" w:cs="宋体" w:eastAsia="宋体" w:hint="default"/>
                <w:sz w:val="18"/>
                <w:szCs w:val="18"/>
              </w:rPr>
            </w:pPr>
            <w:r>
              <w:rPr>
                <w:rFonts w:ascii="宋体" w:hAnsi="宋体" w:cs="宋体" w:eastAsia="宋体" w:hint="default"/>
                <w:sz w:val="18"/>
                <w:szCs w:val="18"/>
              </w:rPr>
              <w:t>公共物流云位置综 合服务平台</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17,184,666.28</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17,184,666.2</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8</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22" w:right="84"/>
              <w:jc w:val="left"/>
              <w:rPr>
                <w:rFonts w:ascii="宋体" w:hAnsi="宋体" w:cs="宋体" w:eastAsia="宋体" w:hint="default"/>
                <w:sz w:val="18"/>
                <w:szCs w:val="18"/>
              </w:rPr>
            </w:pPr>
            <w:r>
              <w:rPr>
                <w:rFonts w:ascii="宋体" w:hAnsi="宋体" w:cs="宋体" w:eastAsia="宋体" w:hint="default"/>
                <w:sz w:val="18"/>
                <w:szCs w:val="18"/>
              </w:rPr>
              <w:t>交通信息处理与发 布子系统</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22,384,245.40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15,425,543.98</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14,863,276.1</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7,893,279.38</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15,053,233.8</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w:t>
            </w:r>
          </w:p>
        </w:tc>
      </w:tr>
      <w:tr>
        <w:trPr>
          <w:trHeight w:val="713"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97" w:lineRule="auto" w:before="49"/>
              <w:ind w:left="22" w:right="45"/>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WeNav</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智能导航产 品</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54,862,955.60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54,165,737.1</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3</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697,218.47</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49"/>
              <w:ind w:left="22" w:right="50"/>
              <w:jc w:val="left"/>
              <w:rPr>
                <w:rFonts w:ascii="宋体" w:hAnsi="宋体" w:cs="宋体" w:eastAsia="宋体" w:hint="default"/>
                <w:sz w:val="18"/>
                <w:szCs w:val="18"/>
              </w:rPr>
            </w:pPr>
            <w:r>
              <w:rPr>
                <w:rFonts w:ascii="Times New Roman" w:hAnsi="Times New Roman" w:cs="Times New Roman" w:eastAsia="Times New Roman" w:hint="default"/>
                <w:sz w:val="18"/>
                <w:szCs w:val="18"/>
              </w:rPr>
              <w:t>WELINK</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趣驾互联 项目产品</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37,984,095.12</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24,187,219.32</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62,171,314.4</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4</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378" w:hRule="exact"/>
        </w:trPr>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307,251,268.16</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74,515,422.62</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190,880,762.</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37</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94,892,875.4</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6</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62,171,314.4</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4</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33,821,738.5</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rFonts w:ascii="Times New Roman" w:hAnsi="Times New Roman" w:cs="Times New Roman" w:eastAsia="Times New Roman" w:hint="default"/>
        </w:rPr>
        <w:t>22</w:t>
      </w:r>
      <w:r>
        <w:rPr/>
        <w:t>、商誉</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2"/>
        <w:jc w:val="left"/>
        <w:rPr>
          <w:b w:val="0"/>
          <w:bCs w:val="0"/>
        </w:rPr>
      </w:pPr>
      <w:r>
        <w:rPr/>
        <w:t>（</w:t>
      </w:r>
      <w:r>
        <w:rPr>
          <w:rFonts w:ascii="Times New Roman" w:hAnsi="Times New Roman" w:cs="Times New Roman" w:eastAsia="Times New Roman" w:hint="default"/>
        </w:rPr>
        <w:t>1</w:t>
      </w:r>
      <w:r>
        <w:rPr/>
        <w:t>）商誉账面原值</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267"/>
        <w:gridCol w:w="1702"/>
        <w:gridCol w:w="1560"/>
        <w:gridCol w:w="1133"/>
        <w:gridCol w:w="1419"/>
        <w:gridCol w:w="1418"/>
      </w:tblGrid>
      <w:tr>
        <w:trPr>
          <w:trHeight w:val="206" w:hRule="exact"/>
        </w:trPr>
        <w:tc>
          <w:tcPr>
            <w:tcW w:w="2267"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94"/>
              <w:ind w:left="858" w:right="46" w:hanging="810"/>
              <w:jc w:val="left"/>
              <w:rPr>
                <w:rFonts w:ascii="宋体" w:hAnsi="宋体" w:cs="宋体" w:eastAsia="宋体" w:hint="default"/>
                <w:sz w:val="18"/>
                <w:szCs w:val="18"/>
              </w:rPr>
            </w:pPr>
            <w:r>
              <w:rPr>
                <w:rFonts w:ascii="宋体" w:hAnsi="宋体" w:cs="宋体" w:eastAsia="宋体" w:hint="default"/>
                <w:sz w:val="18"/>
                <w:szCs w:val="18"/>
              </w:rPr>
              <w:t>被投资单位名称或形成商誉 的事项</w:t>
            </w:r>
          </w:p>
        </w:tc>
        <w:tc>
          <w:tcPr>
            <w:tcW w:w="1702" w:type="dxa"/>
            <w:tcBorders>
              <w:top w:val="single" w:sz="4" w:space="0" w:color="000000"/>
              <w:left w:val="single" w:sz="4" w:space="0" w:color="000000"/>
              <w:bottom w:val="nil" w:sz="6" w:space="0" w:color="auto"/>
              <w:right w:val="single" w:sz="4" w:space="0" w:color="000000"/>
            </w:tcBorders>
            <w:shd w:val="clear" w:color="auto" w:fill="D2D2D2"/>
          </w:tcPr>
          <w:p>
            <w:pPr/>
          </w:p>
        </w:tc>
        <w:tc>
          <w:tcPr>
            <w:tcW w:w="156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415"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2552"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本期减少</w:t>
            </w:r>
          </w:p>
        </w:tc>
        <w:tc>
          <w:tcPr>
            <w:tcW w:w="1418"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4" w:hRule="exact"/>
        </w:trPr>
        <w:tc>
          <w:tcPr>
            <w:tcW w:w="2267" w:type="dxa"/>
            <w:vMerge/>
            <w:tcBorders>
              <w:left w:val="single" w:sz="4" w:space="0" w:color="000000"/>
              <w:right w:val="single" w:sz="4" w:space="0" w:color="000000"/>
            </w:tcBorders>
            <w:shd w:val="clear" w:color="auto" w:fill="D2D2D2"/>
          </w:tcPr>
          <w:p>
            <w:pPr/>
          </w:p>
        </w:tc>
        <w:tc>
          <w:tcPr>
            <w:tcW w:w="170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48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60" w:type="dxa"/>
            <w:vMerge/>
            <w:tcBorders>
              <w:left w:val="single" w:sz="4" w:space="0" w:color="000000"/>
              <w:bottom w:val="single" w:sz="4" w:space="0" w:color="000000"/>
              <w:right w:val="single" w:sz="4" w:space="0" w:color="000000"/>
            </w:tcBorders>
            <w:shd w:val="clear" w:color="auto" w:fill="D2D2D2"/>
          </w:tcPr>
          <w:p>
            <w:pPr/>
          </w:p>
        </w:tc>
        <w:tc>
          <w:tcPr>
            <w:tcW w:w="2552" w:type="dxa"/>
            <w:gridSpan w:val="2"/>
            <w:vMerge/>
            <w:tcBorders>
              <w:left w:val="single" w:sz="4" w:space="0" w:color="000000"/>
              <w:bottom w:val="single" w:sz="4" w:space="0" w:color="000000"/>
              <w:right w:val="single" w:sz="4" w:space="0" w:color="000000"/>
            </w:tcBorders>
            <w:shd w:val="clear" w:color="auto" w:fill="D2D2D2"/>
          </w:tcPr>
          <w:p>
            <w:pPr/>
          </w:p>
        </w:tc>
        <w:tc>
          <w:tcPr>
            <w:tcW w:w="1418" w:type="dxa"/>
            <w:vMerge w:val="restart"/>
            <w:tcBorders>
              <w:top w:val="nil" w:sz="6" w:space="0" w:color="auto"/>
              <w:left w:val="single" w:sz="10" w:space="0" w:color="D9D9D9"/>
              <w:right w:val="single" w:sz="4" w:space="0" w:color="000000"/>
            </w:tcBorders>
            <w:shd w:val="clear" w:color="auto" w:fill="D2D2D2"/>
          </w:tcPr>
          <w:p>
            <w:pPr>
              <w:pStyle w:val="TableParagraph"/>
              <w:spacing w:line="240" w:lineRule="auto" w:before="49"/>
              <w:ind w:left="338"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7" w:hRule="exact"/>
        </w:trPr>
        <w:tc>
          <w:tcPr>
            <w:tcW w:w="2267" w:type="dxa"/>
            <w:vMerge/>
            <w:tcBorders>
              <w:left w:val="single" w:sz="4" w:space="0" w:color="000000"/>
              <w:right w:val="single" w:sz="4" w:space="0" w:color="000000"/>
            </w:tcBorders>
            <w:shd w:val="clear" w:color="auto" w:fill="D2D2D2"/>
          </w:tcPr>
          <w:p>
            <w:pPr/>
          </w:p>
        </w:tc>
        <w:tc>
          <w:tcPr>
            <w:tcW w:w="1702" w:type="dxa"/>
            <w:vMerge/>
            <w:tcBorders>
              <w:left w:val="single" w:sz="4" w:space="0" w:color="000000"/>
              <w:bottom w:val="nil" w:sz="6" w:space="0" w:color="auto"/>
              <w:right w:val="single" w:sz="4" w:space="0" w:color="000000"/>
            </w:tcBorders>
            <w:shd w:val="clear" w:color="auto" w:fill="D2D2D2"/>
          </w:tcPr>
          <w:p>
            <w:pPr/>
          </w:p>
        </w:tc>
        <w:tc>
          <w:tcPr>
            <w:tcW w:w="156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46" w:right="0"/>
              <w:jc w:val="left"/>
              <w:rPr>
                <w:rFonts w:ascii="宋体" w:hAnsi="宋体" w:cs="宋体" w:eastAsia="宋体" w:hint="default"/>
                <w:sz w:val="18"/>
                <w:szCs w:val="18"/>
              </w:rPr>
            </w:pPr>
            <w:r>
              <w:rPr>
                <w:rFonts w:ascii="宋体" w:hAnsi="宋体" w:cs="宋体" w:eastAsia="宋体" w:hint="default"/>
                <w:sz w:val="18"/>
                <w:szCs w:val="18"/>
              </w:rPr>
              <w:t>企业合并形成的</w:t>
            </w:r>
          </w:p>
        </w:tc>
        <w:tc>
          <w:tcPr>
            <w:tcW w:w="113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处置</w:t>
            </w:r>
          </w:p>
        </w:tc>
        <w:tc>
          <w:tcPr>
            <w:tcW w:w="1419" w:type="dxa"/>
            <w:vMerge w:val="restart"/>
            <w:tcBorders>
              <w:top w:val="single" w:sz="4" w:space="0" w:color="000000"/>
              <w:left w:val="single" w:sz="10" w:space="0" w:color="D2D2D2"/>
              <w:right w:val="single" w:sz="10" w:space="0" w:color="D2D2D2"/>
            </w:tcBorders>
            <w:shd w:val="clear" w:color="auto" w:fill="D9D9D9"/>
          </w:tcPr>
          <w:p>
            <w:pPr>
              <w:pStyle w:val="TableParagraph"/>
              <w:spacing w:line="240" w:lineRule="auto" w:before="49"/>
              <w:ind w:left="156" w:right="0"/>
              <w:jc w:val="left"/>
              <w:rPr>
                <w:rFonts w:ascii="宋体" w:hAnsi="宋体" w:cs="宋体" w:eastAsia="宋体" w:hint="default"/>
                <w:sz w:val="18"/>
                <w:szCs w:val="18"/>
              </w:rPr>
            </w:pPr>
            <w:r>
              <w:rPr>
                <w:rFonts w:ascii="宋体" w:hAnsi="宋体" w:cs="宋体" w:eastAsia="宋体" w:hint="default"/>
                <w:sz w:val="18"/>
                <w:szCs w:val="18"/>
              </w:rPr>
              <w:t>合并范围减少</w:t>
            </w:r>
          </w:p>
        </w:tc>
        <w:tc>
          <w:tcPr>
            <w:tcW w:w="1418" w:type="dxa"/>
            <w:vMerge/>
            <w:tcBorders>
              <w:left w:val="single" w:sz="10" w:space="0" w:color="D9D9D9"/>
              <w:bottom w:val="nil" w:sz="6" w:space="0" w:color="auto"/>
              <w:right w:val="single" w:sz="4" w:space="0" w:color="000000"/>
            </w:tcBorders>
            <w:shd w:val="clear" w:color="auto" w:fill="D2D2D2"/>
          </w:tcPr>
          <w:p>
            <w:pPr/>
          </w:p>
        </w:tc>
      </w:tr>
      <w:tr>
        <w:trPr>
          <w:trHeight w:val="206" w:hRule="exact"/>
        </w:trPr>
        <w:tc>
          <w:tcPr>
            <w:tcW w:w="2267" w:type="dxa"/>
            <w:vMerge/>
            <w:tcBorders>
              <w:left w:val="single" w:sz="4" w:space="0" w:color="000000"/>
              <w:bottom w:val="single" w:sz="4" w:space="0" w:color="000000"/>
              <w:right w:val="single" w:sz="4" w:space="0" w:color="000000"/>
            </w:tcBorders>
            <w:shd w:val="clear" w:color="auto" w:fill="D2D2D2"/>
          </w:tcPr>
          <w:p>
            <w:pPr/>
          </w:p>
        </w:tc>
        <w:tc>
          <w:tcPr>
            <w:tcW w:w="1702" w:type="dxa"/>
            <w:tcBorders>
              <w:top w:val="nil" w:sz="6" w:space="0" w:color="auto"/>
              <w:left w:val="single" w:sz="4" w:space="0" w:color="000000"/>
              <w:bottom w:val="single" w:sz="4" w:space="0" w:color="000000"/>
              <w:right w:val="single" w:sz="4" w:space="0" w:color="000000"/>
            </w:tcBorders>
            <w:shd w:val="clear" w:color="auto" w:fill="D2D2D2"/>
          </w:tcPr>
          <w:p>
            <w:pPr/>
          </w:p>
        </w:tc>
        <w:tc>
          <w:tcPr>
            <w:tcW w:w="1560" w:type="dxa"/>
            <w:vMerge/>
            <w:tcBorders>
              <w:left w:val="single" w:sz="4" w:space="0" w:color="000000"/>
              <w:bottom w:val="single" w:sz="4" w:space="0" w:color="000000"/>
              <w:right w:val="single" w:sz="4" w:space="0" w:color="000000"/>
            </w:tcBorders>
            <w:shd w:val="clear" w:color="auto" w:fill="D2D2D2"/>
          </w:tcPr>
          <w:p>
            <w:pPr/>
          </w:p>
        </w:tc>
        <w:tc>
          <w:tcPr>
            <w:tcW w:w="1133" w:type="dxa"/>
            <w:vMerge/>
            <w:tcBorders>
              <w:left w:val="single" w:sz="4" w:space="0" w:color="000000"/>
              <w:bottom w:val="single" w:sz="4" w:space="0" w:color="000000"/>
              <w:right w:val="single" w:sz="4" w:space="0" w:color="000000"/>
            </w:tcBorders>
            <w:shd w:val="clear" w:color="auto" w:fill="D2D2D2"/>
          </w:tcPr>
          <w:p>
            <w:pPr/>
          </w:p>
        </w:tc>
        <w:tc>
          <w:tcPr>
            <w:tcW w:w="1419" w:type="dxa"/>
            <w:vMerge/>
            <w:tcBorders>
              <w:left w:val="single" w:sz="10" w:space="0" w:color="D2D2D2"/>
              <w:bottom w:val="single" w:sz="4" w:space="0" w:color="000000"/>
              <w:right w:val="single" w:sz="10" w:space="0" w:color="D2D2D2"/>
            </w:tcBorders>
            <w:shd w:val="clear" w:color="auto" w:fill="D9D9D9"/>
          </w:tcPr>
          <w:p>
            <w:pPr/>
          </w:p>
        </w:tc>
        <w:tc>
          <w:tcPr>
            <w:tcW w:w="1418" w:type="dxa"/>
            <w:tcBorders>
              <w:top w:val="nil" w:sz="6" w:space="0" w:color="auto"/>
              <w:left w:val="single" w:sz="13" w:space="0" w:color="D9D9D9"/>
              <w:bottom w:val="single" w:sz="4" w:space="0" w:color="000000"/>
              <w:right w:val="single" w:sz="4" w:space="0" w:color="000000"/>
            </w:tcBorders>
            <w:shd w:val="clear" w:color="auto" w:fill="D2D2D2"/>
          </w:tcPr>
          <w:p>
            <w:pPr/>
          </w:p>
        </w:tc>
      </w:tr>
      <w:tr>
        <w:trPr>
          <w:trHeight w:val="401" w:hRule="exact"/>
        </w:trPr>
        <w:tc>
          <w:tcPr>
            <w:tcW w:w="2267" w:type="dxa"/>
            <w:tcBorders>
              <w:top w:val="single" w:sz="22" w:space="0" w:color="D2D2D2"/>
              <w:left w:val="single" w:sz="4" w:space="0" w:color="000000"/>
              <w:bottom w:val="single" w:sz="4" w:space="0" w:color="000000"/>
              <w:right w:val="single" w:sz="4" w:space="0" w:color="000000"/>
            </w:tcBorders>
            <w:shd w:val="clear" w:color="auto" w:fill="D9D9D9"/>
          </w:tcPr>
          <w:p>
            <w:pPr>
              <w:pStyle w:val="TableParagraph"/>
              <w:spacing w:line="240" w:lineRule="auto" w:before="26"/>
              <w:ind w:left="22" w:right="0"/>
              <w:jc w:val="left"/>
              <w:rPr>
                <w:rFonts w:ascii="宋体" w:hAnsi="宋体" w:cs="宋体" w:eastAsia="宋体" w:hint="default"/>
                <w:sz w:val="18"/>
                <w:szCs w:val="18"/>
              </w:rPr>
            </w:pPr>
            <w:r>
              <w:rPr>
                <w:rFonts w:ascii="宋体" w:hAnsi="宋体" w:cs="宋体" w:eastAsia="宋体" w:hint="default"/>
                <w:sz w:val="18"/>
                <w:szCs w:val="18"/>
              </w:rPr>
              <w:t>合肥杰发科技有限公司</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3,042,899,505.82</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3,042,899,505.82</w:t>
            </w:r>
          </w:p>
        </w:tc>
      </w:tr>
      <w:tr>
        <w:trPr>
          <w:trHeight w:val="403"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Mapbar Technology</w:t>
            </w:r>
            <w:r>
              <w:rPr>
                <w:rFonts w:ascii="Times New Roman"/>
                <w:spacing w:val="-28"/>
                <w:sz w:val="18"/>
              </w:rPr>
              <w:t> </w:t>
            </w:r>
            <w:r>
              <w:rPr>
                <w:rFonts w:ascii="Times New Roman"/>
                <w:sz w:val="18"/>
              </w:rPr>
              <w:t>Limited</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148,324,198.63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148,324,198.63</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22" w:right="72"/>
              <w:jc w:val="left"/>
              <w:rPr>
                <w:rFonts w:ascii="宋体" w:hAnsi="宋体" w:cs="宋体" w:eastAsia="宋体" w:hint="default"/>
                <w:sz w:val="18"/>
                <w:szCs w:val="18"/>
              </w:rPr>
            </w:pPr>
            <w:r>
              <w:rPr>
                <w:rFonts w:ascii="宋体" w:hAnsi="宋体" w:cs="宋体" w:eastAsia="宋体" w:hint="default"/>
                <w:sz w:val="18"/>
                <w:szCs w:val="18"/>
              </w:rPr>
              <w:t>中交宇科（北京）空间信息 技术有限公司</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101,175,580.97</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101,175,580.97</w:t>
            </w:r>
          </w:p>
        </w:tc>
      </w:tr>
      <w:tr>
        <w:trPr>
          <w:trHeight w:val="403"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Mapscape</w:t>
            </w:r>
            <w:r>
              <w:rPr>
                <w:rFonts w:ascii="Times New Roman"/>
                <w:spacing w:val="-2"/>
                <w:sz w:val="18"/>
              </w:rPr>
              <w:t> </w:t>
            </w:r>
            <w:r>
              <w:rPr>
                <w:rFonts w:ascii="Times New Roman"/>
                <w:spacing w:val="-6"/>
                <w:sz w:val="18"/>
              </w:rPr>
              <w:t>B.V.</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41,571,737.95</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41,571,737.95</w:t>
            </w:r>
          </w:p>
        </w:tc>
      </w:tr>
      <w:tr>
        <w:trPr>
          <w:trHeight w:val="401"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北京世纪高通科技有限公司</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33,633,989.19</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33,633,989.19</w:t>
            </w:r>
          </w:p>
        </w:tc>
      </w:tr>
      <w:tr>
        <w:trPr>
          <w:trHeight w:val="715"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22" w:right="72"/>
              <w:jc w:val="left"/>
              <w:rPr>
                <w:rFonts w:ascii="宋体" w:hAnsi="宋体" w:cs="宋体" w:eastAsia="宋体" w:hint="default"/>
                <w:sz w:val="18"/>
                <w:szCs w:val="18"/>
              </w:rPr>
            </w:pPr>
            <w:r>
              <w:rPr>
                <w:rFonts w:ascii="宋体" w:hAnsi="宋体" w:cs="宋体" w:eastAsia="宋体" w:hint="default"/>
                <w:sz w:val="18"/>
                <w:szCs w:val="18"/>
              </w:rPr>
              <w:t>和骊安（中国）汽车信息系 统有限公司</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18,572,463.30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18,572,463.30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Smartauto soft Pte</w:t>
            </w:r>
            <w:r>
              <w:rPr>
                <w:rFonts w:ascii="Times New Roman"/>
                <w:spacing w:val="-7"/>
                <w:sz w:val="18"/>
              </w:rPr>
              <w:t> </w:t>
            </w:r>
            <w:r>
              <w:rPr>
                <w:rFonts w:ascii="Times New Roman"/>
                <w:sz w:val="18"/>
              </w:rPr>
              <w:t>Ltd.</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11,359,239.33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11,359,239.33</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2267"/>
        <w:gridCol w:w="1702"/>
        <w:gridCol w:w="1560"/>
        <w:gridCol w:w="1133"/>
        <w:gridCol w:w="1419"/>
        <w:gridCol w:w="1418"/>
      </w:tblGrid>
      <w:tr>
        <w:trPr>
          <w:trHeight w:val="401"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北京腾瑞万里科技有限公司</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9,546,182.09</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9,546,182.09</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北京中寰天畅卫星导航科技 有限公司</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4,192,126.02</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4,192,126.02</w:t>
            </w:r>
          </w:p>
        </w:tc>
      </w:tr>
      <w:tr>
        <w:trPr>
          <w:trHeight w:val="401"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长沙市海图科技有限公司</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1,401,529.55</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1,401,529.55</w:t>
            </w:r>
          </w:p>
        </w:tc>
      </w:tr>
      <w:tr>
        <w:trPr>
          <w:trHeight w:val="715"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江苏中寰卫星导航通信有限 公司</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40,236.77</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40,236.77</w:t>
            </w:r>
          </w:p>
        </w:tc>
      </w:tr>
      <w:tr>
        <w:trPr>
          <w:trHeight w:val="713"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22" w:right="72"/>
              <w:jc w:val="left"/>
              <w:rPr>
                <w:rFonts w:ascii="宋体" w:hAnsi="宋体" w:cs="宋体" w:eastAsia="宋体" w:hint="default"/>
                <w:sz w:val="18"/>
                <w:szCs w:val="18"/>
              </w:rPr>
            </w:pPr>
            <w:r>
              <w:rPr>
                <w:rFonts w:ascii="宋体" w:hAnsi="宋体" w:cs="宋体" w:eastAsia="宋体" w:hint="default"/>
                <w:sz w:val="18"/>
                <w:szCs w:val="18"/>
              </w:rPr>
              <w:t>内蒙古中寰卫星导航通信有 限公司</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8,200.00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8,200.00</w:t>
            </w:r>
          </w:p>
        </w:tc>
      </w:tr>
      <w:tr>
        <w:trPr>
          <w:trHeight w:val="403" w:hRule="exact"/>
        </w:trPr>
        <w:tc>
          <w:tcPr>
            <w:tcW w:w="22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3,412,724,989.62</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187,802,083.35</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3,224,922,906.27</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t>（</w:t>
      </w:r>
      <w:r>
        <w:rPr>
          <w:rFonts w:ascii="Times New Roman" w:hAnsi="Times New Roman" w:cs="Times New Roman" w:eastAsia="Times New Roman" w:hint="default"/>
        </w:rPr>
        <w:t>2</w:t>
      </w:r>
      <w:r>
        <w:rPr/>
        <w:t>）商誉减值准备</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267"/>
        <w:gridCol w:w="1702"/>
        <w:gridCol w:w="1560"/>
        <w:gridCol w:w="1133"/>
        <w:gridCol w:w="1419"/>
        <w:gridCol w:w="1418"/>
      </w:tblGrid>
      <w:tr>
        <w:trPr>
          <w:trHeight w:val="206" w:hRule="exact"/>
        </w:trPr>
        <w:tc>
          <w:tcPr>
            <w:tcW w:w="2267"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858" w:right="46" w:hanging="810"/>
              <w:jc w:val="left"/>
              <w:rPr>
                <w:rFonts w:ascii="宋体" w:hAnsi="宋体" w:cs="宋体" w:eastAsia="宋体" w:hint="default"/>
                <w:sz w:val="18"/>
                <w:szCs w:val="18"/>
              </w:rPr>
            </w:pPr>
            <w:r>
              <w:rPr>
                <w:rFonts w:ascii="宋体" w:hAnsi="宋体" w:cs="宋体" w:eastAsia="宋体" w:hint="default"/>
                <w:sz w:val="18"/>
                <w:szCs w:val="18"/>
              </w:rPr>
              <w:t>被投资单位名称或形成商誉 的事项</w:t>
            </w:r>
          </w:p>
        </w:tc>
        <w:tc>
          <w:tcPr>
            <w:tcW w:w="1702" w:type="dxa"/>
            <w:tcBorders>
              <w:top w:val="single" w:sz="4" w:space="0" w:color="000000"/>
              <w:left w:val="single" w:sz="4" w:space="0" w:color="000000"/>
              <w:bottom w:val="nil" w:sz="6" w:space="0" w:color="auto"/>
              <w:right w:val="single" w:sz="4" w:space="0" w:color="000000"/>
            </w:tcBorders>
            <w:shd w:val="clear" w:color="auto" w:fill="D2D2D2"/>
          </w:tcPr>
          <w:p>
            <w:pPr/>
          </w:p>
        </w:tc>
        <w:tc>
          <w:tcPr>
            <w:tcW w:w="156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415"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2552"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本期减少</w:t>
            </w:r>
          </w:p>
        </w:tc>
        <w:tc>
          <w:tcPr>
            <w:tcW w:w="1418"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7" w:hRule="exact"/>
        </w:trPr>
        <w:tc>
          <w:tcPr>
            <w:tcW w:w="2267" w:type="dxa"/>
            <w:vMerge/>
            <w:tcBorders>
              <w:left w:val="single" w:sz="4" w:space="0" w:color="000000"/>
              <w:right w:val="single" w:sz="4" w:space="0" w:color="000000"/>
            </w:tcBorders>
            <w:shd w:val="clear" w:color="auto" w:fill="D2D2D2"/>
          </w:tcPr>
          <w:p>
            <w:pPr/>
          </w:p>
        </w:tc>
        <w:tc>
          <w:tcPr>
            <w:tcW w:w="170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48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60" w:type="dxa"/>
            <w:vMerge/>
            <w:tcBorders>
              <w:left w:val="single" w:sz="4" w:space="0" w:color="000000"/>
              <w:bottom w:val="single" w:sz="4" w:space="0" w:color="000000"/>
              <w:right w:val="single" w:sz="4" w:space="0" w:color="000000"/>
            </w:tcBorders>
            <w:shd w:val="clear" w:color="auto" w:fill="D2D2D2"/>
          </w:tcPr>
          <w:p>
            <w:pPr/>
          </w:p>
        </w:tc>
        <w:tc>
          <w:tcPr>
            <w:tcW w:w="2552" w:type="dxa"/>
            <w:gridSpan w:val="2"/>
            <w:vMerge/>
            <w:tcBorders>
              <w:left w:val="single" w:sz="4" w:space="0" w:color="000000"/>
              <w:bottom w:val="single" w:sz="4" w:space="0" w:color="000000"/>
              <w:right w:val="single" w:sz="4" w:space="0" w:color="000000"/>
            </w:tcBorders>
            <w:shd w:val="clear" w:color="auto" w:fill="D2D2D2"/>
          </w:tcPr>
          <w:p>
            <w:pPr/>
          </w:p>
        </w:tc>
        <w:tc>
          <w:tcPr>
            <w:tcW w:w="1418" w:type="dxa"/>
            <w:vMerge w:val="restart"/>
            <w:tcBorders>
              <w:top w:val="nil" w:sz="6" w:space="0" w:color="auto"/>
              <w:left w:val="single" w:sz="10" w:space="0" w:color="D9D9D9"/>
              <w:right w:val="single" w:sz="4" w:space="0" w:color="000000"/>
            </w:tcBorders>
            <w:shd w:val="clear" w:color="auto" w:fill="D2D2D2"/>
          </w:tcPr>
          <w:p>
            <w:pPr>
              <w:pStyle w:val="TableParagraph"/>
              <w:spacing w:line="240" w:lineRule="auto" w:before="49"/>
              <w:ind w:left="338"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7" w:hRule="exact"/>
        </w:trPr>
        <w:tc>
          <w:tcPr>
            <w:tcW w:w="2267" w:type="dxa"/>
            <w:vMerge/>
            <w:tcBorders>
              <w:left w:val="single" w:sz="4" w:space="0" w:color="000000"/>
              <w:right w:val="single" w:sz="4" w:space="0" w:color="000000"/>
            </w:tcBorders>
            <w:shd w:val="clear" w:color="auto" w:fill="D2D2D2"/>
          </w:tcPr>
          <w:p>
            <w:pPr/>
          </w:p>
        </w:tc>
        <w:tc>
          <w:tcPr>
            <w:tcW w:w="1702" w:type="dxa"/>
            <w:vMerge/>
            <w:tcBorders>
              <w:left w:val="single" w:sz="4" w:space="0" w:color="000000"/>
              <w:bottom w:val="nil" w:sz="6" w:space="0" w:color="auto"/>
              <w:right w:val="single" w:sz="4" w:space="0" w:color="000000"/>
            </w:tcBorders>
            <w:shd w:val="clear" w:color="auto" w:fill="D2D2D2"/>
          </w:tcPr>
          <w:p>
            <w:pPr/>
          </w:p>
        </w:tc>
        <w:tc>
          <w:tcPr>
            <w:tcW w:w="156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计提</w:t>
            </w:r>
          </w:p>
        </w:tc>
        <w:tc>
          <w:tcPr>
            <w:tcW w:w="113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处置</w:t>
            </w:r>
          </w:p>
        </w:tc>
        <w:tc>
          <w:tcPr>
            <w:tcW w:w="1419" w:type="dxa"/>
            <w:vMerge w:val="restart"/>
            <w:tcBorders>
              <w:top w:val="single" w:sz="4" w:space="0" w:color="000000"/>
              <w:left w:val="single" w:sz="10" w:space="0" w:color="D2D2D2"/>
              <w:right w:val="single" w:sz="10" w:space="0" w:color="D2D2D2"/>
            </w:tcBorders>
            <w:shd w:val="clear" w:color="auto" w:fill="D9D9D9"/>
          </w:tcPr>
          <w:p>
            <w:pPr>
              <w:pStyle w:val="TableParagraph"/>
              <w:spacing w:line="240" w:lineRule="auto" w:before="49"/>
              <w:ind w:left="156" w:right="0"/>
              <w:jc w:val="left"/>
              <w:rPr>
                <w:rFonts w:ascii="宋体" w:hAnsi="宋体" w:cs="宋体" w:eastAsia="宋体" w:hint="default"/>
                <w:sz w:val="18"/>
                <w:szCs w:val="18"/>
              </w:rPr>
            </w:pPr>
            <w:r>
              <w:rPr>
                <w:rFonts w:ascii="宋体" w:hAnsi="宋体" w:cs="宋体" w:eastAsia="宋体" w:hint="default"/>
                <w:sz w:val="18"/>
                <w:szCs w:val="18"/>
              </w:rPr>
              <w:t>合并范围减少</w:t>
            </w:r>
          </w:p>
        </w:tc>
        <w:tc>
          <w:tcPr>
            <w:tcW w:w="1418" w:type="dxa"/>
            <w:vMerge/>
            <w:tcBorders>
              <w:left w:val="single" w:sz="10" w:space="0" w:color="D9D9D9"/>
              <w:bottom w:val="nil" w:sz="6" w:space="0" w:color="auto"/>
              <w:right w:val="single" w:sz="4" w:space="0" w:color="000000"/>
            </w:tcBorders>
            <w:shd w:val="clear" w:color="auto" w:fill="D2D2D2"/>
          </w:tcPr>
          <w:p>
            <w:pPr/>
          </w:p>
        </w:tc>
      </w:tr>
      <w:tr>
        <w:trPr>
          <w:trHeight w:val="204" w:hRule="exact"/>
        </w:trPr>
        <w:tc>
          <w:tcPr>
            <w:tcW w:w="2267" w:type="dxa"/>
            <w:vMerge/>
            <w:tcBorders>
              <w:left w:val="single" w:sz="4" w:space="0" w:color="000000"/>
              <w:bottom w:val="single" w:sz="4" w:space="0" w:color="000000"/>
              <w:right w:val="single" w:sz="4" w:space="0" w:color="000000"/>
            </w:tcBorders>
            <w:shd w:val="clear" w:color="auto" w:fill="D2D2D2"/>
          </w:tcPr>
          <w:p>
            <w:pPr/>
          </w:p>
        </w:tc>
        <w:tc>
          <w:tcPr>
            <w:tcW w:w="1702" w:type="dxa"/>
            <w:tcBorders>
              <w:top w:val="nil" w:sz="6" w:space="0" w:color="auto"/>
              <w:left w:val="single" w:sz="4" w:space="0" w:color="000000"/>
              <w:bottom w:val="single" w:sz="4" w:space="0" w:color="000000"/>
              <w:right w:val="single" w:sz="4" w:space="0" w:color="000000"/>
            </w:tcBorders>
            <w:shd w:val="clear" w:color="auto" w:fill="D2D2D2"/>
          </w:tcPr>
          <w:p>
            <w:pPr/>
          </w:p>
        </w:tc>
        <w:tc>
          <w:tcPr>
            <w:tcW w:w="1560" w:type="dxa"/>
            <w:vMerge/>
            <w:tcBorders>
              <w:left w:val="single" w:sz="4" w:space="0" w:color="000000"/>
              <w:bottom w:val="single" w:sz="4" w:space="0" w:color="000000"/>
              <w:right w:val="single" w:sz="4" w:space="0" w:color="000000"/>
            </w:tcBorders>
            <w:shd w:val="clear" w:color="auto" w:fill="D2D2D2"/>
          </w:tcPr>
          <w:p>
            <w:pPr/>
          </w:p>
        </w:tc>
        <w:tc>
          <w:tcPr>
            <w:tcW w:w="1133" w:type="dxa"/>
            <w:vMerge/>
            <w:tcBorders>
              <w:left w:val="single" w:sz="4" w:space="0" w:color="000000"/>
              <w:bottom w:val="single" w:sz="4" w:space="0" w:color="000000"/>
              <w:right w:val="single" w:sz="4" w:space="0" w:color="000000"/>
            </w:tcBorders>
            <w:shd w:val="clear" w:color="auto" w:fill="D2D2D2"/>
          </w:tcPr>
          <w:p>
            <w:pPr/>
          </w:p>
        </w:tc>
        <w:tc>
          <w:tcPr>
            <w:tcW w:w="1419" w:type="dxa"/>
            <w:vMerge/>
            <w:tcBorders>
              <w:left w:val="single" w:sz="10" w:space="0" w:color="D2D2D2"/>
              <w:bottom w:val="single" w:sz="4" w:space="0" w:color="000000"/>
              <w:right w:val="single" w:sz="10" w:space="0" w:color="D2D2D2"/>
            </w:tcBorders>
            <w:shd w:val="clear" w:color="auto" w:fill="D9D9D9"/>
          </w:tcPr>
          <w:p>
            <w:pPr/>
          </w:p>
        </w:tc>
        <w:tc>
          <w:tcPr>
            <w:tcW w:w="1418" w:type="dxa"/>
            <w:tcBorders>
              <w:top w:val="nil" w:sz="6" w:space="0" w:color="auto"/>
              <w:left w:val="single" w:sz="13" w:space="0" w:color="D9D9D9"/>
              <w:bottom w:val="single" w:sz="4" w:space="0" w:color="000000"/>
              <w:right w:val="single" w:sz="4" w:space="0" w:color="000000"/>
            </w:tcBorders>
            <w:shd w:val="clear" w:color="auto" w:fill="D2D2D2"/>
          </w:tcPr>
          <w:p>
            <w:pPr/>
          </w:p>
        </w:tc>
      </w:tr>
      <w:tr>
        <w:trPr>
          <w:trHeight w:val="403" w:hRule="exact"/>
        </w:trPr>
        <w:tc>
          <w:tcPr>
            <w:tcW w:w="2267" w:type="dxa"/>
            <w:tcBorders>
              <w:top w:val="single" w:sz="21" w:space="0" w:color="D2D2D2"/>
              <w:left w:val="single" w:sz="4" w:space="0" w:color="000000"/>
              <w:bottom w:val="single" w:sz="4" w:space="0" w:color="000000"/>
              <w:right w:val="single" w:sz="4" w:space="0" w:color="000000"/>
            </w:tcBorders>
            <w:shd w:val="clear" w:color="auto" w:fill="D9D9D9"/>
          </w:tcPr>
          <w:p>
            <w:pPr>
              <w:pStyle w:val="TableParagraph"/>
              <w:spacing w:line="240" w:lineRule="auto" w:before="29"/>
              <w:ind w:left="22" w:right="0"/>
              <w:jc w:val="left"/>
              <w:rPr>
                <w:rFonts w:ascii="宋体" w:hAnsi="宋体" w:cs="宋体" w:eastAsia="宋体" w:hint="default"/>
                <w:sz w:val="18"/>
                <w:szCs w:val="18"/>
              </w:rPr>
            </w:pPr>
            <w:r>
              <w:rPr>
                <w:rFonts w:ascii="宋体" w:hAnsi="宋体" w:cs="宋体" w:eastAsia="宋体" w:hint="default"/>
                <w:sz w:val="18"/>
                <w:szCs w:val="18"/>
              </w:rPr>
              <w:t>合肥杰发科技有限公司</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885,891,706.49</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885,891,706.49</w:t>
            </w:r>
          </w:p>
        </w:tc>
      </w:tr>
      <w:tr>
        <w:trPr>
          <w:trHeight w:val="713"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22" w:right="72"/>
              <w:jc w:val="left"/>
              <w:rPr>
                <w:rFonts w:ascii="宋体" w:hAnsi="宋体" w:cs="宋体" w:eastAsia="宋体" w:hint="default"/>
                <w:sz w:val="18"/>
                <w:szCs w:val="18"/>
              </w:rPr>
            </w:pPr>
            <w:r>
              <w:rPr>
                <w:rFonts w:ascii="宋体" w:hAnsi="宋体" w:cs="宋体" w:eastAsia="宋体" w:hint="default"/>
                <w:sz w:val="18"/>
                <w:szCs w:val="18"/>
              </w:rPr>
              <w:t>中交宇科（北京）空间信息 技术有限公司</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61,646,766.26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39,528,814.71</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101,175,580.97</w:t>
            </w:r>
          </w:p>
        </w:tc>
      </w:tr>
      <w:tr>
        <w:trPr>
          <w:trHeight w:val="403"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长沙市海图科技有限公司</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1,401,529.55</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1,401,529.55</w:t>
            </w:r>
          </w:p>
        </w:tc>
      </w:tr>
      <w:tr>
        <w:trPr>
          <w:trHeight w:val="401"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Smartauto soft Pte</w:t>
            </w:r>
            <w:r>
              <w:rPr>
                <w:rFonts w:ascii="Times New Roman"/>
                <w:spacing w:val="-7"/>
                <w:sz w:val="18"/>
              </w:rPr>
              <w:t> </w:t>
            </w:r>
            <w:r>
              <w:rPr>
                <w:rFonts w:ascii="Times New Roman"/>
                <w:sz w:val="18"/>
              </w:rPr>
              <w:t>Ltd.</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11,359,239.33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11,359,239.33</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北京腾瑞万里科技有限公司</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9,546,182.09</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9,546,182.09</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22" w:right="72"/>
              <w:jc w:val="left"/>
              <w:rPr>
                <w:rFonts w:ascii="宋体" w:hAnsi="宋体" w:cs="宋体" w:eastAsia="宋体" w:hint="default"/>
                <w:sz w:val="18"/>
                <w:szCs w:val="18"/>
              </w:rPr>
            </w:pPr>
            <w:r>
              <w:rPr>
                <w:rFonts w:ascii="宋体" w:hAnsi="宋体" w:cs="宋体" w:eastAsia="宋体" w:hint="default"/>
                <w:sz w:val="18"/>
                <w:szCs w:val="18"/>
              </w:rPr>
              <w:t>北京中寰天畅卫星导航科技 有限公司</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4,192,126.02</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4,192,126.02</w:t>
            </w:r>
          </w:p>
        </w:tc>
      </w:tr>
      <w:tr>
        <w:trPr>
          <w:trHeight w:val="715"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江苏中寰卫星导航通信有限 公司</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40,236.77</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40,236.77</w:t>
            </w:r>
          </w:p>
        </w:tc>
      </w:tr>
      <w:tr>
        <w:trPr>
          <w:trHeight w:val="403" w:hRule="exact"/>
        </w:trPr>
        <w:tc>
          <w:tcPr>
            <w:tcW w:w="22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88,145,843.25</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925,460,757.97</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20,905,421.42</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992,701,179.80</w:t>
            </w:r>
          </w:p>
        </w:tc>
      </w:tr>
    </w:tbl>
    <w:p>
      <w:pPr>
        <w:spacing w:line="240" w:lineRule="auto" w:before="5"/>
        <w:rPr>
          <w:rFonts w:ascii="宋体" w:hAnsi="宋体" w:cs="宋体" w:eastAsia="宋体" w:hint="default"/>
          <w:sz w:val="6"/>
          <w:szCs w:val="6"/>
        </w:rPr>
      </w:pPr>
    </w:p>
    <w:p>
      <w:pPr>
        <w:pStyle w:val="BodyText"/>
        <w:spacing w:line="240" w:lineRule="auto" w:before="44"/>
        <w:ind w:left="513" w:right="982"/>
        <w:jc w:val="left"/>
      </w:pPr>
      <w:r>
        <w:rPr/>
        <w:t>商誉所在资产组或资产组组合的相关信息</w:t>
      </w:r>
    </w:p>
    <w:p>
      <w:pPr>
        <w:spacing w:line="240" w:lineRule="auto" w:before="0"/>
        <w:rPr>
          <w:rFonts w:ascii="宋体" w:hAnsi="宋体" w:cs="宋体" w:eastAsia="宋体" w:hint="default"/>
          <w:sz w:val="15"/>
          <w:szCs w:val="15"/>
        </w:rPr>
      </w:pPr>
    </w:p>
    <w:p>
      <w:pPr>
        <w:pStyle w:val="BodyText"/>
        <w:spacing w:line="300" w:lineRule="auto"/>
        <w:ind w:right="1127" w:firstLine="360"/>
        <w:jc w:val="both"/>
      </w:pPr>
      <w:r>
        <w:rPr/>
        <w:t>注</w:t>
      </w:r>
      <w:r>
        <w:rPr>
          <w:rFonts w:ascii="Times New Roman" w:hAnsi="Times New Roman" w:cs="Times New Roman" w:eastAsia="Times New Roman" w:hint="default"/>
        </w:rPr>
        <w:t>1</w:t>
      </w:r>
      <w:r>
        <w:rPr/>
        <w:t>：合肥杰发科技有限公司（以下简称</w:t>
      </w:r>
      <w:r>
        <w:rPr>
          <w:spacing w:val="61"/>
        </w:rPr>
        <w:t> </w:t>
      </w:r>
      <w:r>
        <w:rPr/>
        <w:t>杰发科技）商誉系本公司于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3</w:t>
      </w:r>
      <w:r>
        <w:rPr/>
        <w:t>月收购杰发科技</w:t>
      </w:r>
      <w:r>
        <w:rPr>
          <w:rFonts w:ascii="Times New Roman" w:hAnsi="Times New Roman" w:cs="Times New Roman" w:eastAsia="Times New Roman" w:hint="default"/>
        </w:rPr>
        <w:t>100.00%</w:t>
      </w:r>
      <w:r>
        <w:rPr/>
        <w:t>股权时形成的， 详见信永中和会计师事务所（特殊普通合伙）出具的</w:t>
      </w:r>
      <w:r>
        <w:rPr>
          <w:rFonts w:ascii="Times New Roman" w:hAnsi="Times New Roman" w:cs="Times New Roman" w:eastAsia="Times New Roman" w:hint="default"/>
        </w:rPr>
        <w:t>2017</w:t>
      </w:r>
      <w:r>
        <w:rPr/>
        <w:t>年度审计报告（</w:t>
      </w:r>
      <w:r>
        <w:rPr>
          <w:rFonts w:ascii="Times New Roman" w:hAnsi="Times New Roman" w:cs="Times New Roman" w:eastAsia="Times New Roman" w:hint="default"/>
        </w:rPr>
        <w:t>XYZH/2018BJA70133</w:t>
      </w:r>
      <w:r>
        <w:rPr/>
        <w:t>）之财务报表附注</w:t>
      </w:r>
      <w:r>
        <w:rPr>
          <w:rFonts w:ascii="Times New Roman" w:hAnsi="Times New Roman" w:cs="Times New Roman" w:eastAsia="Times New Roman" w:hint="default"/>
        </w:rPr>
        <w:t>“</w:t>
      </w:r>
      <w:r>
        <w:rPr/>
        <w:t>八、</w:t>
      </w:r>
      <w:r>
        <w:rPr>
          <w:rFonts w:ascii="Times New Roman" w:hAnsi="Times New Roman" w:cs="Times New Roman" w:eastAsia="Times New Roman" w:hint="default"/>
        </w:rPr>
        <w:t>1.</w:t>
      </w:r>
      <w:r>
        <w:rPr/>
        <w:t>非 同一控制下企业合并</w:t>
      </w:r>
      <w:r>
        <w:rPr>
          <w:rFonts w:ascii="Times New Roman" w:hAnsi="Times New Roman" w:cs="Times New Roman" w:eastAsia="Times New Roman" w:hint="default"/>
        </w:rPr>
        <w:t>”</w:t>
      </w:r>
      <w:r>
        <w:rPr/>
        <w:t>。该商誉与杰发科技业务构成资产组。</w:t>
      </w:r>
    </w:p>
    <w:p>
      <w:pPr>
        <w:pStyle w:val="BodyText"/>
        <w:spacing w:line="300" w:lineRule="auto" w:before="133"/>
        <w:ind w:right="1130" w:firstLine="360"/>
        <w:jc w:val="both"/>
      </w:pPr>
      <w:r>
        <w:rPr/>
        <w:t>注</w:t>
      </w:r>
      <w:r>
        <w:rPr>
          <w:rFonts w:ascii="Times New Roman" w:hAnsi="Times New Roman" w:cs="Times New Roman" w:eastAsia="Times New Roman" w:hint="default"/>
        </w:rPr>
        <w:t>2</w:t>
      </w:r>
      <w:r>
        <w:rPr/>
        <w:t>：中交宇科（北京）空间信息技术有限公司（以下简称</w:t>
      </w:r>
      <w:r>
        <w:rPr>
          <w:spacing w:val="-11"/>
        </w:rPr>
        <w:t> </w:t>
      </w:r>
      <w:r>
        <w:rPr/>
        <w:t>中交宇科）商誉系本公司于</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4</w:t>
      </w:r>
      <w:r>
        <w:rPr/>
        <w:t>月收购中交宇科</w:t>
      </w:r>
      <w:r>
        <w:rPr>
          <w:rFonts w:ascii="Times New Roman" w:hAnsi="Times New Roman" w:cs="Times New Roman" w:eastAsia="Times New Roman" w:hint="default"/>
        </w:rPr>
        <w:t>51.98% </w:t>
      </w:r>
      <w:r>
        <w:rPr/>
        <w:t>股权时形成的，该商誉与中交宇科业务构成资产组。</w:t>
      </w:r>
    </w:p>
    <w:p>
      <w:pPr>
        <w:pStyle w:val="BodyText"/>
        <w:spacing w:line="316" w:lineRule="auto" w:before="151"/>
        <w:ind w:right="1128" w:firstLine="358"/>
        <w:jc w:val="both"/>
      </w:pPr>
      <w:r>
        <w:rPr>
          <w:spacing w:val="-2"/>
        </w:rPr>
        <w:t>说明商誉减值测试过程、关键参数（如预计未来现金流量现值时的预测期增长率、稳定期增长率、利润率、折现率、预</w:t>
      </w:r>
      <w:r>
        <w:rPr/>
        <w:t> 测期等）及商誉减值损失的确认方法：</w:t>
      </w:r>
    </w:p>
    <w:p>
      <w:pPr>
        <w:pStyle w:val="BodyText"/>
        <w:spacing w:line="300" w:lineRule="auto" w:before="139"/>
        <w:ind w:right="1128" w:firstLine="358"/>
        <w:jc w:val="both"/>
      </w:pPr>
      <w:r>
        <w:rPr/>
        <w:t>注</w:t>
      </w:r>
      <w:r>
        <w:rPr>
          <w:rFonts w:ascii="Times New Roman" w:hAnsi="Times New Roman" w:cs="Times New Roman" w:eastAsia="Times New Roman" w:hint="default"/>
        </w:rPr>
        <w:t>1</w:t>
      </w:r>
      <w:r>
        <w:rPr/>
        <w:t>：公司管理层聘请北京中同华资产评估有限公司对杰发科技资产组进行评估，根据其出具的中同华评报字（</w:t>
      </w:r>
      <w:r>
        <w:rPr>
          <w:rFonts w:ascii="Times New Roman" w:hAnsi="Times New Roman" w:cs="Times New Roman" w:eastAsia="Times New Roman" w:hint="default"/>
        </w:rPr>
        <w:t>2019</w:t>
      </w:r>
      <w:r>
        <w:rPr/>
        <w:t>） </w:t>
      </w:r>
      <w:r>
        <w:rPr>
          <w:spacing w:val="-2"/>
        </w:rPr>
        <w:t>第</w:t>
      </w:r>
      <w:r>
        <w:rPr>
          <w:rFonts w:ascii="Times New Roman" w:hAnsi="Times New Roman" w:cs="Times New Roman" w:eastAsia="Times New Roman" w:hint="default"/>
          <w:spacing w:val="-2"/>
        </w:rPr>
        <w:t>030076</w:t>
      </w:r>
      <w:r>
        <w:rPr>
          <w:spacing w:val="-2"/>
        </w:rPr>
        <w:t>号《北京四维图新科技股份有限公司以财务报告为目的所涉及的北京四维图新科技股份有限公司收购合肥杰发科技</w:t>
      </w:r>
      <w:r>
        <w:rPr>
          <w:spacing w:val="-61"/>
        </w:rPr>
        <w:t> </w:t>
      </w:r>
      <w:r>
        <w:rPr>
          <w:spacing w:val="-61"/>
        </w:rPr>
      </w:r>
      <w:r>
        <w:rPr/>
        <w:t>有限公司形成的商誉减值测试项目资产评估报告》，管理层认为公司需对该资产组计提减值准备</w:t>
      </w:r>
      <w:r>
        <w:rPr>
          <w:rFonts w:ascii="Times New Roman" w:hAnsi="Times New Roman" w:cs="Times New Roman" w:eastAsia="Times New Roman" w:hint="default"/>
        </w:rPr>
        <w:t>88,589.17</w:t>
      </w:r>
      <w:r>
        <w:rPr/>
        <w:t>万元。</w:t>
      </w:r>
    </w:p>
    <w:p>
      <w:pPr>
        <w:spacing w:after="0" w:line="300" w:lineRule="auto"/>
        <w:jc w:val="both"/>
        <w:sectPr>
          <w:pgSz w:w="11910" w:h="16840"/>
          <w:pgMar w:header="745" w:footer="979" w:top="1060" w:bottom="1160" w:left="980" w:right="0"/>
        </w:sectPr>
      </w:pPr>
    </w:p>
    <w:p>
      <w:pPr>
        <w:spacing w:line="240" w:lineRule="auto" w:before="9"/>
        <w:rPr>
          <w:rFonts w:ascii="宋体" w:hAnsi="宋体" w:cs="宋体" w:eastAsia="宋体" w:hint="default"/>
          <w:sz w:val="25"/>
          <w:szCs w:val="25"/>
        </w:rPr>
      </w:pPr>
    </w:p>
    <w:p>
      <w:pPr>
        <w:pStyle w:val="BodyText"/>
        <w:spacing w:line="240" w:lineRule="auto" w:before="44"/>
        <w:ind w:left="513" w:right="982"/>
        <w:jc w:val="left"/>
      </w:pPr>
      <w:r>
        <w:rPr/>
        <w:t>资产组的可回收金额是采用未来现金流量折合现值计算。采用未来现金流量折现方法所运用的主要假设包括：</w:t>
      </w:r>
    </w:p>
    <w:p>
      <w:pPr>
        <w:spacing w:line="240" w:lineRule="auto" w:before="3"/>
        <w:rPr>
          <w:rFonts w:ascii="宋体" w:hAnsi="宋体" w:cs="宋体" w:eastAsia="宋体" w:hint="default"/>
          <w:sz w:val="5"/>
          <w:szCs w:val="5"/>
        </w:rPr>
      </w:pPr>
    </w:p>
    <w:tbl>
      <w:tblPr>
        <w:tblW w:w="0" w:type="auto"/>
        <w:jc w:val="left"/>
        <w:tblInd w:w="143" w:type="dxa"/>
        <w:tblLayout w:type="fixed"/>
        <w:tblCellMar>
          <w:top w:w="0" w:type="dxa"/>
          <w:left w:w="0" w:type="dxa"/>
          <w:bottom w:w="0" w:type="dxa"/>
          <w:right w:w="0" w:type="dxa"/>
        </w:tblCellMar>
        <w:tblLook w:val="01E0"/>
      </w:tblPr>
      <w:tblGrid>
        <w:gridCol w:w="4679"/>
        <w:gridCol w:w="4823"/>
      </w:tblGrid>
      <w:tr>
        <w:trPr>
          <w:trHeight w:val="350" w:hRule="exact"/>
        </w:trPr>
        <w:tc>
          <w:tcPr>
            <w:tcW w:w="46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8"/>
              <w:ind w:left="2" w:right="0"/>
              <w:jc w:val="left"/>
              <w:rPr>
                <w:rFonts w:ascii="宋体" w:hAnsi="宋体" w:cs="宋体" w:eastAsia="宋体" w:hint="default"/>
                <w:sz w:val="18"/>
                <w:szCs w:val="18"/>
              </w:rPr>
            </w:pPr>
            <w:r>
              <w:rPr>
                <w:rFonts w:ascii="宋体" w:hAnsi="宋体" w:cs="宋体" w:eastAsia="宋体" w:hint="default"/>
                <w:sz w:val="18"/>
                <w:szCs w:val="18"/>
              </w:rPr>
              <w:t>营业收入增长率</w:t>
            </w:r>
          </w:p>
        </w:tc>
        <w:tc>
          <w:tcPr>
            <w:tcW w:w="482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spacing w:val="-1"/>
                <w:sz w:val="18"/>
              </w:rPr>
              <w:t>-20.91%-55.11%</w:t>
            </w:r>
          </w:p>
        </w:tc>
      </w:tr>
      <w:tr>
        <w:trPr>
          <w:trHeight w:val="350" w:hRule="exact"/>
        </w:trPr>
        <w:tc>
          <w:tcPr>
            <w:tcW w:w="46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8"/>
              <w:ind w:left="2" w:right="0"/>
              <w:jc w:val="left"/>
              <w:rPr>
                <w:rFonts w:ascii="宋体" w:hAnsi="宋体" w:cs="宋体" w:eastAsia="宋体" w:hint="default"/>
                <w:sz w:val="18"/>
                <w:szCs w:val="18"/>
              </w:rPr>
            </w:pPr>
            <w:r>
              <w:rPr>
                <w:rFonts w:ascii="宋体" w:hAnsi="宋体" w:cs="宋体" w:eastAsia="宋体" w:hint="default"/>
                <w:sz w:val="18"/>
                <w:szCs w:val="18"/>
              </w:rPr>
              <w:t>毛利率</w:t>
            </w:r>
          </w:p>
        </w:tc>
        <w:tc>
          <w:tcPr>
            <w:tcW w:w="482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0"/>
              <w:ind w:right="-4"/>
              <w:jc w:val="right"/>
              <w:rPr>
                <w:rFonts w:ascii="Times New Roman" w:hAnsi="Times New Roman" w:cs="Times New Roman" w:eastAsia="Times New Roman" w:hint="default"/>
                <w:sz w:val="18"/>
                <w:szCs w:val="18"/>
              </w:rPr>
            </w:pPr>
            <w:r>
              <w:rPr>
                <w:rFonts w:ascii="Times New Roman"/>
                <w:sz w:val="18"/>
              </w:rPr>
              <w:t>46.24%-54.97%</w:t>
            </w:r>
          </w:p>
        </w:tc>
      </w:tr>
      <w:tr>
        <w:trPr>
          <w:trHeight w:val="350" w:hRule="exact"/>
        </w:trPr>
        <w:tc>
          <w:tcPr>
            <w:tcW w:w="46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8"/>
              <w:ind w:left="2" w:right="0"/>
              <w:jc w:val="left"/>
              <w:rPr>
                <w:rFonts w:ascii="宋体" w:hAnsi="宋体" w:cs="宋体" w:eastAsia="宋体" w:hint="default"/>
                <w:sz w:val="18"/>
                <w:szCs w:val="18"/>
              </w:rPr>
            </w:pPr>
            <w:r>
              <w:rPr>
                <w:rFonts w:ascii="宋体" w:hAnsi="宋体" w:cs="宋体" w:eastAsia="宋体" w:hint="default"/>
                <w:sz w:val="18"/>
                <w:szCs w:val="18"/>
              </w:rPr>
              <w:t>税前折现率</w:t>
            </w:r>
          </w:p>
        </w:tc>
        <w:tc>
          <w:tcPr>
            <w:tcW w:w="482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0"/>
              <w:ind w:right="-4"/>
              <w:jc w:val="right"/>
              <w:rPr>
                <w:rFonts w:ascii="Times New Roman" w:hAnsi="Times New Roman" w:cs="Times New Roman" w:eastAsia="Times New Roman" w:hint="default"/>
                <w:sz w:val="18"/>
                <w:szCs w:val="18"/>
              </w:rPr>
            </w:pPr>
            <w:r>
              <w:rPr>
                <w:rFonts w:ascii="Times New Roman"/>
                <w:sz w:val="18"/>
              </w:rPr>
              <w:t>14.90%</w:t>
            </w:r>
          </w:p>
        </w:tc>
      </w:tr>
    </w:tbl>
    <w:p>
      <w:pPr>
        <w:spacing w:line="240" w:lineRule="auto" w:before="5"/>
        <w:rPr>
          <w:rFonts w:ascii="宋体" w:hAnsi="宋体" w:cs="宋体" w:eastAsia="宋体" w:hint="default"/>
          <w:sz w:val="6"/>
          <w:szCs w:val="6"/>
        </w:rPr>
      </w:pPr>
    </w:p>
    <w:p>
      <w:pPr>
        <w:pStyle w:val="BodyText"/>
        <w:spacing w:line="316" w:lineRule="auto" w:before="44"/>
        <w:ind w:right="1132" w:firstLine="358"/>
        <w:jc w:val="both"/>
      </w:pPr>
      <w:r>
        <w:rPr>
          <w:spacing w:val="-2"/>
        </w:rPr>
        <w:t>管理层根据历史经验及对市场发展的预测确定毛利率，并采用能够反映相关资产组和资产组组合的特定风险的税前利率</w:t>
      </w:r>
      <w:r>
        <w:rPr/>
        <w:t> 为折现率；根据公司管理层批准的长期预算，预测期为</w:t>
      </w:r>
      <w:r>
        <w:rPr>
          <w:rFonts w:ascii="Times New Roman" w:hAnsi="Times New Roman" w:cs="Times New Roman" w:eastAsia="Times New Roman" w:hint="default"/>
        </w:rPr>
        <w:t>8</w:t>
      </w:r>
      <w:r>
        <w:rPr/>
        <w:t>年。上述假设用以分析该资产组的可收回金额。</w:t>
      </w:r>
    </w:p>
    <w:p>
      <w:pPr>
        <w:pStyle w:val="BodyText"/>
        <w:spacing w:line="300" w:lineRule="auto" w:before="119"/>
        <w:ind w:right="1128" w:firstLine="358"/>
        <w:jc w:val="both"/>
      </w:pPr>
      <w:r>
        <w:rPr/>
        <w:t>注</w:t>
      </w:r>
      <w:r>
        <w:rPr>
          <w:rFonts w:ascii="Times New Roman" w:hAnsi="Times New Roman" w:cs="Times New Roman" w:eastAsia="Times New Roman" w:hint="default"/>
        </w:rPr>
        <w:t>2</w:t>
      </w:r>
      <w:r>
        <w:rPr/>
        <w:t>：公司管理层聘请北京中同华资产评估有限公司对中交宇科资产组进行评估，根据其出具的中同华评报字（</w:t>
      </w:r>
      <w:r>
        <w:rPr>
          <w:rFonts w:ascii="Times New Roman" w:hAnsi="Times New Roman" w:cs="Times New Roman" w:eastAsia="Times New Roman" w:hint="default"/>
        </w:rPr>
        <w:t>2019</w:t>
      </w:r>
      <w:r>
        <w:rPr/>
        <w:t>） </w:t>
      </w:r>
      <w:r>
        <w:rPr>
          <w:spacing w:val="-2"/>
        </w:rPr>
        <w:t>第</w:t>
      </w:r>
      <w:r>
        <w:rPr>
          <w:rFonts w:ascii="Times New Roman" w:hAnsi="Times New Roman" w:cs="Times New Roman" w:eastAsia="Times New Roman" w:hint="default"/>
          <w:spacing w:val="-2"/>
        </w:rPr>
        <w:t>030341</w:t>
      </w:r>
      <w:r>
        <w:rPr>
          <w:spacing w:val="-2"/>
        </w:rPr>
        <w:t>号《中交宇科（北京）空间信息技术有限公司商誉减值测试项目资产评估报告》，管理层认为公司需对该资产组计</w:t>
      </w:r>
      <w:r>
        <w:rPr>
          <w:spacing w:val="-64"/>
        </w:rPr>
        <w:t> </w:t>
      </w:r>
      <w:r>
        <w:rPr>
          <w:spacing w:val="-64"/>
        </w:rPr>
      </w:r>
      <w:r>
        <w:rPr/>
        <w:t>提减值准备</w:t>
      </w:r>
      <w:r>
        <w:rPr>
          <w:rFonts w:ascii="Times New Roman" w:hAnsi="Times New Roman" w:cs="Times New Roman" w:eastAsia="Times New Roman" w:hint="default"/>
        </w:rPr>
        <w:t>3,952.88</w:t>
      </w:r>
      <w:r>
        <w:rPr/>
        <w:t>元。</w:t>
      </w:r>
    </w:p>
    <w:p>
      <w:pPr>
        <w:pStyle w:val="BodyText"/>
        <w:spacing w:line="240" w:lineRule="auto" w:before="133"/>
        <w:ind w:left="510" w:right="982"/>
        <w:jc w:val="left"/>
      </w:pPr>
      <w:r>
        <w:rPr/>
        <w:t>资产组的可回收金额是采用未来现金流量折合现值计算。采用未来现金流量折现方法所运用的主要假设包括：</w:t>
      </w:r>
    </w:p>
    <w:p>
      <w:pPr>
        <w:spacing w:line="240" w:lineRule="auto" w:before="3"/>
        <w:rPr>
          <w:rFonts w:ascii="宋体" w:hAnsi="宋体" w:cs="宋体" w:eastAsia="宋体" w:hint="default"/>
          <w:sz w:val="5"/>
          <w:szCs w:val="5"/>
        </w:rPr>
      </w:pPr>
    </w:p>
    <w:tbl>
      <w:tblPr>
        <w:tblW w:w="0" w:type="auto"/>
        <w:jc w:val="left"/>
        <w:tblInd w:w="143" w:type="dxa"/>
        <w:tblLayout w:type="fixed"/>
        <w:tblCellMar>
          <w:top w:w="0" w:type="dxa"/>
          <w:left w:w="0" w:type="dxa"/>
          <w:bottom w:w="0" w:type="dxa"/>
          <w:right w:w="0" w:type="dxa"/>
        </w:tblCellMar>
        <w:tblLook w:val="01E0"/>
      </w:tblPr>
      <w:tblGrid>
        <w:gridCol w:w="4679"/>
        <w:gridCol w:w="4823"/>
      </w:tblGrid>
      <w:tr>
        <w:trPr>
          <w:trHeight w:val="351" w:hRule="exact"/>
        </w:trPr>
        <w:tc>
          <w:tcPr>
            <w:tcW w:w="46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left="2" w:right="0"/>
              <w:jc w:val="left"/>
              <w:rPr>
                <w:rFonts w:ascii="宋体" w:hAnsi="宋体" w:cs="宋体" w:eastAsia="宋体" w:hint="default"/>
                <w:sz w:val="18"/>
                <w:szCs w:val="18"/>
              </w:rPr>
            </w:pPr>
            <w:r>
              <w:rPr>
                <w:rFonts w:ascii="宋体" w:hAnsi="宋体" w:cs="宋体" w:eastAsia="宋体" w:hint="default"/>
                <w:sz w:val="18"/>
                <w:szCs w:val="18"/>
              </w:rPr>
              <w:t>营业收入增长率</w:t>
            </w:r>
          </w:p>
        </w:tc>
        <w:tc>
          <w:tcPr>
            <w:tcW w:w="482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1"/>
              <w:ind w:right="-4"/>
              <w:jc w:val="right"/>
              <w:rPr>
                <w:rFonts w:ascii="Times New Roman" w:hAnsi="Times New Roman" w:cs="Times New Roman" w:eastAsia="Times New Roman" w:hint="default"/>
                <w:sz w:val="18"/>
                <w:szCs w:val="18"/>
              </w:rPr>
            </w:pPr>
            <w:r>
              <w:rPr>
                <w:rFonts w:ascii="Times New Roman"/>
                <w:spacing w:val="-1"/>
                <w:sz w:val="18"/>
              </w:rPr>
              <w:t>1.79%-126.23%</w:t>
            </w:r>
          </w:p>
        </w:tc>
      </w:tr>
      <w:tr>
        <w:trPr>
          <w:trHeight w:val="348" w:hRule="exact"/>
        </w:trPr>
        <w:tc>
          <w:tcPr>
            <w:tcW w:w="46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8"/>
              <w:ind w:left="2" w:right="0"/>
              <w:jc w:val="left"/>
              <w:rPr>
                <w:rFonts w:ascii="宋体" w:hAnsi="宋体" w:cs="宋体" w:eastAsia="宋体" w:hint="default"/>
                <w:sz w:val="18"/>
                <w:szCs w:val="18"/>
              </w:rPr>
            </w:pPr>
            <w:r>
              <w:rPr>
                <w:rFonts w:ascii="宋体" w:hAnsi="宋体" w:cs="宋体" w:eastAsia="宋体" w:hint="default"/>
                <w:sz w:val="18"/>
                <w:szCs w:val="18"/>
              </w:rPr>
              <w:t>毛利率</w:t>
            </w:r>
          </w:p>
        </w:tc>
        <w:tc>
          <w:tcPr>
            <w:tcW w:w="482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0"/>
              <w:ind w:right="-4"/>
              <w:jc w:val="right"/>
              <w:rPr>
                <w:rFonts w:ascii="Times New Roman" w:hAnsi="Times New Roman" w:cs="Times New Roman" w:eastAsia="Times New Roman" w:hint="default"/>
                <w:sz w:val="18"/>
                <w:szCs w:val="18"/>
              </w:rPr>
            </w:pPr>
            <w:r>
              <w:rPr>
                <w:rFonts w:ascii="Times New Roman"/>
                <w:spacing w:val="-1"/>
                <w:sz w:val="18"/>
              </w:rPr>
              <w:t>48.21%-48.26%</w:t>
            </w:r>
          </w:p>
        </w:tc>
      </w:tr>
      <w:tr>
        <w:trPr>
          <w:trHeight w:val="353" w:hRule="exact"/>
        </w:trPr>
        <w:tc>
          <w:tcPr>
            <w:tcW w:w="46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left="2" w:right="0"/>
              <w:jc w:val="left"/>
              <w:rPr>
                <w:rFonts w:ascii="宋体" w:hAnsi="宋体" w:cs="宋体" w:eastAsia="宋体" w:hint="default"/>
                <w:sz w:val="18"/>
                <w:szCs w:val="18"/>
              </w:rPr>
            </w:pPr>
            <w:r>
              <w:rPr>
                <w:rFonts w:ascii="宋体" w:hAnsi="宋体" w:cs="宋体" w:eastAsia="宋体" w:hint="default"/>
                <w:sz w:val="18"/>
                <w:szCs w:val="18"/>
              </w:rPr>
              <w:t>税前折现率</w:t>
            </w:r>
          </w:p>
        </w:tc>
        <w:tc>
          <w:tcPr>
            <w:tcW w:w="482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3"/>
              <w:ind w:right="-4"/>
              <w:jc w:val="right"/>
              <w:rPr>
                <w:rFonts w:ascii="Times New Roman" w:hAnsi="Times New Roman" w:cs="Times New Roman" w:eastAsia="Times New Roman" w:hint="default"/>
                <w:sz w:val="18"/>
                <w:szCs w:val="18"/>
              </w:rPr>
            </w:pPr>
            <w:r>
              <w:rPr>
                <w:rFonts w:ascii="Times New Roman"/>
                <w:sz w:val="18"/>
              </w:rPr>
              <w:t>15.80%</w:t>
            </w:r>
          </w:p>
        </w:tc>
      </w:tr>
    </w:tbl>
    <w:p>
      <w:pPr>
        <w:spacing w:line="240" w:lineRule="auto" w:before="5"/>
        <w:rPr>
          <w:rFonts w:ascii="宋体" w:hAnsi="宋体" w:cs="宋体" w:eastAsia="宋体" w:hint="default"/>
          <w:sz w:val="6"/>
          <w:szCs w:val="6"/>
        </w:rPr>
      </w:pPr>
    </w:p>
    <w:p>
      <w:pPr>
        <w:pStyle w:val="BodyText"/>
        <w:spacing w:line="316" w:lineRule="auto" w:before="44"/>
        <w:ind w:right="1132" w:firstLine="358"/>
        <w:jc w:val="both"/>
      </w:pPr>
      <w:r>
        <w:rPr>
          <w:spacing w:val="-2"/>
        </w:rPr>
        <w:t>管理层根据历史经验及对市场发展的预测确定毛利率，并采用能够反映相关资产组和资产组组合的特定风险的税前利率</w:t>
      </w:r>
      <w:r>
        <w:rPr/>
        <w:t> 为折现率；根据公司管理层批准的长期预算，预测期为</w:t>
      </w:r>
      <w:r>
        <w:rPr>
          <w:rFonts w:ascii="Times New Roman" w:hAnsi="Times New Roman" w:cs="Times New Roman" w:eastAsia="Times New Roman" w:hint="default"/>
        </w:rPr>
        <w:t>5</w:t>
      </w:r>
      <w:r>
        <w:rPr/>
        <w:t>年。</w:t>
      </w:r>
    </w:p>
    <w:p>
      <w:pPr>
        <w:pStyle w:val="BodyText"/>
        <w:spacing w:line="240" w:lineRule="auto" w:before="119"/>
        <w:ind w:right="982"/>
        <w:jc w:val="left"/>
      </w:pPr>
      <w:r>
        <w:rPr/>
        <w:t>商誉减值测试的影响</w:t>
      </w:r>
    </w:p>
    <w:p>
      <w:pPr>
        <w:pStyle w:val="BodyText"/>
        <w:spacing w:line="300" w:lineRule="auto" w:before="76"/>
        <w:ind w:right="1131" w:firstLine="360"/>
        <w:jc w:val="both"/>
      </w:pPr>
      <w:r>
        <w:rPr/>
        <w:t>注</w:t>
      </w:r>
      <w:r>
        <w:rPr>
          <w:rFonts w:ascii="Times New Roman" w:hAnsi="Times New Roman" w:cs="Times New Roman" w:eastAsia="Times New Roman" w:hint="default"/>
        </w:rPr>
        <w:t>1</w:t>
      </w:r>
      <w:r>
        <w:rPr/>
        <w:t>：</w:t>
      </w:r>
      <w:r>
        <w:rPr>
          <w:rFonts w:ascii="Times New Roman" w:hAnsi="Times New Roman" w:cs="Times New Roman" w:eastAsia="Times New Roman" w:hint="default"/>
        </w:rPr>
        <w:t>2016-2018</w:t>
      </w:r>
      <w:r>
        <w:rPr/>
        <w:t>年度杰发科技经审计的累计归属于母公司净利润为</w:t>
      </w:r>
      <w:r>
        <w:rPr>
          <w:rFonts w:ascii="Times New Roman" w:hAnsi="Times New Roman" w:cs="Times New Roman" w:eastAsia="Times New Roman" w:hint="default"/>
        </w:rPr>
        <w:t>60,349.12</w:t>
      </w:r>
      <w:r>
        <w:rPr/>
        <w:t>万元，</w:t>
      </w:r>
      <w:r>
        <w:rPr>
          <w:rFonts w:ascii="Times New Roman" w:hAnsi="Times New Roman" w:cs="Times New Roman" w:eastAsia="Times New Roman" w:hint="default"/>
        </w:rPr>
        <w:t>2016-2018</w:t>
      </w:r>
      <w:r>
        <w:rPr/>
        <w:t>年度承诺累计归属于母公 司净利润为</w:t>
      </w:r>
      <w:r>
        <w:rPr>
          <w:rFonts w:ascii="Times New Roman" w:hAnsi="Times New Roman" w:cs="Times New Roman" w:eastAsia="Times New Roman" w:hint="default"/>
        </w:rPr>
        <w:t>71,753.94</w:t>
      </w:r>
      <w:r>
        <w:rPr/>
        <w:t>万元，完成比例为</w:t>
      </w:r>
      <w:r>
        <w:rPr>
          <w:rFonts w:ascii="Times New Roman" w:hAnsi="Times New Roman" w:cs="Times New Roman" w:eastAsia="Times New Roman" w:hint="default"/>
        </w:rPr>
        <w:t>84.11%</w:t>
      </w:r>
      <w:r>
        <w:rPr/>
        <w:t>，杰发科技资产组（包含商誉）出现减值迹象。</w:t>
      </w:r>
    </w:p>
    <w:p>
      <w:pPr>
        <w:pStyle w:val="BodyText"/>
        <w:spacing w:line="307" w:lineRule="auto" w:before="13"/>
        <w:ind w:right="1129" w:firstLine="360"/>
        <w:jc w:val="both"/>
      </w:pPr>
      <w:r>
        <w:rPr>
          <w:spacing w:val="-2"/>
        </w:rPr>
        <w:t>根据《企业会计准则》及公司会计政策的相关规定，按照谨慎性原则，公司聘请了北京中同华资产评估有限公司以截至</w:t>
      </w:r>
      <w:r>
        <w:rPr/>
        <w:t> </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日为评估基准日，对所涉及的杰发科技股东的全部权益价值进行估值，并于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2</w:t>
      </w:r>
      <w:r>
        <w:rPr/>
        <w:t>月</w:t>
      </w:r>
      <w:r>
        <w:rPr>
          <w:rFonts w:ascii="Times New Roman" w:hAnsi="Times New Roman" w:cs="Times New Roman" w:eastAsia="Times New Roman" w:hint="default"/>
        </w:rPr>
        <w:t>22</w:t>
      </w:r>
      <w:r>
        <w:rPr/>
        <w:t>日出具了《北京四维 图新科技股份有限公司以财务报告为目的所涉及的北京四维图新科技股份有限公司收购合肥杰发科技有限公司形成的商誉</w:t>
      </w:r>
      <w:r>
        <w:rPr>
          <w:spacing w:val="-11"/>
        </w:rPr>
        <w:t> </w:t>
      </w:r>
      <w:r>
        <w:rPr>
          <w:spacing w:val="-11"/>
        </w:rPr>
      </w:r>
      <w:r>
        <w:rPr/>
        <w:t>减值测试项目资产评估报告》（中同华评报字（</w:t>
      </w:r>
      <w:r>
        <w:rPr>
          <w:rFonts w:ascii="Times New Roman" w:hAnsi="Times New Roman" w:cs="Times New Roman" w:eastAsia="Times New Roman" w:hint="default"/>
        </w:rPr>
        <w:t>2019</w:t>
      </w:r>
      <w:r>
        <w:rPr/>
        <w:t>）第</w:t>
      </w:r>
      <w:r>
        <w:rPr>
          <w:rFonts w:ascii="Times New Roman" w:hAnsi="Times New Roman" w:cs="Times New Roman" w:eastAsia="Times New Roman" w:hint="default"/>
        </w:rPr>
        <w:t>030076</w:t>
      </w:r>
      <w:r>
        <w:rPr/>
        <w:t>号），评估报告所载</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日杰发科技</w:t>
      </w:r>
      <w:r>
        <w:rPr>
          <w:rFonts w:ascii="Times New Roman" w:hAnsi="Times New Roman" w:cs="Times New Roman" w:eastAsia="Times New Roman" w:hint="default"/>
        </w:rPr>
        <w:t>100%</w:t>
      </w:r>
      <w:r>
        <w:rPr/>
        <w:t>股东权</w:t>
      </w:r>
      <w:r>
        <w:rPr>
          <w:spacing w:val="-62"/>
        </w:rPr>
        <w:t> </w:t>
      </w:r>
      <w:r>
        <w:rPr>
          <w:spacing w:val="-2"/>
        </w:rPr>
        <w:t>益评估结果（资产可回收金额）为</w:t>
      </w:r>
      <w:r>
        <w:rPr>
          <w:rFonts w:ascii="Times New Roman" w:hAnsi="Times New Roman" w:cs="Times New Roman" w:eastAsia="Times New Roman" w:hint="default"/>
          <w:spacing w:val="-2"/>
        </w:rPr>
        <w:t>331,701.00</w:t>
      </w:r>
      <w:r>
        <w:rPr>
          <w:spacing w:val="-2"/>
        </w:rPr>
        <w:t>万元，杰发科技资产组账面价值</w:t>
      </w:r>
      <w:r>
        <w:rPr>
          <w:rFonts w:ascii="Times New Roman" w:hAnsi="Times New Roman" w:cs="Times New Roman" w:eastAsia="Times New Roman" w:hint="default"/>
          <w:spacing w:val="-2"/>
        </w:rPr>
        <w:t>420,290.17</w:t>
      </w:r>
      <w:r>
        <w:rPr>
          <w:spacing w:val="-2"/>
        </w:rPr>
        <w:t>万元，资产可回收金额低于资产组账</w:t>
      </w:r>
      <w:r>
        <w:rPr>
          <w:spacing w:val="-47"/>
        </w:rPr>
        <w:t> </w:t>
      </w:r>
      <w:r>
        <w:rPr>
          <w:spacing w:val="-47"/>
        </w:rPr>
      </w:r>
      <w:r>
        <w:rPr/>
        <w:t>面价值</w:t>
      </w:r>
      <w:r>
        <w:rPr>
          <w:rFonts w:ascii="Times New Roman" w:hAnsi="Times New Roman" w:cs="Times New Roman" w:eastAsia="Times New Roman" w:hint="default"/>
        </w:rPr>
        <w:t>88,589.17</w:t>
      </w:r>
      <w:r>
        <w:rPr/>
        <w:t>万元于本期计提商誉减值准备，相应减少公司</w:t>
      </w:r>
      <w:r>
        <w:rPr>
          <w:rFonts w:ascii="Times New Roman" w:hAnsi="Times New Roman" w:cs="Times New Roman" w:eastAsia="Times New Roman" w:hint="default"/>
        </w:rPr>
        <w:t>2018</w:t>
      </w:r>
      <w:r>
        <w:rPr/>
        <w:t>年度利润总额</w:t>
      </w:r>
      <w:r>
        <w:rPr>
          <w:rFonts w:ascii="Times New Roman" w:hAnsi="Times New Roman" w:cs="Times New Roman" w:eastAsia="Times New Roman" w:hint="default"/>
        </w:rPr>
        <w:t>88,589.17</w:t>
      </w:r>
      <w:r>
        <w:rPr/>
        <w:t>万元。</w:t>
      </w:r>
    </w:p>
    <w:p>
      <w:pPr>
        <w:pStyle w:val="BodyText"/>
        <w:spacing w:line="300" w:lineRule="auto" w:before="127"/>
        <w:ind w:right="1128" w:firstLine="358"/>
        <w:jc w:val="both"/>
      </w:pPr>
      <w:r>
        <w:rPr/>
        <w:t>注</w:t>
      </w:r>
      <w:r>
        <w:rPr>
          <w:rFonts w:ascii="Times New Roman" w:hAnsi="Times New Roman" w:cs="Times New Roman" w:eastAsia="Times New Roman" w:hint="default"/>
        </w:rPr>
        <w:t>2</w:t>
      </w:r>
      <w:r>
        <w:rPr/>
        <w:t>：公司管理层聘请北京中同华资产评估有限公司对中交宇科资产组进行评估，根据其出具的中同华评报字（</w:t>
      </w:r>
      <w:r>
        <w:rPr>
          <w:rFonts w:ascii="Times New Roman" w:hAnsi="Times New Roman" w:cs="Times New Roman" w:eastAsia="Times New Roman" w:hint="default"/>
        </w:rPr>
        <w:t>2019</w:t>
      </w:r>
      <w:r>
        <w:rPr/>
        <w:t>） </w:t>
      </w:r>
      <w:r>
        <w:rPr>
          <w:spacing w:val="-2"/>
        </w:rPr>
        <w:t>第</w:t>
      </w:r>
      <w:r>
        <w:rPr>
          <w:rFonts w:ascii="Times New Roman" w:hAnsi="Times New Roman" w:cs="Times New Roman" w:eastAsia="Times New Roman" w:hint="default"/>
          <w:spacing w:val="-2"/>
        </w:rPr>
        <w:t>030341</w:t>
      </w:r>
      <w:r>
        <w:rPr>
          <w:spacing w:val="-2"/>
        </w:rPr>
        <w:t>号《中交宇科（北京）空间信息技术有限公司商誉减值测试项目资产评估报告》，管理层对该资产组计提减值准备</w:t>
      </w:r>
      <w:r>
        <w:rPr>
          <w:spacing w:val="-64"/>
        </w:rPr>
        <w:t> </w:t>
      </w:r>
      <w:r>
        <w:rPr>
          <w:spacing w:val="-64"/>
        </w:rPr>
      </w:r>
      <w:r>
        <w:rPr>
          <w:rFonts w:ascii="Times New Roman" w:hAnsi="Times New Roman" w:cs="Times New Roman" w:eastAsia="Times New Roman" w:hint="default"/>
        </w:rPr>
        <w:t>3,952.88</w:t>
      </w:r>
      <w:r>
        <w:rPr/>
        <w:t>元，相应减少公司</w:t>
      </w:r>
      <w:r>
        <w:rPr>
          <w:rFonts w:ascii="Times New Roman" w:hAnsi="Times New Roman" w:cs="Times New Roman" w:eastAsia="Times New Roman" w:hint="default"/>
        </w:rPr>
        <w:t>2018</w:t>
      </w:r>
      <w:r>
        <w:rPr/>
        <w:t>年度利润总额</w:t>
      </w:r>
      <w:r>
        <w:rPr>
          <w:rFonts w:ascii="Times New Roman" w:hAnsi="Times New Roman" w:cs="Times New Roman" w:eastAsia="Times New Roman" w:hint="default"/>
        </w:rPr>
        <w:t>3,952.88</w:t>
      </w:r>
      <w:r>
        <w:rPr/>
        <w:t>万元。</w:t>
      </w:r>
    </w:p>
    <w:p>
      <w:pPr>
        <w:pStyle w:val="BodyText"/>
        <w:spacing w:line="357" w:lineRule="auto" w:before="53"/>
        <w:ind w:right="10034"/>
        <w:jc w:val="left"/>
      </w:pPr>
      <w:r>
        <w:rPr/>
        <w:t>其他说明 无</w:t>
      </w:r>
    </w:p>
    <w:p>
      <w:pPr>
        <w:spacing w:line="240" w:lineRule="auto" w:before="6"/>
        <w:rPr>
          <w:rFonts w:ascii="宋体" w:hAnsi="宋体" w:cs="宋体" w:eastAsia="宋体" w:hint="default"/>
          <w:sz w:val="20"/>
          <w:szCs w:val="20"/>
        </w:rPr>
      </w:pPr>
    </w:p>
    <w:p>
      <w:pPr>
        <w:pStyle w:val="Heading4"/>
        <w:spacing w:line="240" w:lineRule="auto"/>
        <w:ind w:right="982"/>
        <w:jc w:val="left"/>
        <w:rPr>
          <w:b w:val="0"/>
          <w:bCs w:val="0"/>
        </w:rPr>
      </w:pPr>
      <w:r>
        <w:rPr>
          <w:rFonts w:ascii="Times New Roman" w:hAnsi="Times New Roman" w:cs="Times New Roman" w:eastAsia="Times New Roman" w:hint="default"/>
        </w:rPr>
        <w:t>23</w:t>
      </w:r>
      <w:r>
        <w:rPr/>
        <w:t>、长期待摊费用</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594"/>
        <w:gridCol w:w="1597"/>
        <w:gridCol w:w="1594"/>
        <w:gridCol w:w="1596"/>
        <w:gridCol w:w="1594"/>
        <w:gridCol w:w="1594"/>
      </w:tblGrid>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51"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51" w:right="0"/>
              <w:jc w:val="left"/>
              <w:rPr>
                <w:rFonts w:ascii="宋体" w:hAnsi="宋体" w:cs="宋体" w:eastAsia="宋体" w:hint="default"/>
                <w:sz w:val="18"/>
                <w:szCs w:val="18"/>
              </w:rPr>
            </w:pPr>
            <w:r>
              <w:rPr>
                <w:rFonts w:ascii="宋体" w:hAnsi="宋体" w:cs="宋体" w:eastAsia="宋体" w:hint="default"/>
                <w:sz w:val="18"/>
                <w:szCs w:val="18"/>
              </w:rPr>
              <w:t>本期摊销金额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51" w:right="0"/>
              <w:jc w:val="left"/>
              <w:rPr>
                <w:rFonts w:ascii="宋体" w:hAnsi="宋体" w:cs="宋体" w:eastAsia="宋体" w:hint="default"/>
                <w:sz w:val="18"/>
                <w:szCs w:val="18"/>
              </w:rPr>
            </w:pPr>
            <w:r>
              <w:rPr>
                <w:rFonts w:ascii="宋体" w:hAnsi="宋体" w:cs="宋体" w:eastAsia="宋体" w:hint="default"/>
                <w:sz w:val="18"/>
                <w:szCs w:val="18"/>
              </w:rPr>
              <w:t>其他减少金额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2"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装修费</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30,189,409.57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4,321,094.78</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10,022,791.83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795,701.72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23,692,010.80</w:t>
            </w: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30,189,409.57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4,321,094.78</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10,022,791.83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795,701.72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23,692,010.80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2"/>
        <w:jc w:val="left"/>
        <w:rPr>
          <w:b w:val="0"/>
          <w:bCs w:val="0"/>
        </w:rPr>
      </w:pPr>
      <w:r>
        <w:rPr>
          <w:rFonts w:ascii="Times New Roman" w:hAnsi="Times New Roman" w:cs="Times New Roman" w:eastAsia="Times New Roman" w:hint="default"/>
        </w:rPr>
        <w:t>24</w:t>
      </w:r>
      <w:r>
        <w:rPr/>
        <w:t>、递延所得税资产</w:t>
      </w:r>
      <w:r>
        <w:rPr>
          <w:rFonts w:ascii="Times New Roman" w:hAnsi="Times New Roman" w:cs="Times New Roman" w:eastAsia="Times New Roman" w:hint="default"/>
        </w:rPr>
        <w:t>/</w:t>
      </w:r>
      <w:r>
        <w:rPr/>
        <w:t>递延所得税负债</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2"/>
        <w:jc w:val="left"/>
        <w:rPr>
          <w:b w:val="0"/>
          <w:bCs w:val="0"/>
        </w:rPr>
      </w:pPr>
      <w:r>
        <w:rPr/>
        <w:t>（</w:t>
      </w:r>
      <w:r>
        <w:rPr>
          <w:rFonts w:ascii="Times New Roman" w:hAnsi="Times New Roman" w:cs="Times New Roman" w:eastAsia="Times New Roman" w:hint="default"/>
        </w:rPr>
        <w:t>1</w:t>
      </w:r>
      <w:r>
        <w:rPr/>
        <w:t>）未经抵销的递延所得税资产</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913"/>
        <w:gridCol w:w="1916"/>
        <w:gridCol w:w="1916"/>
        <w:gridCol w:w="1913"/>
        <w:gridCol w:w="1916"/>
      </w:tblGrid>
      <w:tr>
        <w:trPr>
          <w:trHeight w:val="206" w:hRule="exact"/>
        </w:trPr>
        <w:tc>
          <w:tcPr>
            <w:tcW w:w="1913" w:type="dxa"/>
            <w:tcBorders>
              <w:top w:val="single" w:sz="4" w:space="0" w:color="000000"/>
              <w:left w:val="single" w:sz="4" w:space="0" w:color="000000"/>
              <w:bottom w:val="nil" w:sz="6" w:space="0" w:color="auto"/>
              <w:right w:val="single" w:sz="4" w:space="0" w:color="000000"/>
            </w:tcBorders>
            <w:shd w:val="clear" w:color="auto" w:fill="D2D2D2"/>
          </w:tcPr>
          <w:p>
            <w:pPr/>
          </w:p>
        </w:tc>
        <w:tc>
          <w:tcPr>
            <w:tcW w:w="383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2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0" w:hRule="exact"/>
        </w:trPr>
        <w:tc>
          <w:tcPr>
            <w:tcW w:w="191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831" w:type="dxa"/>
            <w:gridSpan w:val="2"/>
            <w:vMerge/>
            <w:tcBorders>
              <w:left w:val="single" w:sz="4" w:space="0" w:color="000000"/>
              <w:bottom w:val="single" w:sz="4" w:space="0" w:color="000000"/>
              <w:right w:val="single" w:sz="4" w:space="0" w:color="000000"/>
            </w:tcBorders>
            <w:shd w:val="clear" w:color="auto" w:fill="D2D2D2"/>
          </w:tcPr>
          <w:p>
            <w:pPr/>
          </w:p>
        </w:tc>
        <w:tc>
          <w:tcPr>
            <w:tcW w:w="3829" w:type="dxa"/>
            <w:gridSpan w:val="2"/>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1913" w:type="dxa"/>
            <w:vMerge/>
            <w:tcBorders>
              <w:left w:val="single" w:sz="4" w:space="0" w:color="000000"/>
              <w:bottom w:val="nil" w:sz="6" w:space="0" w:color="auto"/>
              <w:right w:val="single" w:sz="4" w:space="0" w:color="000000"/>
            </w:tcBorders>
            <w:shd w:val="clear" w:color="auto" w:fill="D2D2D2"/>
          </w:tcPr>
          <w:p>
            <w:pP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32"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2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32"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2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r>
      <w:tr>
        <w:trPr>
          <w:trHeight w:val="206" w:hRule="exact"/>
        </w:trPr>
        <w:tc>
          <w:tcPr>
            <w:tcW w:w="1913"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资产减值准备</w:t>
            </w:r>
          </w:p>
        </w:tc>
        <w:tc>
          <w:tcPr>
            <w:tcW w:w="1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19,735,288.17</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3,177,576.61</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45,326,556.54</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7,067,742.62</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内部交易未实现利润</w:t>
            </w:r>
          </w:p>
        </w:tc>
        <w:tc>
          <w:tcPr>
            <w:tcW w:w="1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可抵扣亏损</w:t>
            </w:r>
          </w:p>
        </w:tc>
        <w:tc>
          <w:tcPr>
            <w:tcW w:w="1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4" w:hRule="exact"/>
        </w:trPr>
        <w:tc>
          <w:tcPr>
            <w:tcW w:w="191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可抵扣时间性差异</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260,386,390.49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40,249,720.06</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213,071,507.89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32,812,939.60</w:t>
            </w: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280,121,678.66</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43,427,296.67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258,398,064.43</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39,880,682.22</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t>（</w:t>
      </w:r>
      <w:r>
        <w:rPr>
          <w:rFonts w:ascii="Times New Roman" w:hAnsi="Times New Roman" w:cs="Times New Roman" w:eastAsia="Times New Roman" w:hint="default"/>
        </w:rPr>
        <w:t>2</w:t>
      </w:r>
      <w:r>
        <w:rPr/>
        <w:t>）未经抵销的递延所得税负债</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t>（</w:t>
      </w:r>
      <w:r>
        <w:rPr>
          <w:rFonts w:ascii="Times New Roman" w:hAnsi="Times New Roman" w:cs="Times New Roman" w:eastAsia="Times New Roman" w:hint="default"/>
        </w:rPr>
        <w:t>3</w:t>
      </w:r>
      <w:r>
        <w:rPr/>
        <w:t>）以抵销后净额列示的递延所得税资产或负债</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913"/>
        <w:gridCol w:w="1916"/>
        <w:gridCol w:w="1916"/>
        <w:gridCol w:w="1913"/>
        <w:gridCol w:w="1916"/>
      </w:tblGrid>
      <w:tr>
        <w:trPr>
          <w:trHeight w:val="161" w:hRule="exact"/>
        </w:trPr>
        <w:tc>
          <w:tcPr>
            <w:tcW w:w="1913" w:type="dxa"/>
            <w:tcBorders>
              <w:top w:val="single" w:sz="4" w:space="0" w:color="000000"/>
              <w:left w:val="single" w:sz="4" w:space="0" w:color="000000"/>
              <w:bottom w:val="nil" w:sz="6" w:space="0" w:color="auto"/>
              <w:right w:val="single" w:sz="4" w:space="0" w:color="000000"/>
            </w:tcBorders>
            <w:shd w:val="clear" w:color="auto" w:fill="D2D2D2"/>
          </w:tcPr>
          <w:p>
            <w:pP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49"/>
              <w:ind w:left="412" w:right="51" w:hanging="360"/>
              <w:jc w:val="left"/>
              <w:rPr>
                <w:rFonts w:ascii="宋体" w:hAnsi="宋体" w:cs="宋体" w:eastAsia="宋体" w:hint="default"/>
                <w:sz w:val="18"/>
                <w:szCs w:val="18"/>
              </w:rPr>
            </w:pPr>
            <w:r>
              <w:rPr>
                <w:rFonts w:ascii="宋体" w:hAnsi="宋体" w:cs="宋体" w:eastAsia="宋体" w:hint="default"/>
                <w:sz w:val="18"/>
                <w:szCs w:val="18"/>
              </w:rPr>
              <w:t>递延所得税资产和负债 期末互抵金额</w:t>
            </w: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49"/>
              <w:ind w:left="321" w:right="51" w:hanging="269"/>
              <w:jc w:val="left"/>
              <w:rPr>
                <w:rFonts w:ascii="宋体" w:hAnsi="宋体" w:cs="宋体" w:eastAsia="宋体" w:hint="default"/>
                <w:sz w:val="18"/>
                <w:szCs w:val="18"/>
              </w:rPr>
            </w:pPr>
            <w:r>
              <w:rPr>
                <w:rFonts w:ascii="宋体" w:hAnsi="宋体" w:cs="宋体" w:eastAsia="宋体" w:hint="default"/>
                <w:sz w:val="18"/>
                <w:szCs w:val="18"/>
              </w:rPr>
              <w:t>抵销后递延所得税资产 或负债期末余额</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49"/>
              <w:ind w:left="412" w:right="48" w:hanging="360"/>
              <w:jc w:val="left"/>
              <w:rPr>
                <w:rFonts w:ascii="宋体" w:hAnsi="宋体" w:cs="宋体" w:eastAsia="宋体" w:hint="default"/>
                <w:sz w:val="18"/>
                <w:szCs w:val="18"/>
              </w:rPr>
            </w:pPr>
            <w:r>
              <w:rPr>
                <w:rFonts w:ascii="宋体" w:hAnsi="宋体" w:cs="宋体" w:eastAsia="宋体" w:hint="default"/>
                <w:sz w:val="18"/>
                <w:szCs w:val="18"/>
              </w:rPr>
              <w:t>递延所得税资产和负债 期初互抵金额</w:t>
            </w: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49"/>
              <w:ind w:left="321" w:right="51" w:hanging="269"/>
              <w:jc w:val="left"/>
              <w:rPr>
                <w:rFonts w:ascii="宋体" w:hAnsi="宋体" w:cs="宋体" w:eastAsia="宋体" w:hint="default"/>
                <w:sz w:val="18"/>
                <w:szCs w:val="18"/>
              </w:rPr>
            </w:pPr>
            <w:r>
              <w:rPr>
                <w:rFonts w:ascii="宋体" w:hAnsi="宋体" w:cs="宋体" w:eastAsia="宋体" w:hint="default"/>
                <w:sz w:val="18"/>
                <w:szCs w:val="18"/>
              </w:rPr>
              <w:t>抵销后递延所得税资产 或负债期初余额</w:t>
            </w:r>
          </w:p>
        </w:tc>
      </w:tr>
      <w:tr>
        <w:trPr>
          <w:trHeight w:val="394" w:hRule="exact"/>
        </w:trPr>
        <w:tc>
          <w:tcPr>
            <w:tcW w:w="191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vMerge/>
            <w:tcBorders>
              <w:left w:val="single" w:sz="4" w:space="0" w:color="000000"/>
              <w:right w:val="single" w:sz="4" w:space="0" w:color="000000"/>
            </w:tcBorders>
            <w:shd w:val="clear" w:color="auto" w:fill="D2D2D2"/>
          </w:tcPr>
          <w:p>
            <w:pPr/>
          </w:p>
        </w:tc>
        <w:tc>
          <w:tcPr>
            <w:tcW w:w="1916" w:type="dxa"/>
            <w:vMerge/>
            <w:tcBorders>
              <w:left w:val="single" w:sz="4" w:space="0" w:color="000000"/>
              <w:right w:val="single" w:sz="4" w:space="0" w:color="000000"/>
            </w:tcBorders>
            <w:shd w:val="clear" w:color="auto" w:fill="D2D2D2"/>
          </w:tcPr>
          <w:p>
            <w:pPr/>
          </w:p>
        </w:tc>
        <w:tc>
          <w:tcPr>
            <w:tcW w:w="1913" w:type="dxa"/>
            <w:vMerge/>
            <w:tcBorders>
              <w:left w:val="single" w:sz="4" w:space="0" w:color="000000"/>
              <w:right w:val="single" w:sz="4" w:space="0" w:color="000000"/>
            </w:tcBorders>
            <w:shd w:val="clear" w:color="auto" w:fill="D2D2D2"/>
          </w:tcPr>
          <w:p>
            <w:pPr/>
          </w:p>
        </w:tc>
        <w:tc>
          <w:tcPr>
            <w:tcW w:w="1916" w:type="dxa"/>
            <w:vMerge/>
            <w:tcBorders>
              <w:left w:val="single" w:sz="4" w:space="0" w:color="000000"/>
              <w:right w:val="single" w:sz="4" w:space="0" w:color="000000"/>
            </w:tcBorders>
            <w:shd w:val="clear" w:color="auto" w:fill="D2D2D2"/>
          </w:tcPr>
          <w:p>
            <w:pPr/>
          </w:p>
        </w:tc>
      </w:tr>
      <w:tr>
        <w:trPr>
          <w:trHeight w:val="161" w:hRule="exact"/>
        </w:trPr>
        <w:tc>
          <w:tcPr>
            <w:tcW w:w="1913"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43,427,296.67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39,880,682.22</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t>（</w:t>
      </w:r>
      <w:r>
        <w:rPr>
          <w:rFonts w:ascii="Times New Roman" w:hAnsi="Times New Roman" w:cs="Times New Roman" w:eastAsia="Times New Roman" w:hint="default"/>
        </w:rPr>
        <w:t>4</w:t>
      </w:r>
      <w:r>
        <w:rPr/>
        <w:t>）未确认递延所得税资产明细</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5"/>
        <w:gridCol w:w="3203"/>
        <w:gridCol w:w="3190"/>
      </w:tblGrid>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4"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可抵扣亏损</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36,008,012.28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245,454,670.88</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36,008,012.28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245,454,670.88</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t>（</w:t>
      </w:r>
      <w:r>
        <w:rPr>
          <w:rFonts w:ascii="Times New Roman" w:hAnsi="Times New Roman" w:cs="Times New Roman" w:eastAsia="Times New Roman" w:hint="default"/>
        </w:rPr>
        <w:t>5</w:t>
      </w:r>
      <w:r>
        <w:rPr/>
        <w:t>）未确认递延所得税资产的可抵扣亏损将于以下年度到期</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388"/>
        <w:gridCol w:w="2396"/>
        <w:gridCol w:w="2393"/>
        <w:gridCol w:w="2393"/>
      </w:tblGrid>
      <w:tr>
        <w:trPr>
          <w:trHeight w:val="403" w:hRule="exact"/>
        </w:trPr>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年份</w:t>
            </w: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 w:right="0"/>
              <w:jc w:val="center"/>
              <w:rPr>
                <w:rFonts w:ascii="宋体" w:hAnsi="宋体" w:cs="宋体" w:eastAsia="宋体" w:hint="default"/>
                <w:sz w:val="18"/>
                <w:szCs w:val="18"/>
              </w:rPr>
            </w:pPr>
            <w:r>
              <w:rPr>
                <w:rFonts w:ascii="宋体" w:hAnsi="宋体" w:cs="宋体" w:eastAsia="宋体" w:hint="default"/>
                <w:sz w:val="18"/>
                <w:szCs w:val="18"/>
              </w:rPr>
              <w:t>期末金额</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期初金额</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备注</w:t>
            </w:r>
          </w:p>
        </w:tc>
      </w:tr>
      <w:tr>
        <w:trPr>
          <w:trHeight w:val="401"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60,748,555.52</w:t>
            </w:r>
          </w:p>
        </w:tc>
        <w:tc>
          <w:tcPr>
            <w:tcW w:w="239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pacing w:val="-1"/>
                <w:sz w:val="18"/>
              </w:rPr>
              <w:t>4,741,404.88</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73,008,064.45</w:t>
            </w:r>
          </w:p>
        </w:tc>
        <w:tc>
          <w:tcPr>
            <w:tcW w:w="2393"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2388"/>
        <w:gridCol w:w="2396"/>
        <w:gridCol w:w="2393"/>
        <w:gridCol w:w="2393"/>
      </w:tblGrid>
      <w:tr>
        <w:trPr>
          <w:trHeight w:val="401"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2,766,972.99</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111,698,050.91</w:t>
            </w:r>
          </w:p>
        </w:tc>
        <w:tc>
          <w:tcPr>
            <w:tcW w:w="239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pacing w:val="-1"/>
                <w:sz w:val="18"/>
              </w:rPr>
              <w:t>28,499,634.41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239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36,008,012.28</w:t>
            </w:r>
          </w:p>
        </w:tc>
        <w:tc>
          <w:tcPr>
            <w:tcW w:w="2393"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10"/>
              <w:jc w:val="right"/>
              <w:rPr>
                <w:rFonts w:ascii="Times New Roman" w:hAnsi="Times New Roman" w:cs="Times New Roman" w:eastAsia="Times New Roman" w:hint="default"/>
                <w:sz w:val="18"/>
                <w:szCs w:val="18"/>
              </w:rPr>
            </w:pPr>
            <w:r>
              <w:rPr>
                <w:rFonts w:ascii="Times New Roman"/>
                <w:spacing w:val="-1"/>
                <w:sz w:val="18"/>
              </w:rPr>
              <w:t>245,454,670.88</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357" w:lineRule="auto" w:before="49"/>
        <w:ind w:right="10034"/>
        <w:jc w:val="left"/>
      </w:pPr>
      <w:r>
        <w:rPr/>
        <w:t>其他说明 无</w:t>
      </w:r>
    </w:p>
    <w:p>
      <w:pPr>
        <w:spacing w:line="240" w:lineRule="auto" w:before="6"/>
        <w:rPr>
          <w:rFonts w:ascii="宋体" w:hAnsi="宋体" w:cs="宋体" w:eastAsia="宋体" w:hint="default"/>
          <w:sz w:val="20"/>
          <w:szCs w:val="20"/>
        </w:rPr>
      </w:pPr>
    </w:p>
    <w:p>
      <w:pPr>
        <w:pStyle w:val="Heading4"/>
        <w:spacing w:line="240" w:lineRule="auto"/>
        <w:ind w:right="982"/>
        <w:jc w:val="left"/>
        <w:rPr>
          <w:b w:val="0"/>
          <w:bCs w:val="0"/>
        </w:rPr>
      </w:pPr>
      <w:r>
        <w:rPr>
          <w:rFonts w:ascii="Times New Roman" w:hAnsi="Times New Roman" w:cs="Times New Roman" w:eastAsia="Times New Roman" w:hint="default"/>
        </w:rPr>
        <w:t>25</w:t>
      </w:r>
      <w:r>
        <w:rPr/>
        <w:t>、其他非流动资产</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预付投资款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110,029,000.00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15,702,485.00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预付工程款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1,769,510.85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14,915,174.26</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2"/>
                <w:sz w:val="18"/>
              </w:rPr>
              <w:t>111,798,510.85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30,617,659.26</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rFonts w:ascii="Times New Roman" w:hAnsi="Times New Roman" w:cs="Times New Roman" w:eastAsia="Times New Roman" w:hint="default"/>
        </w:rPr>
        <w:t>26</w:t>
      </w:r>
      <w:r>
        <w:rPr/>
        <w:t>、短期借款</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rFonts w:ascii="Times New Roman" w:hAnsi="Times New Roman" w:cs="Times New Roman" w:eastAsia="Times New Roman" w:hint="default"/>
        </w:rPr>
        <w:t>27</w:t>
      </w:r>
      <w:r>
        <w:rPr/>
        <w:t>、以公允价值计量且其变动计入当期损益的金融负债</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5"/>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5"/>
        <w:gridCol w:w="3203"/>
        <w:gridCol w:w="3190"/>
      </w:tblGrid>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29,928,239.11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z w:val="18"/>
                <w:szCs w:val="18"/>
              </w:rPr>
              <w:t>其中：发行的交易性债券</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衍生金融负债</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其他</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29,928,239.11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12" w:right="81"/>
              <w:jc w:val="left"/>
              <w:rPr>
                <w:rFonts w:ascii="宋体" w:hAnsi="宋体" w:cs="宋体" w:eastAsia="宋体" w:hint="default"/>
                <w:sz w:val="18"/>
                <w:szCs w:val="18"/>
              </w:rPr>
            </w:pPr>
            <w:r>
              <w:rPr>
                <w:rFonts w:ascii="宋体" w:hAnsi="宋体" w:cs="宋体" w:eastAsia="宋体" w:hint="default"/>
                <w:sz w:val="18"/>
                <w:szCs w:val="18"/>
              </w:rPr>
              <w:t>指定为以公允价值计量且其变动计入当 期损益的金融负债</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29,928,239.11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bl>
    <w:p>
      <w:pPr>
        <w:pStyle w:val="BodyText"/>
        <w:spacing w:line="338" w:lineRule="auto" w:before="49"/>
        <w:ind w:right="982"/>
        <w:jc w:val="left"/>
      </w:pPr>
      <w:r>
        <w:rPr/>
        <w:t>其他说明： </w:t>
      </w:r>
      <w:r>
        <w:rPr>
          <w:spacing w:val="-2"/>
        </w:rPr>
        <w:t>注：交易性金融负债系公司按照与杰发科技原股东签署的《发行股份及支付现金购买资产暨利润补偿协议》计算并扣减业绩</w:t>
      </w:r>
      <w:r>
        <w:rPr>
          <w:spacing w:val="-63"/>
        </w:rPr>
        <w:t> </w:t>
      </w:r>
      <w:r>
        <w:rPr>
          <w:spacing w:val="-63"/>
        </w:rPr>
      </w:r>
      <w:r>
        <w:rPr/>
        <w:t>承诺补偿后，应付杰发科技原股东的股权转让款。</w:t>
      </w:r>
    </w:p>
    <w:p>
      <w:pPr>
        <w:spacing w:line="240" w:lineRule="auto" w:before="7"/>
        <w:rPr>
          <w:rFonts w:ascii="宋体" w:hAnsi="宋体" w:cs="宋体" w:eastAsia="宋体" w:hint="default"/>
          <w:sz w:val="21"/>
          <w:szCs w:val="21"/>
        </w:rPr>
      </w:pPr>
    </w:p>
    <w:p>
      <w:pPr>
        <w:pStyle w:val="Heading4"/>
        <w:spacing w:line="240" w:lineRule="auto"/>
        <w:ind w:right="982"/>
        <w:jc w:val="left"/>
        <w:rPr>
          <w:b w:val="0"/>
          <w:bCs w:val="0"/>
        </w:rPr>
      </w:pPr>
      <w:r>
        <w:rPr>
          <w:rFonts w:ascii="Times New Roman" w:hAnsi="Times New Roman" w:cs="Times New Roman" w:eastAsia="Times New Roman" w:hint="default"/>
        </w:rPr>
        <w:t>28</w:t>
      </w:r>
      <w:r>
        <w:rPr/>
        <w:t>、衍生金融负债</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13"/>
        <w:rPr>
          <w:rFonts w:ascii="宋体" w:hAnsi="宋体" w:cs="宋体" w:eastAsia="宋体" w:hint="default"/>
          <w:sz w:val="25"/>
          <w:szCs w:val="25"/>
        </w:rPr>
      </w:pPr>
    </w:p>
    <w:p>
      <w:pPr>
        <w:pStyle w:val="Heading4"/>
        <w:spacing w:line="240" w:lineRule="auto"/>
        <w:ind w:right="982"/>
        <w:jc w:val="left"/>
        <w:rPr>
          <w:b w:val="0"/>
          <w:bCs w:val="0"/>
        </w:rPr>
      </w:pPr>
      <w:r>
        <w:rPr>
          <w:rFonts w:ascii="Times New Roman" w:hAnsi="Times New Roman" w:cs="Times New Roman" w:eastAsia="Times New Roman" w:hint="default"/>
        </w:rPr>
        <w:t>29</w:t>
      </w:r>
      <w:r>
        <w:rPr/>
        <w:t>、应付票据及应付账款</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0" w:right="1131"/>
        <w:jc w:val="right"/>
      </w:pPr>
      <w:r>
        <w:rPr/>
        <w:t>单位：</w:t>
      </w:r>
      <w:r>
        <w:rPr>
          <w:spacing w:val="1"/>
        </w:rPr>
        <w:t> </w:t>
      </w:r>
      <w:r>
        <w:rPr/>
        <w:t>元</w:t>
      </w:r>
    </w:p>
    <w:p>
      <w:pPr>
        <w:spacing w:after="0" w:line="240" w:lineRule="auto"/>
        <w:jc w:val="right"/>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3168"/>
        <w:gridCol w:w="3201"/>
        <w:gridCol w:w="3190"/>
      </w:tblGrid>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25,003,958.62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5,724,911.00</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131,008,996.68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116,651,648.93</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156,012,955.30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122,376,559.93</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t>（</w:t>
      </w:r>
      <w:r>
        <w:rPr>
          <w:rFonts w:ascii="Times New Roman" w:hAnsi="Times New Roman" w:cs="Times New Roman" w:eastAsia="Times New Roman" w:hint="default"/>
        </w:rPr>
        <w:t>1</w:t>
      </w:r>
      <w:r>
        <w:rPr/>
        <w:t>）应付票据分类列示</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5"/>
        <w:gridCol w:w="3203"/>
        <w:gridCol w:w="3190"/>
      </w:tblGrid>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种类</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商业承兑汇票</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4"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 w:right="0"/>
              <w:jc w:val="left"/>
              <w:rPr>
                <w:rFonts w:ascii="宋体" w:hAnsi="宋体" w:cs="宋体" w:eastAsia="宋体" w:hint="default"/>
                <w:sz w:val="18"/>
                <w:szCs w:val="18"/>
              </w:rPr>
            </w:pPr>
            <w:r>
              <w:rPr>
                <w:rFonts w:ascii="宋体" w:hAnsi="宋体" w:cs="宋体" w:eastAsia="宋体" w:hint="default"/>
                <w:sz w:val="18"/>
                <w:szCs w:val="18"/>
              </w:rPr>
              <w:t>银行承兑汇票</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4"/>
              <w:ind w:right="20"/>
              <w:jc w:val="right"/>
              <w:rPr>
                <w:rFonts w:ascii="Times New Roman" w:hAnsi="Times New Roman" w:cs="Times New Roman" w:eastAsia="Times New Roman" w:hint="default"/>
                <w:sz w:val="18"/>
                <w:szCs w:val="18"/>
              </w:rPr>
            </w:pPr>
            <w:r>
              <w:rPr>
                <w:rFonts w:ascii="Times New Roman"/>
                <w:spacing w:val="-1"/>
                <w:sz w:val="18"/>
              </w:rPr>
              <w:t>25,003,958.62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18"/>
                <w:szCs w:val="18"/>
              </w:rPr>
            </w:pPr>
            <w:r>
              <w:rPr>
                <w:rFonts w:ascii="Times New Roman"/>
                <w:spacing w:val="-1"/>
                <w:sz w:val="18"/>
              </w:rPr>
              <w:t>5,724,911.00</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25,003,958.62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5,724,911.00</w:t>
            </w:r>
          </w:p>
        </w:tc>
      </w:tr>
    </w:tbl>
    <w:p>
      <w:pPr>
        <w:pStyle w:val="BodyText"/>
        <w:spacing w:line="240" w:lineRule="auto" w:before="49"/>
        <w:ind w:right="982"/>
        <w:jc w:val="left"/>
      </w:pPr>
      <w:r>
        <w:rPr/>
        <w:t>本期末已到期未支付的应付票据总额为</w:t>
      </w:r>
      <w:r>
        <w:rPr>
          <w:spacing w:val="-45"/>
        </w:rPr>
        <w:t> </w:t>
      </w:r>
      <w:r>
        <w:rPr>
          <w:rFonts w:ascii="Times New Roman" w:hAnsi="Times New Roman" w:cs="Times New Roman" w:eastAsia="Times New Roman" w:hint="default"/>
        </w:rPr>
        <w:t>0.00</w:t>
      </w:r>
      <w:r>
        <w:rPr>
          <w:rFonts w:ascii="Times New Roman" w:hAnsi="Times New Roman" w:cs="Times New Roman" w:eastAsia="Times New Roman" w:hint="default"/>
          <w:spacing w:val="1"/>
        </w:rPr>
        <w:t> </w:t>
      </w:r>
      <w:r>
        <w:rPr/>
        <w:t>元。</w:t>
      </w:r>
    </w:p>
    <w:p>
      <w:pPr>
        <w:spacing w:line="240" w:lineRule="auto" w:before="13"/>
        <w:rPr>
          <w:rFonts w:ascii="宋体" w:hAnsi="宋体" w:cs="宋体" w:eastAsia="宋体" w:hint="default"/>
          <w:sz w:val="25"/>
          <w:szCs w:val="25"/>
        </w:rPr>
      </w:pPr>
    </w:p>
    <w:p>
      <w:pPr>
        <w:pStyle w:val="Heading4"/>
        <w:spacing w:line="240" w:lineRule="auto"/>
        <w:ind w:right="982"/>
        <w:jc w:val="left"/>
        <w:rPr>
          <w:b w:val="0"/>
          <w:bCs w:val="0"/>
        </w:rPr>
      </w:pPr>
      <w:r>
        <w:rPr/>
        <w:t>（</w:t>
      </w:r>
      <w:r>
        <w:rPr>
          <w:rFonts w:ascii="Times New Roman" w:hAnsi="Times New Roman" w:cs="Times New Roman" w:eastAsia="Times New Roman" w:hint="default"/>
        </w:rPr>
        <w:t>2</w:t>
      </w:r>
      <w:r>
        <w:rPr/>
        <w:t>）应付账款列示</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应付项目款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131,008,996.68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116,651,648.93</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0"/>
              <w:jc w:val="right"/>
              <w:rPr>
                <w:rFonts w:ascii="Times New Roman" w:hAnsi="Times New Roman" w:cs="Times New Roman" w:eastAsia="Times New Roman" w:hint="default"/>
                <w:sz w:val="18"/>
                <w:szCs w:val="18"/>
              </w:rPr>
            </w:pPr>
            <w:r>
              <w:rPr>
                <w:rFonts w:ascii="Times New Roman"/>
                <w:spacing w:val="-1"/>
                <w:sz w:val="18"/>
              </w:rPr>
              <w:t>131,008,996.68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2"/>
              <w:jc w:val="right"/>
              <w:rPr>
                <w:rFonts w:ascii="Times New Roman" w:hAnsi="Times New Roman" w:cs="Times New Roman" w:eastAsia="Times New Roman" w:hint="default"/>
                <w:sz w:val="18"/>
                <w:szCs w:val="18"/>
              </w:rPr>
            </w:pPr>
            <w:r>
              <w:rPr>
                <w:rFonts w:ascii="Times New Roman"/>
                <w:spacing w:val="-1"/>
                <w:sz w:val="18"/>
              </w:rPr>
              <w:t>116,651,648.93</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t>（</w:t>
      </w:r>
      <w:r>
        <w:rPr>
          <w:rFonts w:ascii="Times New Roman" w:hAnsi="Times New Roman" w:cs="Times New Roman" w:eastAsia="Times New Roman" w:hint="default"/>
        </w:rPr>
        <w:t>3</w:t>
      </w:r>
      <w:r>
        <w:rPr/>
        <w:t>）账龄超过</w:t>
      </w:r>
      <w:r>
        <w:rPr>
          <w:spacing w:val="-53"/>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年的重要应付账款</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79"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河南北斗测绘工程有限公司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1,742,880.00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项目未完成结算</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巴州天通石油技术服务有限公司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1,290,810.00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项目未完成结算</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铁道第三勘察设计院集团有限公司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1,150,000.00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项目未完成结算</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7"/>
              <w:jc w:val="right"/>
              <w:rPr>
                <w:rFonts w:ascii="Times New Roman" w:hAnsi="Times New Roman" w:cs="Times New Roman" w:eastAsia="Times New Roman" w:hint="default"/>
                <w:sz w:val="18"/>
                <w:szCs w:val="18"/>
              </w:rPr>
            </w:pPr>
            <w:r>
              <w:rPr>
                <w:rFonts w:ascii="Times New Roman"/>
                <w:spacing w:val="-1"/>
                <w:sz w:val="18"/>
              </w:rPr>
              <w:t>4,183,690.00</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rFonts w:ascii="Times New Roman" w:hAnsi="Times New Roman" w:cs="Times New Roman" w:eastAsia="Times New Roman" w:hint="default"/>
        </w:rPr>
        <w:t>30</w:t>
      </w:r>
      <w:r>
        <w:rPr/>
        <w:t>、预收款项</w:t>
      </w:r>
      <w:r>
        <w:rPr>
          <w:b w:val="0"/>
          <w:bCs w:val="0"/>
        </w:rPr>
      </w:r>
    </w:p>
    <w:p>
      <w:pPr>
        <w:spacing w:line="240" w:lineRule="auto" w:before="7"/>
        <w:rPr>
          <w:rFonts w:ascii="宋体" w:hAnsi="宋体" w:cs="宋体" w:eastAsia="宋体" w:hint="default"/>
          <w:b/>
          <w:bCs/>
          <w:sz w:val="24"/>
          <w:szCs w:val="24"/>
        </w:rPr>
      </w:pPr>
    </w:p>
    <w:p>
      <w:pPr>
        <w:pStyle w:val="Heading4"/>
        <w:spacing w:line="240" w:lineRule="auto"/>
        <w:ind w:right="982"/>
        <w:jc w:val="left"/>
        <w:rPr>
          <w:b w:val="0"/>
          <w:bCs w:val="0"/>
        </w:rPr>
      </w:pPr>
      <w:r>
        <w:rPr/>
        <w:t>（</w:t>
      </w:r>
      <w:r>
        <w:rPr>
          <w:rFonts w:ascii="Times New Roman" w:hAnsi="Times New Roman" w:cs="Times New Roman" w:eastAsia="Times New Roman" w:hint="default"/>
        </w:rPr>
        <w:t>1</w:t>
      </w:r>
      <w:r>
        <w:rPr/>
        <w:t>）预收款项列示</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预收项目款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48,520,992.21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42,104,914.52</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48,520,992.21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42,104,914.52</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2"/>
        <w:jc w:val="left"/>
        <w:rPr>
          <w:b w:val="0"/>
          <w:bCs w:val="0"/>
        </w:rPr>
      </w:pPr>
      <w:r>
        <w:rPr/>
        <w:t>（</w:t>
      </w:r>
      <w:r>
        <w:rPr>
          <w:rFonts w:ascii="Times New Roman" w:hAnsi="Times New Roman" w:cs="Times New Roman" w:eastAsia="Times New Roman" w:hint="default"/>
        </w:rPr>
        <w:t>2</w:t>
      </w:r>
      <w:r>
        <w:rPr/>
        <w:t>）账龄超过</w:t>
      </w:r>
      <w:r>
        <w:rPr>
          <w:spacing w:val="-53"/>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年的重要预收款项</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79"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日产（中国）投资有限公司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2,840,299.29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根据合同预先收款，分期确认收入</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东风英菲尼迪汽车有限公司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2,045,764.36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根据合同预先收款，分期确认收入</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7"/>
              <w:jc w:val="right"/>
              <w:rPr>
                <w:rFonts w:ascii="Times New Roman" w:hAnsi="Times New Roman" w:cs="Times New Roman" w:eastAsia="Times New Roman" w:hint="default"/>
                <w:sz w:val="18"/>
                <w:szCs w:val="18"/>
              </w:rPr>
            </w:pPr>
            <w:r>
              <w:rPr>
                <w:rFonts w:ascii="Times New Roman"/>
                <w:spacing w:val="-1"/>
                <w:sz w:val="18"/>
              </w:rPr>
              <w:t>4,886,063.65</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t>（</w:t>
      </w:r>
      <w:r>
        <w:rPr>
          <w:rFonts w:ascii="Times New Roman" w:hAnsi="Times New Roman" w:cs="Times New Roman" w:eastAsia="Times New Roman" w:hint="default"/>
        </w:rPr>
        <w:t>3</w:t>
      </w:r>
      <w:r>
        <w:rPr/>
        <w:t>）期末建造合同形成的已结算未完工项目情况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21"/>
        <w:ind w:right="982"/>
        <w:jc w:val="left"/>
        <w:rPr>
          <w:b w:val="0"/>
          <w:bCs w:val="0"/>
        </w:rPr>
      </w:pPr>
      <w:r>
        <w:rPr>
          <w:rFonts w:ascii="Times New Roman" w:hAnsi="Times New Roman" w:cs="Times New Roman" w:eastAsia="Times New Roman" w:hint="default"/>
        </w:rPr>
        <w:t>31</w:t>
      </w:r>
      <w:r>
        <w:rPr/>
        <w:t>、应付职工薪酬</w:t>
      </w:r>
      <w:r>
        <w:rPr>
          <w:b w:val="0"/>
          <w:bCs w:val="0"/>
        </w:rPr>
      </w:r>
    </w:p>
    <w:p>
      <w:pPr>
        <w:spacing w:line="240" w:lineRule="auto" w:before="7"/>
        <w:rPr>
          <w:rFonts w:ascii="宋体" w:hAnsi="宋体" w:cs="宋体" w:eastAsia="宋体" w:hint="default"/>
          <w:b/>
          <w:bCs/>
          <w:sz w:val="24"/>
          <w:szCs w:val="24"/>
        </w:rPr>
      </w:pPr>
    </w:p>
    <w:p>
      <w:pPr>
        <w:pStyle w:val="Heading4"/>
        <w:spacing w:line="240" w:lineRule="auto"/>
        <w:ind w:right="982"/>
        <w:jc w:val="left"/>
        <w:rPr>
          <w:b w:val="0"/>
          <w:bCs w:val="0"/>
        </w:rPr>
      </w:pPr>
      <w:r>
        <w:rPr/>
        <w:t>（</w:t>
      </w:r>
      <w:r>
        <w:rPr>
          <w:rFonts w:ascii="Times New Roman" w:hAnsi="Times New Roman" w:cs="Times New Roman" w:eastAsia="Times New Roman" w:hint="default"/>
        </w:rPr>
        <w:t>1</w:t>
      </w:r>
      <w:r>
        <w:rPr/>
        <w:t>）应付职工薪酬列示</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529"/>
        <w:gridCol w:w="1766"/>
        <w:gridCol w:w="1755"/>
        <w:gridCol w:w="1754"/>
        <w:gridCol w:w="1757"/>
      </w:tblGrid>
      <w:tr>
        <w:trPr>
          <w:trHeight w:val="401" w:hRule="exact"/>
        </w:trPr>
        <w:tc>
          <w:tcPr>
            <w:tcW w:w="25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7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2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7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13"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7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13"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14"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3" w:hRule="exact"/>
        </w:trPr>
        <w:tc>
          <w:tcPr>
            <w:tcW w:w="25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一、短期薪酬</w:t>
            </w:r>
          </w:p>
        </w:tc>
        <w:tc>
          <w:tcPr>
            <w:tcW w:w="17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291,655,297.01</w:t>
            </w:r>
          </w:p>
        </w:tc>
        <w:tc>
          <w:tcPr>
            <w:tcW w:w="1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1,097,134,183.96</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1,075,650,579.62</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313,138,901.35</w:t>
            </w:r>
          </w:p>
        </w:tc>
      </w:tr>
      <w:tr>
        <w:trPr>
          <w:trHeight w:val="401" w:hRule="exact"/>
        </w:trPr>
        <w:tc>
          <w:tcPr>
            <w:tcW w:w="25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二、离职后福利</w:t>
            </w:r>
            <w:r>
              <w:rPr>
                <w:rFonts w:ascii="Times New Roman" w:hAnsi="Times New Roman" w:cs="Times New Roman" w:eastAsia="Times New Roman" w:hint="default"/>
                <w:sz w:val="18"/>
                <w:szCs w:val="18"/>
              </w:rPr>
              <w:t>-</w:t>
            </w:r>
            <w:r>
              <w:rPr>
                <w:rFonts w:ascii="宋体" w:hAnsi="宋体" w:cs="宋体" w:eastAsia="宋体" w:hint="default"/>
                <w:sz w:val="18"/>
                <w:szCs w:val="18"/>
              </w:rPr>
              <w:t>设定提存计划</w:t>
            </w:r>
          </w:p>
        </w:tc>
        <w:tc>
          <w:tcPr>
            <w:tcW w:w="17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5,064,345.26</w:t>
            </w:r>
          </w:p>
        </w:tc>
        <w:tc>
          <w:tcPr>
            <w:tcW w:w="1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100,579,486.21</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102,426,793.34</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3,217,038.13</w:t>
            </w:r>
          </w:p>
        </w:tc>
      </w:tr>
      <w:tr>
        <w:trPr>
          <w:trHeight w:val="404" w:hRule="exact"/>
        </w:trPr>
        <w:tc>
          <w:tcPr>
            <w:tcW w:w="25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三、辞退福利</w:t>
            </w:r>
          </w:p>
        </w:tc>
        <w:tc>
          <w:tcPr>
            <w:tcW w:w="17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8,761,535.09</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8,722,764.69</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38,770.40</w:t>
            </w:r>
          </w:p>
        </w:tc>
      </w:tr>
      <w:tr>
        <w:trPr>
          <w:trHeight w:val="401" w:hRule="exact"/>
        </w:trPr>
        <w:tc>
          <w:tcPr>
            <w:tcW w:w="25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四、一年内到期的其他福利</w:t>
            </w:r>
          </w:p>
        </w:tc>
        <w:tc>
          <w:tcPr>
            <w:tcW w:w="17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5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7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296,719,642.27</w:t>
            </w:r>
          </w:p>
        </w:tc>
        <w:tc>
          <w:tcPr>
            <w:tcW w:w="1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1,206,475,205.26</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1,186,800,137.65</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316,394,709.88</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t>（</w:t>
      </w:r>
      <w:r>
        <w:rPr>
          <w:rFonts w:ascii="Times New Roman" w:hAnsi="Times New Roman" w:cs="Times New Roman" w:eastAsia="Times New Roman" w:hint="default"/>
        </w:rPr>
        <w:t>2</w:t>
      </w:r>
      <w:r>
        <w:rPr/>
        <w:t>）短期薪酬列示</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529"/>
        <w:gridCol w:w="1766"/>
        <w:gridCol w:w="1755"/>
        <w:gridCol w:w="1754"/>
        <w:gridCol w:w="1757"/>
      </w:tblGrid>
      <w:tr>
        <w:trPr>
          <w:trHeight w:val="403" w:hRule="exact"/>
        </w:trPr>
        <w:tc>
          <w:tcPr>
            <w:tcW w:w="25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7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2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7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13"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7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13"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14"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25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、工资、奖金、津贴和补贴</w:t>
            </w:r>
          </w:p>
        </w:tc>
        <w:tc>
          <w:tcPr>
            <w:tcW w:w="17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227,598,003.92</w:t>
            </w:r>
          </w:p>
        </w:tc>
        <w:tc>
          <w:tcPr>
            <w:tcW w:w="1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923,472,727.39</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901,514,339.18</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249,556,392.13</w:t>
            </w:r>
          </w:p>
        </w:tc>
      </w:tr>
      <w:tr>
        <w:trPr>
          <w:trHeight w:val="403" w:hRule="exact"/>
        </w:trPr>
        <w:tc>
          <w:tcPr>
            <w:tcW w:w="25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、职工福利费</w:t>
            </w:r>
          </w:p>
        </w:tc>
        <w:tc>
          <w:tcPr>
            <w:tcW w:w="17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896,284.74</w:t>
            </w:r>
          </w:p>
        </w:tc>
        <w:tc>
          <w:tcPr>
            <w:tcW w:w="1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37,188,103.18</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37,601,608.66</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482,779.26</w:t>
            </w:r>
          </w:p>
        </w:tc>
      </w:tr>
      <w:tr>
        <w:trPr>
          <w:trHeight w:val="401" w:hRule="exact"/>
        </w:trPr>
        <w:tc>
          <w:tcPr>
            <w:tcW w:w="25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、社会保险费</w:t>
            </w:r>
          </w:p>
        </w:tc>
        <w:tc>
          <w:tcPr>
            <w:tcW w:w="17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426,313.78</w:t>
            </w:r>
          </w:p>
        </w:tc>
        <w:tc>
          <w:tcPr>
            <w:tcW w:w="1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49,893,867.77</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49,850,930.49</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469,251.06</w:t>
            </w:r>
          </w:p>
        </w:tc>
      </w:tr>
      <w:tr>
        <w:trPr>
          <w:trHeight w:val="403" w:hRule="exact"/>
        </w:trPr>
        <w:tc>
          <w:tcPr>
            <w:tcW w:w="25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其中：医疗保险费</w:t>
            </w:r>
          </w:p>
        </w:tc>
        <w:tc>
          <w:tcPr>
            <w:tcW w:w="17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378,345.66</w:t>
            </w:r>
          </w:p>
        </w:tc>
        <w:tc>
          <w:tcPr>
            <w:tcW w:w="1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43,010,146.91</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42,966,303.20</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422,189.37</w:t>
            </w:r>
          </w:p>
        </w:tc>
      </w:tr>
      <w:tr>
        <w:trPr>
          <w:trHeight w:val="401" w:hRule="exact"/>
        </w:trPr>
        <w:tc>
          <w:tcPr>
            <w:tcW w:w="25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工伤保险费</w:t>
            </w:r>
          </w:p>
        </w:tc>
        <w:tc>
          <w:tcPr>
            <w:tcW w:w="17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14,040.81</w:t>
            </w:r>
          </w:p>
        </w:tc>
        <w:tc>
          <w:tcPr>
            <w:tcW w:w="1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1,541,174.76</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1,543,977.42</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w w:val="95"/>
                <w:sz w:val="18"/>
              </w:rPr>
              <w:t>11,238.15</w:t>
            </w:r>
          </w:p>
        </w:tc>
      </w:tr>
      <w:tr>
        <w:trPr>
          <w:trHeight w:val="403" w:hRule="exact"/>
        </w:trPr>
        <w:tc>
          <w:tcPr>
            <w:tcW w:w="25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生育保险费</w:t>
            </w:r>
          </w:p>
        </w:tc>
        <w:tc>
          <w:tcPr>
            <w:tcW w:w="17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33,927.31</w:t>
            </w:r>
          </w:p>
        </w:tc>
        <w:tc>
          <w:tcPr>
            <w:tcW w:w="1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3,411,130.98</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3,409,234.75</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35,823.54</w:t>
            </w:r>
          </w:p>
        </w:tc>
      </w:tr>
      <w:tr>
        <w:trPr>
          <w:trHeight w:val="401" w:hRule="exact"/>
        </w:trPr>
        <w:tc>
          <w:tcPr>
            <w:tcW w:w="252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914" w:right="0"/>
              <w:jc w:val="left"/>
              <w:rPr>
                <w:rFonts w:ascii="宋体" w:hAnsi="宋体" w:cs="宋体" w:eastAsia="宋体" w:hint="default"/>
                <w:sz w:val="18"/>
                <w:szCs w:val="18"/>
              </w:rPr>
            </w:pPr>
            <w:r>
              <w:rPr>
                <w:rFonts w:ascii="宋体" w:hAnsi="宋体" w:cs="宋体" w:eastAsia="宋体" w:hint="default"/>
                <w:sz w:val="18"/>
                <w:szCs w:val="18"/>
              </w:rPr>
              <w:t>补充医疗保险</w:t>
            </w:r>
          </w:p>
        </w:tc>
        <w:tc>
          <w:tcPr>
            <w:tcW w:w="1766" w:type="dxa"/>
            <w:tcBorders>
              <w:top w:val="single" w:sz="4" w:space="0" w:color="000000"/>
              <w:left w:val="single" w:sz="10" w:space="0" w:color="D9D9D9"/>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1,931,415.12</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1,931,415.12</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5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、住房公积金</w:t>
            </w:r>
          </w:p>
        </w:tc>
        <w:tc>
          <w:tcPr>
            <w:tcW w:w="17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441,771.64</w:t>
            </w:r>
          </w:p>
        </w:tc>
        <w:tc>
          <w:tcPr>
            <w:tcW w:w="1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60,612,882.38</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60,669,312.46</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385,341.56</w:t>
            </w:r>
          </w:p>
        </w:tc>
      </w:tr>
      <w:tr>
        <w:trPr>
          <w:trHeight w:val="401" w:hRule="exact"/>
        </w:trPr>
        <w:tc>
          <w:tcPr>
            <w:tcW w:w="25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、工会经费和职工教育经费</w:t>
            </w:r>
          </w:p>
        </w:tc>
        <w:tc>
          <w:tcPr>
            <w:tcW w:w="17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62,292,922.93</w:t>
            </w:r>
          </w:p>
        </w:tc>
        <w:tc>
          <w:tcPr>
            <w:tcW w:w="1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25,966,603.24</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26,014,388.83</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62,245,137.34</w:t>
            </w:r>
          </w:p>
        </w:tc>
      </w:tr>
      <w:tr>
        <w:trPr>
          <w:trHeight w:val="403" w:hRule="exact"/>
        </w:trPr>
        <w:tc>
          <w:tcPr>
            <w:tcW w:w="25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、短期带薪缺勤</w:t>
            </w:r>
          </w:p>
        </w:tc>
        <w:tc>
          <w:tcPr>
            <w:tcW w:w="17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2540"/>
        <w:gridCol w:w="1766"/>
        <w:gridCol w:w="1755"/>
        <w:gridCol w:w="1754"/>
        <w:gridCol w:w="1757"/>
      </w:tblGrid>
      <w:tr>
        <w:trPr>
          <w:trHeight w:val="401" w:hRule="exact"/>
        </w:trPr>
        <w:tc>
          <w:tcPr>
            <w:tcW w:w="25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、短期利润分享计划</w:t>
            </w:r>
          </w:p>
        </w:tc>
        <w:tc>
          <w:tcPr>
            <w:tcW w:w="17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5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7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291,655,297.01</w:t>
            </w:r>
          </w:p>
        </w:tc>
        <w:tc>
          <w:tcPr>
            <w:tcW w:w="1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1,097,134,183.96</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1,075,650,579.62</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313,138,901.35</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t>（</w:t>
      </w:r>
      <w:r>
        <w:rPr>
          <w:rFonts w:ascii="Times New Roman" w:hAnsi="Times New Roman" w:cs="Times New Roman" w:eastAsia="Times New Roman" w:hint="default"/>
        </w:rPr>
        <w:t>3</w:t>
      </w:r>
      <w:r>
        <w:rPr/>
        <w:t>）设定提存计划列示</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529"/>
        <w:gridCol w:w="1766"/>
        <w:gridCol w:w="1755"/>
        <w:gridCol w:w="1754"/>
        <w:gridCol w:w="1757"/>
      </w:tblGrid>
      <w:tr>
        <w:trPr>
          <w:trHeight w:val="403" w:hRule="exact"/>
        </w:trPr>
        <w:tc>
          <w:tcPr>
            <w:tcW w:w="25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7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2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7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13"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7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13"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14"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25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、基本养老保险</w:t>
            </w:r>
          </w:p>
        </w:tc>
        <w:tc>
          <w:tcPr>
            <w:tcW w:w="17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5,038,103.55</w:t>
            </w:r>
          </w:p>
        </w:tc>
        <w:tc>
          <w:tcPr>
            <w:tcW w:w="1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97,483,306.04</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99,336,676.8</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3,184,732.79</w:t>
            </w:r>
          </w:p>
        </w:tc>
      </w:tr>
      <w:tr>
        <w:trPr>
          <w:trHeight w:val="403" w:hRule="exact"/>
        </w:trPr>
        <w:tc>
          <w:tcPr>
            <w:tcW w:w="25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、失业保险费</w:t>
            </w:r>
          </w:p>
        </w:tc>
        <w:tc>
          <w:tcPr>
            <w:tcW w:w="17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26,241.71</w:t>
            </w:r>
          </w:p>
        </w:tc>
        <w:tc>
          <w:tcPr>
            <w:tcW w:w="1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3,096,180.17</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3,090,116.54</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32,305.34</w:t>
            </w:r>
          </w:p>
        </w:tc>
      </w:tr>
      <w:tr>
        <w:trPr>
          <w:trHeight w:val="401" w:hRule="exact"/>
        </w:trPr>
        <w:tc>
          <w:tcPr>
            <w:tcW w:w="25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、企业年金缴费</w:t>
            </w:r>
          </w:p>
        </w:tc>
        <w:tc>
          <w:tcPr>
            <w:tcW w:w="17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4" w:hRule="exact"/>
        </w:trPr>
        <w:tc>
          <w:tcPr>
            <w:tcW w:w="25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7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18"/>
                <w:szCs w:val="18"/>
              </w:rPr>
            </w:pPr>
            <w:r>
              <w:rPr>
                <w:rFonts w:ascii="Times New Roman"/>
                <w:spacing w:val="-1"/>
                <w:sz w:val="18"/>
              </w:rPr>
              <w:t>5,064,345.26</w:t>
            </w:r>
          </w:p>
        </w:tc>
        <w:tc>
          <w:tcPr>
            <w:tcW w:w="1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0"/>
              <w:jc w:val="right"/>
              <w:rPr>
                <w:rFonts w:ascii="Times New Roman" w:hAnsi="Times New Roman" w:cs="Times New Roman" w:eastAsia="Times New Roman" w:hint="default"/>
                <w:sz w:val="18"/>
                <w:szCs w:val="18"/>
              </w:rPr>
            </w:pPr>
            <w:r>
              <w:rPr>
                <w:rFonts w:ascii="Times New Roman"/>
                <w:spacing w:val="-1"/>
                <w:sz w:val="18"/>
              </w:rPr>
              <w:t>100,579,486.21</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102,426,793.34</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18"/>
                <w:szCs w:val="18"/>
              </w:rPr>
            </w:pPr>
            <w:r>
              <w:rPr>
                <w:rFonts w:ascii="Times New Roman"/>
                <w:spacing w:val="-1"/>
                <w:sz w:val="18"/>
              </w:rPr>
              <w:t>3,217,038.13</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rFonts w:ascii="Times New Roman" w:hAnsi="Times New Roman" w:cs="Times New Roman" w:eastAsia="Times New Roman" w:hint="default"/>
        </w:rPr>
        <w:t>32</w:t>
      </w:r>
      <w:r>
        <w:rPr/>
        <w:t>、应交税费</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77"/>
        <w:gridCol w:w="3203"/>
        <w:gridCol w:w="3190"/>
      </w:tblGrid>
      <w:tr>
        <w:trPr>
          <w:trHeight w:val="403" w:hRule="exact"/>
        </w:trPr>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5,307,049.51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14,340,724.65</w:t>
            </w:r>
          </w:p>
        </w:tc>
      </w:tr>
      <w:tr>
        <w:trPr>
          <w:trHeight w:val="403" w:hRule="exact"/>
        </w:trPr>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消费税</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107,748,971.43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46,304,386.71</w:t>
            </w:r>
          </w:p>
        </w:tc>
      </w:tr>
      <w:tr>
        <w:trPr>
          <w:trHeight w:val="404" w:hRule="exact"/>
        </w:trPr>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个人所得税</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2,419,267.41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4,360,895.86</w:t>
            </w:r>
          </w:p>
        </w:tc>
      </w:tr>
      <w:tr>
        <w:trPr>
          <w:trHeight w:val="401" w:hRule="exact"/>
        </w:trPr>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393,524.31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1,763,661.50</w:t>
            </w:r>
          </w:p>
        </w:tc>
      </w:tr>
      <w:tr>
        <w:trPr>
          <w:trHeight w:val="403" w:hRule="exact"/>
        </w:trPr>
        <w:tc>
          <w:tcPr>
            <w:tcW w:w="317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160,495.32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746,868.67</w:t>
            </w:r>
          </w:p>
        </w:tc>
      </w:tr>
      <w:tr>
        <w:trPr>
          <w:trHeight w:val="401" w:hRule="exact"/>
        </w:trPr>
        <w:tc>
          <w:tcPr>
            <w:tcW w:w="317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地方教育费附加</w:t>
            </w:r>
          </w:p>
        </w:tc>
        <w:tc>
          <w:tcPr>
            <w:tcW w:w="3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101,376.55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496,856.17</w:t>
            </w:r>
          </w:p>
        </w:tc>
      </w:tr>
      <w:tr>
        <w:trPr>
          <w:trHeight w:val="403" w:hRule="exact"/>
        </w:trPr>
        <w:tc>
          <w:tcPr>
            <w:tcW w:w="317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残疾人就业保障金</w:t>
            </w:r>
          </w:p>
        </w:tc>
        <w:tc>
          <w:tcPr>
            <w:tcW w:w="3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4,248,174.53</w:t>
            </w:r>
          </w:p>
        </w:tc>
      </w:tr>
      <w:tr>
        <w:trPr>
          <w:trHeight w:val="401" w:hRule="exact"/>
        </w:trPr>
        <w:tc>
          <w:tcPr>
            <w:tcW w:w="317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389,470.39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1,345,650.07</w:t>
            </w:r>
          </w:p>
        </w:tc>
      </w:tr>
      <w:tr>
        <w:trPr>
          <w:trHeight w:val="403" w:hRule="exact"/>
        </w:trPr>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116,520,154.92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73,607,218.16</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rFonts w:ascii="Times New Roman" w:hAnsi="Times New Roman" w:cs="Times New Roman" w:eastAsia="Times New Roman" w:hint="default"/>
        </w:rPr>
        <w:t>33</w:t>
      </w:r>
      <w:r>
        <w:rPr/>
        <w:t>、其他应付款</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5"/>
        <w:gridCol w:w="3203"/>
        <w:gridCol w:w="3190"/>
      </w:tblGrid>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320,547.95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320,547.95</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1,014,413,665.77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2,240,998,697.04</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1,014,734,213.72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2,241,319,244.99</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2"/>
        <w:jc w:val="left"/>
        <w:rPr>
          <w:b w:val="0"/>
          <w:bCs w:val="0"/>
        </w:rPr>
      </w:pPr>
      <w:r>
        <w:rPr/>
        <w:t>（</w:t>
      </w:r>
      <w:r>
        <w:rPr>
          <w:rFonts w:ascii="Times New Roman" w:hAnsi="Times New Roman" w:cs="Times New Roman" w:eastAsia="Times New Roman" w:hint="default"/>
        </w:rPr>
        <w:t>1</w:t>
      </w:r>
      <w:r>
        <w:rPr/>
        <w:t>）应付利息</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5"/>
        <w:gridCol w:w="3203"/>
        <w:gridCol w:w="3190"/>
      </w:tblGrid>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分期付息到期还本的长期借款利息</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企业债券利息</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320,547.95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320,547.95</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短期借款应付利息</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划分为金融负债的优先股</w:t>
            </w:r>
            <w:r>
              <w:rPr>
                <w:rFonts w:ascii="Times New Roman" w:hAnsi="Times New Roman" w:cs="Times New Roman" w:eastAsia="Times New Roman" w:hint="default"/>
                <w:sz w:val="18"/>
                <w:szCs w:val="18"/>
              </w:rPr>
              <w:t>\</w:t>
            </w:r>
            <w:r>
              <w:rPr>
                <w:rFonts w:ascii="宋体" w:hAnsi="宋体" w:cs="宋体" w:eastAsia="宋体" w:hint="default"/>
                <w:sz w:val="18"/>
                <w:szCs w:val="18"/>
              </w:rPr>
              <w:t>永续债利息</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4"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320,547.95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320,547.95</w:t>
            </w:r>
          </w:p>
        </w:tc>
      </w:tr>
    </w:tbl>
    <w:p>
      <w:pPr>
        <w:pStyle w:val="BodyText"/>
        <w:spacing w:line="357" w:lineRule="auto" w:before="49"/>
        <w:ind w:right="8054"/>
        <w:jc w:val="left"/>
      </w:pPr>
      <w:r>
        <w:rPr/>
        <w:t>重要的已逾期未支付的利息情况： 无</w:t>
      </w:r>
    </w:p>
    <w:p>
      <w:pPr>
        <w:spacing w:line="240" w:lineRule="auto" w:before="6"/>
        <w:rPr>
          <w:rFonts w:ascii="宋体" w:hAnsi="宋体" w:cs="宋体" w:eastAsia="宋体" w:hint="default"/>
          <w:sz w:val="20"/>
          <w:szCs w:val="20"/>
        </w:rPr>
      </w:pPr>
    </w:p>
    <w:p>
      <w:pPr>
        <w:pStyle w:val="Heading4"/>
        <w:spacing w:line="240" w:lineRule="auto"/>
        <w:ind w:right="982"/>
        <w:jc w:val="left"/>
        <w:rPr>
          <w:b w:val="0"/>
          <w:bCs w:val="0"/>
        </w:rPr>
      </w:pPr>
      <w:r>
        <w:rPr/>
        <w:t>（</w:t>
      </w:r>
      <w:r>
        <w:rPr>
          <w:rFonts w:ascii="Times New Roman" w:hAnsi="Times New Roman" w:cs="Times New Roman" w:eastAsia="Times New Roman" w:hint="default"/>
        </w:rPr>
        <w:t>2</w:t>
      </w:r>
      <w:r>
        <w:rPr/>
        <w:t>）应付股利</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18"/>
        <w:ind w:right="982"/>
        <w:jc w:val="left"/>
        <w:rPr>
          <w:b w:val="0"/>
          <w:bCs w:val="0"/>
        </w:rPr>
      </w:pPr>
      <w:r>
        <w:rPr/>
        <w:t>（</w:t>
      </w:r>
      <w:r>
        <w:rPr>
          <w:rFonts w:ascii="Times New Roman" w:hAnsi="Times New Roman" w:cs="Times New Roman" w:eastAsia="Times New Roman" w:hint="default"/>
        </w:rPr>
        <w:t>3</w:t>
      </w:r>
      <w:r>
        <w:rPr/>
        <w:t>）其他应付款</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right="982"/>
        <w:jc w:val="left"/>
      </w:pPr>
      <w:r>
        <w:rPr>
          <w:rFonts w:ascii="Times New Roman" w:hAnsi="Times New Roman" w:cs="Times New Roman" w:eastAsia="Times New Roman" w:hint="default"/>
        </w:rPr>
        <w:t>1)</w:t>
      </w:r>
      <w:r>
        <w:rPr/>
        <w:t>按款项性质列示其他应付款</w:t>
      </w:r>
    </w:p>
    <w:p>
      <w:pPr>
        <w:pStyle w:val="BodyText"/>
        <w:spacing w:line="240" w:lineRule="auto" w:before="10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7"/>
        <w:gridCol w:w="3192"/>
        <w:gridCol w:w="3190"/>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应付土地款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500,000,000.00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74,441,640.00</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限制性股票回购义务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329,751,066.30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77,973,177.02</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技术支持费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64,031,718.25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38,814,397.23</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应付工程款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60,699,493.06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163,324,868.55</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往来及代垫款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45,954,843.92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34,780,497.73</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应付投资及股权转让款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7,216,648.30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1,839,002,861.72</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备用金保证金</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898,246.78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1,677,283.32</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5,861,649.16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10,983,971.47</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1,014,413,665.77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2,240,998,697.04</w:t>
            </w:r>
          </w:p>
        </w:tc>
      </w:tr>
    </w:tbl>
    <w:p>
      <w:pPr>
        <w:pStyle w:val="BodyText"/>
        <w:spacing w:line="240" w:lineRule="auto" w:before="49"/>
        <w:ind w:right="982"/>
        <w:jc w:val="left"/>
      </w:pPr>
      <w:r>
        <w:rPr>
          <w:rFonts w:ascii="Times New Roman" w:hAnsi="Times New Roman" w:cs="Times New Roman" w:eastAsia="Times New Roman" w:hint="default"/>
        </w:rPr>
        <w:t>2)</w:t>
      </w:r>
      <w:r>
        <w:rPr/>
        <w:t>账龄超过</w:t>
      </w:r>
      <w:r>
        <w:rPr>
          <w:spacing w:val="-45"/>
        </w:rPr>
        <w:t> </w:t>
      </w:r>
      <w:r>
        <w:rPr>
          <w:rFonts w:ascii="Times New Roman" w:hAnsi="Times New Roman" w:cs="Times New Roman" w:eastAsia="Times New Roman" w:hint="default"/>
        </w:rPr>
        <w:t>1 </w:t>
      </w:r>
      <w:r>
        <w:rPr/>
        <w:t>年的重要其他应付款</w:t>
      </w:r>
    </w:p>
    <w:p>
      <w:pPr>
        <w:pStyle w:val="BodyText"/>
        <w:spacing w:line="240" w:lineRule="auto" w:before="101"/>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79"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中铁三局集团有限公司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23,049,854.25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未到结算期</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DENSO   </w:t>
            </w:r>
            <w:r>
              <w:rPr>
                <w:rFonts w:ascii="Times New Roman"/>
                <w:spacing w:val="9"/>
                <w:sz w:val="18"/>
              </w:rPr>
              <w:t> </w:t>
            </w:r>
            <w:r>
              <w:rPr>
                <w:rFonts w:ascii="宋体"/>
                <w:spacing w:val="9"/>
                <w:sz w:val="18"/>
              </w:rPr>
            </w:r>
            <w:r>
              <w:rPr>
                <w:rFonts w:ascii="Times New Roman"/>
                <w:spacing w:val="-3"/>
                <w:sz w:val="18"/>
              </w:rPr>
              <w:t>CORPORATION</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2,492,248.49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未到结算期</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黑龙江省地理信息产业园有限公司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2,250,194.80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根据投资协议，未到付款期</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北京光启达科技发展有限公司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1,781,000.00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根据投资协议，未到付款期</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3"/>
              <w:ind w:right="8"/>
              <w:jc w:val="right"/>
              <w:rPr>
                <w:rFonts w:ascii="Times New Roman" w:hAnsi="Times New Roman" w:cs="Times New Roman" w:eastAsia="Times New Roman" w:hint="default"/>
                <w:sz w:val="18"/>
                <w:szCs w:val="18"/>
              </w:rPr>
            </w:pPr>
            <w:r>
              <w:rPr>
                <w:rFonts w:ascii="Times New Roman"/>
                <w:spacing w:val="-1"/>
                <w:sz w:val="18"/>
              </w:rPr>
              <w:t>29,573,297.54</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1"/>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49"/>
        <w:ind w:right="982"/>
        <w:jc w:val="left"/>
        <w:rPr>
          <w:rFonts w:ascii="Times New Roman" w:hAnsi="Times New Roman" w:cs="Times New Roman" w:eastAsia="Times New Roman" w:hint="default"/>
        </w:rPr>
      </w:pPr>
      <w:r>
        <w:rPr/>
        <w:t>其他说明</w:t>
      </w:r>
      <w:r>
        <w:rPr>
          <w:rFonts w:ascii="Times New Roman" w:hAnsi="Times New Roman" w:cs="Times New Roman" w:eastAsia="Times New Roman" w:hint="default"/>
        </w:rPr>
        <w:t>:</w:t>
      </w:r>
    </w:p>
    <w:p>
      <w:pPr>
        <w:spacing w:line="240" w:lineRule="auto" w:before="10"/>
        <w:rPr>
          <w:rFonts w:ascii="Times New Roman" w:hAnsi="Times New Roman" w:cs="Times New Roman" w:eastAsia="Times New Roman" w:hint="default"/>
          <w:sz w:val="15"/>
          <w:szCs w:val="15"/>
        </w:rPr>
      </w:pPr>
    </w:p>
    <w:p>
      <w:pPr>
        <w:pStyle w:val="BodyText"/>
        <w:spacing w:line="240" w:lineRule="auto"/>
        <w:ind w:left="513" w:right="982"/>
        <w:jc w:val="left"/>
      </w:pPr>
      <w:r>
        <w:rPr/>
        <w:t>注：限制性股票回购义务详见本附注</w:t>
      </w:r>
      <w:r>
        <w:rPr>
          <w:rFonts w:ascii="Times New Roman" w:hAnsi="Times New Roman" w:cs="Times New Roman" w:eastAsia="Times New Roman" w:hint="default"/>
        </w:rPr>
        <w:t>“</w:t>
      </w:r>
      <w:r>
        <w:rPr/>
        <w:t>七、</w:t>
      </w:r>
      <w:r>
        <w:rPr>
          <w:rFonts w:ascii="Times New Roman" w:hAnsi="Times New Roman" w:cs="Times New Roman" w:eastAsia="Times New Roman" w:hint="default"/>
        </w:rPr>
        <w:t>47</w:t>
      </w:r>
      <w:r>
        <w:rPr/>
        <w:t>库存股</w:t>
      </w:r>
      <w:r>
        <w:rPr>
          <w:rFonts w:ascii="Times New Roman" w:hAnsi="Times New Roman" w:cs="Times New Roman" w:eastAsia="Times New Roman" w:hint="default"/>
        </w:rPr>
        <w:t>”</w:t>
      </w:r>
      <w:r>
        <w:rPr/>
        <w:t>所述</w:t>
      </w:r>
    </w:p>
    <w:p>
      <w:pPr>
        <w:spacing w:line="240" w:lineRule="auto" w:before="2"/>
        <w:rPr>
          <w:rFonts w:ascii="宋体" w:hAnsi="宋体" w:cs="宋体" w:eastAsia="宋体" w:hint="default"/>
          <w:sz w:val="26"/>
          <w:szCs w:val="26"/>
        </w:rPr>
      </w:pPr>
    </w:p>
    <w:p>
      <w:pPr>
        <w:pStyle w:val="Heading4"/>
        <w:spacing w:line="240" w:lineRule="auto"/>
        <w:ind w:right="982"/>
        <w:jc w:val="left"/>
        <w:rPr>
          <w:b w:val="0"/>
          <w:bCs w:val="0"/>
        </w:rPr>
      </w:pPr>
      <w:r>
        <w:rPr>
          <w:rFonts w:ascii="Times New Roman" w:hAnsi="Times New Roman" w:cs="Times New Roman" w:eastAsia="Times New Roman" w:hint="default"/>
        </w:rPr>
        <w:t>34</w:t>
      </w:r>
      <w:r>
        <w:rPr/>
        <w:t>、持有待售负债</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rFonts w:ascii="Times New Roman" w:hAnsi="Times New Roman" w:cs="Times New Roman" w:eastAsia="Times New Roman" w:hint="default"/>
        </w:rPr>
        <w:t>35</w:t>
      </w:r>
      <w:r>
        <w:rPr/>
        <w:t>、一年内到期的非流动负债</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rFonts w:ascii="Times New Roman" w:hAnsi="Times New Roman" w:cs="Times New Roman" w:eastAsia="Times New Roman" w:hint="default"/>
        </w:rPr>
        <w:t>36</w:t>
      </w:r>
      <w:r>
        <w:rPr/>
        <w:t>、其他流动负债</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短期应付债券</w:t>
            </w:r>
          </w:p>
        </w:tc>
        <w:tc>
          <w:tcPr>
            <w:tcW w:w="3192"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4,973,085.68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5,971,885.49</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44,244,502.80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46,767,241.11</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49,217,588.48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52,739,126.60</w:t>
            </w:r>
          </w:p>
        </w:tc>
      </w:tr>
    </w:tbl>
    <w:p>
      <w:pPr>
        <w:pStyle w:val="BodyText"/>
        <w:spacing w:line="357" w:lineRule="auto" w:before="49"/>
        <w:ind w:right="8594"/>
        <w:jc w:val="left"/>
      </w:pPr>
      <w:r>
        <w:rPr/>
        <w:t>短期应付债券的增减变动： 无</w:t>
      </w:r>
    </w:p>
    <w:p>
      <w:pPr>
        <w:pStyle w:val="BodyText"/>
        <w:spacing w:line="240" w:lineRule="auto" w:before="29"/>
        <w:ind w:right="982"/>
        <w:jc w:val="left"/>
      </w:pPr>
      <w:r>
        <w:rPr/>
        <w:t>其他说明：</w:t>
      </w:r>
    </w:p>
    <w:p>
      <w:pPr>
        <w:spacing w:line="240" w:lineRule="auto" w:before="0"/>
        <w:rPr>
          <w:rFonts w:ascii="宋体" w:hAnsi="宋体" w:cs="宋体" w:eastAsia="宋体" w:hint="default"/>
          <w:sz w:val="15"/>
          <w:szCs w:val="15"/>
        </w:rPr>
      </w:pPr>
    </w:p>
    <w:p>
      <w:pPr>
        <w:pStyle w:val="BodyText"/>
        <w:spacing w:line="240" w:lineRule="auto"/>
        <w:ind w:left="513" w:right="982"/>
        <w:jc w:val="left"/>
      </w:pPr>
      <w:r>
        <w:rPr/>
        <w:t>注：其他系公司已根据服务协议条款开出发票，根据收入确认原则，应当根据服务期限按期递延确认的收入。</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rFonts w:ascii="Times New Roman" w:hAnsi="Times New Roman" w:cs="Times New Roman" w:eastAsia="Times New Roman" w:hint="default"/>
        </w:rPr>
        <w:t>37</w:t>
      </w:r>
      <w:r>
        <w:rPr/>
        <w:t>、长期借款</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rFonts w:ascii="Times New Roman" w:hAnsi="Times New Roman" w:cs="Times New Roman" w:eastAsia="Times New Roman" w:hint="default"/>
        </w:rPr>
        <w:t>38</w:t>
      </w:r>
      <w:r>
        <w:rPr/>
        <w:t>、应付债券</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2"/>
        <w:jc w:val="left"/>
        <w:rPr>
          <w:b w:val="0"/>
          <w:bCs w:val="0"/>
        </w:rPr>
      </w:pPr>
      <w:r>
        <w:rPr/>
        <w:t>（</w:t>
      </w:r>
      <w:r>
        <w:rPr>
          <w:rFonts w:ascii="Times New Roman" w:hAnsi="Times New Roman" w:cs="Times New Roman" w:eastAsia="Times New Roman" w:hint="default"/>
        </w:rPr>
        <w:t>1</w:t>
      </w:r>
      <w:r>
        <w:rPr/>
        <w:t>）应付债券</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公司债券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50,000,000.00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50,000,000.00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50,000,000.00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50,000,000.00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2"/>
        <w:jc w:val="left"/>
        <w:rPr>
          <w:b w:val="0"/>
          <w:bCs w:val="0"/>
        </w:rPr>
      </w:pPr>
      <w:r>
        <w:rPr/>
        <w:t>（</w:t>
      </w:r>
      <w:r>
        <w:rPr>
          <w:rFonts w:ascii="Times New Roman" w:hAnsi="Times New Roman" w:cs="Times New Roman" w:eastAsia="Times New Roman" w:hint="default"/>
        </w:rPr>
        <w:t>2</w:t>
      </w:r>
      <w:r>
        <w:rPr/>
        <w:t>）应付债券的增减变动（不包括划分为金融负债的优先股、永续债等其他金融工具）</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776"/>
        <w:gridCol w:w="809"/>
        <w:gridCol w:w="799"/>
        <w:gridCol w:w="797"/>
        <w:gridCol w:w="799"/>
        <w:gridCol w:w="797"/>
        <w:gridCol w:w="800"/>
        <w:gridCol w:w="797"/>
        <w:gridCol w:w="799"/>
        <w:gridCol w:w="797"/>
        <w:gridCol w:w="800"/>
        <w:gridCol w:w="797"/>
      </w:tblGrid>
      <w:tr>
        <w:trPr>
          <w:trHeight w:val="161" w:hRule="exact"/>
        </w:trPr>
        <w:tc>
          <w:tcPr>
            <w:tcW w:w="776" w:type="dxa"/>
            <w:tcBorders>
              <w:top w:val="single" w:sz="4" w:space="0" w:color="000000"/>
              <w:left w:val="single" w:sz="4" w:space="0" w:color="000000"/>
              <w:bottom w:val="nil" w:sz="6" w:space="0" w:color="auto"/>
              <w:right w:val="single" w:sz="4" w:space="0" w:color="000000"/>
            </w:tcBorders>
            <w:shd w:val="clear" w:color="auto" w:fill="D9D9D9"/>
          </w:tcPr>
          <w:p>
            <w:pPr/>
          </w:p>
        </w:tc>
        <w:tc>
          <w:tcPr>
            <w:tcW w:w="809" w:type="dxa"/>
            <w:tcBorders>
              <w:top w:val="single" w:sz="4" w:space="0" w:color="000000"/>
              <w:left w:val="single" w:sz="4" w:space="0" w:color="000000"/>
              <w:bottom w:val="nil" w:sz="6" w:space="0" w:color="auto"/>
              <w:right w:val="single" w:sz="4" w:space="0" w:color="000000"/>
            </w:tcBorders>
            <w:shd w:val="clear" w:color="auto" w:fill="D9D9D9"/>
          </w:tcPr>
          <w:p>
            <w:pPr/>
          </w:p>
        </w:tc>
        <w:tc>
          <w:tcPr>
            <w:tcW w:w="799" w:type="dxa"/>
            <w:tcBorders>
              <w:top w:val="single" w:sz="4" w:space="0" w:color="000000"/>
              <w:left w:val="single" w:sz="4" w:space="0" w:color="000000"/>
              <w:bottom w:val="nil" w:sz="6" w:space="0" w:color="auto"/>
              <w:right w:val="single" w:sz="4" w:space="0" w:color="000000"/>
            </w:tcBorders>
            <w:shd w:val="clear" w:color="auto" w:fill="D9D9D9"/>
          </w:tcPr>
          <w:p>
            <w:pPr/>
          </w:p>
        </w:tc>
        <w:tc>
          <w:tcPr>
            <w:tcW w:w="797" w:type="dxa"/>
            <w:tcBorders>
              <w:top w:val="single" w:sz="4" w:space="0" w:color="000000"/>
              <w:left w:val="single" w:sz="4" w:space="0" w:color="000000"/>
              <w:bottom w:val="nil" w:sz="6" w:space="0" w:color="auto"/>
              <w:right w:val="single" w:sz="4" w:space="0" w:color="000000"/>
            </w:tcBorders>
            <w:shd w:val="clear" w:color="auto" w:fill="D9D9D9"/>
          </w:tcPr>
          <w:p>
            <w:pPr/>
          </w:p>
        </w:tc>
        <w:tc>
          <w:tcPr>
            <w:tcW w:w="799" w:type="dxa"/>
            <w:tcBorders>
              <w:top w:val="single" w:sz="4" w:space="0" w:color="000000"/>
              <w:left w:val="single" w:sz="4" w:space="0" w:color="000000"/>
              <w:bottom w:val="nil" w:sz="6" w:space="0" w:color="auto"/>
              <w:right w:val="single" w:sz="4" w:space="0" w:color="000000"/>
            </w:tcBorders>
            <w:shd w:val="clear" w:color="auto" w:fill="D9D9D9"/>
          </w:tcPr>
          <w:p>
            <w:pPr/>
          </w:p>
        </w:tc>
        <w:tc>
          <w:tcPr>
            <w:tcW w:w="797" w:type="dxa"/>
            <w:tcBorders>
              <w:top w:val="single" w:sz="4" w:space="0" w:color="000000"/>
              <w:left w:val="single" w:sz="4" w:space="0" w:color="000000"/>
              <w:bottom w:val="nil" w:sz="6" w:space="0" w:color="auto"/>
              <w:right w:val="single" w:sz="4" w:space="0" w:color="000000"/>
            </w:tcBorders>
            <w:shd w:val="clear" w:color="auto" w:fill="D9D9D9"/>
          </w:tcPr>
          <w:p>
            <w:pPr/>
          </w:p>
        </w:tc>
        <w:tc>
          <w:tcPr>
            <w:tcW w:w="800" w:type="dxa"/>
            <w:tcBorders>
              <w:top w:val="single" w:sz="4" w:space="0" w:color="000000"/>
              <w:left w:val="single" w:sz="4" w:space="0" w:color="000000"/>
              <w:bottom w:val="nil" w:sz="6" w:space="0" w:color="auto"/>
              <w:right w:val="single" w:sz="4" w:space="0" w:color="000000"/>
            </w:tcBorders>
            <w:shd w:val="clear" w:color="auto" w:fill="D9D9D9"/>
          </w:tcPr>
          <w:p>
            <w:pPr/>
          </w:p>
        </w:tc>
        <w:tc>
          <w:tcPr>
            <w:tcW w:w="797" w:type="dxa"/>
            <w:vMerge w:val="restart"/>
            <w:tcBorders>
              <w:top w:val="single" w:sz="4" w:space="0" w:color="000000"/>
              <w:left w:val="single" w:sz="4" w:space="0" w:color="000000"/>
              <w:right w:val="single" w:sz="4" w:space="0" w:color="000000"/>
            </w:tcBorders>
            <w:shd w:val="clear" w:color="auto" w:fill="D9D9D9"/>
          </w:tcPr>
          <w:p>
            <w:pPr>
              <w:pStyle w:val="TableParagraph"/>
              <w:spacing w:line="316" w:lineRule="auto" w:before="49"/>
              <w:ind w:left="124" w:right="31" w:hanging="92"/>
              <w:jc w:val="left"/>
              <w:rPr>
                <w:rFonts w:ascii="宋体" w:hAnsi="宋体" w:cs="宋体" w:eastAsia="宋体" w:hint="default"/>
                <w:sz w:val="18"/>
                <w:szCs w:val="18"/>
              </w:rPr>
            </w:pPr>
            <w:r>
              <w:rPr>
                <w:rFonts w:ascii="宋体" w:hAnsi="宋体" w:cs="宋体" w:eastAsia="宋体" w:hint="default"/>
                <w:sz w:val="18"/>
                <w:szCs w:val="18"/>
              </w:rPr>
              <w:t>按面值计 提利息</w:t>
            </w:r>
          </w:p>
        </w:tc>
        <w:tc>
          <w:tcPr>
            <w:tcW w:w="799" w:type="dxa"/>
            <w:vMerge w:val="restart"/>
            <w:tcBorders>
              <w:top w:val="single" w:sz="4" w:space="0" w:color="000000"/>
              <w:left w:val="single" w:sz="4" w:space="0" w:color="000000"/>
              <w:right w:val="single" w:sz="4" w:space="0" w:color="000000"/>
            </w:tcBorders>
            <w:shd w:val="clear" w:color="auto" w:fill="D9D9D9"/>
          </w:tcPr>
          <w:p>
            <w:pPr>
              <w:pStyle w:val="TableParagraph"/>
              <w:spacing w:line="316" w:lineRule="auto" w:before="49"/>
              <w:ind w:left="304" w:right="35" w:hanging="272"/>
              <w:jc w:val="left"/>
              <w:rPr>
                <w:rFonts w:ascii="宋体" w:hAnsi="宋体" w:cs="宋体" w:eastAsia="宋体" w:hint="default"/>
                <w:sz w:val="18"/>
                <w:szCs w:val="18"/>
              </w:rPr>
            </w:pPr>
            <w:r>
              <w:rPr>
                <w:rFonts w:ascii="宋体" w:hAnsi="宋体" w:cs="宋体" w:eastAsia="宋体" w:hint="default"/>
                <w:sz w:val="18"/>
                <w:szCs w:val="18"/>
              </w:rPr>
              <w:t>溢折价摊 销</w:t>
            </w:r>
          </w:p>
        </w:tc>
        <w:tc>
          <w:tcPr>
            <w:tcW w:w="797"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本期偿还</w:t>
            </w:r>
          </w:p>
        </w:tc>
        <w:tc>
          <w:tcPr>
            <w:tcW w:w="800"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797"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债券名称</w:t>
            </w:r>
          </w:p>
        </w:tc>
      </w:tr>
      <w:tr>
        <w:trPr>
          <w:trHeight w:val="394" w:hRule="exact"/>
        </w:trPr>
        <w:tc>
          <w:tcPr>
            <w:tcW w:w="776"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债券名称</w:t>
            </w:r>
          </w:p>
        </w:tc>
        <w:tc>
          <w:tcPr>
            <w:tcW w:w="809"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49"/>
              <w:ind w:left="11" w:right="0"/>
              <w:jc w:val="center"/>
              <w:rPr>
                <w:rFonts w:ascii="宋体" w:hAnsi="宋体" w:cs="宋体" w:eastAsia="宋体" w:hint="default"/>
                <w:sz w:val="18"/>
                <w:szCs w:val="18"/>
              </w:rPr>
            </w:pPr>
            <w:r>
              <w:rPr>
                <w:rFonts w:ascii="宋体" w:hAnsi="宋体" w:cs="宋体" w:eastAsia="宋体" w:hint="default"/>
                <w:sz w:val="18"/>
                <w:szCs w:val="18"/>
              </w:rPr>
              <w:t>面值</w:t>
            </w:r>
          </w:p>
        </w:tc>
        <w:tc>
          <w:tcPr>
            <w:tcW w:w="799"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发行日期</w:t>
            </w:r>
          </w:p>
        </w:tc>
        <w:tc>
          <w:tcPr>
            <w:tcW w:w="797"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49"/>
              <w:ind w:left="33" w:right="0"/>
              <w:jc w:val="left"/>
              <w:rPr>
                <w:rFonts w:ascii="宋体" w:hAnsi="宋体" w:cs="宋体" w:eastAsia="宋体" w:hint="default"/>
                <w:sz w:val="18"/>
                <w:szCs w:val="18"/>
              </w:rPr>
            </w:pPr>
            <w:r>
              <w:rPr>
                <w:rFonts w:ascii="宋体" w:hAnsi="宋体" w:cs="宋体" w:eastAsia="宋体" w:hint="default"/>
                <w:sz w:val="18"/>
                <w:szCs w:val="18"/>
              </w:rPr>
              <w:t>债券期限</w:t>
            </w:r>
          </w:p>
        </w:tc>
        <w:tc>
          <w:tcPr>
            <w:tcW w:w="799"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49"/>
              <w:ind w:left="33" w:right="0"/>
              <w:jc w:val="left"/>
              <w:rPr>
                <w:rFonts w:ascii="宋体" w:hAnsi="宋体" w:cs="宋体" w:eastAsia="宋体" w:hint="default"/>
                <w:sz w:val="18"/>
                <w:szCs w:val="18"/>
              </w:rPr>
            </w:pPr>
            <w:r>
              <w:rPr>
                <w:rFonts w:ascii="宋体" w:hAnsi="宋体" w:cs="宋体" w:eastAsia="宋体" w:hint="default"/>
                <w:sz w:val="18"/>
                <w:szCs w:val="18"/>
              </w:rPr>
              <w:t>发行金额</w:t>
            </w:r>
          </w:p>
        </w:tc>
        <w:tc>
          <w:tcPr>
            <w:tcW w:w="797"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49"/>
              <w:ind w:left="3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800"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49"/>
              <w:ind w:right="34"/>
              <w:jc w:val="right"/>
              <w:rPr>
                <w:rFonts w:ascii="宋体" w:hAnsi="宋体" w:cs="宋体" w:eastAsia="宋体" w:hint="default"/>
                <w:sz w:val="18"/>
                <w:szCs w:val="18"/>
              </w:rPr>
            </w:pPr>
            <w:r>
              <w:rPr>
                <w:rFonts w:ascii="宋体" w:hAnsi="宋体" w:cs="宋体" w:eastAsia="宋体" w:hint="default"/>
                <w:sz w:val="18"/>
                <w:szCs w:val="18"/>
              </w:rPr>
              <w:t>本期发行</w:t>
            </w:r>
          </w:p>
        </w:tc>
        <w:tc>
          <w:tcPr>
            <w:tcW w:w="797" w:type="dxa"/>
            <w:vMerge/>
            <w:tcBorders>
              <w:left w:val="single" w:sz="4" w:space="0" w:color="000000"/>
              <w:right w:val="single" w:sz="4" w:space="0" w:color="000000"/>
            </w:tcBorders>
            <w:shd w:val="clear" w:color="auto" w:fill="D9D9D9"/>
          </w:tcPr>
          <w:p>
            <w:pPr/>
          </w:p>
        </w:tc>
        <w:tc>
          <w:tcPr>
            <w:tcW w:w="799" w:type="dxa"/>
            <w:vMerge/>
            <w:tcBorders>
              <w:left w:val="single" w:sz="4" w:space="0" w:color="000000"/>
              <w:right w:val="single" w:sz="4" w:space="0" w:color="000000"/>
            </w:tcBorders>
            <w:shd w:val="clear" w:color="auto" w:fill="D9D9D9"/>
          </w:tcPr>
          <w:p>
            <w:pPr/>
          </w:p>
        </w:tc>
        <w:tc>
          <w:tcPr>
            <w:tcW w:w="797" w:type="dxa"/>
            <w:vMerge/>
            <w:tcBorders>
              <w:left w:val="single" w:sz="4" w:space="0" w:color="000000"/>
              <w:right w:val="single" w:sz="4" w:space="0" w:color="000000"/>
            </w:tcBorders>
            <w:shd w:val="clear" w:color="auto" w:fill="D9D9D9"/>
          </w:tcPr>
          <w:p>
            <w:pPr/>
          </w:p>
        </w:tc>
        <w:tc>
          <w:tcPr>
            <w:tcW w:w="800" w:type="dxa"/>
            <w:vMerge/>
            <w:tcBorders>
              <w:left w:val="single" w:sz="4" w:space="0" w:color="000000"/>
              <w:right w:val="single" w:sz="4" w:space="0" w:color="000000"/>
            </w:tcBorders>
            <w:shd w:val="clear" w:color="auto" w:fill="D9D9D9"/>
          </w:tcPr>
          <w:p>
            <w:pPr/>
          </w:p>
        </w:tc>
        <w:tc>
          <w:tcPr>
            <w:tcW w:w="797" w:type="dxa"/>
            <w:vMerge/>
            <w:tcBorders>
              <w:left w:val="single" w:sz="4" w:space="0" w:color="000000"/>
              <w:right w:val="single" w:sz="4" w:space="0" w:color="000000"/>
            </w:tcBorders>
            <w:shd w:val="clear" w:color="auto" w:fill="D9D9D9"/>
          </w:tcPr>
          <w:p>
            <w:pPr/>
          </w:p>
        </w:tc>
      </w:tr>
      <w:tr>
        <w:trPr>
          <w:trHeight w:val="161" w:hRule="exact"/>
        </w:trPr>
        <w:tc>
          <w:tcPr>
            <w:tcW w:w="776" w:type="dxa"/>
            <w:tcBorders>
              <w:top w:val="nil" w:sz="6" w:space="0" w:color="auto"/>
              <w:left w:val="single" w:sz="4" w:space="0" w:color="000000"/>
              <w:bottom w:val="single" w:sz="4" w:space="0" w:color="000000"/>
              <w:right w:val="single" w:sz="4" w:space="0" w:color="000000"/>
            </w:tcBorders>
            <w:shd w:val="clear" w:color="auto" w:fill="D9D9D9"/>
          </w:tcPr>
          <w:p>
            <w:pPr/>
          </w:p>
        </w:tc>
        <w:tc>
          <w:tcPr>
            <w:tcW w:w="809" w:type="dxa"/>
            <w:tcBorders>
              <w:top w:val="nil" w:sz="6" w:space="0" w:color="auto"/>
              <w:left w:val="single" w:sz="4" w:space="0" w:color="000000"/>
              <w:bottom w:val="single" w:sz="4" w:space="0" w:color="000000"/>
              <w:right w:val="single" w:sz="4" w:space="0" w:color="000000"/>
            </w:tcBorders>
            <w:shd w:val="clear" w:color="auto" w:fill="D9D9D9"/>
          </w:tcPr>
          <w:p>
            <w:pPr/>
          </w:p>
        </w:tc>
        <w:tc>
          <w:tcPr>
            <w:tcW w:w="799" w:type="dxa"/>
            <w:tcBorders>
              <w:top w:val="nil" w:sz="6" w:space="0" w:color="auto"/>
              <w:left w:val="single" w:sz="4" w:space="0" w:color="000000"/>
              <w:bottom w:val="single" w:sz="4" w:space="0" w:color="000000"/>
              <w:right w:val="single" w:sz="4" w:space="0" w:color="000000"/>
            </w:tcBorders>
            <w:shd w:val="clear" w:color="auto" w:fill="D9D9D9"/>
          </w:tcPr>
          <w:p>
            <w:pPr/>
          </w:p>
        </w:tc>
        <w:tc>
          <w:tcPr>
            <w:tcW w:w="797" w:type="dxa"/>
            <w:tcBorders>
              <w:top w:val="nil" w:sz="6" w:space="0" w:color="auto"/>
              <w:left w:val="single" w:sz="4" w:space="0" w:color="000000"/>
              <w:bottom w:val="single" w:sz="4" w:space="0" w:color="000000"/>
              <w:right w:val="single" w:sz="4" w:space="0" w:color="000000"/>
            </w:tcBorders>
            <w:shd w:val="clear" w:color="auto" w:fill="D9D9D9"/>
          </w:tcPr>
          <w:p>
            <w:pPr/>
          </w:p>
        </w:tc>
        <w:tc>
          <w:tcPr>
            <w:tcW w:w="799" w:type="dxa"/>
            <w:tcBorders>
              <w:top w:val="nil" w:sz="6" w:space="0" w:color="auto"/>
              <w:left w:val="single" w:sz="4" w:space="0" w:color="000000"/>
              <w:bottom w:val="single" w:sz="4" w:space="0" w:color="000000"/>
              <w:right w:val="single" w:sz="4" w:space="0" w:color="000000"/>
            </w:tcBorders>
            <w:shd w:val="clear" w:color="auto" w:fill="D9D9D9"/>
          </w:tcPr>
          <w:p>
            <w:pPr/>
          </w:p>
        </w:tc>
        <w:tc>
          <w:tcPr>
            <w:tcW w:w="797" w:type="dxa"/>
            <w:tcBorders>
              <w:top w:val="nil" w:sz="6" w:space="0" w:color="auto"/>
              <w:left w:val="single" w:sz="4" w:space="0" w:color="000000"/>
              <w:bottom w:val="single" w:sz="4" w:space="0" w:color="000000"/>
              <w:right w:val="single" w:sz="4" w:space="0" w:color="000000"/>
            </w:tcBorders>
            <w:shd w:val="clear" w:color="auto" w:fill="D9D9D9"/>
          </w:tcPr>
          <w:p>
            <w:pPr/>
          </w:p>
        </w:tc>
        <w:tc>
          <w:tcPr>
            <w:tcW w:w="800" w:type="dxa"/>
            <w:tcBorders>
              <w:top w:val="nil" w:sz="6" w:space="0" w:color="auto"/>
              <w:left w:val="single" w:sz="4" w:space="0" w:color="000000"/>
              <w:bottom w:val="single" w:sz="4" w:space="0" w:color="000000"/>
              <w:right w:val="single" w:sz="4" w:space="0" w:color="000000"/>
            </w:tcBorders>
            <w:shd w:val="clear" w:color="auto" w:fill="D9D9D9"/>
          </w:tcPr>
          <w:p>
            <w:pPr/>
          </w:p>
        </w:tc>
        <w:tc>
          <w:tcPr>
            <w:tcW w:w="797" w:type="dxa"/>
            <w:vMerge/>
            <w:tcBorders>
              <w:left w:val="single" w:sz="4" w:space="0" w:color="000000"/>
              <w:bottom w:val="single" w:sz="4" w:space="0" w:color="000000"/>
              <w:right w:val="single" w:sz="4" w:space="0" w:color="000000"/>
            </w:tcBorders>
            <w:shd w:val="clear" w:color="auto" w:fill="D9D9D9"/>
          </w:tcPr>
          <w:p>
            <w:pPr/>
          </w:p>
        </w:tc>
        <w:tc>
          <w:tcPr>
            <w:tcW w:w="799" w:type="dxa"/>
            <w:vMerge/>
            <w:tcBorders>
              <w:left w:val="single" w:sz="4" w:space="0" w:color="000000"/>
              <w:bottom w:val="single" w:sz="4" w:space="0" w:color="000000"/>
              <w:right w:val="single" w:sz="4" w:space="0" w:color="000000"/>
            </w:tcBorders>
            <w:shd w:val="clear" w:color="auto" w:fill="D9D9D9"/>
          </w:tcPr>
          <w:p>
            <w:pPr/>
          </w:p>
        </w:tc>
        <w:tc>
          <w:tcPr>
            <w:tcW w:w="797" w:type="dxa"/>
            <w:vMerge/>
            <w:tcBorders>
              <w:left w:val="single" w:sz="4" w:space="0" w:color="000000"/>
              <w:bottom w:val="single" w:sz="4" w:space="0" w:color="000000"/>
              <w:right w:val="single" w:sz="4" w:space="0" w:color="000000"/>
            </w:tcBorders>
            <w:shd w:val="clear" w:color="auto" w:fill="D9D9D9"/>
          </w:tcPr>
          <w:p>
            <w:pPr/>
          </w:p>
        </w:tc>
        <w:tc>
          <w:tcPr>
            <w:tcW w:w="800" w:type="dxa"/>
            <w:vMerge/>
            <w:tcBorders>
              <w:left w:val="single" w:sz="4" w:space="0" w:color="000000"/>
              <w:bottom w:val="single" w:sz="4" w:space="0" w:color="000000"/>
              <w:right w:val="single" w:sz="4" w:space="0" w:color="000000"/>
            </w:tcBorders>
            <w:shd w:val="clear" w:color="auto" w:fill="D9D9D9"/>
          </w:tcPr>
          <w:p>
            <w:pPr/>
          </w:p>
        </w:tc>
        <w:tc>
          <w:tcPr>
            <w:tcW w:w="797" w:type="dxa"/>
            <w:vMerge/>
            <w:tcBorders>
              <w:left w:val="single" w:sz="4" w:space="0" w:color="000000"/>
              <w:bottom w:val="single" w:sz="4" w:space="0" w:color="000000"/>
              <w:right w:val="single" w:sz="4" w:space="0" w:color="000000"/>
            </w:tcBorders>
            <w:shd w:val="clear" w:color="auto" w:fill="D9D9D9"/>
          </w:tcPr>
          <w:p>
            <w:pPr/>
          </w:p>
        </w:tc>
      </w:tr>
      <w:tr>
        <w:trPr>
          <w:trHeight w:val="3521" w:hRule="exact"/>
        </w:trPr>
        <w:tc>
          <w:tcPr>
            <w:tcW w:w="77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2" w:right="32"/>
              <w:jc w:val="left"/>
              <w:rPr>
                <w:rFonts w:ascii="宋体" w:hAnsi="宋体" w:cs="宋体" w:eastAsia="宋体" w:hint="default"/>
                <w:sz w:val="18"/>
                <w:szCs w:val="18"/>
              </w:rPr>
            </w:pPr>
            <w:r>
              <w:rPr>
                <w:rFonts w:ascii="宋体" w:hAnsi="宋体" w:cs="宋体" w:eastAsia="宋体" w:hint="default"/>
                <w:sz w:val="18"/>
                <w:szCs w:val="18"/>
              </w:rPr>
              <w:t>北京四维 图新科技 股份有限 公司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319" w:lineRule="auto"/>
              <w:ind w:left="12" w:right="32"/>
              <w:jc w:val="both"/>
              <w:rPr>
                <w:rFonts w:ascii="宋体" w:hAnsi="宋体" w:cs="宋体" w:eastAsia="宋体" w:hint="default"/>
                <w:sz w:val="18"/>
                <w:szCs w:val="18"/>
              </w:rPr>
            </w:pPr>
            <w:r>
              <w:rPr>
                <w:rFonts w:ascii="宋体" w:hAnsi="宋体" w:cs="宋体" w:eastAsia="宋体" w:hint="default"/>
                <w:sz w:val="18"/>
                <w:szCs w:val="18"/>
              </w:rPr>
              <w:t>面向合格 投资者公 开发行公 司债券</w:t>
            </w:r>
          </w:p>
          <w:p>
            <w:pPr>
              <w:pStyle w:val="TableParagraph"/>
              <w:spacing w:line="316" w:lineRule="auto" w:before="17"/>
              <w:ind w:left="12" w:right="212"/>
              <w:jc w:val="left"/>
              <w:rPr>
                <w:rFonts w:ascii="宋体" w:hAnsi="宋体" w:cs="宋体" w:eastAsia="宋体" w:hint="default"/>
                <w:sz w:val="18"/>
                <w:szCs w:val="18"/>
              </w:rPr>
            </w:pPr>
            <w:r>
              <w:rPr>
                <w:rFonts w:ascii="宋体" w:hAnsi="宋体" w:cs="宋体" w:eastAsia="宋体" w:hint="default"/>
                <w:sz w:val="18"/>
                <w:szCs w:val="18"/>
              </w:rPr>
              <w:t>（第一 期）</w:t>
            </w:r>
          </w:p>
        </w:tc>
        <w:tc>
          <w:tcPr>
            <w:tcW w:w="80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50,000,00</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3"/>
                <w:sz w:val="18"/>
                <w:szCs w:val="18"/>
              </w:rPr>
              <w:t>11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23</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年期</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50,000,00</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50,000,00</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3,000,000</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50,000,00</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0.00</w:t>
            </w:r>
          </w:p>
        </w:tc>
      </w:tr>
      <w:tr>
        <w:trPr>
          <w:trHeight w:val="715" w:hRule="exact"/>
        </w:trPr>
        <w:tc>
          <w:tcPr>
            <w:tcW w:w="7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8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1" w:right="0"/>
              <w:jc w:val="center"/>
              <w:rPr>
                <w:rFonts w:ascii="Times New Roman" w:hAnsi="Times New Roman" w:cs="Times New Roman" w:eastAsia="Times New Roman" w:hint="default"/>
                <w:sz w:val="18"/>
                <w:szCs w:val="18"/>
              </w:rPr>
            </w:pPr>
            <w:r>
              <w:rPr>
                <w:rFonts w:ascii="Times New Roman"/>
                <w:sz w:val="18"/>
              </w:rPr>
              <w:t>--</w:t>
            </w:r>
          </w:p>
        </w:tc>
        <w:tc>
          <w:tcPr>
            <w:tcW w:w="7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50,000,00</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50,000,00</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3,000,000</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50,000,00</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0.00</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t>（</w:t>
      </w:r>
      <w:r>
        <w:rPr>
          <w:rFonts w:ascii="Times New Roman" w:hAnsi="Times New Roman" w:cs="Times New Roman" w:eastAsia="Times New Roman" w:hint="default"/>
        </w:rPr>
        <w:t>3</w:t>
      </w:r>
      <w:r>
        <w:rPr/>
        <w:t>）可转换公司债券的转股条件、转股时间说明</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t>（</w:t>
      </w:r>
      <w:r>
        <w:rPr>
          <w:rFonts w:ascii="Times New Roman" w:hAnsi="Times New Roman" w:cs="Times New Roman" w:eastAsia="Times New Roman" w:hint="default"/>
        </w:rPr>
        <w:t>4</w:t>
      </w:r>
      <w:r>
        <w:rPr/>
        <w:t>）划分为金融负债的其他金融工具说明</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rFonts w:ascii="Times New Roman" w:hAnsi="Times New Roman" w:cs="Times New Roman" w:eastAsia="Times New Roman" w:hint="default"/>
        </w:rPr>
        <w:t>39</w:t>
      </w:r>
      <w:r>
        <w:rPr/>
        <w:t>、长期应付款</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rFonts w:ascii="Times New Roman" w:hAnsi="Times New Roman" w:cs="Times New Roman" w:eastAsia="Times New Roman" w:hint="default"/>
        </w:rPr>
        <w:t>40</w:t>
      </w:r>
      <w:r>
        <w:rPr/>
        <w:t>、长期应付职工薪酬</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rFonts w:ascii="Times New Roman" w:hAnsi="Times New Roman" w:cs="Times New Roman" w:eastAsia="Times New Roman" w:hint="default"/>
        </w:rPr>
        <w:t>41</w:t>
      </w:r>
      <w:r>
        <w:rPr/>
        <w:t>、预计负债</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18"/>
        <w:ind w:right="982"/>
        <w:jc w:val="left"/>
        <w:rPr>
          <w:b w:val="0"/>
          <w:bCs w:val="0"/>
        </w:rPr>
      </w:pPr>
      <w:r>
        <w:rPr>
          <w:rFonts w:ascii="Times New Roman" w:hAnsi="Times New Roman" w:cs="Times New Roman" w:eastAsia="Times New Roman" w:hint="default"/>
        </w:rPr>
        <w:t>42</w:t>
      </w:r>
      <w:r>
        <w:rPr/>
        <w:t>、递延收益</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93"/>
        <w:gridCol w:w="1597"/>
        <w:gridCol w:w="1594"/>
        <w:gridCol w:w="1596"/>
        <w:gridCol w:w="1594"/>
        <w:gridCol w:w="1583"/>
      </w:tblGrid>
      <w:tr>
        <w:trPr>
          <w:trHeight w:val="401" w:hRule="exact"/>
        </w:trPr>
        <w:tc>
          <w:tcPr>
            <w:tcW w:w="15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2" w:right="0"/>
              <w:jc w:val="left"/>
              <w:rPr>
                <w:rFonts w:ascii="宋体" w:hAnsi="宋体" w:cs="宋体" w:eastAsia="宋体" w:hint="default"/>
                <w:sz w:val="18"/>
                <w:szCs w:val="18"/>
              </w:rPr>
            </w:pPr>
            <w:r>
              <w:rPr>
                <w:rFonts w:ascii="宋体" w:hAnsi="宋体" w:cs="宋体" w:eastAsia="宋体" w:hint="default"/>
                <w:sz w:val="18"/>
                <w:szCs w:val="18"/>
              </w:rPr>
              <w:t>形成原因</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593"/>
        <w:gridCol w:w="1597"/>
        <w:gridCol w:w="1594"/>
        <w:gridCol w:w="1596"/>
        <w:gridCol w:w="1594"/>
        <w:gridCol w:w="1594"/>
      </w:tblGrid>
      <w:tr>
        <w:trPr>
          <w:trHeight w:val="401" w:hRule="exact"/>
        </w:trPr>
        <w:tc>
          <w:tcPr>
            <w:tcW w:w="15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46,099,808.20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9,250,000.00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24,352,430.71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30,997,377.49</w:t>
            </w: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5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46,099,808.20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9,250,000.00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24,352,430.71</w:t>
            </w:r>
          </w:p>
        </w:tc>
        <w:tc>
          <w:tcPr>
            <w:tcW w:w="1594"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93"/>
              <w:ind w:right="12"/>
              <w:jc w:val="right"/>
              <w:rPr>
                <w:rFonts w:ascii="Times New Roman" w:hAnsi="Times New Roman" w:cs="Times New Roman" w:eastAsia="Times New Roman" w:hint="default"/>
                <w:sz w:val="18"/>
                <w:szCs w:val="18"/>
              </w:rPr>
            </w:pPr>
            <w:r>
              <w:rPr>
                <w:rFonts w:ascii="Times New Roman"/>
                <w:spacing w:val="-1"/>
                <w:sz w:val="18"/>
              </w:rPr>
              <w:t>30,997,377.49</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49"/>
        <w:ind w:right="982"/>
        <w:jc w:val="left"/>
      </w:pPr>
      <w:r>
        <w:rPr/>
        <w:t>涉及政府补助的项目：</w:t>
      </w:r>
    </w:p>
    <w:p>
      <w:pPr>
        <w:pStyle w:val="BodyText"/>
        <w:spacing w:line="240" w:lineRule="auto" w:before="115"/>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064"/>
        <w:gridCol w:w="1066"/>
        <w:gridCol w:w="1064"/>
        <w:gridCol w:w="1063"/>
        <w:gridCol w:w="1061"/>
        <w:gridCol w:w="1064"/>
        <w:gridCol w:w="1063"/>
        <w:gridCol w:w="1064"/>
        <w:gridCol w:w="1063"/>
      </w:tblGrid>
      <w:tr>
        <w:trPr>
          <w:trHeight w:val="1027"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68" w:right="0"/>
              <w:jc w:val="left"/>
              <w:rPr>
                <w:rFonts w:ascii="宋体" w:hAnsi="宋体" w:cs="宋体" w:eastAsia="宋体" w:hint="default"/>
                <w:sz w:val="18"/>
                <w:szCs w:val="18"/>
              </w:rPr>
            </w:pPr>
            <w:r>
              <w:rPr>
                <w:rFonts w:ascii="宋体" w:hAnsi="宋体" w:cs="宋体" w:eastAsia="宋体" w:hint="default"/>
                <w:sz w:val="18"/>
                <w:szCs w:val="18"/>
              </w:rPr>
              <w:t>负债项目</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67"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56" w:right="75" w:hanging="180"/>
              <w:jc w:val="left"/>
              <w:rPr>
                <w:rFonts w:ascii="宋体" w:hAnsi="宋体" w:cs="宋体" w:eastAsia="宋体" w:hint="default"/>
                <w:sz w:val="18"/>
                <w:szCs w:val="18"/>
              </w:rPr>
            </w:pPr>
            <w:r>
              <w:rPr>
                <w:rFonts w:ascii="宋体" w:hAnsi="宋体" w:cs="宋体" w:eastAsia="宋体" w:hint="default"/>
                <w:sz w:val="18"/>
                <w:szCs w:val="18"/>
              </w:rPr>
              <w:t>本期新增补 助金额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76" w:right="74"/>
              <w:jc w:val="center"/>
              <w:rPr>
                <w:rFonts w:ascii="宋体" w:hAnsi="宋体" w:cs="宋体" w:eastAsia="宋体" w:hint="default"/>
                <w:sz w:val="18"/>
                <w:szCs w:val="18"/>
              </w:rPr>
            </w:pPr>
            <w:r>
              <w:rPr>
                <w:rFonts w:ascii="宋体" w:hAnsi="宋体" w:cs="宋体" w:eastAsia="宋体" w:hint="default"/>
                <w:sz w:val="18"/>
                <w:szCs w:val="18"/>
              </w:rPr>
              <w:t>本期计入营 业外收入金 额</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76" w:right="72"/>
              <w:jc w:val="left"/>
              <w:rPr>
                <w:rFonts w:ascii="宋体" w:hAnsi="宋体" w:cs="宋体" w:eastAsia="宋体" w:hint="default"/>
                <w:sz w:val="18"/>
                <w:szCs w:val="18"/>
              </w:rPr>
            </w:pPr>
            <w:r>
              <w:rPr>
                <w:rFonts w:ascii="宋体" w:hAnsi="宋体" w:cs="宋体" w:eastAsia="宋体" w:hint="default"/>
                <w:sz w:val="18"/>
                <w:szCs w:val="18"/>
              </w:rPr>
              <w:t>本期计入其 他收益金额</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79" w:right="72"/>
              <w:jc w:val="left"/>
              <w:rPr>
                <w:rFonts w:ascii="宋体" w:hAnsi="宋体" w:cs="宋体" w:eastAsia="宋体" w:hint="default"/>
                <w:sz w:val="18"/>
                <w:szCs w:val="18"/>
              </w:rPr>
            </w:pPr>
            <w:r>
              <w:rPr>
                <w:rFonts w:ascii="宋体" w:hAnsi="宋体" w:cs="宋体" w:eastAsia="宋体" w:hint="default"/>
                <w:sz w:val="18"/>
                <w:szCs w:val="18"/>
              </w:rPr>
              <w:t>本期冲减成 本费用金额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67" w:right="0"/>
              <w:jc w:val="left"/>
              <w:rPr>
                <w:rFonts w:ascii="宋体" w:hAnsi="宋体" w:cs="宋体" w:eastAsia="宋体" w:hint="default"/>
                <w:sz w:val="18"/>
                <w:szCs w:val="18"/>
              </w:rPr>
            </w:pPr>
            <w:r>
              <w:rPr>
                <w:rFonts w:ascii="宋体" w:hAnsi="宋体" w:cs="宋体" w:eastAsia="宋体" w:hint="default"/>
                <w:sz w:val="18"/>
                <w:szCs w:val="18"/>
              </w:rPr>
              <w:t>其他变动</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68"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00" w:lineRule="auto"/>
              <w:ind w:left="76" w:right="48" w:hanging="24"/>
              <w:jc w:val="left"/>
              <w:rPr>
                <w:rFonts w:ascii="宋体" w:hAnsi="宋体" w:cs="宋体" w:eastAsia="宋体" w:hint="default"/>
                <w:sz w:val="18"/>
                <w:szCs w:val="18"/>
              </w:rPr>
            </w:pPr>
            <w:r>
              <w:rPr>
                <w:rFonts w:ascii="宋体" w:hAnsi="宋体" w:cs="宋体" w:eastAsia="宋体" w:hint="default"/>
                <w:sz w:val="18"/>
                <w:szCs w:val="18"/>
              </w:rPr>
              <w:t>与资产相关</w:t>
            </w:r>
            <w:r>
              <w:rPr>
                <w:rFonts w:ascii="Times New Roman" w:hAnsi="Times New Roman" w:cs="Times New Roman" w:eastAsia="Times New Roman" w:hint="default"/>
                <w:sz w:val="18"/>
                <w:szCs w:val="18"/>
              </w:rPr>
              <w:t>/ </w:t>
            </w:r>
            <w:r>
              <w:rPr>
                <w:rFonts w:ascii="宋体" w:hAnsi="宋体" w:cs="宋体" w:eastAsia="宋体" w:hint="default"/>
                <w:sz w:val="18"/>
                <w:szCs w:val="18"/>
              </w:rPr>
              <w:t>与收益相关</w:t>
            </w:r>
          </w:p>
        </w:tc>
      </w:tr>
      <w:tr>
        <w:trPr>
          <w:trHeight w:val="1337"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29"/>
              <w:jc w:val="both"/>
              <w:rPr>
                <w:rFonts w:ascii="宋体" w:hAnsi="宋体" w:cs="宋体" w:eastAsia="宋体" w:hint="default"/>
                <w:sz w:val="18"/>
                <w:szCs w:val="18"/>
              </w:rPr>
            </w:pPr>
            <w:r>
              <w:rPr>
                <w:rFonts w:ascii="宋体" w:hAnsi="宋体" w:cs="宋体" w:eastAsia="宋体" w:hint="default"/>
                <w:sz w:val="18"/>
                <w:szCs w:val="18"/>
              </w:rPr>
              <w:t>高新区经贸 局一事一议 政策兑现智 能驾驶系统</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7,300,000.00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8,000,000.00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3,100,000.00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12,200,000.0</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027"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24" w:right="43"/>
              <w:jc w:val="left"/>
              <w:rPr>
                <w:rFonts w:ascii="宋体" w:hAnsi="宋体" w:cs="宋体" w:eastAsia="宋体" w:hint="default"/>
                <w:sz w:val="18"/>
                <w:szCs w:val="18"/>
              </w:rPr>
            </w:pPr>
            <w:r>
              <w:rPr>
                <w:rFonts w:ascii="Times New Roman" w:hAnsi="Times New Roman" w:cs="Times New Roman" w:eastAsia="Times New Roman" w:hint="default"/>
                <w:sz w:val="18"/>
                <w:szCs w:val="18"/>
              </w:rPr>
              <w:t>4G</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车联网芯 片及方案项 目</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11,700,000.0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11,700,000.0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961"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29"/>
              <w:jc w:val="both"/>
              <w:rPr>
                <w:rFonts w:ascii="宋体" w:hAnsi="宋体" w:cs="宋体" w:eastAsia="宋体" w:hint="default"/>
                <w:sz w:val="18"/>
                <w:szCs w:val="18"/>
              </w:rPr>
            </w:pPr>
            <w:r>
              <w:rPr>
                <w:rFonts w:ascii="宋体" w:hAnsi="宋体" w:cs="宋体" w:eastAsia="宋体" w:hint="default"/>
                <w:sz w:val="18"/>
                <w:szCs w:val="18"/>
              </w:rPr>
              <w:t>可追溯商用 车高效物流 服务平台北 京市工程实 验室创新能 力建设项目</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6,330,000.00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3,886,166.67</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2,443,833.33</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2"/>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340"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129"/>
              <w:jc w:val="both"/>
              <w:rPr>
                <w:rFonts w:ascii="宋体" w:hAnsi="宋体" w:cs="宋体" w:eastAsia="宋体" w:hint="default"/>
                <w:sz w:val="18"/>
                <w:szCs w:val="18"/>
              </w:rPr>
            </w:pPr>
            <w:r>
              <w:rPr>
                <w:rFonts w:ascii="宋体" w:hAnsi="宋体" w:cs="宋体" w:eastAsia="宋体" w:hint="default"/>
                <w:sz w:val="18"/>
                <w:szCs w:val="18"/>
              </w:rPr>
              <w:t>广域实时精 密定位技术 与示范系统 项目</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1,703,544.16</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1,703,544.16</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13"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97" w:lineRule="auto" w:before="49"/>
              <w:ind w:left="24" w:right="163"/>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小巨人</w:t>
            </w:r>
            <w:r>
              <w:rPr>
                <w:rFonts w:ascii="Times New Roman" w:hAnsi="Times New Roman" w:cs="Times New Roman" w:eastAsia="Times New Roman" w:hint="default"/>
                <w:sz w:val="18"/>
                <w:szCs w:val="18"/>
              </w:rPr>
              <w:t>"</w:t>
            </w:r>
            <w:r>
              <w:rPr>
                <w:rFonts w:ascii="宋体" w:hAnsi="宋体" w:cs="宋体" w:eastAsia="宋体" w:hint="default"/>
                <w:sz w:val="18"/>
                <w:szCs w:val="18"/>
              </w:rPr>
              <w:t>项 目</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1,000,000.00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1,000,000.00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339"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29"/>
              <w:jc w:val="both"/>
              <w:rPr>
                <w:rFonts w:ascii="宋体" w:hAnsi="宋体" w:cs="宋体" w:eastAsia="宋体" w:hint="default"/>
                <w:sz w:val="18"/>
                <w:szCs w:val="18"/>
              </w:rPr>
            </w:pPr>
            <w:r>
              <w:rPr>
                <w:rFonts w:ascii="宋体" w:hAnsi="宋体" w:cs="宋体" w:eastAsia="宋体" w:hint="default"/>
                <w:sz w:val="18"/>
                <w:szCs w:val="18"/>
              </w:rPr>
              <w:t>合肥市科技 局关键技术 重大研发类 项目资金</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1,000,000.00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1,000,000.00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337"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29"/>
              <w:jc w:val="both"/>
              <w:rPr>
                <w:rFonts w:ascii="宋体" w:hAnsi="宋体" w:cs="宋体" w:eastAsia="宋体" w:hint="default"/>
                <w:sz w:val="18"/>
                <w:szCs w:val="18"/>
              </w:rPr>
            </w:pPr>
            <w:r>
              <w:rPr>
                <w:rFonts w:ascii="宋体" w:hAnsi="宋体" w:cs="宋体" w:eastAsia="宋体" w:hint="default"/>
                <w:sz w:val="18"/>
                <w:szCs w:val="18"/>
              </w:rPr>
              <w:t>星基相位增 强系统关键 技术与示范 项目</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500,000.00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500,000.00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027"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29"/>
              <w:jc w:val="both"/>
              <w:rPr>
                <w:rFonts w:ascii="宋体" w:hAnsi="宋体" w:cs="宋体" w:eastAsia="宋体" w:hint="default"/>
                <w:sz w:val="18"/>
                <w:szCs w:val="18"/>
              </w:rPr>
            </w:pPr>
            <w:r>
              <w:rPr>
                <w:rFonts w:ascii="宋体" w:hAnsi="宋体" w:cs="宋体" w:eastAsia="宋体" w:hint="default"/>
                <w:sz w:val="18"/>
                <w:szCs w:val="18"/>
              </w:rPr>
              <w:t>杨浦区科技 小巨人项目 专项补助</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250,000.00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250,000.00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986"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29"/>
              <w:jc w:val="both"/>
              <w:rPr>
                <w:rFonts w:ascii="宋体" w:hAnsi="宋体" w:cs="宋体" w:eastAsia="宋体" w:hint="default"/>
                <w:sz w:val="18"/>
                <w:szCs w:val="18"/>
              </w:rPr>
            </w:pPr>
            <w:r>
              <w:rPr>
                <w:rFonts w:ascii="宋体" w:hAnsi="宋体" w:cs="宋体" w:eastAsia="宋体" w:hint="default"/>
                <w:sz w:val="18"/>
                <w:szCs w:val="18"/>
              </w:rPr>
              <w:t>杨浦创新专 项资金出行 信息服务平</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6"/>
              <w:ind w:right="21"/>
              <w:jc w:val="right"/>
              <w:rPr>
                <w:rFonts w:ascii="Times New Roman" w:hAnsi="Times New Roman" w:cs="Times New Roman" w:eastAsia="Times New Roman" w:hint="default"/>
                <w:sz w:val="18"/>
                <w:szCs w:val="18"/>
              </w:rPr>
            </w:pPr>
            <w:r>
              <w:rPr>
                <w:rFonts w:ascii="Times New Roman"/>
                <w:spacing w:val="-1"/>
                <w:sz w:val="18"/>
              </w:rPr>
              <w:t>400,000.00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6"/>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6"/>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6"/>
              <w:ind w:right="16"/>
              <w:jc w:val="right"/>
              <w:rPr>
                <w:rFonts w:ascii="Times New Roman" w:hAnsi="Times New Roman" w:cs="Times New Roman" w:eastAsia="Times New Roman" w:hint="default"/>
                <w:sz w:val="18"/>
                <w:szCs w:val="18"/>
              </w:rPr>
            </w:pPr>
            <w:r>
              <w:rPr>
                <w:rFonts w:ascii="Times New Roman"/>
                <w:spacing w:val="-1"/>
                <w:sz w:val="18"/>
              </w:rPr>
              <w:t>200,000.00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6"/>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6"/>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6"/>
              <w:ind w:right="19"/>
              <w:jc w:val="right"/>
              <w:rPr>
                <w:rFonts w:ascii="Times New Roman" w:hAnsi="Times New Roman" w:cs="Times New Roman" w:eastAsia="Times New Roman" w:hint="default"/>
                <w:sz w:val="18"/>
                <w:szCs w:val="18"/>
              </w:rPr>
            </w:pPr>
            <w:r>
              <w:rPr>
                <w:rFonts w:ascii="Times New Roman"/>
                <w:spacing w:val="-1"/>
                <w:sz w:val="18"/>
              </w:rPr>
              <w:t>200,000.00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5"/>
                <w:szCs w:val="2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064"/>
        <w:gridCol w:w="1066"/>
        <w:gridCol w:w="1064"/>
        <w:gridCol w:w="1063"/>
        <w:gridCol w:w="1061"/>
        <w:gridCol w:w="1064"/>
        <w:gridCol w:w="1063"/>
        <w:gridCol w:w="1064"/>
        <w:gridCol w:w="1063"/>
      </w:tblGrid>
      <w:tr>
        <w:trPr>
          <w:trHeight w:val="363"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台</w:t>
            </w:r>
          </w:p>
        </w:tc>
        <w:tc>
          <w:tcPr>
            <w:tcW w:w="1066"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1337"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29"/>
              <w:jc w:val="both"/>
              <w:rPr>
                <w:rFonts w:ascii="宋体" w:hAnsi="宋体" w:cs="宋体" w:eastAsia="宋体" w:hint="default"/>
                <w:sz w:val="18"/>
                <w:szCs w:val="18"/>
              </w:rPr>
            </w:pPr>
            <w:r>
              <w:rPr>
                <w:rFonts w:ascii="宋体" w:hAnsi="宋体" w:cs="宋体" w:eastAsia="宋体" w:hint="default"/>
                <w:sz w:val="18"/>
                <w:szCs w:val="18"/>
              </w:rPr>
              <w:t>天津滨海高 新技术产业 开发区落户 项目</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12,000,000.0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-12,000,000.0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651"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29"/>
              <w:jc w:val="both"/>
              <w:rPr>
                <w:rFonts w:ascii="宋体" w:hAnsi="宋体" w:cs="宋体" w:eastAsia="宋体" w:hint="default"/>
                <w:sz w:val="18"/>
                <w:szCs w:val="18"/>
              </w:rPr>
            </w:pPr>
            <w:r>
              <w:rPr>
                <w:rFonts w:ascii="宋体" w:hAnsi="宋体" w:cs="宋体" w:eastAsia="宋体" w:hint="default"/>
                <w:sz w:val="18"/>
                <w:szCs w:val="18"/>
              </w:rPr>
              <w:t>上海交通大 数据服务平 台构建与应 用关键技术 研究项目</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3,962,264.04</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3,962,264.04</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025"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129"/>
              <w:jc w:val="both"/>
              <w:rPr>
                <w:rFonts w:ascii="宋体" w:hAnsi="宋体" w:cs="宋体" w:eastAsia="宋体" w:hint="default"/>
                <w:sz w:val="18"/>
                <w:szCs w:val="18"/>
              </w:rPr>
            </w:pPr>
            <w:r>
              <w:rPr>
                <w:rFonts w:ascii="宋体" w:hAnsi="宋体" w:cs="宋体" w:eastAsia="宋体" w:hint="default"/>
                <w:sz w:val="18"/>
                <w:szCs w:val="18"/>
              </w:rPr>
              <w:t>室内高精度 测图与实时 </w:t>
            </w:r>
            <w:r>
              <w:rPr>
                <w:rFonts w:ascii="Times New Roman" w:hAnsi="Times New Roman" w:cs="Times New Roman" w:eastAsia="Times New Roman" w:hint="default"/>
                <w:sz w:val="18"/>
                <w:szCs w:val="18"/>
              </w:rPr>
              <w:t>GIS</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技术</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1,204,000.00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-1,204,000.00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rFonts w:ascii="Times New Roman" w:hAnsi="Times New Roman" w:cs="Times New Roman" w:eastAsia="Times New Roman" w:hint="default"/>
        </w:rPr>
        <w:t>43</w:t>
      </w:r>
      <w:r>
        <w:rPr/>
        <w:t>、其他非流动负债</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rFonts w:ascii="Times New Roman" w:hAnsi="Times New Roman" w:cs="Times New Roman" w:eastAsia="Times New Roman" w:hint="default"/>
        </w:rPr>
        <w:t>44</w:t>
      </w:r>
      <w:r>
        <w:rPr/>
        <w:t>、股本</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184"/>
        <w:gridCol w:w="1368"/>
        <w:gridCol w:w="1265"/>
        <w:gridCol w:w="955"/>
        <w:gridCol w:w="1030"/>
        <w:gridCol w:w="1133"/>
        <w:gridCol w:w="1267"/>
        <w:gridCol w:w="1357"/>
      </w:tblGrid>
      <w:tr>
        <w:trPr>
          <w:trHeight w:val="206" w:hRule="exact"/>
        </w:trPr>
        <w:tc>
          <w:tcPr>
            <w:tcW w:w="1184" w:type="dxa"/>
            <w:tcBorders>
              <w:top w:val="single" w:sz="4" w:space="0" w:color="000000"/>
              <w:left w:val="single" w:sz="4" w:space="0" w:color="000000"/>
              <w:bottom w:val="nil" w:sz="6" w:space="0" w:color="auto"/>
              <w:right w:val="single" w:sz="4" w:space="0" w:color="000000"/>
            </w:tcBorders>
            <w:shd w:val="clear" w:color="auto" w:fill="D2D2D2"/>
          </w:tcPr>
          <w:p>
            <w:pPr/>
          </w:p>
        </w:tc>
        <w:tc>
          <w:tcPr>
            <w:tcW w:w="1368" w:type="dxa"/>
            <w:tcBorders>
              <w:top w:val="single" w:sz="4" w:space="0" w:color="000000"/>
              <w:left w:val="single" w:sz="4" w:space="0" w:color="000000"/>
              <w:bottom w:val="nil" w:sz="6" w:space="0" w:color="auto"/>
              <w:right w:val="single" w:sz="4" w:space="0" w:color="000000"/>
            </w:tcBorders>
            <w:shd w:val="clear" w:color="auto" w:fill="D2D2D2"/>
          </w:tcPr>
          <w:p>
            <w:pPr/>
          </w:p>
        </w:tc>
        <w:tc>
          <w:tcPr>
            <w:tcW w:w="5650" w:type="dxa"/>
            <w:gridSpan w:val="5"/>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867" w:right="0"/>
              <w:jc w:val="left"/>
              <w:rPr>
                <w:rFonts w:ascii="宋体" w:hAnsi="宋体" w:cs="宋体" w:eastAsia="宋体" w:hint="default"/>
                <w:sz w:val="18"/>
                <w:szCs w:val="18"/>
              </w:rPr>
            </w:pPr>
            <w:r>
              <w:rPr>
                <w:rFonts w:ascii="宋体" w:hAnsi="宋体" w:cs="宋体" w:eastAsia="宋体" w:hint="default"/>
                <w:sz w:val="18"/>
                <w:szCs w:val="18"/>
              </w:rPr>
              <w:t>本次变动增减（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357"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2" w:hRule="exact"/>
        </w:trPr>
        <w:tc>
          <w:tcPr>
            <w:tcW w:w="1184" w:type="dxa"/>
            <w:vMerge w:val="restart"/>
            <w:tcBorders>
              <w:top w:val="nil" w:sz="6" w:space="0" w:color="auto"/>
              <w:left w:val="single" w:sz="4" w:space="0" w:color="000000"/>
              <w:right w:val="single" w:sz="4" w:space="0" w:color="000000"/>
            </w:tcBorders>
            <w:shd w:val="clear" w:color="auto" w:fill="D2D2D2"/>
          </w:tcPr>
          <w:p>
            <w:pPr/>
          </w:p>
        </w:tc>
        <w:tc>
          <w:tcPr>
            <w:tcW w:w="136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31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5650" w:type="dxa"/>
            <w:gridSpan w:val="5"/>
            <w:vMerge/>
            <w:tcBorders>
              <w:left w:val="single" w:sz="4" w:space="0" w:color="000000"/>
              <w:bottom w:val="single" w:sz="4" w:space="0" w:color="000000"/>
              <w:right w:val="single" w:sz="4" w:space="0" w:color="000000"/>
            </w:tcBorders>
            <w:shd w:val="clear" w:color="auto" w:fill="D2D2D2"/>
          </w:tcPr>
          <w:p>
            <w:pPr/>
          </w:p>
        </w:tc>
        <w:tc>
          <w:tcPr>
            <w:tcW w:w="135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320"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9" w:hRule="exact"/>
        </w:trPr>
        <w:tc>
          <w:tcPr>
            <w:tcW w:w="1184" w:type="dxa"/>
            <w:vMerge/>
            <w:tcBorders>
              <w:left w:val="single" w:sz="4" w:space="0" w:color="000000"/>
              <w:bottom w:val="nil" w:sz="6" w:space="0" w:color="auto"/>
              <w:right w:val="single" w:sz="4" w:space="0" w:color="000000"/>
            </w:tcBorders>
            <w:shd w:val="clear" w:color="auto" w:fill="D2D2D2"/>
          </w:tcPr>
          <w:p>
            <w:pPr/>
          </w:p>
        </w:tc>
        <w:tc>
          <w:tcPr>
            <w:tcW w:w="1368" w:type="dxa"/>
            <w:vMerge/>
            <w:tcBorders>
              <w:left w:val="single" w:sz="4" w:space="0" w:color="000000"/>
              <w:bottom w:val="nil" w:sz="6" w:space="0" w:color="auto"/>
              <w:right w:val="single" w:sz="4" w:space="0" w:color="000000"/>
            </w:tcBorders>
            <w:shd w:val="clear" w:color="auto" w:fill="D2D2D2"/>
          </w:tcPr>
          <w:p>
            <w:pPr/>
          </w:p>
        </w:tc>
        <w:tc>
          <w:tcPr>
            <w:tcW w:w="12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62"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95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92"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103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59" w:right="0"/>
              <w:jc w:val="left"/>
              <w:rPr>
                <w:rFonts w:ascii="宋体" w:hAnsi="宋体" w:cs="宋体" w:eastAsia="宋体" w:hint="default"/>
                <w:sz w:val="18"/>
                <w:szCs w:val="18"/>
              </w:rPr>
            </w:pPr>
            <w:r>
              <w:rPr>
                <w:rFonts w:ascii="宋体" w:hAnsi="宋体" w:cs="宋体" w:eastAsia="宋体" w:hint="default"/>
                <w:sz w:val="18"/>
                <w:szCs w:val="18"/>
              </w:rPr>
              <w:t>公积金转股</w:t>
            </w:r>
          </w:p>
        </w:tc>
        <w:tc>
          <w:tcPr>
            <w:tcW w:w="113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2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0" w:right="0"/>
              <w:jc w:val="center"/>
              <w:rPr>
                <w:rFonts w:ascii="宋体" w:hAnsi="宋体" w:cs="宋体" w:eastAsia="宋体" w:hint="default"/>
                <w:sz w:val="18"/>
                <w:szCs w:val="18"/>
              </w:rPr>
            </w:pPr>
            <w:r>
              <w:rPr>
                <w:rFonts w:ascii="宋体" w:hAnsi="宋体" w:cs="宋体" w:eastAsia="宋体" w:hint="default"/>
                <w:sz w:val="18"/>
                <w:szCs w:val="18"/>
              </w:rPr>
              <w:t>小计</w:t>
            </w:r>
          </w:p>
        </w:tc>
        <w:tc>
          <w:tcPr>
            <w:tcW w:w="1357" w:type="dxa"/>
            <w:vMerge/>
            <w:tcBorders>
              <w:left w:val="single" w:sz="4" w:space="0" w:color="000000"/>
              <w:bottom w:val="nil" w:sz="6" w:space="0" w:color="auto"/>
              <w:right w:val="single" w:sz="4" w:space="0" w:color="000000"/>
            </w:tcBorders>
            <w:shd w:val="clear" w:color="auto" w:fill="D2D2D2"/>
          </w:tcPr>
          <w:p>
            <w:pPr/>
          </w:p>
        </w:tc>
      </w:tr>
      <w:tr>
        <w:trPr>
          <w:trHeight w:val="206" w:hRule="exact"/>
        </w:trPr>
        <w:tc>
          <w:tcPr>
            <w:tcW w:w="1184"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8" w:type="dxa"/>
            <w:tcBorders>
              <w:top w:val="nil" w:sz="6" w:space="0" w:color="auto"/>
              <w:left w:val="single" w:sz="4" w:space="0" w:color="000000"/>
              <w:bottom w:val="single" w:sz="4" w:space="0" w:color="000000"/>
              <w:right w:val="single" w:sz="4" w:space="0" w:color="000000"/>
            </w:tcBorders>
            <w:shd w:val="clear" w:color="auto" w:fill="D2D2D2"/>
          </w:tcPr>
          <w:p>
            <w:pPr/>
          </w:p>
        </w:tc>
        <w:tc>
          <w:tcPr>
            <w:tcW w:w="1265" w:type="dxa"/>
            <w:vMerge/>
            <w:tcBorders>
              <w:left w:val="single" w:sz="4" w:space="0" w:color="000000"/>
              <w:bottom w:val="single" w:sz="4" w:space="0" w:color="000000"/>
              <w:right w:val="single" w:sz="4" w:space="0" w:color="000000"/>
            </w:tcBorders>
            <w:shd w:val="clear" w:color="auto" w:fill="D2D2D2"/>
          </w:tcPr>
          <w:p>
            <w:pPr/>
          </w:p>
        </w:tc>
        <w:tc>
          <w:tcPr>
            <w:tcW w:w="955" w:type="dxa"/>
            <w:vMerge/>
            <w:tcBorders>
              <w:left w:val="single" w:sz="4" w:space="0" w:color="000000"/>
              <w:bottom w:val="single" w:sz="4" w:space="0" w:color="000000"/>
              <w:right w:val="single" w:sz="4" w:space="0" w:color="000000"/>
            </w:tcBorders>
            <w:shd w:val="clear" w:color="auto" w:fill="D2D2D2"/>
          </w:tcPr>
          <w:p>
            <w:pPr/>
          </w:p>
        </w:tc>
        <w:tc>
          <w:tcPr>
            <w:tcW w:w="1030" w:type="dxa"/>
            <w:vMerge/>
            <w:tcBorders>
              <w:left w:val="single" w:sz="4" w:space="0" w:color="000000"/>
              <w:bottom w:val="single" w:sz="4" w:space="0" w:color="000000"/>
              <w:right w:val="single" w:sz="4" w:space="0" w:color="000000"/>
            </w:tcBorders>
            <w:shd w:val="clear" w:color="auto" w:fill="D2D2D2"/>
          </w:tcPr>
          <w:p>
            <w:pPr/>
          </w:p>
        </w:tc>
        <w:tc>
          <w:tcPr>
            <w:tcW w:w="1133" w:type="dxa"/>
            <w:vMerge/>
            <w:tcBorders>
              <w:left w:val="single" w:sz="4" w:space="0" w:color="000000"/>
              <w:bottom w:val="single" w:sz="4" w:space="0" w:color="000000"/>
              <w:right w:val="single" w:sz="4" w:space="0" w:color="000000"/>
            </w:tcBorders>
            <w:shd w:val="clear" w:color="auto" w:fill="D2D2D2"/>
          </w:tcPr>
          <w:p>
            <w:pPr/>
          </w:p>
        </w:tc>
        <w:tc>
          <w:tcPr>
            <w:tcW w:w="1267" w:type="dxa"/>
            <w:vMerge/>
            <w:tcBorders>
              <w:left w:val="single" w:sz="4" w:space="0" w:color="000000"/>
              <w:bottom w:val="single" w:sz="4" w:space="0" w:color="000000"/>
              <w:right w:val="single" w:sz="4" w:space="0" w:color="000000"/>
            </w:tcBorders>
            <w:shd w:val="clear" w:color="auto" w:fill="D2D2D2"/>
          </w:tcPr>
          <w:p>
            <w:pPr/>
          </w:p>
        </w:tc>
        <w:tc>
          <w:tcPr>
            <w:tcW w:w="1357"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3" w:hRule="exact"/>
        </w:trPr>
        <w:tc>
          <w:tcPr>
            <w:tcW w:w="1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股份总数</w:t>
            </w:r>
          </w:p>
        </w:tc>
        <w:tc>
          <w:tcPr>
            <w:tcW w:w="1368"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left="53" w:right="0"/>
              <w:jc w:val="left"/>
              <w:rPr>
                <w:rFonts w:ascii="Times New Roman" w:hAnsi="Times New Roman" w:cs="Times New Roman" w:eastAsia="Times New Roman" w:hint="default"/>
                <w:sz w:val="18"/>
                <w:szCs w:val="18"/>
              </w:rPr>
            </w:pPr>
            <w:r>
              <w:rPr>
                <w:rFonts w:ascii="Times New Roman"/>
                <w:sz w:val="18"/>
              </w:rPr>
              <w:t>1,282,615,013.00</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96" w:right="0"/>
              <w:jc w:val="left"/>
              <w:rPr>
                <w:rFonts w:ascii="Times New Roman" w:hAnsi="Times New Roman" w:cs="Times New Roman" w:eastAsia="Times New Roman" w:hint="default"/>
                <w:sz w:val="18"/>
                <w:szCs w:val="18"/>
              </w:rPr>
            </w:pPr>
            <w:r>
              <w:rPr>
                <w:rFonts w:ascii="Times New Roman"/>
                <w:sz w:val="18"/>
              </w:rPr>
              <w:t>27,046,469.00</w:t>
            </w: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09" w:right="0"/>
              <w:jc w:val="left"/>
              <w:rPr>
                <w:rFonts w:ascii="Times New Roman" w:hAnsi="Times New Roman" w:cs="Times New Roman" w:eastAsia="Times New Roman" w:hint="default"/>
                <w:sz w:val="18"/>
                <w:szCs w:val="18"/>
              </w:rPr>
            </w:pPr>
            <w:r>
              <w:rPr>
                <w:rFonts w:ascii="Times New Roman"/>
                <w:sz w:val="18"/>
              </w:rPr>
              <w:t>0.00</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0" w:right="0"/>
              <w:jc w:val="left"/>
              <w:rPr>
                <w:rFonts w:ascii="Times New Roman" w:hAnsi="Times New Roman" w:cs="Times New Roman" w:eastAsia="Times New Roman" w:hint="default"/>
                <w:sz w:val="18"/>
                <w:szCs w:val="18"/>
              </w:rPr>
            </w:pPr>
            <w:r>
              <w:rPr>
                <w:rFonts w:ascii="Times New Roman"/>
                <w:sz w:val="18"/>
              </w:rPr>
              <w:t>-190,500.00</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8" w:right="0"/>
              <w:jc w:val="left"/>
              <w:rPr>
                <w:rFonts w:ascii="Times New Roman" w:hAnsi="Times New Roman" w:cs="Times New Roman" w:eastAsia="Times New Roman" w:hint="default"/>
                <w:sz w:val="18"/>
                <w:szCs w:val="18"/>
              </w:rPr>
            </w:pPr>
            <w:r>
              <w:rPr>
                <w:rFonts w:ascii="Times New Roman"/>
                <w:sz w:val="18"/>
              </w:rPr>
              <w:t>26,855,969.00</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5" w:right="0"/>
              <w:jc w:val="left"/>
              <w:rPr>
                <w:rFonts w:ascii="Times New Roman" w:hAnsi="Times New Roman" w:cs="Times New Roman" w:eastAsia="Times New Roman" w:hint="default"/>
                <w:sz w:val="18"/>
                <w:szCs w:val="18"/>
              </w:rPr>
            </w:pPr>
            <w:r>
              <w:rPr>
                <w:rFonts w:ascii="Times New Roman"/>
                <w:sz w:val="18"/>
              </w:rPr>
              <w:t>1,309,470,982.00</w:t>
            </w:r>
          </w:p>
        </w:tc>
      </w:tr>
    </w:tbl>
    <w:p>
      <w:pPr>
        <w:pStyle w:val="BodyText"/>
        <w:spacing w:line="240" w:lineRule="auto" w:before="49"/>
        <w:ind w:right="982"/>
        <w:jc w:val="left"/>
      </w:pPr>
      <w:r>
        <w:rPr/>
        <w:t>其他说明：</w:t>
      </w:r>
    </w:p>
    <w:p>
      <w:pPr>
        <w:spacing w:line="240" w:lineRule="auto" w:before="0"/>
        <w:rPr>
          <w:rFonts w:ascii="宋体" w:hAnsi="宋体" w:cs="宋体" w:eastAsia="宋体" w:hint="default"/>
          <w:sz w:val="15"/>
          <w:szCs w:val="15"/>
        </w:rPr>
      </w:pPr>
    </w:p>
    <w:p>
      <w:pPr>
        <w:pStyle w:val="BodyText"/>
        <w:spacing w:line="300" w:lineRule="auto"/>
        <w:ind w:right="1131" w:firstLine="439"/>
        <w:jc w:val="both"/>
      </w:pPr>
      <w:r>
        <w:rPr/>
        <w:t>注</w:t>
      </w:r>
      <w:r>
        <w:rPr>
          <w:rFonts w:ascii="Times New Roman" w:hAnsi="Times New Roman" w:cs="Times New Roman" w:eastAsia="Times New Roman" w:hint="default"/>
        </w:rPr>
        <w:t>1</w:t>
      </w:r>
      <w:r>
        <w:rPr/>
        <w:t>：</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11</w:t>
      </w:r>
      <w:r>
        <w:rPr/>
        <w:t>日，根据本公司第四届董事会第七次会议审议通过的《关于回购注销部分限制性股票的议案》，本 </w:t>
      </w:r>
      <w:r>
        <w:rPr>
          <w:spacing w:val="18"/>
        </w:rPr>
        <w:t>公司申请减少注册资本人民币</w:t>
      </w:r>
      <w:r>
        <w:rPr>
          <w:spacing w:val="-67"/>
        </w:rPr>
        <w:t> </w:t>
      </w:r>
      <w:r>
        <w:rPr>
          <w:rFonts w:ascii="Times New Roman" w:hAnsi="Times New Roman" w:cs="Times New Roman" w:eastAsia="Times New Roman" w:hint="default"/>
        </w:rPr>
        <w:t>190,500.00</w:t>
      </w:r>
      <w:r>
        <w:rPr>
          <w:rFonts w:ascii="Times New Roman" w:hAnsi="Times New Roman" w:cs="Times New Roman" w:eastAsia="Times New Roman" w:hint="default"/>
          <w:spacing w:val="-24"/>
        </w:rPr>
        <w:t> </w:t>
      </w:r>
      <w:r>
        <w:rPr>
          <w:spacing w:val="10"/>
        </w:rPr>
        <w:t>元，</w:t>
      </w:r>
      <w:r>
        <w:rPr>
          <w:spacing w:val="-71"/>
        </w:rPr>
        <w:t> </w:t>
      </w:r>
      <w:r>
        <w:rPr>
          <w:spacing w:val="18"/>
        </w:rPr>
        <w:t>回购有限售条件股份</w:t>
      </w:r>
      <w:r>
        <w:rPr>
          <w:spacing w:val="-67"/>
        </w:rPr>
        <w:t> </w:t>
      </w:r>
      <w:r>
        <w:rPr>
          <w:rFonts w:ascii="Times New Roman" w:hAnsi="Times New Roman" w:cs="Times New Roman" w:eastAsia="Times New Roman" w:hint="default"/>
        </w:rPr>
        <w:t>190,500</w:t>
      </w:r>
      <w:r>
        <w:rPr>
          <w:rFonts w:ascii="Times New Roman" w:hAnsi="Times New Roman" w:cs="Times New Roman" w:eastAsia="Times New Roman" w:hint="default"/>
          <w:spacing w:val="-25"/>
        </w:rPr>
        <w:t> </w:t>
      </w:r>
      <w:r>
        <w:rPr>
          <w:spacing w:val="17"/>
        </w:rPr>
        <w:t>股后予以注销，</w:t>
      </w:r>
      <w:r>
        <w:rPr>
          <w:spacing w:val="-69"/>
        </w:rPr>
        <w:t> </w:t>
      </w:r>
      <w:r>
        <w:rPr>
          <w:spacing w:val="18"/>
        </w:rPr>
        <w:t>变更后本公司的股本为</w:t>
      </w:r>
      <w:r>
        <w:rPr/>
        <w:t> </w:t>
      </w:r>
      <w:r>
        <w:rPr>
          <w:rFonts w:ascii="Times New Roman" w:hAnsi="Times New Roman" w:cs="Times New Roman" w:eastAsia="Times New Roman" w:hint="default"/>
        </w:rPr>
        <w:t>1,282,424,513.00</w:t>
      </w:r>
      <w:r>
        <w:rPr/>
        <w:t>元。此次变更业经信永中和会计师事务所（特殊普通合伙）出具</w:t>
      </w:r>
      <w:r>
        <w:rPr>
          <w:rFonts w:ascii="Times New Roman" w:hAnsi="Times New Roman" w:cs="Times New Roman" w:eastAsia="Times New Roman" w:hint="default"/>
        </w:rPr>
        <w:t>“XYZH/2018BJA70221”</w:t>
      </w:r>
      <w:r>
        <w:rPr>
          <w:rFonts w:ascii="Times New Roman" w:hAnsi="Times New Roman" w:cs="Times New Roman" w:eastAsia="Times New Roman" w:hint="default"/>
          <w:spacing w:val="9"/>
        </w:rPr>
        <w:t> </w:t>
      </w:r>
      <w:r>
        <w:rPr/>
        <w:t>号验资报告予以审 验。</w:t>
      </w:r>
    </w:p>
    <w:p>
      <w:pPr>
        <w:pStyle w:val="BodyText"/>
        <w:spacing w:line="240" w:lineRule="auto" w:before="151"/>
        <w:ind w:left="592" w:right="982"/>
        <w:jc w:val="left"/>
      </w:pPr>
      <w:r>
        <w:rPr/>
        <w:t>注</w:t>
      </w:r>
      <w:r>
        <w:rPr>
          <w:rFonts w:ascii="Times New Roman" w:hAnsi="Times New Roman" w:cs="Times New Roman" w:eastAsia="Times New Roman" w:hint="default"/>
        </w:rPr>
        <w:t>2</w:t>
      </w:r>
      <w:r>
        <w:rPr/>
        <w:t>：经本公司</w:t>
      </w:r>
      <w:r>
        <w:rPr>
          <w:rFonts w:ascii="Times New Roman" w:hAnsi="Times New Roman" w:cs="Times New Roman" w:eastAsia="Times New Roman" w:hint="default"/>
        </w:rPr>
        <w:t>2018</w:t>
      </w:r>
      <w:r>
        <w:rPr/>
        <w:t>年第一次临时股东大会审议通过的《北京四维图新科技股份有限公司</w:t>
      </w:r>
      <w:r>
        <w:rPr>
          <w:rFonts w:ascii="Times New Roman" w:hAnsi="Times New Roman" w:cs="Times New Roman" w:eastAsia="Times New Roman" w:hint="default"/>
        </w:rPr>
        <w:t>2018</w:t>
      </w:r>
      <w:r>
        <w:rPr/>
        <w:t>年度限制性股票激励计划</w:t>
      </w:r>
    </w:p>
    <w:p>
      <w:pPr>
        <w:pStyle w:val="BodyText"/>
        <w:spacing w:line="300" w:lineRule="auto" w:before="63"/>
        <w:ind w:right="982"/>
        <w:jc w:val="left"/>
      </w:pPr>
      <w:r>
        <w:rPr>
          <w:spacing w:val="-2"/>
        </w:rPr>
        <w:t>（草案修订稿）》及其摘要、第四届董事会第九次会议审议通过的《关于向</w:t>
      </w:r>
      <w:r>
        <w:rPr>
          <w:rFonts w:ascii="Times New Roman" w:hAnsi="Times New Roman" w:cs="Times New Roman" w:eastAsia="Times New Roman" w:hint="default"/>
          <w:spacing w:val="-2"/>
        </w:rPr>
        <w:t>2018</w:t>
      </w:r>
      <w:r>
        <w:rPr>
          <w:spacing w:val="-2"/>
        </w:rPr>
        <w:t>年限制性股票激励计划激励对象首次授予限</w:t>
      </w:r>
      <w:r>
        <w:rPr>
          <w:spacing w:val="-62"/>
        </w:rPr>
        <w:t> </w:t>
      </w:r>
      <w:r>
        <w:rPr>
          <w:spacing w:val="-62"/>
        </w:rPr>
      </w:r>
      <w:r>
        <w:rPr/>
        <w:t>制性股票的议案》，本公司以</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11</w:t>
      </w:r>
      <w:r>
        <w:rPr/>
        <w:t>日为授予日，按</w:t>
      </w:r>
      <w:r>
        <w:rPr>
          <w:rFonts w:ascii="Times New Roman" w:hAnsi="Times New Roman" w:cs="Times New Roman" w:eastAsia="Times New Roman" w:hint="default"/>
        </w:rPr>
        <w:t>12.15</w:t>
      </w:r>
      <w:r>
        <w:rPr/>
        <w:t>元</w:t>
      </w:r>
      <w:r>
        <w:rPr>
          <w:rFonts w:ascii="Times New Roman" w:hAnsi="Times New Roman" w:cs="Times New Roman" w:eastAsia="Times New Roman" w:hint="default"/>
        </w:rPr>
        <w:t>/</w:t>
      </w:r>
      <w:r>
        <w:rPr/>
        <w:t>股授予价格，拟向</w:t>
      </w:r>
      <w:r>
        <w:rPr>
          <w:rFonts w:ascii="Times New Roman" w:hAnsi="Times New Roman" w:cs="Times New Roman" w:eastAsia="Times New Roman" w:hint="default"/>
        </w:rPr>
        <w:t>385</w:t>
      </w:r>
      <w:r>
        <w:rPr/>
        <w:t>名激励对象授予</w:t>
      </w:r>
      <w:r>
        <w:rPr>
          <w:rFonts w:ascii="Times New Roman" w:hAnsi="Times New Roman" w:cs="Times New Roman" w:eastAsia="Times New Roman" w:hint="default"/>
        </w:rPr>
        <w:t>2,945</w:t>
      </w:r>
      <w:r>
        <w:rPr/>
        <w:t>万股限制性股 票。截至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26</w:t>
      </w:r>
      <w:r>
        <w:rPr/>
        <w:t>日止，本公司已收到</w:t>
      </w:r>
      <w:r>
        <w:rPr>
          <w:rFonts w:ascii="Times New Roman" w:hAnsi="Times New Roman" w:cs="Times New Roman" w:eastAsia="Times New Roman" w:hint="default"/>
        </w:rPr>
        <w:t>360</w:t>
      </w:r>
      <w:r>
        <w:rPr/>
        <w:t>名激励对象缴付的</w:t>
      </w:r>
      <w:r>
        <w:rPr>
          <w:rFonts w:ascii="Times New Roman" w:hAnsi="Times New Roman" w:cs="Times New Roman" w:eastAsia="Times New Roman" w:hint="default"/>
        </w:rPr>
        <w:t>27,046,469</w:t>
      </w:r>
      <w:r>
        <w:rPr/>
        <w:t>股限制性股票的出资款人民币</w:t>
      </w:r>
      <w:r>
        <w:rPr>
          <w:rFonts w:ascii="Times New Roman" w:hAnsi="Times New Roman" w:cs="Times New Roman" w:eastAsia="Times New Roman" w:hint="default"/>
        </w:rPr>
        <w:t>328,614,598.35</w:t>
      </w:r>
      <w:r>
        <w:rPr/>
        <w:t>元，</w:t>
      </w:r>
      <w:r>
        <w:rPr>
          <w:spacing w:val="-51"/>
        </w:rPr>
        <w:t> </w:t>
      </w:r>
      <w:r>
        <w:rPr>
          <w:spacing w:val="-2"/>
        </w:rPr>
        <w:t>其余</w:t>
      </w:r>
      <w:r>
        <w:rPr>
          <w:rFonts w:ascii="Times New Roman" w:hAnsi="Times New Roman" w:cs="Times New Roman" w:eastAsia="Times New Roman" w:hint="default"/>
          <w:spacing w:val="-2"/>
        </w:rPr>
        <w:t>25</w:t>
      </w:r>
      <w:r>
        <w:rPr>
          <w:spacing w:val="-2"/>
        </w:rPr>
        <w:t>名激励对象放弃本次限制性股权激励资格。本次实际增加股本人民币</w:t>
      </w:r>
      <w:r>
        <w:rPr>
          <w:rFonts w:ascii="Times New Roman" w:hAnsi="Times New Roman" w:cs="Times New Roman" w:eastAsia="Times New Roman" w:hint="default"/>
          <w:spacing w:val="-2"/>
        </w:rPr>
        <w:t>27,046,469.00</w:t>
      </w:r>
      <w:r>
        <w:rPr>
          <w:spacing w:val="-2"/>
        </w:rPr>
        <w:t>元，其余</w:t>
      </w:r>
      <w:r>
        <w:rPr>
          <w:rFonts w:ascii="Times New Roman" w:hAnsi="Times New Roman" w:cs="Times New Roman" w:eastAsia="Times New Roman" w:hint="default"/>
          <w:spacing w:val="-2"/>
        </w:rPr>
        <w:t>301,568,129.35</w:t>
      </w:r>
      <w:r>
        <w:rPr>
          <w:spacing w:val="-2"/>
        </w:rPr>
        <w:t>元作为股本</w:t>
      </w:r>
      <w:r>
        <w:rPr>
          <w:spacing w:val="-42"/>
        </w:rPr>
        <w:t> </w:t>
      </w:r>
      <w:r>
        <w:rPr>
          <w:spacing w:val="-42"/>
        </w:rPr>
      </w:r>
      <w:r>
        <w:rPr>
          <w:spacing w:val="-3"/>
        </w:rPr>
        <w:t>溢价，变更后的股本为</w:t>
      </w:r>
      <w:r>
        <w:rPr>
          <w:rFonts w:ascii="Times New Roman" w:hAnsi="Times New Roman" w:cs="Times New Roman" w:eastAsia="Times New Roman" w:hint="default"/>
          <w:spacing w:val="-3"/>
        </w:rPr>
        <w:t>1,309,470,982.00</w:t>
      </w:r>
      <w:r>
        <w:rPr>
          <w:spacing w:val="-3"/>
        </w:rPr>
        <w:t>元。此次变更业经信永中和会计师事务所（特殊普通合伙）出具</w:t>
      </w:r>
      <w:r>
        <w:rPr>
          <w:rFonts w:ascii="Times New Roman" w:hAnsi="Times New Roman" w:cs="Times New Roman" w:eastAsia="Times New Roman" w:hint="default"/>
          <w:spacing w:val="-3"/>
        </w:rPr>
        <w:t>XYZH/2018BJA70228</w:t>
      </w:r>
      <w:r>
        <w:rPr>
          <w:rFonts w:ascii="Times New Roman" w:hAnsi="Times New Roman" w:cs="Times New Roman" w:eastAsia="Times New Roman" w:hint="default"/>
          <w:spacing w:val="17"/>
        </w:rPr>
        <w:t> </w:t>
      </w:r>
      <w:r>
        <w:rPr>
          <w:rFonts w:ascii="Times New Roman" w:hAnsi="Times New Roman" w:cs="Times New Roman" w:eastAsia="Times New Roman" w:hint="default"/>
          <w:spacing w:val="17"/>
        </w:rPr>
      </w:r>
      <w:r>
        <w:rPr/>
        <w:t>号《验资报告》予以审验。</w:t>
      </w:r>
    </w:p>
    <w:p>
      <w:pPr>
        <w:spacing w:line="240" w:lineRule="auto" w:before="10"/>
        <w:rPr>
          <w:rFonts w:ascii="宋体" w:hAnsi="宋体" w:cs="宋体" w:eastAsia="宋体" w:hint="default"/>
          <w:sz w:val="23"/>
          <w:szCs w:val="23"/>
        </w:rPr>
      </w:pPr>
    </w:p>
    <w:p>
      <w:pPr>
        <w:pStyle w:val="Heading4"/>
        <w:spacing w:line="240" w:lineRule="auto"/>
        <w:ind w:right="982"/>
        <w:jc w:val="left"/>
        <w:rPr>
          <w:b w:val="0"/>
          <w:bCs w:val="0"/>
        </w:rPr>
      </w:pPr>
      <w:r>
        <w:rPr>
          <w:rFonts w:ascii="Times New Roman" w:hAnsi="Times New Roman" w:cs="Times New Roman" w:eastAsia="Times New Roman" w:hint="default"/>
        </w:rPr>
        <w:t>45</w:t>
      </w:r>
      <w:r>
        <w:rPr/>
        <w:t>、其他权益工具</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982"/>
        <w:jc w:val="left"/>
      </w:pPr>
      <w:r>
        <w:rPr/>
        <w:t>无</w:t>
      </w:r>
    </w:p>
    <w:p>
      <w:pPr>
        <w:spacing w:after="0" w:line="240" w:lineRule="auto"/>
        <w:jc w:val="left"/>
        <w:sectPr>
          <w:pgSz w:w="11910" w:h="16840"/>
          <w:pgMar w:header="745" w:footer="979"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2"/>
        <w:jc w:val="left"/>
        <w:rPr>
          <w:b w:val="0"/>
          <w:bCs w:val="0"/>
        </w:rPr>
      </w:pPr>
      <w:r>
        <w:rPr>
          <w:rFonts w:ascii="Times New Roman" w:hAnsi="Times New Roman" w:cs="Times New Roman" w:eastAsia="Times New Roman" w:hint="default"/>
        </w:rPr>
        <w:t>46</w:t>
      </w:r>
      <w:r>
        <w:rPr/>
        <w:t>、资本公积</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889"/>
        <w:gridCol w:w="1928"/>
        <w:gridCol w:w="1916"/>
        <w:gridCol w:w="1913"/>
        <w:gridCol w:w="1916"/>
      </w:tblGrid>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0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资本溢价（股本溢价）</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4,169,945,144.05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403,389,872.82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1,439,214.86</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4,571,895,802.01</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其他资本公积</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35,578,687.03</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28,367,309.50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42,037,727.51</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21,908,269.02</w:t>
            </w:r>
          </w:p>
        </w:tc>
      </w:tr>
      <w:tr>
        <w:trPr>
          <w:trHeight w:val="401"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4,205,523,831.08</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431,757,182.32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43,476,942.37</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4,593,804,071.03</w:t>
            </w:r>
          </w:p>
        </w:tc>
      </w:tr>
    </w:tbl>
    <w:p>
      <w:pPr>
        <w:pStyle w:val="BodyText"/>
        <w:spacing w:line="240" w:lineRule="auto" w:before="49"/>
        <w:ind w:right="982"/>
        <w:jc w:val="left"/>
      </w:pPr>
      <w:r>
        <w:rPr/>
        <w:t>其他说明，包括本期增减变动情况、变动原因说明：</w:t>
      </w:r>
    </w:p>
    <w:p>
      <w:pPr>
        <w:spacing w:line="240" w:lineRule="auto" w:before="3"/>
        <w:rPr>
          <w:rFonts w:ascii="宋体" w:hAnsi="宋体" w:cs="宋体" w:eastAsia="宋体" w:hint="default"/>
          <w:sz w:val="15"/>
          <w:szCs w:val="15"/>
        </w:rPr>
      </w:pPr>
    </w:p>
    <w:p>
      <w:pPr>
        <w:pStyle w:val="BodyText"/>
        <w:spacing w:line="240" w:lineRule="auto"/>
        <w:ind w:left="513" w:right="982"/>
        <w:jc w:val="left"/>
      </w:pPr>
      <w:r>
        <w:rPr/>
        <w:t>注</w:t>
      </w:r>
      <w:r>
        <w:rPr>
          <w:rFonts w:ascii="Times New Roman" w:hAnsi="Times New Roman" w:cs="Times New Roman" w:eastAsia="Times New Roman" w:hint="default"/>
        </w:rPr>
        <w:t>1</w:t>
      </w:r>
      <w:r>
        <w:rPr/>
        <w:t>：如本附注</w:t>
      </w:r>
      <w:r>
        <w:rPr>
          <w:rFonts w:ascii="Times New Roman" w:hAnsi="Times New Roman" w:cs="Times New Roman" w:eastAsia="Times New Roman" w:hint="default"/>
        </w:rPr>
        <w:t>“</w:t>
      </w:r>
      <w:r>
        <w:rPr/>
        <w:t>七</w:t>
      </w:r>
      <w:r>
        <w:rPr>
          <w:rFonts w:ascii="Times New Roman" w:hAnsi="Times New Roman" w:cs="Times New Roman" w:eastAsia="Times New Roman" w:hint="default"/>
        </w:rPr>
        <w:t>.44”</w:t>
      </w:r>
      <w:r>
        <w:rPr/>
        <w:t>注</w:t>
      </w:r>
      <w:r>
        <w:rPr>
          <w:rFonts w:ascii="Times New Roman" w:hAnsi="Times New Roman" w:cs="Times New Roman" w:eastAsia="Times New Roman" w:hint="default"/>
        </w:rPr>
        <w:t>2</w:t>
      </w:r>
      <w:r>
        <w:rPr/>
        <w:t>所述，本报告期公司</w:t>
      </w:r>
      <w:r>
        <w:rPr>
          <w:rFonts w:ascii="Times New Roman" w:hAnsi="Times New Roman" w:cs="Times New Roman" w:eastAsia="Times New Roman" w:hint="default"/>
        </w:rPr>
        <w:t>2018</w:t>
      </w:r>
      <w:r>
        <w:rPr/>
        <w:t>年限制性股票完成股权登记，增加股本人民币</w:t>
      </w:r>
      <w:r>
        <w:rPr>
          <w:rFonts w:ascii="Times New Roman" w:hAnsi="Times New Roman" w:cs="Times New Roman" w:eastAsia="Times New Roman" w:hint="default"/>
        </w:rPr>
        <w:t>27,046,469.00</w:t>
      </w:r>
      <w:r>
        <w:rPr/>
        <w:t>元，其余</w:t>
      </w:r>
    </w:p>
    <w:p>
      <w:pPr>
        <w:pStyle w:val="BodyText"/>
        <w:spacing w:line="240" w:lineRule="auto" w:before="60"/>
        <w:ind w:right="982"/>
        <w:jc w:val="left"/>
      </w:pPr>
      <w:r>
        <w:rPr>
          <w:rFonts w:ascii="Times New Roman" w:hAnsi="Times New Roman" w:cs="Times New Roman" w:eastAsia="Times New Roman" w:hint="default"/>
        </w:rPr>
        <w:t>301,568,129.35</w:t>
      </w:r>
      <w:r>
        <w:rPr/>
        <w:t>元增加资本公积（股本溢价）。</w:t>
      </w:r>
    </w:p>
    <w:p>
      <w:pPr>
        <w:spacing w:line="240" w:lineRule="auto" w:before="0"/>
        <w:rPr>
          <w:rFonts w:ascii="宋体" w:hAnsi="宋体" w:cs="宋体" w:eastAsia="宋体" w:hint="default"/>
          <w:sz w:val="14"/>
          <w:szCs w:val="14"/>
        </w:rPr>
      </w:pPr>
    </w:p>
    <w:p>
      <w:pPr>
        <w:pStyle w:val="BodyText"/>
        <w:spacing w:line="300" w:lineRule="auto"/>
        <w:ind w:right="1131" w:firstLine="360"/>
        <w:jc w:val="both"/>
      </w:pPr>
      <w:r>
        <w:rPr>
          <w:spacing w:val="9"/>
        </w:rPr>
        <w:t>注</w:t>
      </w:r>
      <w:r>
        <w:rPr>
          <w:rFonts w:ascii="Times New Roman" w:hAnsi="Times New Roman" w:cs="Times New Roman" w:eastAsia="Times New Roman" w:hint="default"/>
          <w:spacing w:val="9"/>
        </w:rPr>
        <w:t>2</w:t>
      </w:r>
      <w:r>
        <w:rPr>
          <w:spacing w:val="9"/>
        </w:rPr>
        <w:t>：本报告期，本公司预留限制性股票股权激励因满足解锁条件，相应解锁</w:t>
      </w:r>
      <w:r>
        <w:rPr>
          <w:spacing w:val="-62"/>
        </w:rPr>
        <w:t> </w:t>
      </w:r>
      <w:r>
        <w:rPr>
          <w:rFonts w:ascii="Times New Roman" w:hAnsi="Times New Roman" w:cs="Times New Roman" w:eastAsia="Times New Roman" w:hint="default"/>
          <w:spacing w:val="6"/>
        </w:rPr>
        <w:t>977.665</w:t>
      </w:r>
      <w:r>
        <w:rPr>
          <w:spacing w:val="6"/>
        </w:rPr>
        <w:t>万股，将其对应的资本溢价</w:t>
      </w:r>
      <w:r>
        <w:rPr/>
        <w:t> </w:t>
      </w:r>
      <w:r>
        <w:rPr>
          <w:rFonts w:ascii="Times New Roman" w:hAnsi="Times New Roman" w:cs="Times New Roman" w:eastAsia="Times New Roman" w:hint="default"/>
        </w:rPr>
        <w:t>42,037,727.51</w:t>
      </w:r>
      <w:r>
        <w:rPr/>
        <w:t>元，从资本公积（其他资本公积）转入资本公积（股本溢价）。</w:t>
      </w:r>
    </w:p>
    <w:p>
      <w:pPr>
        <w:pStyle w:val="BodyText"/>
        <w:spacing w:line="300" w:lineRule="auto" w:before="133"/>
        <w:ind w:right="1042" w:firstLine="360"/>
        <w:jc w:val="both"/>
      </w:pPr>
      <w:r>
        <w:rPr/>
        <w:t>注</w:t>
      </w:r>
      <w:r>
        <w:rPr>
          <w:rFonts w:ascii="Times New Roman" w:hAnsi="Times New Roman" w:cs="Times New Roman" w:eastAsia="Times New Roman" w:hint="default"/>
        </w:rPr>
        <w:t>3</w:t>
      </w:r>
      <w:r>
        <w:rPr/>
        <w:t>：本报告期，本公司下属子公司中寰卫星导航通信有限公司（以下简称中寰卫星）新股东增资，本公司股权比例自 </w:t>
      </w:r>
      <w:r>
        <w:rPr>
          <w:rFonts w:ascii="Times New Roman" w:hAnsi="Times New Roman" w:cs="Times New Roman" w:eastAsia="Times New Roman" w:hint="default"/>
        </w:rPr>
        <w:t>76.32%</w:t>
      </w:r>
      <w:r>
        <w:rPr/>
        <w:t>被稀释至</w:t>
      </w:r>
      <w:r>
        <w:rPr>
          <w:rFonts w:ascii="Times New Roman" w:hAnsi="Times New Roman" w:cs="Times New Roman" w:eastAsia="Times New Roman" w:hint="default"/>
        </w:rPr>
        <w:t>47.88%</w:t>
      </w:r>
      <w:r>
        <w:rPr/>
        <w:t>，但未丧失对中寰卫星的控制权（未丧失控制权原因见本附注</w:t>
      </w:r>
      <w:r>
        <w:rPr>
          <w:rFonts w:ascii="Times New Roman" w:hAnsi="Times New Roman" w:cs="Times New Roman" w:eastAsia="Times New Roman" w:hint="default"/>
        </w:rPr>
        <w:t>“</w:t>
      </w:r>
      <w:r>
        <w:rPr/>
        <w:t>九、</w:t>
      </w:r>
      <w:r>
        <w:rPr>
          <w:rFonts w:ascii="Times New Roman" w:hAnsi="Times New Roman" w:cs="Times New Roman" w:eastAsia="Times New Roman" w:hint="default"/>
        </w:rPr>
        <w:t>2</w:t>
      </w:r>
      <w:r>
        <w:rPr/>
        <w:t>、（</w:t>
      </w:r>
      <w:r>
        <w:rPr>
          <w:rFonts w:ascii="Times New Roman" w:hAnsi="Times New Roman" w:cs="Times New Roman" w:eastAsia="Times New Roman" w:hint="default"/>
        </w:rPr>
        <w:t>1</w:t>
      </w:r>
      <w:r>
        <w:rPr/>
        <w:t>）在子公司所有者权益份 额发生变化且仍控制子公司的交易</w:t>
      </w:r>
      <w:r>
        <w:rPr>
          <w:rFonts w:ascii="Times New Roman" w:hAnsi="Times New Roman" w:cs="Times New Roman" w:eastAsia="Times New Roman" w:hint="default"/>
        </w:rPr>
        <w:t>”  </w:t>
      </w:r>
      <w:r>
        <w:rPr>
          <w:rFonts w:ascii="Times New Roman" w:hAnsi="Times New Roman" w:cs="Times New Roman" w:eastAsia="Times New Roman" w:hint="default"/>
          <w:spacing w:val="7"/>
        </w:rPr>
        <w:t> </w:t>
      </w:r>
      <w:r>
        <w:rPr/>
        <w:t>所述），对应享有中寰卫星净资产的变动增加资本公积（股本溢价）</w:t>
      </w:r>
      <w:r>
        <w:rPr>
          <w:rFonts w:ascii="Times New Roman" w:hAnsi="Times New Roman" w:cs="Times New Roman" w:eastAsia="Times New Roman" w:hint="default"/>
        </w:rPr>
        <w:t>13,344,762.03</w:t>
      </w:r>
      <w:r>
        <w:rPr/>
        <w:t>元。</w:t>
      </w:r>
    </w:p>
    <w:p>
      <w:pPr>
        <w:pStyle w:val="BodyText"/>
        <w:spacing w:line="300" w:lineRule="auto" w:before="133"/>
        <w:ind w:right="982" w:firstLine="360"/>
        <w:jc w:val="left"/>
      </w:pPr>
      <w:r>
        <w:rPr/>
        <w:t>注</w:t>
      </w:r>
      <w:r>
        <w:rPr>
          <w:spacing w:val="-60"/>
        </w:rPr>
        <w:t> </w:t>
      </w:r>
      <w:r>
        <w:rPr>
          <w:rFonts w:ascii="Times New Roman" w:hAnsi="Times New Roman" w:cs="Times New Roman" w:eastAsia="Times New Roman" w:hint="default"/>
        </w:rPr>
        <w:t>4</w:t>
      </w:r>
      <w:r>
        <w:rPr>
          <w:rFonts w:ascii="Times New Roman" w:hAnsi="Times New Roman" w:cs="Times New Roman" w:eastAsia="Times New Roman" w:hint="default"/>
          <w:spacing w:val="-14"/>
        </w:rPr>
        <w:t> </w:t>
      </w:r>
      <w:r>
        <w:rPr>
          <w:spacing w:val="27"/>
        </w:rPr>
        <w:t>：本报告期，本公</w:t>
      </w:r>
      <w:r>
        <w:rPr>
          <w:spacing w:val="-63"/>
        </w:rPr>
        <w:t> </w:t>
      </w:r>
      <w:r>
        <w:rPr>
          <w:spacing w:val="15"/>
        </w:rPr>
        <w:t>司下</w:t>
      </w:r>
      <w:r>
        <w:rPr>
          <w:spacing w:val="-63"/>
        </w:rPr>
        <w:t> </w:t>
      </w:r>
      <w:r>
        <w:rPr>
          <w:spacing w:val="23"/>
        </w:rPr>
        <w:t>属子公司</w:t>
      </w:r>
      <w:r>
        <w:rPr>
          <w:spacing w:val="-60"/>
        </w:rPr>
        <w:t> </w:t>
      </w:r>
      <w:r>
        <w:rPr>
          <w:rFonts w:ascii="Times New Roman" w:hAnsi="Times New Roman" w:cs="Times New Roman" w:eastAsia="Times New Roman" w:hint="default"/>
        </w:rPr>
        <w:t>Mapbar</w:t>
      </w:r>
      <w:r>
        <w:rPr>
          <w:rFonts w:ascii="Times New Roman" w:hAnsi="Times New Roman" w:cs="Times New Roman" w:eastAsia="Times New Roman" w:hint="default"/>
          <w:spacing w:val="12"/>
        </w:rPr>
        <w:t> </w:t>
      </w:r>
      <w:r>
        <w:rPr>
          <w:rFonts w:ascii="Times New Roman" w:hAnsi="Times New Roman" w:cs="Times New Roman" w:eastAsia="Times New Roman" w:hint="default"/>
        </w:rPr>
        <w:t>Technology</w:t>
      </w:r>
      <w:r>
        <w:rPr>
          <w:rFonts w:ascii="Times New Roman" w:hAnsi="Times New Roman" w:cs="Times New Roman" w:eastAsia="Times New Roman" w:hint="default"/>
          <w:spacing w:val="10"/>
        </w:rPr>
        <w:t> </w:t>
      </w:r>
      <w:r>
        <w:rPr>
          <w:rFonts w:ascii="Times New Roman" w:hAnsi="Times New Roman" w:cs="Times New Roman" w:eastAsia="Times New Roman" w:hint="default"/>
        </w:rPr>
        <w:t>Limited</w:t>
      </w:r>
      <w:r>
        <w:rPr>
          <w:rFonts w:ascii="Times New Roman" w:hAnsi="Times New Roman" w:cs="Times New Roman" w:eastAsia="Times New Roman" w:hint="default"/>
          <w:spacing w:val="-12"/>
        </w:rPr>
        <w:t> </w:t>
      </w:r>
      <w:r>
        <w:rPr>
          <w:spacing w:val="29"/>
        </w:rPr>
        <w:t>由于第三方增资丧失控制权，增加资本溢</w:t>
      </w:r>
      <w:r>
        <w:rPr>
          <w:spacing w:val="-59"/>
        </w:rPr>
        <w:t> </w:t>
      </w:r>
      <w:r>
        <w:rPr/>
        <w:t>价</w:t>
      </w:r>
      <w:r>
        <w:rPr>
          <w:rFonts w:ascii="Times New Roman" w:hAnsi="Times New Roman" w:cs="Times New Roman" w:eastAsia="Times New Roman" w:hint="default"/>
        </w:rPr>
        <w:t>46,439,253.93</w:t>
      </w:r>
      <w:r>
        <w:rPr/>
        <w:t>元。</w:t>
      </w:r>
    </w:p>
    <w:p>
      <w:pPr>
        <w:pStyle w:val="BodyText"/>
        <w:spacing w:line="300" w:lineRule="auto" w:before="133"/>
        <w:ind w:right="1189" w:firstLine="360"/>
        <w:jc w:val="left"/>
      </w:pPr>
      <w:r>
        <w:rPr/>
        <w:t>注</w:t>
      </w:r>
      <w:r>
        <w:rPr>
          <w:rFonts w:ascii="Times New Roman" w:hAnsi="Times New Roman" w:cs="Times New Roman" w:eastAsia="Times New Roman" w:hint="default"/>
        </w:rPr>
        <w:t>5</w:t>
      </w:r>
      <w:r>
        <w:rPr/>
        <w:t>：如本附注</w:t>
      </w:r>
      <w:r>
        <w:rPr>
          <w:rFonts w:ascii="Times New Roman" w:hAnsi="Times New Roman" w:cs="Times New Roman" w:eastAsia="Times New Roman" w:hint="default"/>
        </w:rPr>
        <w:t>“</w:t>
      </w:r>
      <w:r>
        <w:rPr/>
        <w:t>七</w:t>
      </w:r>
      <w:r>
        <w:rPr>
          <w:rFonts w:ascii="Times New Roman" w:hAnsi="Times New Roman" w:cs="Times New Roman" w:eastAsia="Times New Roman" w:hint="default"/>
        </w:rPr>
        <w:t>.44”</w:t>
      </w:r>
      <w:r>
        <w:rPr/>
        <w:t>注</w:t>
      </w:r>
      <w:r>
        <w:rPr>
          <w:rFonts w:ascii="Times New Roman" w:hAnsi="Times New Roman" w:cs="Times New Roman" w:eastAsia="Times New Roman" w:hint="default"/>
        </w:rPr>
        <w:t>1</w:t>
      </w:r>
      <w:r>
        <w:rPr/>
        <w:t>所述，本报告期本公司回购</w:t>
      </w:r>
      <w:r>
        <w:rPr>
          <w:rFonts w:ascii="Times New Roman" w:hAnsi="Times New Roman" w:cs="Times New Roman" w:eastAsia="Times New Roman" w:hint="default"/>
        </w:rPr>
        <w:t>190,500</w:t>
      </w:r>
      <w:r>
        <w:rPr/>
        <w:t>股限制性股票并予以注销，减少资本公积（股本溢价）</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rFonts w:ascii="Times New Roman" w:hAnsi="Times New Roman" w:cs="Times New Roman" w:eastAsia="Times New Roman" w:hint="default"/>
        </w:rPr>
        <w:t>227,905.85</w:t>
      </w:r>
      <w:r>
        <w:rPr/>
        <w:t>元。</w:t>
      </w:r>
    </w:p>
    <w:p>
      <w:pPr>
        <w:pStyle w:val="BodyText"/>
        <w:spacing w:line="300" w:lineRule="auto" w:before="133"/>
        <w:ind w:right="977" w:firstLine="360"/>
        <w:jc w:val="left"/>
      </w:pPr>
      <w:r>
        <w:rPr>
          <w:spacing w:val="-4"/>
        </w:rPr>
        <w:t>注</w:t>
      </w:r>
      <w:r>
        <w:rPr>
          <w:rFonts w:ascii="Times New Roman" w:hAnsi="Times New Roman" w:cs="Times New Roman" w:eastAsia="Times New Roman" w:hint="default"/>
          <w:spacing w:val="-4"/>
        </w:rPr>
        <w:t>6</w:t>
      </w:r>
      <w:r>
        <w:rPr>
          <w:spacing w:val="-4"/>
        </w:rPr>
        <w:t>：本报告期，本公司下属子公司世纪高通收购另一子公司长沙海图之小股东股权，本公司对长沙海图持股比例自</w:t>
      </w:r>
      <w:r>
        <w:rPr>
          <w:rFonts w:ascii="Times New Roman" w:hAnsi="Times New Roman" w:cs="Times New Roman" w:eastAsia="Times New Roman" w:hint="default"/>
          <w:spacing w:val="-4"/>
        </w:rPr>
        <w:t>51.00%</w:t>
      </w:r>
      <w:r>
        <w:rPr>
          <w:rFonts w:ascii="Times New Roman" w:hAnsi="Times New Roman" w:cs="Times New Roman" w:eastAsia="Times New Roman" w:hint="default"/>
        </w:rPr>
        <w:t> </w:t>
      </w:r>
      <w:r>
        <w:rPr/>
        <w:t>上升至</w:t>
      </w:r>
      <w:r>
        <w:rPr>
          <w:rFonts w:ascii="Times New Roman" w:hAnsi="Times New Roman" w:cs="Times New Roman" w:eastAsia="Times New Roman" w:hint="default"/>
        </w:rPr>
        <w:t>85.03%</w:t>
      </w:r>
      <w:r>
        <w:rPr/>
        <w:t>，对应享有长沙海图净资产的变动减少资本公积（股本溢价）</w:t>
      </w:r>
      <w:r>
        <w:rPr>
          <w:rFonts w:ascii="Times New Roman" w:hAnsi="Times New Roman" w:cs="Times New Roman" w:eastAsia="Times New Roman" w:hint="default"/>
        </w:rPr>
        <w:t>211,309.01</w:t>
      </w:r>
      <w:r>
        <w:rPr/>
        <w:t>元。</w:t>
      </w:r>
    </w:p>
    <w:p>
      <w:pPr>
        <w:pStyle w:val="BodyText"/>
        <w:spacing w:line="300" w:lineRule="auto" w:before="133"/>
        <w:ind w:right="1135" w:firstLine="360"/>
        <w:jc w:val="both"/>
      </w:pPr>
      <w:r>
        <w:rPr/>
        <w:t>注</w:t>
      </w:r>
      <w:r>
        <w:rPr>
          <w:rFonts w:ascii="Times New Roman" w:hAnsi="Times New Roman" w:cs="Times New Roman" w:eastAsia="Times New Roman" w:hint="default"/>
        </w:rPr>
        <w:t>7</w:t>
      </w:r>
      <w:r>
        <w:rPr/>
        <w:t>：本报告期，本公司确认股权激励成本导致增加资本公积（其他资本公积）</w:t>
      </w:r>
      <w:r>
        <w:rPr>
          <w:rFonts w:ascii="Times New Roman" w:hAnsi="Times New Roman" w:cs="Times New Roman" w:eastAsia="Times New Roman" w:hint="default"/>
        </w:rPr>
        <w:t>27,590,209.50</w:t>
      </w:r>
      <w:r>
        <w:rPr/>
        <w:t>元，本公司下属子公司中 寰卫星确认股权激励成本导致增加资本公积（其他资本公积）</w:t>
      </w:r>
      <w:r>
        <w:rPr>
          <w:rFonts w:ascii="Times New Roman" w:hAnsi="Times New Roman" w:cs="Times New Roman" w:eastAsia="Times New Roman" w:hint="default"/>
        </w:rPr>
        <w:t>777,100.00</w:t>
      </w:r>
      <w:r>
        <w:rPr/>
        <w:t>元。</w:t>
      </w:r>
    </w:p>
    <w:p>
      <w:pPr>
        <w:spacing w:line="240" w:lineRule="auto" w:before="4"/>
        <w:rPr>
          <w:rFonts w:ascii="宋体" w:hAnsi="宋体" w:cs="宋体" w:eastAsia="宋体" w:hint="default"/>
          <w:sz w:val="22"/>
          <w:szCs w:val="22"/>
        </w:rPr>
      </w:pPr>
    </w:p>
    <w:p>
      <w:pPr>
        <w:pStyle w:val="Heading4"/>
        <w:spacing w:line="240" w:lineRule="auto"/>
        <w:ind w:right="982"/>
        <w:jc w:val="left"/>
        <w:rPr>
          <w:b w:val="0"/>
          <w:bCs w:val="0"/>
        </w:rPr>
      </w:pPr>
      <w:r>
        <w:rPr>
          <w:rFonts w:ascii="Times New Roman" w:hAnsi="Times New Roman" w:cs="Times New Roman" w:eastAsia="Times New Roman" w:hint="default"/>
        </w:rPr>
        <w:t>47</w:t>
      </w:r>
      <w:r>
        <w:rPr/>
        <w:t>、库存股</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913"/>
        <w:gridCol w:w="1916"/>
        <w:gridCol w:w="1916"/>
        <w:gridCol w:w="1913"/>
        <w:gridCol w:w="1916"/>
      </w:tblGrid>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限制性股票回购义务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77,973,177.02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328,614,598.35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76,836,709.07</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329,751,066.30</w:t>
            </w:r>
          </w:p>
        </w:tc>
      </w:tr>
      <w:tr>
        <w:trPr>
          <w:trHeight w:val="404"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库存股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30,001,482.59</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30,001,482.59</w:t>
            </w: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77,973,177.02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358,616,080.94</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76,836,709.07</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359,752,548.89</w:t>
            </w:r>
          </w:p>
        </w:tc>
      </w:tr>
    </w:tbl>
    <w:p>
      <w:pPr>
        <w:pStyle w:val="BodyText"/>
        <w:spacing w:line="240" w:lineRule="auto" w:before="49"/>
        <w:ind w:right="982"/>
        <w:jc w:val="left"/>
      </w:pPr>
      <w:r>
        <w:rPr/>
        <w:t>其他说明，包括本期增减变动情况、变动原因说明：</w:t>
      </w:r>
    </w:p>
    <w:p>
      <w:pPr>
        <w:spacing w:line="240" w:lineRule="auto" w:before="3"/>
        <w:rPr>
          <w:rFonts w:ascii="宋体" w:hAnsi="宋体" w:cs="宋体" w:eastAsia="宋体" w:hint="default"/>
          <w:sz w:val="15"/>
          <w:szCs w:val="15"/>
        </w:rPr>
      </w:pPr>
    </w:p>
    <w:p>
      <w:pPr>
        <w:pStyle w:val="BodyText"/>
        <w:spacing w:line="297" w:lineRule="auto"/>
        <w:ind w:right="1124" w:firstLine="360"/>
        <w:jc w:val="left"/>
        <w:rPr>
          <w:rFonts w:ascii="Times New Roman" w:hAnsi="Times New Roman" w:cs="Times New Roman" w:eastAsia="Times New Roman" w:hint="default"/>
        </w:rPr>
      </w:pPr>
      <w:r>
        <w:rPr/>
        <w:t>注</w:t>
      </w:r>
      <w:r>
        <w:rPr>
          <w:rFonts w:ascii="Times New Roman" w:hAnsi="Times New Roman" w:cs="Times New Roman" w:eastAsia="Times New Roman" w:hint="default"/>
        </w:rPr>
        <w:t>1</w:t>
      </w:r>
      <w:r>
        <w:rPr/>
        <w:t>：如本附注</w:t>
      </w:r>
      <w:r>
        <w:rPr>
          <w:rFonts w:ascii="Times New Roman" w:hAnsi="Times New Roman" w:cs="Times New Roman" w:eastAsia="Times New Roman" w:hint="default"/>
        </w:rPr>
        <w:t>“</w:t>
      </w:r>
      <w:r>
        <w:rPr/>
        <w:t>七</w:t>
      </w:r>
      <w:r>
        <w:rPr>
          <w:rFonts w:ascii="Times New Roman" w:hAnsi="Times New Roman" w:cs="Times New Roman" w:eastAsia="Times New Roman" w:hint="default"/>
        </w:rPr>
        <w:t>.44”</w:t>
      </w:r>
      <w:r>
        <w:rPr/>
        <w:t>注</w:t>
      </w:r>
      <w:r>
        <w:rPr>
          <w:rFonts w:ascii="Times New Roman" w:hAnsi="Times New Roman" w:cs="Times New Roman" w:eastAsia="Times New Roman" w:hint="default"/>
        </w:rPr>
        <w:t>2</w:t>
      </w:r>
      <w:r>
        <w:rPr/>
        <w:t>所述，本报告期公司</w:t>
      </w:r>
      <w:r>
        <w:rPr>
          <w:rFonts w:ascii="Times New Roman" w:hAnsi="Times New Roman" w:cs="Times New Roman" w:eastAsia="Times New Roman" w:hint="default"/>
        </w:rPr>
        <w:t>2018</w:t>
      </w:r>
      <w:r>
        <w:rPr/>
        <w:t>年限制性股票完成股权登记致限制性股票回购义务增加</w:t>
      </w:r>
      <w:r>
        <w:rPr>
          <w:rFonts w:ascii="Times New Roman" w:hAnsi="Times New Roman" w:cs="Times New Roman" w:eastAsia="Times New Roman" w:hint="default"/>
        </w:rPr>
        <w:t>328,614,598. 35</w:t>
      </w:r>
      <w:r>
        <w:rPr/>
        <w:t>元；因回购限制性股票导致限制性股票回购义务减少</w:t>
      </w:r>
      <w:r>
        <w:rPr>
          <w:rFonts w:ascii="Times New Roman" w:hAnsi="Times New Roman" w:cs="Times New Roman" w:eastAsia="Times New Roman" w:hint="default"/>
        </w:rPr>
        <w:t>1,418,405.85</w:t>
      </w:r>
      <w:r>
        <w:rPr/>
        <w:t>元，因限制性股票解锁导致限制性股票回购义务减少</w:t>
      </w:r>
      <w:r>
        <w:rPr>
          <w:rFonts w:ascii="Times New Roman" w:hAnsi="Times New Roman" w:cs="Times New Roman" w:eastAsia="Times New Roman" w:hint="default"/>
        </w:rPr>
        <w:t>75,</w:t>
      </w:r>
    </w:p>
    <w:p>
      <w:pPr>
        <w:pStyle w:val="BodyText"/>
        <w:spacing w:line="240" w:lineRule="auto" w:before="15"/>
        <w:ind w:right="982"/>
        <w:jc w:val="left"/>
      </w:pPr>
      <w:r>
        <w:rPr>
          <w:rFonts w:ascii="Times New Roman" w:hAnsi="Times New Roman" w:cs="Times New Roman" w:eastAsia="Times New Roman" w:hint="default"/>
        </w:rPr>
        <w:t>064,898.42</w:t>
      </w:r>
      <w:r>
        <w:rPr/>
        <w:t>元，因未解锁股票期间宣告分红视同可撤销现金股利导致限制性股票回购义务减少</w:t>
      </w:r>
      <w:r>
        <w:rPr>
          <w:rFonts w:ascii="Times New Roman" w:hAnsi="Times New Roman" w:cs="Times New Roman" w:eastAsia="Times New Roman" w:hint="default"/>
        </w:rPr>
        <w:t>353,404.80</w:t>
      </w:r>
      <w:r>
        <w:rPr/>
        <w:t>元。</w:t>
      </w:r>
    </w:p>
    <w:p>
      <w:pPr>
        <w:spacing w:line="240" w:lineRule="auto" w:before="13"/>
        <w:rPr>
          <w:rFonts w:ascii="宋体" w:hAnsi="宋体" w:cs="宋体" w:eastAsia="宋体" w:hint="default"/>
          <w:sz w:val="13"/>
          <w:szCs w:val="13"/>
        </w:rPr>
      </w:pPr>
    </w:p>
    <w:p>
      <w:pPr>
        <w:pStyle w:val="BodyText"/>
        <w:spacing w:line="240" w:lineRule="auto"/>
        <w:ind w:left="513" w:right="982"/>
        <w:jc w:val="left"/>
      </w:pPr>
      <w:r>
        <w:rPr/>
        <w:t>注</w:t>
      </w:r>
      <w:r>
        <w:rPr>
          <w:rFonts w:ascii="Times New Roman" w:hAnsi="Times New Roman" w:cs="Times New Roman" w:eastAsia="Times New Roman" w:hint="default"/>
        </w:rPr>
        <w:t>2</w:t>
      </w:r>
      <w:r>
        <w:rPr/>
        <w:t>：本报告期公司分别于第四届董事会第十二次会议和 </w:t>
      </w:r>
      <w:r>
        <w:rPr>
          <w:rFonts w:ascii="Times New Roman" w:hAnsi="Times New Roman" w:cs="Times New Roman" w:eastAsia="Times New Roman" w:hint="default"/>
        </w:rPr>
        <w:t>2018 </w:t>
      </w:r>
      <w:r>
        <w:rPr>
          <w:rFonts w:ascii="Times New Roman" w:hAnsi="Times New Roman" w:cs="Times New Roman" w:eastAsia="Times New Roman" w:hint="default"/>
          <w:spacing w:val="2"/>
        </w:rPr>
        <w:t> </w:t>
      </w:r>
      <w:r>
        <w:rPr/>
        <w:t>年第三次临时股东大会审议通过了《关于公司回购股份</w:t>
      </w:r>
    </w:p>
    <w:p>
      <w:pPr>
        <w:pStyle w:val="BodyText"/>
        <w:spacing w:line="300" w:lineRule="auto" w:before="62"/>
        <w:ind w:right="1120"/>
        <w:jc w:val="left"/>
      </w:pPr>
      <w:r>
        <w:rPr>
          <w:spacing w:val="-3"/>
        </w:rPr>
        <w:t>的预案》，并于</w:t>
      </w:r>
      <w:r>
        <w:rPr>
          <w:rFonts w:ascii="Times New Roman" w:hAnsi="Times New Roman" w:cs="Times New Roman" w:eastAsia="Times New Roman" w:hint="default"/>
          <w:spacing w:val="-3"/>
        </w:rPr>
        <w:t>2018</w:t>
      </w:r>
      <w:r>
        <w:rPr>
          <w:spacing w:val="-3"/>
        </w:rPr>
        <w:t>年</w:t>
      </w:r>
      <w:r>
        <w:rPr>
          <w:rFonts w:ascii="Times New Roman" w:hAnsi="Times New Roman" w:cs="Times New Roman" w:eastAsia="Times New Roman" w:hint="default"/>
          <w:spacing w:val="-3"/>
        </w:rPr>
        <w:t>12</w:t>
      </w:r>
      <w:r>
        <w:rPr>
          <w:spacing w:val="-3"/>
        </w:rPr>
        <w:t>月实施股份回购，截至 </w:t>
      </w:r>
      <w:r>
        <w:rPr>
          <w:rFonts w:ascii="Times New Roman" w:hAnsi="Times New Roman" w:cs="Times New Roman" w:eastAsia="Times New Roman" w:hint="default"/>
        </w:rPr>
        <w:t>2018</w:t>
      </w:r>
      <w:r>
        <w:rPr/>
        <w:t>年 </w:t>
      </w:r>
      <w:r>
        <w:rPr>
          <w:rFonts w:ascii="Times New Roman" w:hAnsi="Times New Roman" w:cs="Times New Roman" w:eastAsia="Times New Roman" w:hint="default"/>
        </w:rPr>
        <w:t>12 </w:t>
      </w:r>
      <w:r>
        <w:rPr/>
        <w:t>月 </w:t>
      </w:r>
      <w:r>
        <w:rPr>
          <w:rFonts w:ascii="Times New Roman" w:hAnsi="Times New Roman" w:cs="Times New Roman" w:eastAsia="Times New Roman" w:hint="default"/>
        </w:rPr>
        <w:t>31</w:t>
      </w:r>
      <w:r>
        <w:rPr>
          <w:rFonts w:ascii="Times New Roman" w:hAnsi="Times New Roman" w:cs="Times New Roman" w:eastAsia="Times New Roman" w:hint="default"/>
          <w:spacing w:val="-11"/>
        </w:rPr>
        <w:t> </w:t>
      </w:r>
      <w:r>
        <w:rPr/>
        <w:t>日，公司通过回购专用证券账户以集中竞价交易方式累计 回购股份</w:t>
      </w:r>
      <w:r>
        <w:rPr>
          <w:rFonts w:ascii="Times New Roman" w:hAnsi="Times New Roman" w:cs="Times New Roman" w:eastAsia="Times New Roman" w:hint="default"/>
        </w:rPr>
        <w:t>1,962,700 </w:t>
      </w:r>
      <w:r>
        <w:rPr/>
        <w:t>股，总金额为</w:t>
      </w:r>
      <w:r>
        <w:rPr>
          <w:rFonts w:ascii="Times New Roman" w:hAnsi="Times New Roman" w:cs="Times New Roman" w:eastAsia="Times New Roman" w:hint="default"/>
        </w:rPr>
        <w:t>30,001,482.59</w:t>
      </w:r>
      <w:r>
        <w:rPr>
          <w:rFonts w:ascii="Times New Roman" w:hAnsi="Times New Roman" w:cs="Times New Roman" w:eastAsia="Times New Roman" w:hint="default"/>
          <w:spacing w:val="40"/>
        </w:rPr>
        <w:t> </w:t>
      </w:r>
      <w:r>
        <w:rPr/>
        <w:t>元，致库存股增加</w:t>
      </w:r>
      <w:r>
        <w:rPr>
          <w:rFonts w:ascii="Times New Roman" w:hAnsi="Times New Roman" w:cs="Times New Roman" w:eastAsia="Times New Roman" w:hint="default"/>
        </w:rPr>
        <w:t>30,001,482.59</w:t>
      </w:r>
      <w:r>
        <w:rPr/>
        <w:t>元。</w:t>
      </w:r>
    </w:p>
    <w:p>
      <w:pPr>
        <w:spacing w:after="0" w:line="300" w:lineRule="auto"/>
        <w:jc w:val="left"/>
        <w:sectPr>
          <w:pgSz w:w="11910" w:h="16840"/>
          <w:pgMar w:header="745" w:footer="979"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2"/>
        <w:jc w:val="left"/>
        <w:rPr>
          <w:b w:val="0"/>
          <w:bCs w:val="0"/>
        </w:rPr>
      </w:pPr>
      <w:r>
        <w:rPr>
          <w:rFonts w:ascii="Times New Roman" w:hAnsi="Times New Roman" w:cs="Times New Roman" w:eastAsia="Times New Roman" w:hint="default"/>
        </w:rPr>
        <w:t>48</w:t>
      </w:r>
      <w:r>
        <w:rPr/>
        <w:t>、其他综合收益</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788"/>
        <w:gridCol w:w="1079"/>
        <w:gridCol w:w="936"/>
        <w:gridCol w:w="1152"/>
        <w:gridCol w:w="934"/>
        <w:gridCol w:w="936"/>
        <w:gridCol w:w="937"/>
        <w:gridCol w:w="797"/>
      </w:tblGrid>
      <w:tr>
        <w:trPr>
          <w:trHeight w:val="398" w:hRule="exact"/>
        </w:trPr>
        <w:tc>
          <w:tcPr>
            <w:tcW w:w="2788" w:type="dxa"/>
            <w:vMerge w:val="restart"/>
            <w:tcBorders>
              <w:top w:val="single" w:sz="4" w:space="0" w:color="000000"/>
              <w:left w:val="single" w:sz="4" w:space="0" w:color="000000"/>
              <w:right w:val="single" w:sz="4" w:space="0" w:color="000000"/>
            </w:tcBorders>
            <w:shd w:val="clear" w:color="auto" w:fill="D2D2D2"/>
          </w:tcPr>
          <w:p>
            <w:pPr/>
          </w:p>
        </w:tc>
        <w:tc>
          <w:tcPr>
            <w:tcW w:w="1079" w:type="dxa"/>
            <w:vMerge w:val="restart"/>
            <w:tcBorders>
              <w:top w:val="single" w:sz="4" w:space="0" w:color="000000"/>
              <w:left w:val="single" w:sz="4" w:space="0" w:color="000000"/>
              <w:right w:val="single" w:sz="4" w:space="0" w:color="000000"/>
            </w:tcBorders>
            <w:shd w:val="clear" w:color="auto" w:fill="D2D2D2"/>
          </w:tcPr>
          <w:p>
            <w:pPr/>
          </w:p>
        </w:tc>
        <w:tc>
          <w:tcPr>
            <w:tcW w:w="4895"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797" w:type="dxa"/>
            <w:vMerge w:val="restart"/>
            <w:tcBorders>
              <w:top w:val="single" w:sz="4" w:space="0" w:color="000000"/>
              <w:left w:val="single" w:sz="4" w:space="0" w:color="000000"/>
              <w:right w:val="single" w:sz="4" w:space="0" w:color="000000"/>
            </w:tcBorders>
            <w:shd w:val="clear" w:color="auto" w:fill="D2D2D2"/>
          </w:tcPr>
          <w:p>
            <w:pPr/>
          </w:p>
        </w:tc>
      </w:tr>
      <w:tr>
        <w:trPr>
          <w:trHeight w:val="120" w:hRule="exact"/>
        </w:trPr>
        <w:tc>
          <w:tcPr>
            <w:tcW w:w="2788" w:type="dxa"/>
            <w:vMerge/>
            <w:tcBorders>
              <w:left w:val="single" w:sz="4" w:space="0" w:color="000000"/>
              <w:bottom w:val="nil" w:sz="6" w:space="0" w:color="auto"/>
              <w:right w:val="single" w:sz="4" w:space="0" w:color="000000"/>
            </w:tcBorders>
            <w:shd w:val="clear" w:color="auto" w:fill="D2D2D2"/>
          </w:tcPr>
          <w:p>
            <w:pPr/>
          </w:p>
        </w:tc>
        <w:tc>
          <w:tcPr>
            <w:tcW w:w="1079" w:type="dxa"/>
            <w:vMerge/>
            <w:tcBorders>
              <w:left w:val="single" w:sz="4" w:space="0" w:color="000000"/>
              <w:bottom w:val="nil" w:sz="6" w:space="0" w:color="auto"/>
              <w:right w:val="single" w:sz="4" w:space="0" w:color="000000"/>
            </w:tcBorders>
            <w:shd w:val="clear" w:color="auto" w:fill="D2D2D2"/>
          </w:tcPr>
          <w:p>
            <w:pPr/>
          </w:p>
        </w:tc>
        <w:tc>
          <w:tcPr>
            <w:tcW w:w="93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3"/>
              <w:ind w:left="103" w:right="101"/>
              <w:jc w:val="center"/>
              <w:rPr>
                <w:rFonts w:ascii="宋体" w:hAnsi="宋体" w:cs="宋体" w:eastAsia="宋体" w:hint="default"/>
                <w:sz w:val="18"/>
                <w:szCs w:val="18"/>
              </w:rPr>
            </w:pPr>
            <w:r>
              <w:rPr>
                <w:rFonts w:ascii="宋体" w:hAnsi="宋体" w:cs="宋体" w:eastAsia="宋体" w:hint="default"/>
                <w:sz w:val="18"/>
                <w:szCs w:val="18"/>
              </w:rPr>
              <w:t>本期所得 税前发生 额</w:t>
            </w:r>
          </w:p>
        </w:tc>
        <w:tc>
          <w:tcPr>
            <w:tcW w:w="115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3"/>
              <w:ind w:left="31" w:right="29"/>
              <w:jc w:val="both"/>
              <w:rPr>
                <w:rFonts w:ascii="宋体" w:hAnsi="宋体" w:cs="宋体" w:eastAsia="宋体" w:hint="default"/>
                <w:sz w:val="18"/>
                <w:szCs w:val="18"/>
              </w:rPr>
            </w:pPr>
            <w:r>
              <w:rPr>
                <w:rFonts w:ascii="宋体" w:hAnsi="宋体" w:cs="宋体" w:eastAsia="宋体" w:hint="default"/>
                <w:sz w:val="18"/>
                <w:szCs w:val="18"/>
              </w:rPr>
              <w:t>减：前期计入 其他综合收益 当期转入损益</w:t>
            </w:r>
          </w:p>
        </w:tc>
        <w:tc>
          <w:tcPr>
            <w:tcW w:w="934" w:type="dxa"/>
            <w:tcBorders>
              <w:top w:val="single" w:sz="4" w:space="0" w:color="000000"/>
              <w:left w:val="single" w:sz="4" w:space="0" w:color="000000"/>
              <w:bottom w:val="nil" w:sz="6" w:space="0" w:color="auto"/>
              <w:right w:val="single" w:sz="4" w:space="0" w:color="000000"/>
            </w:tcBorders>
            <w:shd w:val="clear" w:color="auto" w:fill="D2D2D2"/>
          </w:tcPr>
          <w:p>
            <w:pPr/>
          </w:p>
        </w:tc>
        <w:tc>
          <w:tcPr>
            <w:tcW w:w="936" w:type="dxa"/>
            <w:tcBorders>
              <w:top w:val="single" w:sz="4" w:space="0" w:color="000000"/>
              <w:left w:val="single" w:sz="4" w:space="0" w:color="000000"/>
              <w:bottom w:val="nil" w:sz="6" w:space="0" w:color="auto"/>
              <w:right w:val="single" w:sz="4" w:space="0" w:color="000000"/>
            </w:tcBorders>
            <w:shd w:val="clear" w:color="auto" w:fill="D2D2D2"/>
          </w:tcPr>
          <w:p>
            <w:pPr/>
          </w:p>
        </w:tc>
        <w:tc>
          <w:tcPr>
            <w:tcW w:w="937"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3"/>
              <w:ind w:left="105" w:right="99"/>
              <w:jc w:val="center"/>
              <w:rPr>
                <w:rFonts w:ascii="宋体" w:hAnsi="宋体" w:cs="宋体" w:eastAsia="宋体" w:hint="default"/>
                <w:sz w:val="18"/>
                <w:szCs w:val="18"/>
              </w:rPr>
            </w:pPr>
            <w:r>
              <w:rPr>
                <w:rFonts w:ascii="宋体" w:hAnsi="宋体" w:cs="宋体" w:eastAsia="宋体" w:hint="default"/>
                <w:sz w:val="18"/>
                <w:szCs w:val="18"/>
              </w:rPr>
              <w:t>税后归属 于少数股 东</w:t>
            </w:r>
          </w:p>
        </w:tc>
        <w:tc>
          <w:tcPr>
            <w:tcW w:w="797" w:type="dxa"/>
            <w:vMerge/>
            <w:tcBorders>
              <w:left w:val="single" w:sz="4" w:space="0" w:color="000000"/>
              <w:bottom w:val="nil" w:sz="6" w:space="0" w:color="auto"/>
              <w:right w:val="single" w:sz="4" w:space="0" w:color="000000"/>
            </w:tcBorders>
            <w:shd w:val="clear" w:color="auto" w:fill="D2D2D2"/>
          </w:tcPr>
          <w:p>
            <w:pPr/>
          </w:p>
        </w:tc>
      </w:tr>
      <w:tr>
        <w:trPr>
          <w:trHeight w:val="368" w:hRule="exact"/>
        </w:trPr>
        <w:tc>
          <w:tcPr>
            <w:tcW w:w="278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07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81"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936" w:type="dxa"/>
            <w:vMerge/>
            <w:tcBorders>
              <w:left w:val="single" w:sz="4" w:space="0" w:color="000000"/>
              <w:right w:val="single" w:sz="4" w:space="0" w:color="000000"/>
            </w:tcBorders>
            <w:shd w:val="clear" w:color="auto" w:fill="D2D2D2"/>
          </w:tcPr>
          <w:p>
            <w:pPr/>
          </w:p>
        </w:tc>
        <w:tc>
          <w:tcPr>
            <w:tcW w:w="1152" w:type="dxa"/>
            <w:vMerge/>
            <w:tcBorders>
              <w:left w:val="single" w:sz="4" w:space="0" w:color="000000"/>
              <w:right w:val="single" w:sz="4" w:space="0" w:color="000000"/>
            </w:tcBorders>
            <w:shd w:val="clear" w:color="auto" w:fill="D2D2D2"/>
          </w:tcPr>
          <w:p>
            <w:pPr/>
          </w:p>
        </w:tc>
        <w:tc>
          <w:tcPr>
            <w:tcW w:w="934"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71"/>
              <w:ind w:left="283" w:right="19" w:hanging="260"/>
              <w:jc w:val="left"/>
              <w:rPr>
                <w:rFonts w:ascii="宋体" w:hAnsi="宋体" w:cs="宋体" w:eastAsia="宋体" w:hint="default"/>
                <w:sz w:val="18"/>
                <w:szCs w:val="18"/>
              </w:rPr>
            </w:pPr>
            <w:r>
              <w:rPr>
                <w:rFonts w:ascii="宋体" w:hAnsi="宋体" w:cs="宋体" w:eastAsia="宋体" w:hint="default"/>
                <w:spacing w:val="-5"/>
                <w:sz w:val="18"/>
                <w:szCs w:val="18"/>
              </w:rPr>
              <w:t>减：所得税</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费用</w:t>
            </w:r>
          </w:p>
        </w:tc>
        <w:tc>
          <w:tcPr>
            <w:tcW w:w="936"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71"/>
              <w:ind w:left="105" w:right="98"/>
              <w:jc w:val="left"/>
              <w:rPr>
                <w:rFonts w:ascii="宋体" w:hAnsi="宋体" w:cs="宋体" w:eastAsia="宋体" w:hint="default"/>
                <w:sz w:val="18"/>
                <w:szCs w:val="18"/>
              </w:rPr>
            </w:pPr>
            <w:r>
              <w:rPr>
                <w:rFonts w:ascii="宋体" w:hAnsi="宋体" w:cs="宋体" w:eastAsia="宋体" w:hint="default"/>
                <w:sz w:val="18"/>
                <w:szCs w:val="18"/>
              </w:rPr>
              <w:t>税后归属 于母公司</w:t>
            </w:r>
          </w:p>
        </w:tc>
        <w:tc>
          <w:tcPr>
            <w:tcW w:w="937" w:type="dxa"/>
            <w:vMerge/>
            <w:tcBorders>
              <w:left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26"/>
              <w:ind w:right="31"/>
              <w:jc w:val="righ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58" w:hRule="exact"/>
        </w:trPr>
        <w:tc>
          <w:tcPr>
            <w:tcW w:w="2788" w:type="dxa"/>
            <w:vMerge w:val="restart"/>
            <w:tcBorders>
              <w:top w:val="nil" w:sz="6" w:space="0" w:color="auto"/>
              <w:left w:val="single" w:sz="4" w:space="0" w:color="000000"/>
              <w:right w:val="single" w:sz="4" w:space="0" w:color="000000"/>
            </w:tcBorders>
            <w:shd w:val="clear" w:color="auto" w:fill="D2D2D2"/>
          </w:tcPr>
          <w:p>
            <w:pPr/>
          </w:p>
        </w:tc>
        <w:tc>
          <w:tcPr>
            <w:tcW w:w="1079" w:type="dxa"/>
            <w:vMerge w:val="restart"/>
            <w:tcBorders>
              <w:top w:val="nil" w:sz="6" w:space="0" w:color="auto"/>
              <w:left w:val="single" w:sz="4" w:space="0" w:color="000000"/>
              <w:right w:val="single" w:sz="4" w:space="0" w:color="000000"/>
            </w:tcBorders>
            <w:shd w:val="clear" w:color="auto" w:fill="D2D2D2"/>
          </w:tcPr>
          <w:p>
            <w:pPr/>
          </w:p>
        </w:tc>
        <w:tc>
          <w:tcPr>
            <w:tcW w:w="936" w:type="dxa"/>
            <w:vMerge/>
            <w:tcBorders>
              <w:left w:val="single" w:sz="4" w:space="0" w:color="000000"/>
              <w:right w:val="single" w:sz="4" w:space="0" w:color="000000"/>
            </w:tcBorders>
            <w:shd w:val="clear" w:color="auto" w:fill="D2D2D2"/>
          </w:tcPr>
          <w:p>
            <w:pPr/>
          </w:p>
        </w:tc>
        <w:tc>
          <w:tcPr>
            <w:tcW w:w="1152" w:type="dxa"/>
            <w:vMerge/>
            <w:tcBorders>
              <w:left w:val="single" w:sz="4" w:space="0" w:color="000000"/>
              <w:right w:val="single" w:sz="4" w:space="0" w:color="000000"/>
            </w:tcBorders>
            <w:shd w:val="clear" w:color="auto" w:fill="D2D2D2"/>
          </w:tcPr>
          <w:p>
            <w:pPr/>
          </w:p>
        </w:tc>
        <w:tc>
          <w:tcPr>
            <w:tcW w:w="934" w:type="dxa"/>
            <w:vMerge/>
            <w:tcBorders>
              <w:left w:val="single" w:sz="4" w:space="0" w:color="000000"/>
              <w:bottom w:val="nil" w:sz="6" w:space="0" w:color="auto"/>
              <w:right w:val="single" w:sz="4" w:space="0" w:color="000000"/>
            </w:tcBorders>
            <w:shd w:val="clear" w:color="auto" w:fill="D2D2D2"/>
          </w:tcPr>
          <w:p>
            <w:pPr/>
          </w:p>
        </w:tc>
        <w:tc>
          <w:tcPr>
            <w:tcW w:w="936" w:type="dxa"/>
            <w:vMerge/>
            <w:tcBorders>
              <w:left w:val="single" w:sz="4" w:space="0" w:color="000000"/>
              <w:bottom w:val="nil" w:sz="6" w:space="0" w:color="auto"/>
              <w:right w:val="single" w:sz="4" w:space="0" w:color="000000"/>
            </w:tcBorders>
            <w:shd w:val="clear" w:color="auto" w:fill="D2D2D2"/>
          </w:tcPr>
          <w:p>
            <w:pPr/>
          </w:p>
        </w:tc>
        <w:tc>
          <w:tcPr>
            <w:tcW w:w="937" w:type="dxa"/>
            <w:vMerge/>
            <w:tcBorders>
              <w:left w:val="single" w:sz="4" w:space="0" w:color="000000"/>
              <w:right w:val="single" w:sz="4" w:space="0" w:color="000000"/>
            </w:tcBorders>
            <w:shd w:val="clear" w:color="auto" w:fill="D2D2D2"/>
          </w:tcPr>
          <w:p>
            <w:pPr/>
          </w:p>
        </w:tc>
        <w:tc>
          <w:tcPr>
            <w:tcW w:w="797"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2788" w:type="dxa"/>
            <w:vMerge/>
            <w:tcBorders>
              <w:left w:val="single" w:sz="4" w:space="0" w:color="000000"/>
              <w:bottom w:val="single" w:sz="4" w:space="0" w:color="000000"/>
              <w:right w:val="single" w:sz="4" w:space="0" w:color="000000"/>
            </w:tcBorders>
            <w:shd w:val="clear" w:color="auto" w:fill="D2D2D2"/>
          </w:tcPr>
          <w:p>
            <w:pPr/>
          </w:p>
        </w:tc>
        <w:tc>
          <w:tcPr>
            <w:tcW w:w="1079" w:type="dxa"/>
            <w:vMerge/>
            <w:tcBorders>
              <w:left w:val="single" w:sz="4" w:space="0" w:color="000000"/>
              <w:bottom w:val="single" w:sz="4" w:space="0" w:color="000000"/>
              <w:right w:val="single" w:sz="4" w:space="0" w:color="000000"/>
            </w:tcBorders>
            <w:shd w:val="clear" w:color="auto" w:fill="D2D2D2"/>
          </w:tcPr>
          <w:p>
            <w:pPr/>
          </w:p>
        </w:tc>
        <w:tc>
          <w:tcPr>
            <w:tcW w:w="936" w:type="dxa"/>
            <w:vMerge/>
            <w:tcBorders>
              <w:left w:val="single" w:sz="4" w:space="0" w:color="000000"/>
              <w:bottom w:val="single" w:sz="4" w:space="0" w:color="000000"/>
              <w:right w:val="single" w:sz="4" w:space="0" w:color="000000"/>
            </w:tcBorders>
            <w:shd w:val="clear" w:color="auto" w:fill="D2D2D2"/>
          </w:tcPr>
          <w:p>
            <w:pPr/>
          </w:p>
        </w:tc>
        <w:tc>
          <w:tcPr>
            <w:tcW w:w="1152" w:type="dxa"/>
            <w:vMerge/>
            <w:tcBorders>
              <w:left w:val="single" w:sz="4" w:space="0" w:color="000000"/>
              <w:bottom w:val="single" w:sz="4" w:space="0" w:color="000000"/>
              <w:right w:val="single" w:sz="4" w:space="0" w:color="000000"/>
            </w:tcBorders>
            <w:shd w:val="clear" w:color="auto" w:fill="D2D2D2"/>
          </w:tcPr>
          <w:p>
            <w:pPr/>
          </w:p>
        </w:tc>
        <w:tc>
          <w:tcPr>
            <w:tcW w:w="934" w:type="dxa"/>
            <w:tcBorders>
              <w:top w:val="nil" w:sz="6" w:space="0" w:color="auto"/>
              <w:left w:val="single" w:sz="4" w:space="0" w:color="000000"/>
              <w:bottom w:val="single" w:sz="4" w:space="0" w:color="000000"/>
              <w:right w:val="single" w:sz="4" w:space="0" w:color="000000"/>
            </w:tcBorders>
            <w:shd w:val="clear" w:color="auto" w:fill="D2D2D2"/>
          </w:tcPr>
          <w:p>
            <w:pPr/>
          </w:p>
        </w:tc>
        <w:tc>
          <w:tcPr>
            <w:tcW w:w="936" w:type="dxa"/>
            <w:tcBorders>
              <w:top w:val="nil" w:sz="6" w:space="0" w:color="auto"/>
              <w:left w:val="single" w:sz="4" w:space="0" w:color="000000"/>
              <w:bottom w:val="single" w:sz="4" w:space="0" w:color="000000"/>
              <w:right w:val="single" w:sz="4" w:space="0" w:color="000000"/>
            </w:tcBorders>
            <w:shd w:val="clear" w:color="auto" w:fill="D2D2D2"/>
          </w:tcPr>
          <w:p>
            <w:pPr/>
          </w:p>
        </w:tc>
        <w:tc>
          <w:tcPr>
            <w:tcW w:w="937"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r>
      <w:tr>
        <w:trPr>
          <w:trHeight w:val="715" w:hRule="exact"/>
        </w:trPr>
        <w:tc>
          <w:tcPr>
            <w:tcW w:w="2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64"/>
              <w:jc w:val="left"/>
              <w:rPr>
                <w:rFonts w:ascii="宋体" w:hAnsi="宋体" w:cs="宋体" w:eastAsia="宋体" w:hint="default"/>
                <w:sz w:val="18"/>
                <w:szCs w:val="18"/>
              </w:rPr>
            </w:pPr>
            <w:r>
              <w:rPr>
                <w:rFonts w:ascii="宋体" w:hAnsi="宋体" w:cs="宋体" w:eastAsia="宋体" w:hint="default"/>
                <w:sz w:val="18"/>
                <w:szCs w:val="18"/>
              </w:rPr>
              <w:t>一、不能重分类进损益的其他综合 收益</w:t>
            </w:r>
          </w:p>
        </w:tc>
        <w:tc>
          <w:tcPr>
            <w:tcW w:w="107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2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64"/>
              <w:jc w:val="left"/>
              <w:rPr>
                <w:rFonts w:ascii="宋体" w:hAnsi="宋体" w:cs="宋体" w:eastAsia="宋体" w:hint="default"/>
                <w:sz w:val="18"/>
                <w:szCs w:val="18"/>
              </w:rPr>
            </w:pPr>
            <w:r>
              <w:rPr>
                <w:rFonts w:ascii="宋体" w:hAnsi="宋体" w:cs="宋体" w:eastAsia="宋体" w:hint="default"/>
                <w:sz w:val="18"/>
                <w:szCs w:val="18"/>
              </w:rPr>
              <w:t>其中：重新计量设定受益计划变动 额</w:t>
            </w:r>
          </w:p>
        </w:tc>
        <w:tc>
          <w:tcPr>
            <w:tcW w:w="107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2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64"/>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权益法下不能转进损益的其 他综合收益</w:t>
            </w:r>
          </w:p>
        </w:tc>
        <w:tc>
          <w:tcPr>
            <w:tcW w:w="107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2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64"/>
              <w:jc w:val="left"/>
              <w:rPr>
                <w:rFonts w:ascii="宋体" w:hAnsi="宋体" w:cs="宋体" w:eastAsia="宋体" w:hint="default"/>
                <w:sz w:val="18"/>
                <w:szCs w:val="18"/>
              </w:rPr>
            </w:pPr>
            <w:r>
              <w:rPr>
                <w:rFonts w:ascii="宋体" w:hAnsi="宋体" w:cs="宋体" w:eastAsia="宋体" w:hint="default"/>
                <w:sz w:val="18"/>
                <w:szCs w:val="18"/>
              </w:rPr>
              <w:t>二、将重分类进损益的其他综合收 益</w:t>
            </w:r>
          </w:p>
        </w:tc>
        <w:tc>
          <w:tcPr>
            <w:tcW w:w="107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5,933,809.71</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7,499,002.0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8</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7,647,368.5</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0</w:t>
            </w:r>
          </w:p>
        </w:tc>
        <w:tc>
          <w:tcPr>
            <w:tcW w:w="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-148,366.42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3" w:right="0"/>
              <w:jc w:val="left"/>
              <w:rPr>
                <w:rFonts w:ascii="Times New Roman" w:hAnsi="Times New Roman" w:cs="Times New Roman" w:eastAsia="Times New Roman" w:hint="default"/>
                <w:sz w:val="18"/>
                <w:szCs w:val="18"/>
              </w:rPr>
            </w:pPr>
            <w:r>
              <w:rPr>
                <w:rFonts w:ascii="Times New Roman"/>
                <w:sz w:val="18"/>
              </w:rPr>
              <w:t>13,581,17</w:t>
            </w:r>
          </w:p>
          <w:p>
            <w:pPr>
              <w:pStyle w:val="TableParagraph"/>
              <w:spacing w:line="240" w:lineRule="auto" w:before="105"/>
              <w:ind w:left="448" w:right="0"/>
              <w:jc w:val="left"/>
              <w:rPr>
                <w:rFonts w:ascii="Times New Roman" w:hAnsi="Times New Roman" w:cs="Times New Roman" w:eastAsia="Times New Roman" w:hint="default"/>
                <w:sz w:val="18"/>
                <w:szCs w:val="18"/>
              </w:rPr>
            </w:pPr>
            <w:r>
              <w:rPr>
                <w:rFonts w:ascii="Times New Roman"/>
                <w:sz w:val="18"/>
              </w:rPr>
              <w:t>8.21</w:t>
            </w:r>
          </w:p>
        </w:tc>
      </w:tr>
      <w:tr>
        <w:trPr>
          <w:trHeight w:val="715" w:hRule="exact"/>
        </w:trPr>
        <w:tc>
          <w:tcPr>
            <w:tcW w:w="2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64"/>
              <w:jc w:val="left"/>
              <w:rPr>
                <w:rFonts w:ascii="宋体" w:hAnsi="宋体" w:cs="宋体" w:eastAsia="宋体" w:hint="default"/>
                <w:sz w:val="18"/>
                <w:szCs w:val="18"/>
              </w:rPr>
            </w:pPr>
            <w:r>
              <w:rPr>
                <w:rFonts w:ascii="宋体" w:hAnsi="宋体" w:cs="宋体" w:eastAsia="宋体" w:hint="default"/>
                <w:sz w:val="18"/>
                <w:szCs w:val="18"/>
              </w:rPr>
              <w:t>其中：权益法下可转损益的其他综 合收益</w:t>
            </w:r>
          </w:p>
        </w:tc>
        <w:tc>
          <w:tcPr>
            <w:tcW w:w="107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-2,847,128.</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72</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-2,847,128.</w:t>
            </w:r>
          </w:p>
          <w:p>
            <w:pPr>
              <w:pStyle w:val="TableParagraph"/>
              <w:spacing w:line="240" w:lineRule="auto" w:before="105"/>
              <w:ind w:right="14"/>
              <w:jc w:val="right"/>
              <w:rPr>
                <w:rFonts w:ascii="Times New Roman" w:hAnsi="Times New Roman" w:cs="Times New Roman" w:eastAsia="Times New Roman" w:hint="default"/>
                <w:sz w:val="18"/>
                <w:szCs w:val="18"/>
              </w:rPr>
            </w:pPr>
            <w:r>
              <w:rPr>
                <w:rFonts w:ascii="Times New Roman"/>
                <w:sz w:val="18"/>
              </w:rPr>
              <w:t>72</w:t>
            </w:r>
          </w:p>
        </w:tc>
        <w:tc>
          <w:tcPr>
            <w:tcW w:w="93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-2,847,12</w:t>
            </w:r>
          </w:p>
          <w:p>
            <w:pPr>
              <w:pStyle w:val="TableParagraph"/>
              <w:spacing w:line="240" w:lineRule="auto" w:before="105"/>
              <w:ind w:left="448" w:right="0"/>
              <w:jc w:val="left"/>
              <w:rPr>
                <w:rFonts w:ascii="Times New Roman" w:hAnsi="Times New Roman" w:cs="Times New Roman" w:eastAsia="Times New Roman" w:hint="default"/>
                <w:sz w:val="18"/>
                <w:szCs w:val="18"/>
              </w:rPr>
            </w:pPr>
            <w:r>
              <w:rPr>
                <w:rFonts w:ascii="Times New Roman"/>
                <w:sz w:val="18"/>
              </w:rPr>
              <w:t>8.72</w:t>
            </w:r>
          </w:p>
        </w:tc>
      </w:tr>
      <w:tr>
        <w:trPr>
          <w:trHeight w:val="713" w:hRule="exact"/>
        </w:trPr>
        <w:tc>
          <w:tcPr>
            <w:tcW w:w="2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64"/>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可供出售金融资产公允价值 变动损益</w:t>
            </w:r>
          </w:p>
        </w:tc>
        <w:tc>
          <w:tcPr>
            <w:tcW w:w="107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6" w:hRule="exact"/>
        </w:trPr>
        <w:tc>
          <w:tcPr>
            <w:tcW w:w="2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12" w:right="64"/>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持有至到期投资重分类为可 供出售金融资产损益</w:t>
            </w:r>
          </w:p>
        </w:tc>
        <w:tc>
          <w:tcPr>
            <w:tcW w:w="107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2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64"/>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现金流量套期损益的有效部 分</w:t>
            </w:r>
          </w:p>
        </w:tc>
        <w:tc>
          <w:tcPr>
            <w:tcW w:w="107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161" w:hRule="exact"/>
        </w:trPr>
        <w:tc>
          <w:tcPr>
            <w:tcW w:w="2788" w:type="dxa"/>
            <w:tcBorders>
              <w:top w:val="single" w:sz="4" w:space="0" w:color="000000"/>
              <w:left w:val="single" w:sz="4" w:space="0" w:color="000000"/>
              <w:bottom w:val="nil" w:sz="6" w:space="0" w:color="auto"/>
              <w:right w:val="single" w:sz="4" w:space="0" w:color="000000"/>
            </w:tcBorders>
            <w:shd w:val="clear" w:color="auto" w:fill="D2D2D2"/>
          </w:tcPr>
          <w:p>
            <w:pPr/>
          </w:p>
        </w:tc>
        <w:tc>
          <w:tcPr>
            <w:tcW w:w="1079" w:type="dxa"/>
            <w:vMerge w:val="restart"/>
            <w:tcBorders>
              <w:top w:val="single" w:sz="4" w:space="0" w:color="000000"/>
              <w:left w:val="single" w:sz="9" w:space="0" w:color="D2D2D2"/>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6" w:right="0"/>
              <w:jc w:val="left"/>
              <w:rPr>
                <w:rFonts w:ascii="Times New Roman" w:hAnsi="Times New Roman" w:cs="Times New Roman" w:eastAsia="Times New Roman" w:hint="default"/>
                <w:sz w:val="18"/>
                <w:szCs w:val="18"/>
              </w:rPr>
            </w:pPr>
            <w:r>
              <w:rPr>
                <w:rFonts w:ascii="Times New Roman"/>
                <w:sz w:val="18"/>
              </w:rPr>
              <w:t>5,933,809.71</w:t>
            </w:r>
          </w:p>
        </w:tc>
        <w:tc>
          <w:tcPr>
            <w:tcW w:w="936"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10,346,130.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80</w:t>
            </w:r>
          </w:p>
        </w:tc>
        <w:tc>
          <w:tcPr>
            <w:tcW w:w="115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87" w:right="0"/>
              <w:jc w:val="left"/>
              <w:rPr>
                <w:rFonts w:ascii="Times New Roman" w:hAnsi="Times New Roman" w:cs="Times New Roman" w:eastAsia="Times New Roman" w:hint="default"/>
                <w:sz w:val="18"/>
                <w:szCs w:val="18"/>
              </w:rPr>
            </w:pPr>
            <w:r>
              <w:rPr>
                <w:rFonts w:ascii="Times New Roman"/>
                <w:sz w:val="18"/>
              </w:rPr>
              <w:t>0.00</w:t>
            </w:r>
          </w:p>
        </w:tc>
        <w:tc>
          <w:tcPr>
            <w:tcW w:w="936" w:type="dxa"/>
            <w:vMerge w:val="restart"/>
            <w:tcBorders>
              <w:top w:val="single" w:sz="4" w:space="0" w:color="000000"/>
              <w:left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10,494,497.</w:t>
            </w:r>
          </w:p>
          <w:p>
            <w:pPr>
              <w:pStyle w:val="TableParagraph"/>
              <w:spacing w:line="240" w:lineRule="auto" w:before="105"/>
              <w:ind w:right="14"/>
              <w:jc w:val="right"/>
              <w:rPr>
                <w:rFonts w:ascii="Times New Roman" w:hAnsi="Times New Roman" w:cs="Times New Roman" w:eastAsia="Times New Roman" w:hint="default"/>
                <w:sz w:val="18"/>
                <w:szCs w:val="18"/>
              </w:rPr>
            </w:pPr>
            <w:r>
              <w:rPr>
                <w:rFonts w:ascii="Times New Roman"/>
                <w:sz w:val="18"/>
              </w:rPr>
              <w:t>22</w:t>
            </w:r>
          </w:p>
        </w:tc>
        <w:tc>
          <w:tcPr>
            <w:tcW w:w="93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3" w:right="0"/>
              <w:jc w:val="left"/>
              <w:rPr>
                <w:rFonts w:ascii="Times New Roman" w:hAnsi="Times New Roman" w:cs="Times New Roman" w:eastAsia="Times New Roman" w:hint="default"/>
                <w:sz w:val="18"/>
                <w:szCs w:val="18"/>
              </w:rPr>
            </w:pPr>
            <w:r>
              <w:rPr>
                <w:rFonts w:ascii="Times New Roman"/>
                <w:sz w:val="18"/>
              </w:rPr>
              <w:t>-148,366.42</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1"/>
              <w:ind w:left="43" w:right="0"/>
              <w:jc w:val="left"/>
              <w:rPr>
                <w:rFonts w:ascii="Times New Roman" w:hAnsi="Times New Roman" w:cs="Times New Roman" w:eastAsia="Times New Roman" w:hint="default"/>
                <w:sz w:val="18"/>
                <w:szCs w:val="18"/>
              </w:rPr>
            </w:pPr>
            <w:r>
              <w:rPr>
                <w:rFonts w:ascii="Times New Roman"/>
                <w:sz w:val="18"/>
              </w:rPr>
              <w:t>16,428,30</w:t>
            </w:r>
          </w:p>
          <w:p>
            <w:pPr>
              <w:pStyle w:val="TableParagraph"/>
              <w:spacing w:line="240" w:lineRule="auto" w:before="105"/>
              <w:ind w:left="448" w:right="0"/>
              <w:jc w:val="left"/>
              <w:rPr>
                <w:rFonts w:ascii="Times New Roman" w:hAnsi="Times New Roman" w:cs="Times New Roman" w:eastAsia="Times New Roman" w:hint="default"/>
                <w:sz w:val="18"/>
                <w:szCs w:val="18"/>
              </w:rPr>
            </w:pPr>
            <w:r>
              <w:rPr>
                <w:rFonts w:ascii="Times New Roman"/>
                <w:sz w:val="18"/>
              </w:rPr>
              <w:t>6.93</w:t>
            </w:r>
          </w:p>
        </w:tc>
      </w:tr>
      <w:tr>
        <w:trPr>
          <w:trHeight w:val="394" w:hRule="exact"/>
        </w:trPr>
        <w:tc>
          <w:tcPr>
            <w:tcW w:w="278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外币财务报表折算差额</w:t>
            </w:r>
          </w:p>
        </w:tc>
        <w:tc>
          <w:tcPr>
            <w:tcW w:w="1079" w:type="dxa"/>
            <w:vMerge/>
            <w:tcBorders>
              <w:left w:val="single" w:sz="9" w:space="0" w:color="D2D2D2"/>
              <w:right w:val="single" w:sz="4" w:space="0" w:color="000000"/>
            </w:tcBorders>
          </w:tcPr>
          <w:p>
            <w:pPr/>
          </w:p>
        </w:tc>
        <w:tc>
          <w:tcPr>
            <w:tcW w:w="936" w:type="dxa"/>
            <w:vMerge/>
            <w:tcBorders>
              <w:left w:val="single" w:sz="4" w:space="0" w:color="000000"/>
              <w:right w:val="single" w:sz="4" w:space="0" w:color="000000"/>
            </w:tcBorders>
          </w:tcPr>
          <w:p>
            <w:pPr/>
          </w:p>
        </w:tc>
        <w:tc>
          <w:tcPr>
            <w:tcW w:w="1152" w:type="dxa"/>
            <w:vMerge/>
            <w:tcBorders>
              <w:left w:val="single" w:sz="4" w:space="0" w:color="000000"/>
              <w:right w:val="single" w:sz="4" w:space="0" w:color="000000"/>
            </w:tcBorders>
          </w:tcPr>
          <w:p>
            <w:pPr/>
          </w:p>
        </w:tc>
        <w:tc>
          <w:tcPr>
            <w:tcW w:w="934" w:type="dxa"/>
            <w:vMerge/>
            <w:tcBorders>
              <w:left w:val="single" w:sz="4" w:space="0" w:color="000000"/>
              <w:right w:val="single" w:sz="4" w:space="0" w:color="000000"/>
            </w:tcBorders>
          </w:tcPr>
          <w:p>
            <w:pPr/>
          </w:p>
        </w:tc>
        <w:tc>
          <w:tcPr>
            <w:tcW w:w="936" w:type="dxa"/>
            <w:vMerge/>
            <w:tcBorders>
              <w:left w:val="single" w:sz="4" w:space="0" w:color="000000"/>
              <w:right w:val="single" w:sz="4" w:space="0" w:color="000000"/>
            </w:tcBorders>
          </w:tcPr>
          <w:p>
            <w:pPr/>
          </w:p>
        </w:tc>
        <w:tc>
          <w:tcPr>
            <w:tcW w:w="93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r>
      <w:tr>
        <w:trPr>
          <w:trHeight w:val="161" w:hRule="exact"/>
        </w:trPr>
        <w:tc>
          <w:tcPr>
            <w:tcW w:w="2788" w:type="dxa"/>
            <w:tcBorders>
              <w:top w:val="nil" w:sz="6" w:space="0" w:color="auto"/>
              <w:left w:val="single" w:sz="4" w:space="0" w:color="000000"/>
              <w:bottom w:val="single" w:sz="4" w:space="0" w:color="000000"/>
              <w:right w:val="single" w:sz="4" w:space="0" w:color="000000"/>
            </w:tcBorders>
            <w:shd w:val="clear" w:color="auto" w:fill="D2D2D2"/>
          </w:tcPr>
          <w:p>
            <w:pPr/>
          </w:p>
        </w:tc>
        <w:tc>
          <w:tcPr>
            <w:tcW w:w="1079" w:type="dxa"/>
            <w:vMerge/>
            <w:tcBorders>
              <w:left w:val="single" w:sz="9" w:space="0" w:color="D2D2D2"/>
              <w:bottom w:val="single" w:sz="4" w:space="0" w:color="000000"/>
              <w:right w:val="single" w:sz="4" w:space="0" w:color="000000"/>
            </w:tcBorders>
          </w:tcPr>
          <w:p>
            <w:pPr/>
          </w:p>
        </w:tc>
        <w:tc>
          <w:tcPr>
            <w:tcW w:w="936" w:type="dxa"/>
            <w:vMerge/>
            <w:tcBorders>
              <w:left w:val="single" w:sz="4" w:space="0" w:color="000000"/>
              <w:bottom w:val="single" w:sz="4" w:space="0" w:color="000000"/>
              <w:right w:val="single" w:sz="4" w:space="0" w:color="000000"/>
            </w:tcBorders>
          </w:tcPr>
          <w:p>
            <w:pPr/>
          </w:p>
        </w:tc>
        <w:tc>
          <w:tcPr>
            <w:tcW w:w="1152" w:type="dxa"/>
            <w:vMerge/>
            <w:tcBorders>
              <w:left w:val="single" w:sz="4" w:space="0" w:color="000000"/>
              <w:bottom w:val="single" w:sz="4" w:space="0" w:color="000000"/>
              <w:right w:val="single" w:sz="4" w:space="0" w:color="000000"/>
            </w:tcBorders>
          </w:tcPr>
          <w:p>
            <w:pPr/>
          </w:p>
        </w:tc>
        <w:tc>
          <w:tcPr>
            <w:tcW w:w="934" w:type="dxa"/>
            <w:vMerge/>
            <w:tcBorders>
              <w:left w:val="single" w:sz="4" w:space="0" w:color="000000"/>
              <w:bottom w:val="single" w:sz="4" w:space="0" w:color="000000"/>
              <w:right w:val="single" w:sz="4" w:space="0" w:color="000000"/>
            </w:tcBorders>
          </w:tcPr>
          <w:p>
            <w:pPr/>
          </w:p>
        </w:tc>
        <w:tc>
          <w:tcPr>
            <w:tcW w:w="936" w:type="dxa"/>
            <w:vMerge/>
            <w:tcBorders>
              <w:left w:val="single" w:sz="4" w:space="0" w:color="000000"/>
              <w:bottom w:val="single" w:sz="4" w:space="0" w:color="000000"/>
              <w:right w:val="single" w:sz="4" w:space="0" w:color="000000"/>
            </w:tcBorders>
          </w:tcPr>
          <w:p>
            <w:pPr/>
          </w:p>
        </w:tc>
        <w:tc>
          <w:tcPr>
            <w:tcW w:w="93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r>
      <w:tr>
        <w:trPr>
          <w:trHeight w:val="161" w:hRule="exact"/>
        </w:trPr>
        <w:tc>
          <w:tcPr>
            <w:tcW w:w="2788" w:type="dxa"/>
            <w:tcBorders>
              <w:top w:val="single" w:sz="4" w:space="0" w:color="000000"/>
              <w:left w:val="single" w:sz="4" w:space="0" w:color="000000"/>
              <w:bottom w:val="nil" w:sz="6" w:space="0" w:color="auto"/>
              <w:right w:val="single" w:sz="4" w:space="0" w:color="000000"/>
            </w:tcBorders>
            <w:shd w:val="clear" w:color="auto" w:fill="D2D2D2"/>
          </w:tcPr>
          <w:p>
            <w:pPr/>
          </w:p>
        </w:tc>
        <w:tc>
          <w:tcPr>
            <w:tcW w:w="1079" w:type="dxa"/>
            <w:vMerge w:val="restart"/>
            <w:tcBorders>
              <w:top w:val="single" w:sz="4" w:space="0" w:color="000000"/>
              <w:left w:val="single" w:sz="9" w:space="0" w:color="D2D2D2"/>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6" w:right="0"/>
              <w:jc w:val="left"/>
              <w:rPr>
                <w:rFonts w:ascii="Times New Roman" w:hAnsi="Times New Roman" w:cs="Times New Roman" w:eastAsia="Times New Roman" w:hint="default"/>
                <w:sz w:val="18"/>
                <w:szCs w:val="18"/>
              </w:rPr>
            </w:pPr>
            <w:r>
              <w:rPr>
                <w:rFonts w:ascii="Times New Roman"/>
                <w:sz w:val="18"/>
              </w:rPr>
              <w:t>5,933,809.71</w:t>
            </w:r>
          </w:p>
        </w:tc>
        <w:tc>
          <w:tcPr>
            <w:tcW w:w="936"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7,499,002.0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8</w:t>
            </w:r>
          </w:p>
        </w:tc>
        <w:tc>
          <w:tcPr>
            <w:tcW w:w="115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87" w:right="0"/>
              <w:jc w:val="left"/>
              <w:rPr>
                <w:rFonts w:ascii="Times New Roman" w:hAnsi="Times New Roman" w:cs="Times New Roman" w:eastAsia="Times New Roman" w:hint="default"/>
                <w:sz w:val="18"/>
                <w:szCs w:val="18"/>
              </w:rPr>
            </w:pPr>
            <w:r>
              <w:rPr>
                <w:rFonts w:ascii="Times New Roman"/>
                <w:sz w:val="18"/>
              </w:rPr>
              <w:t>0.00</w:t>
            </w:r>
          </w:p>
        </w:tc>
        <w:tc>
          <w:tcPr>
            <w:tcW w:w="936" w:type="dxa"/>
            <w:vMerge w:val="restart"/>
            <w:tcBorders>
              <w:top w:val="single" w:sz="4" w:space="0" w:color="000000"/>
              <w:left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7,647,368.5</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0</w:t>
            </w:r>
          </w:p>
        </w:tc>
        <w:tc>
          <w:tcPr>
            <w:tcW w:w="93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3" w:right="0"/>
              <w:jc w:val="left"/>
              <w:rPr>
                <w:rFonts w:ascii="Times New Roman" w:hAnsi="Times New Roman" w:cs="Times New Roman" w:eastAsia="Times New Roman" w:hint="default"/>
                <w:sz w:val="18"/>
                <w:szCs w:val="18"/>
              </w:rPr>
            </w:pPr>
            <w:r>
              <w:rPr>
                <w:rFonts w:ascii="Times New Roman"/>
                <w:sz w:val="18"/>
              </w:rPr>
              <w:t>-148,366.42</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1"/>
              <w:ind w:left="43" w:right="0"/>
              <w:jc w:val="left"/>
              <w:rPr>
                <w:rFonts w:ascii="Times New Roman" w:hAnsi="Times New Roman" w:cs="Times New Roman" w:eastAsia="Times New Roman" w:hint="default"/>
                <w:sz w:val="18"/>
                <w:szCs w:val="18"/>
              </w:rPr>
            </w:pPr>
            <w:r>
              <w:rPr>
                <w:rFonts w:ascii="Times New Roman"/>
                <w:sz w:val="18"/>
              </w:rPr>
              <w:t>13,581,17</w:t>
            </w:r>
          </w:p>
          <w:p>
            <w:pPr>
              <w:pStyle w:val="TableParagraph"/>
              <w:spacing w:line="240" w:lineRule="auto" w:before="105"/>
              <w:ind w:left="448" w:right="0"/>
              <w:jc w:val="left"/>
              <w:rPr>
                <w:rFonts w:ascii="Times New Roman" w:hAnsi="Times New Roman" w:cs="Times New Roman" w:eastAsia="Times New Roman" w:hint="default"/>
                <w:sz w:val="18"/>
                <w:szCs w:val="18"/>
              </w:rPr>
            </w:pPr>
            <w:r>
              <w:rPr>
                <w:rFonts w:ascii="Times New Roman"/>
                <w:sz w:val="18"/>
              </w:rPr>
              <w:t>8.21</w:t>
            </w:r>
          </w:p>
        </w:tc>
      </w:tr>
      <w:tr>
        <w:trPr>
          <w:trHeight w:val="391" w:hRule="exact"/>
        </w:trPr>
        <w:tc>
          <w:tcPr>
            <w:tcW w:w="278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其他综合收益合计</w:t>
            </w:r>
          </w:p>
        </w:tc>
        <w:tc>
          <w:tcPr>
            <w:tcW w:w="1079" w:type="dxa"/>
            <w:vMerge/>
            <w:tcBorders>
              <w:left w:val="single" w:sz="9" w:space="0" w:color="D2D2D2"/>
              <w:right w:val="single" w:sz="4" w:space="0" w:color="000000"/>
            </w:tcBorders>
          </w:tcPr>
          <w:p>
            <w:pPr/>
          </w:p>
        </w:tc>
        <w:tc>
          <w:tcPr>
            <w:tcW w:w="936" w:type="dxa"/>
            <w:vMerge/>
            <w:tcBorders>
              <w:left w:val="single" w:sz="4" w:space="0" w:color="000000"/>
              <w:right w:val="single" w:sz="4" w:space="0" w:color="000000"/>
            </w:tcBorders>
          </w:tcPr>
          <w:p>
            <w:pPr/>
          </w:p>
        </w:tc>
        <w:tc>
          <w:tcPr>
            <w:tcW w:w="1152" w:type="dxa"/>
            <w:vMerge/>
            <w:tcBorders>
              <w:left w:val="single" w:sz="4" w:space="0" w:color="000000"/>
              <w:right w:val="single" w:sz="4" w:space="0" w:color="000000"/>
            </w:tcBorders>
          </w:tcPr>
          <w:p>
            <w:pPr/>
          </w:p>
        </w:tc>
        <w:tc>
          <w:tcPr>
            <w:tcW w:w="934" w:type="dxa"/>
            <w:vMerge/>
            <w:tcBorders>
              <w:left w:val="single" w:sz="4" w:space="0" w:color="000000"/>
              <w:right w:val="single" w:sz="4" w:space="0" w:color="000000"/>
            </w:tcBorders>
          </w:tcPr>
          <w:p>
            <w:pPr/>
          </w:p>
        </w:tc>
        <w:tc>
          <w:tcPr>
            <w:tcW w:w="936" w:type="dxa"/>
            <w:vMerge/>
            <w:tcBorders>
              <w:left w:val="single" w:sz="4" w:space="0" w:color="000000"/>
              <w:right w:val="single" w:sz="4" w:space="0" w:color="000000"/>
            </w:tcBorders>
          </w:tcPr>
          <w:p>
            <w:pPr/>
          </w:p>
        </w:tc>
        <w:tc>
          <w:tcPr>
            <w:tcW w:w="93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r>
      <w:tr>
        <w:trPr>
          <w:trHeight w:val="161" w:hRule="exact"/>
        </w:trPr>
        <w:tc>
          <w:tcPr>
            <w:tcW w:w="2788" w:type="dxa"/>
            <w:tcBorders>
              <w:top w:val="nil" w:sz="6" w:space="0" w:color="auto"/>
              <w:left w:val="single" w:sz="4" w:space="0" w:color="000000"/>
              <w:bottom w:val="single" w:sz="4" w:space="0" w:color="000000"/>
              <w:right w:val="single" w:sz="4" w:space="0" w:color="000000"/>
            </w:tcBorders>
            <w:shd w:val="clear" w:color="auto" w:fill="D2D2D2"/>
          </w:tcPr>
          <w:p>
            <w:pPr/>
          </w:p>
        </w:tc>
        <w:tc>
          <w:tcPr>
            <w:tcW w:w="1079" w:type="dxa"/>
            <w:vMerge/>
            <w:tcBorders>
              <w:left w:val="single" w:sz="9" w:space="0" w:color="D2D2D2"/>
              <w:bottom w:val="single" w:sz="4" w:space="0" w:color="000000"/>
              <w:right w:val="single" w:sz="4" w:space="0" w:color="000000"/>
            </w:tcBorders>
          </w:tcPr>
          <w:p>
            <w:pPr/>
          </w:p>
        </w:tc>
        <w:tc>
          <w:tcPr>
            <w:tcW w:w="936" w:type="dxa"/>
            <w:vMerge/>
            <w:tcBorders>
              <w:left w:val="single" w:sz="4" w:space="0" w:color="000000"/>
              <w:bottom w:val="single" w:sz="4" w:space="0" w:color="000000"/>
              <w:right w:val="single" w:sz="4" w:space="0" w:color="000000"/>
            </w:tcBorders>
          </w:tcPr>
          <w:p>
            <w:pPr/>
          </w:p>
        </w:tc>
        <w:tc>
          <w:tcPr>
            <w:tcW w:w="1152" w:type="dxa"/>
            <w:vMerge/>
            <w:tcBorders>
              <w:left w:val="single" w:sz="4" w:space="0" w:color="000000"/>
              <w:bottom w:val="single" w:sz="4" w:space="0" w:color="000000"/>
              <w:right w:val="single" w:sz="4" w:space="0" w:color="000000"/>
            </w:tcBorders>
          </w:tcPr>
          <w:p>
            <w:pPr/>
          </w:p>
        </w:tc>
        <w:tc>
          <w:tcPr>
            <w:tcW w:w="934" w:type="dxa"/>
            <w:vMerge/>
            <w:tcBorders>
              <w:left w:val="single" w:sz="4" w:space="0" w:color="000000"/>
              <w:bottom w:val="single" w:sz="4" w:space="0" w:color="000000"/>
              <w:right w:val="single" w:sz="4" w:space="0" w:color="000000"/>
            </w:tcBorders>
          </w:tcPr>
          <w:p>
            <w:pPr/>
          </w:p>
        </w:tc>
        <w:tc>
          <w:tcPr>
            <w:tcW w:w="936" w:type="dxa"/>
            <w:vMerge/>
            <w:tcBorders>
              <w:left w:val="single" w:sz="4" w:space="0" w:color="000000"/>
              <w:bottom w:val="single" w:sz="4" w:space="0" w:color="000000"/>
              <w:right w:val="single" w:sz="4" w:space="0" w:color="000000"/>
            </w:tcBorders>
          </w:tcPr>
          <w:p>
            <w:pPr/>
          </w:p>
        </w:tc>
        <w:tc>
          <w:tcPr>
            <w:tcW w:w="93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rFonts w:ascii="Times New Roman" w:hAnsi="Times New Roman" w:cs="Times New Roman" w:eastAsia="Times New Roman" w:hint="default"/>
        </w:rPr>
        <w:t>49</w:t>
      </w:r>
      <w:r>
        <w:rPr/>
        <w:t>、专项储备</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rFonts w:ascii="Times New Roman" w:hAnsi="Times New Roman" w:cs="Times New Roman" w:eastAsia="Times New Roman" w:hint="default"/>
        </w:rPr>
        <w:t>50</w:t>
      </w:r>
      <w:r>
        <w:rPr/>
        <w:t>、盈余公积</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889"/>
        <w:gridCol w:w="1928"/>
        <w:gridCol w:w="1916"/>
        <w:gridCol w:w="1913"/>
        <w:gridCol w:w="1916"/>
      </w:tblGrid>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0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法定盈余公积</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109,115,366.29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109,115,366.29</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任意盈余公积</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储备基金</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912"/>
        <w:gridCol w:w="1916"/>
        <w:gridCol w:w="1916"/>
        <w:gridCol w:w="1913"/>
        <w:gridCol w:w="1916"/>
      </w:tblGrid>
      <w:tr>
        <w:trPr>
          <w:trHeight w:val="401"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企业发展基金</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109,115,366.29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109,115,366.29</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rFonts w:ascii="Times New Roman" w:hAnsi="Times New Roman" w:cs="Times New Roman" w:eastAsia="Times New Roman" w:hint="default"/>
        </w:rPr>
        <w:t>51</w:t>
      </w:r>
      <w:r>
        <w:rPr/>
        <w:t>、未分配利润</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703"/>
        <w:gridCol w:w="2934"/>
        <w:gridCol w:w="2919"/>
      </w:tblGrid>
      <w:tr>
        <w:trPr>
          <w:trHeight w:val="402" w:hRule="exact"/>
        </w:trPr>
        <w:tc>
          <w:tcPr>
            <w:tcW w:w="3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9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本期</w:t>
            </w:r>
          </w:p>
        </w:tc>
        <w:tc>
          <w:tcPr>
            <w:tcW w:w="29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402" w:hRule="exact"/>
        </w:trPr>
        <w:tc>
          <w:tcPr>
            <w:tcW w:w="3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调整前上期末未分配利润</w:t>
            </w:r>
          </w:p>
        </w:tc>
        <w:tc>
          <w:tcPr>
            <w:tcW w:w="293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1,110,939,772.85</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pacing w:val="-1"/>
                <w:sz w:val="18"/>
              </w:rPr>
              <w:t>896,308,435.35</w:t>
            </w:r>
          </w:p>
        </w:tc>
      </w:tr>
      <w:tr>
        <w:trPr>
          <w:trHeight w:val="402" w:hRule="exact"/>
        </w:trPr>
        <w:tc>
          <w:tcPr>
            <w:tcW w:w="3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调整期初未分配利润合计数（调增</w:t>
            </w:r>
            <w:r>
              <w:rPr>
                <w:rFonts w:ascii="Times New Roman" w:hAnsi="Times New Roman" w:cs="Times New Roman" w:eastAsia="Times New Roman" w:hint="default"/>
                <w:sz w:val="18"/>
                <w:szCs w:val="18"/>
              </w:rPr>
              <w:t>+</w:t>
            </w:r>
            <w:r>
              <w:rPr>
                <w:rFonts w:ascii="宋体" w:hAnsi="宋体" w:cs="宋体" w:eastAsia="宋体" w:hint="default"/>
                <w:sz w:val="18"/>
                <w:szCs w:val="18"/>
              </w:rPr>
              <w:t>，调减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293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调整后期初未分配利润</w:t>
            </w:r>
          </w:p>
        </w:tc>
        <w:tc>
          <w:tcPr>
            <w:tcW w:w="293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1,110,939,772.85</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pacing w:val="-1"/>
                <w:sz w:val="18"/>
              </w:rPr>
              <w:t>896,308,435.35</w:t>
            </w:r>
          </w:p>
        </w:tc>
      </w:tr>
      <w:tr>
        <w:trPr>
          <w:trHeight w:val="402" w:hRule="exact"/>
        </w:trPr>
        <w:tc>
          <w:tcPr>
            <w:tcW w:w="3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加：本期归属于母公司所有者的净利润</w:t>
            </w:r>
          </w:p>
        </w:tc>
        <w:tc>
          <w:tcPr>
            <w:tcW w:w="293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479,070,711.85</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265,199,610.30</w:t>
            </w:r>
          </w:p>
        </w:tc>
      </w:tr>
      <w:tr>
        <w:trPr>
          <w:trHeight w:val="402" w:hRule="exact"/>
        </w:trPr>
        <w:tc>
          <w:tcPr>
            <w:tcW w:w="3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减：提取法定盈余公积</w:t>
            </w:r>
          </w:p>
        </w:tc>
        <w:tc>
          <w:tcPr>
            <w:tcW w:w="293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pacing w:val="-1"/>
                <w:sz w:val="18"/>
              </w:rPr>
              <w:t>2,901,553.17</w:t>
            </w:r>
          </w:p>
        </w:tc>
      </w:tr>
      <w:tr>
        <w:trPr>
          <w:trHeight w:val="402" w:hRule="exact"/>
        </w:trPr>
        <w:tc>
          <w:tcPr>
            <w:tcW w:w="3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提取任意盈余公积</w:t>
            </w:r>
          </w:p>
        </w:tc>
        <w:tc>
          <w:tcPr>
            <w:tcW w:w="293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2" w:hRule="exact"/>
        </w:trPr>
        <w:tc>
          <w:tcPr>
            <w:tcW w:w="3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提取一般风险准备</w:t>
            </w:r>
          </w:p>
        </w:tc>
        <w:tc>
          <w:tcPr>
            <w:tcW w:w="293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2" w:hRule="exact"/>
        </w:trPr>
        <w:tc>
          <w:tcPr>
            <w:tcW w:w="3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应付普通股股利</w:t>
            </w:r>
          </w:p>
        </w:tc>
        <w:tc>
          <w:tcPr>
            <w:tcW w:w="293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54,997,781.24</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47,456,755.48</w:t>
            </w:r>
          </w:p>
        </w:tc>
      </w:tr>
      <w:tr>
        <w:trPr>
          <w:trHeight w:val="402" w:hRule="exact"/>
        </w:trPr>
        <w:tc>
          <w:tcPr>
            <w:tcW w:w="3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转作股本的普通股股利</w:t>
            </w:r>
          </w:p>
        </w:tc>
        <w:tc>
          <w:tcPr>
            <w:tcW w:w="293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2" w:hRule="exact"/>
        </w:trPr>
        <w:tc>
          <w:tcPr>
            <w:tcW w:w="370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74" w:right="0"/>
              <w:jc w:val="left"/>
              <w:rPr>
                <w:rFonts w:ascii="宋体" w:hAnsi="宋体" w:cs="宋体" w:eastAsia="宋体" w:hint="default"/>
                <w:sz w:val="18"/>
                <w:szCs w:val="18"/>
              </w:rPr>
            </w:pPr>
            <w:r>
              <w:rPr>
                <w:rFonts w:ascii="宋体" w:hAnsi="宋体" w:cs="宋体" w:eastAsia="宋体" w:hint="default"/>
                <w:sz w:val="18"/>
                <w:szCs w:val="18"/>
              </w:rPr>
              <w:t>提取职工奖励及福利基金</w:t>
            </w:r>
          </w:p>
        </w:tc>
        <w:tc>
          <w:tcPr>
            <w:tcW w:w="2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209,964.14</w:t>
            </w:r>
          </w:p>
        </w:tc>
      </w:tr>
      <w:tr>
        <w:trPr>
          <w:trHeight w:val="402" w:hRule="exact"/>
        </w:trPr>
        <w:tc>
          <w:tcPr>
            <w:tcW w:w="3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期末未分配利润</w:t>
            </w:r>
          </w:p>
        </w:tc>
        <w:tc>
          <w:tcPr>
            <w:tcW w:w="2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1,535,012,703.46</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pacing w:val="-1"/>
                <w:sz w:val="18"/>
              </w:rPr>
              <w:t>1,110,939,772.85</w:t>
            </w:r>
          </w:p>
        </w:tc>
      </w:tr>
    </w:tbl>
    <w:p>
      <w:pPr>
        <w:pStyle w:val="BodyText"/>
        <w:spacing w:line="240" w:lineRule="auto" w:before="49"/>
        <w:ind w:right="982"/>
        <w:jc w:val="left"/>
      </w:pPr>
      <w:r>
        <w:rPr/>
        <w:t>调整期初未分配利润明细：</w:t>
      </w:r>
    </w:p>
    <w:p>
      <w:pPr>
        <w:pStyle w:val="BodyText"/>
        <w:spacing w:line="240" w:lineRule="auto" w:before="115"/>
        <w:ind w:right="982"/>
        <w:jc w:val="left"/>
      </w:pPr>
      <w:r>
        <w:rPr>
          <w:rFonts w:ascii="Times New Roman" w:hAnsi="Times New Roman" w:cs="Times New Roman" w:eastAsia="Times New Roman" w:hint="default"/>
        </w:rPr>
        <w:t>1)</w:t>
      </w:r>
      <w:r>
        <w:rPr/>
        <w:t>、由于《企业会计准则》及其相关新规定进行追溯调整，影响期初未分配利润</w:t>
      </w:r>
      <w:r>
        <w:rPr>
          <w:spacing w:val="-44"/>
        </w:rPr>
        <w:t> </w:t>
      </w:r>
      <w:r>
        <w:rPr>
          <w:rFonts w:ascii="Times New Roman" w:hAnsi="Times New Roman" w:cs="Times New Roman" w:eastAsia="Times New Roman" w:hint="default"/>
        </w:rPr>
        <w:t>0.00</w:t>
      </w:r>
      <w:r>
        <w:rPr>
          <w:rFonts w:ascii="Times New Roman" w:hAnsi="Times New Roman" w:cs="Times New Roman" w:eastAsia="Times New Roman" w:hint="default"/>
          <w:spacing w:val="1"/>
        </w:rPr>
        <w:t> </w:t>
      </w:r>
      <w:r>
        <w:rPr/>
        <w:t>元。</w:t>
      </w:r>
    </w:p>
    <w:p>
      <w:pPr>
        <w:pStyle w:val="BodyText"/>
        <w:spacing w:line="240" w:lineRule="auto" w:before="103"/>
        <w:ind w:right="982"/>
        <w:jc w:val="left"/>
      </w:pPr>
      <w:r>
        <w:rPr>
          <w:rFonts w:ascii="Times New Roman" w:hAnsi="Times New Roman" w:cs="Times New Roman" w:eastAsia="Times New Roman" w:hint="default"/>
        </w:rPr>
        <w:t>2)</w:t>
      </w:r>
      <w:r>
        <w:rPr/>
        <w:t>、由于会计政策变更，影响期初未分配利润</w:t>
      </w:r>
      <w:r>
        <w:rPr>
          <w:spacing w:val="-44"/>
        </w:rPr>
        <w:t> </w:t>
      </w:r>
      <w:r>
        <w:rPr>
          <w:rFonts w:ascii="Times New Roman" w:hAnsi="Times New Roman" w:cs="Times New Roman" w:eastAsia="Times New Roman" w:hint="default"/>
        </w:rPr>
        <w:t>0.00</w:t>
      </w:r>
      <w:r>
        <w:rPr>
          <w:rFonts w:ascii="Times New Roman" w:hAnsi="Times New Roman" w:cs="Times New Roman" w:eastAsia="Times New Roman" w:hint="default"/>
          <w:spacing w:val="1"/>
        </w:rPr>
        <w:t> </w:t>
      </w:r>
      <w:r>
        <w:rPr/>
        <w:t>元。</w:t>
      </w:r>
    </w:p>
    <w:p>
      <w:pPr>
        <w:pStyle w:val="BodyText"/>
        <w:spacing w:line="240" w:lineRule="auto" w:before="103"/>
        <w:ind w:right="982"/>
        <w:jc w:val="left"/>
      </w:pPr>
      <w:r>
        <w:rPr>
          <w:rFonts w:ascii="Times New Roman" w:hAnsi="Times New Roman" w:cs="Times New Roman" w:eastAsia="Times New Roman" w:hint="default"/>
        </w:rPr>
        <w:t>3)</w:t>
      </w:r>
      <w:r>
        <w:rPr/>
        <w:t>、由于重大会计差错更正，影响期初未分配利润</w:t>
      </w:r>
      <w:r>
        <w:rPr>
          <w:spacing w:val="-44"/>
        </w:rPr>
        <w:t> </w:t>
      </w:r>
      <w:r>
        <w:rPr>
          <w:rFonts w:ascii="Times New Roman" w:hAnsi="Times New Roman" w:cs="Times New Roman" w:eastAsia="Times New Roman" w:hint="default"/>
        </w:rPr>
        <w:t>0.00</w:t>
      </w:r>
      <w:r>
        <w:rPr>
          <w:rFonts w:ascii="Times New Roman" w:hAnsi="Times New Roman" w:cs="Times New Roman" w:eastAsia="Times New Roman" w:hint="default"/>
          <w:spacing w:val="1"/>
        </w:rPr>
        <w:t> </w:t>
      </w:r>
      <w:r>
        <w:rPr/>
        <w:t>元。</w:t>
      </w:r>
    </w:p>
    <w:p>
      <w:pPr>
        <w:pStyle w:val="BodyText"/>
        <w:spacing w:line="240" w:lineRule="auto" w:before="101"/>
        <w:ind w:right="982"/>
        <w:jc w:val="left"/>
      </w:pPr>
      <w:r>
        <w:rPr>
          <w:rFonts w:ascii="Times New Roman" w:hAnsi="Times New Roman" w:cs="Times New Roman" w:eastAsia="Times New Roman" w:hint="default"/>
        </w:rPr>
        <w:t>4)</w:t>
      </w:r>
      <w:r>
        <w:rPr/>
        <w:t>、由于同一控制导致的合并范围变更，影响期初未分配利润</w:t>
      </w:r>
      <w:r>
        <w:rPr>
          <w:spacing w:val="-44"/>
        </w:rPr>
        <w:t> </w:t>
      </w:r>
      <w:r>
        <w:rPr>
          <w:rFonts w:ascii="Times New Roman" w:hAnsi="Times New Roman" w:cs="Times New Roman" w:eastAsia="Times New Roman" w:hint="default"/>
        </w:rPr>
        <w:t>0.00</w:t>
      </w:r>
      <w:r>
        <w:rPr>
          <w:rFonts w:ascii="Times New Roman" w:hAnsi="Times New Roman" w:cs="Times New Roman" w:eastAsia="Times New Roman" w:hint="default"/>
          <w:spacing w:val="1"/>
        </w:rPr>
        <w:t> </w:t>
      </w:r>
      <w:r>
        <w:rPr/>
        <w:t>元。</w:t>
      </w:r>
    </w:p>
    <w:p>
      <w:pPr>
        <w:pStyle w:val="BodyText"/>
        <w:spacing w:line="240" w:lineRule="auto" w:before="103"/>
        <w:ind w:right="982"/>
        <w:jc w:val="left"/>
      </w:pPr>
      <w:r>
        <w:rPr>
          <w:rFonts w:ascii="Times New Roman" w:hAnsi="Times New Roman" w:cs="Times New Roman" w:eastAsia="Times New Roman" w:hint="default"/>
        </w:rPr>
        <w:t>5)</w:t>
      </w:r>
      <w:r>
        <w:rPr/>
        <w:t>、其他调整合计影响期初未分配利润</w:t>
      </w:r>
      <w:r>
        <w:rPr>
          <w:spacing w:val="-44"/>
        </w:rPr>
        <w:t> </w:t>
      </w:r>
      <w:r>
        <w:rPr>
          <w:rFonts w:ascii="Times New Roman" w:hAnsi="Times New Roman" w:cs="Times New Roman" w:eastAsia="Times New Roman" w:hint="default"/>
        </w:rPr>
        <w:t>0.00</w:t>
      </w:r>
      <w:r>
        <w:rPr>
          <w:rFonts w:ascii="Times New Roman" w:hAnsi="Times New Roman" w:cs="Times New Roman" w:eastAsia="Times New Roman" w:hint="default"/>
          <w:spacing w:val="1"/>
        </w:rPr>
        <w:t> </w:t>
      </w:r>
      <w:r>
        <w:rPr/>
        <w:t>元。</w:t>
      </w:r>
    </w:p>
    <w:p>
      <w:pPr>
        <w:spacing w:line="240" w:lineRule="auto" w:before="2"/>
        <w:rPr>
          <w:rFonts w:ascii="宋体" w:hAnsi="宋体" w:cs="宋体" w:eastAsia="宋体" w:hint="default"/>
          <w:sz w:val="26"/>
          <w:szCs w:val="26"/>
        </w:rPr>
      </w:pPr>
    </w:p>
    <w:p>
      <w:pPr>
        <w:pStyle w:val="Heading4"/>
        <w:spacing w:line="240" w:lineRule="auto"/>
        <w:ind w:right="982"/>
        <w:jc w:val="left"/>
        <w:rPr>
          <w:b w:val="0"/>
          <w:bCs w:val="0"/>
        </w:rPr>
      </w:pPr>
      <w:r>
        <w:rPr>
          <w:rFonts w:ascii="Times New Roman" w:hAnsi="Times New Roman" w:cs="Times New Roman" w:eastAsia="Times New Roman" w:hint="default"/>
        </w:rPr>
        <w:t>52</w:t>
      </w:r>
      <w:r>
        <w:rPr/>
        <w:t>、营业收入和营业成本</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901"/>
        <w:gridCol w:w="1916"/>
        <w:gridCol w:w="1916"/>
        <w:gridCol w:w="1913"/>
        <w:gridCol w:w="1916"/>
      </w:tblGrid>
      <w:tr>
        <w:trPr>
          <w:trHeight w:val="206" w:hRule="exact"/>
        </w:trPr>
        <w:tc>
          <w:tcPr>
            <w:tcW w:w="1901" w:type="dxa"/>
            <w:tcBorders>
              <w:top w:val="single" w:sz="4" w:space="0" w:color="000000"/>
              <w:left w:val="single" w:sz="4" w:space="0" w:color="000000"/>
              <w:bottom w:val="nil" w:sz="6" w:space="0" w:color="auto"/>
              <w:right w:val="single" w:sz="4" w:space="0" w:color="000000"/>
            </w:tcBorders>
            <w:shd w:val="clear" w:color="auto" w:fill="D2D2D2"/>
          </w:tcPr>
          <w:p>
            <w:pPr/>
          </w:p>
        </w:tc>
        <w:tc>
          <w:tcPr>
            <w:tcW w:w="383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2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192" w:hRule="exact"/>
        </w:trPr>
        <w:tc>
          <w:tcPr>
            <w:tcW w:w="190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11"/>
              <w:jc w:val="center"/>
              <w:rPr>
                <w:rFonts w:ascii="宋体" w:hAnsi="宋体" w:cs="宋体" w:eastAsia="宋体" w:hint="default"/>
                <w:sz w:val="18"/>
                <w:szCs w:val="18"/>
              </w:rPr>
            </w:pPr>
            <w:r>
              <w:rPr>
                <w:rFonts w:ascii="宋体" w:hAnsi="宋体" w:cs="宋体" w:eastAsia="宋体" w:hint="default"/>
                <w:sz w:val="18"/>
                <w:szCs w:val="18"/>
              </w:rPr>
              <w:t>项目</w:t>
            </w:r>
          </w:p>
        </w:tc>
        <w:tc>
          <w:tcPr>
            <w:tcW w:w="3831" w:type="dxa"/>
            <w:gridSpan w:val="2"/>
            <w:vMerge/>
            <w:tcBorders>
              <w:left w:val="single" w:sz="4" w:space="0" w:color="000000"/>
              <w:bottom w:val="single" w:sz="4" w:space="0" w:color="000000"/>
              <w:right w:val="single" w:sz="4" w:space="0" w:color="000000"/>
            </w:tcBorders>
            <w:shd w:val="clear" w:color="auto" w:fill="D2D2D2"/>
          </w:tcPr>
          <w:p>
            <w:pPr/>
          </w:p>
        </w:tc>
        <w:tc>
          <w:tcPr>
            <w:tcW w:w="3829" w:type="dxa"/>
            <w:gridSpan w:val="2"/>
            <w:vMerge/>
            <w:tcBorders>
              <w:left w:val="single" w:sz="4" w:space="0" w:color="000000"/>
              <w:bottom w:val="single" w:sz="4" w:space="0" w:color="000000"/>
              <w:right w:val="single" w:sz="4" w:space="0" w:color="000000"/>
            </w:tcBorders>
            <w:shd w:val="clear" w:color="auto" w:fill="D2D2D2"/>
          </w:tcPr>
          <w:p>
            <w:pPr/>
          </w:p>
        </w:tc>
      </w:tr>
      <w:tr>
        <w:trPr>
          <w:trHeight w:val="199" w:hRule="exact"/>
        </w:trPr>
        <w:tc>
          <w:tcPr>
            <w:tcW w:w="1901" w:type="dxa"/>
            <w:vMerge/>
            <w:tcBorders>
              <w:left w:val="single" w:sz="4" w:space="0" w:color="000000"/>
              <w:bottom w:val="nil" w:sz="6" w:space="0" w:color="auto"/>
              <w:right w:val="single" w:sz="4" w:space="0" w:color="000000"/>
            </w:tcBorders>
            <w:shd w:val="clear" w:color="auto" w:fill="D2D2D2"/>
          </w:tcPr>
          <w:p>
            <w:pP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成本</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206" w:hRule="exact"/>
        </w:trPr>
        <w:tc>
          <w:tcPr>
            <w:tcW w:w="1901"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19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2,124,961,092.07</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622,274,286.73</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2,152,849,881.12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529,758,399.35</w:t>
            </w:r>
          </w:p>
        </w:tc>
      </w:tr>
      <w:tr>
        <w:trPr>
          <w:trHeight w:val="401" w:hRule="exact"/>
        </w:trPr>
        <w:tc>
          <w:tcPr>
            <w:tcW w:w="19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8,698,021.91</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3,910,535.55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3,637,893.73</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1,082,598.34</w:t>
            </w:r>
          </w:p>
        </w:tc>
      </w:tr>
      <w:tr>
        <w:trPr>
          <w:trHeight w:val="403" w:hRule="exact"/>
        </w:trPr>
        <w:tc>
          <w:tcPr>
            <w:tcW w:w="19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2,133,659,113.98</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626,184,822.28</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2,156,487,774.85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530,840,997.69</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rFonts w:ascii="Times New Roman" w:hAnsi="Times New Roman" w:cs="Times New Roman" w:eastAsia="Times New Roman" w:hint="default"/>
        </w:rPr>
        <w:t>53</w:t>
      </w:r>
      <w:r>
        <w:rPr/>
        <w:t>、税金及附加</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after="0" w:line="240" w:lineRule="auto"/>
        <w:jc w:val="right"/>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3165"/>
        <w:gridCol w:w="3203"/>
        <w:gridCol w:w="3190"/>
      </w:tblGrid>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消费税</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6,323,200.66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7,707,463.46</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2,712,467.08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3,322,394.39</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资源税</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房产税</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7,999,049.30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2,733,384.57</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土地使用税</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-18,354.72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109,222.38</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车船使用税</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91,485.62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107,846.48</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印花税</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1,280,995.64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4,758,435.48</w:t>
            </w:r>
          </w:p>
        </w:tc>
      </w:tr>
      <w:tr>
        <w:trPr>
          <w:trHeight w:val="404" w:hRule="exact"/>
        </w:trPr>
        <w:tc>
          <w:tcPr>
            <w:tcW w:w="31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12" w:right="0"/>
              <w:jc w:val="left"/>
              <w:rPr>
                <w:rFonts w:ascii="宋体" w:hAnsi="宋体" w:cs="宋体" w:eastAsia="宋体" w:hint="default"/>
                <w:sz w:val="18"/>
                <w:szCs w:val="18"/>
              </w:rPr>
            </w:pPr>
            <w:r>
              <w:rPr>
                <w:rFonts w:ascii="宋体" w:hAnsi="宋体" w:cs="宋体" w:eastAsia="宋体" w:hint="default"/>
                <w:sz w:val="18"/>
                <w:szCs w:val="18"/>
              </w:rPr>
              <w:t>地方教育费附加</w:t>
            </w:r>
          </w:p>
        </w:tc>
        <w:tc>
          <w:tcPr>
            <w:tcW w:w="3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1,740,125.14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18"/>
                <w:szCs w:val="18"/>
              </w:rPr>
            </w:pPr>
            <w:r>
              <w:rPr>
                <w:rFonts w:ascii="Times New Roman"/>
                <w:spacing w:val="-1"/>
                <w:sz w:val="18"/>
              </w:rPr>
              <w:t>2,185,335.34</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572,061.13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680,277.38</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20,701,029.85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21,604,359.48</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rFonts w:ascii="Times New Roman" w:hAnsi="Times New Roman" w:cs="Times New Roman" w:eastAsia="Times New Roman" w:hint="default"/>
        </w:rPr>
        <w:t>54</w:t>
      </w:r>
      <w:r>
        <w:rPr/>
        <w:t>、销售费用</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人工费用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68,576,106.32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89,320,999.53</w:t>
            </w:r>
          </w:p>
        </w:tc>
      </w:tr>
      <w:tr>
        <w:trPr>
          <w:trHeight w:val="404"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业务经费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35,513,474.42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28,577,287.30</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特许权使用费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13,185,655.15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15,417,821.36</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广告展览及服务费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5,622,324.78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4,984,594.97</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咨询服务费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4,618,573.88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3,745,483.16</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固定资产折旧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449,245.00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719,328.12</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3,592,753.46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3,357,901.75</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131,558,133.01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146,123,416.19</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rFonts w:ascii="Times New Roman" w:hAnsi="Times New Roman" w:cs="Times New Roman" w:eastAsia="Times New Roman" w:hint="default"/>
        </w:rPr>
        <w:t>55</w:t>
      </w:r>
      <w:r>
        <w:rPr/>
        <w:t>、管理费用</w:t>
      </w:r>
      <w:r>
        <w:rPr>
          <w:b w:val="0"/>
          <w:bCs w:val="0"/>
        </w:rPr>
      </w:r>
    </w:p>
    <w:p>
      <w:pPr>
        <w:spacing w:line="240" w:lineRule="auto" w:before="13"/>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9"/>
        <w:gridCol w:w="3190"/>
        <w:gridCol w:w="3190"/>
      </w:tblGrid>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人工费用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231,821,398.89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222,391,922.71</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资本性摊销</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73,064,988.59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41,752,055.41</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房租水电装修费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37,954,942.64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44,369,773.85</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固定资产折旧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33,248,499.54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22,351,815.77</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日常办公及耗材</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30,001,053.12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31,889,083.94</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咨询服务费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20,361,688.64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36,323,049.64</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89"/>
        <w:gridCol w:w="3190"/>
        <w:gridCol w:w="3190"/>
      </w:tblGrid>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15,267,751.74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9,918,628.68</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技术支持费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13,208,575.98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6,907,787.57</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7,732,160.00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6,698,364.16</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15,495,982.86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18,148,650.09</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478,157,042.00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440,751,131.82</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rFonts w:ascii="Times New Roman" w:hAnsi="Times New Roman" w:cs="Times New Roman" w:eastAsia="Times New Roman" w:hint="default"/>
        </w:rPr>
        <w:t>56</w:t>
      </w:r>
      <w:r>
        <w:rPr/>
        <w:t>、研发费用</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9"/>
        <w:gridCol w:w="3190"/>
        <w:gridCol w:w="3190"/>
      </w:tblGrid>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4"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人工费用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0"/>
              <w:jc w:val="right"/>
              <w:rPr>
                <w:rFonts w:ascii="Times New Roman" w:hAnsi="Times New Roman" w:cs="Times New Roman" w:eastAsia="Times New Roman" w:hint="default"/>
                <w:sz w:val="18"/>
                <w:szCs w:val="18"/>
              </w:rPr>
            </w:pPr>
            <w:r>
              <w:rPr>
                <w:rFonts w:ascii="Times New Roman"/>
                <w:spacing w:val="-1"/>
                <w:sz w:val="18"/>
              </w:rPr>
              <w:t>787,219,434.10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481,119,808.65</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资本性摊销</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226,248,737.97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210,137,576.30</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技术支持费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118,940,401.84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75,578,415.49</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43,066,241.13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21,170,810.46</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日常办公及耗材</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32,662,211.27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20,697,077.30</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固定资产折旧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25,676,332.23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20,054,999.19</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房租水电装修费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18,252,995.64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20,683,875.32</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咨询服务费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5,726,854.42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3,032,763.85</w:t>
            </w:r>
          </w:p>
        </w:tc>
      </w:tr>
      <w:tr>
        <w:trPr>
          <w:trHeight w:val="404"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2,541,994.58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1,845,239.17</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16,100,692.23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19,177,040.86</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1,276,435,895.41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873,497,606.59</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rFonts w:ascii="Times New Roman" w:hAnsi="Times New Roman" w:cs="Times New Roman" w:eastAsia="Times New Roman" w:hint="default"/>
        </w:rPr>
        <w:t>57</w:t>
      </w:r>
      <w:r>
        <w:rPr/>
        <w:t>、财务费用</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9"/>
        <w:gridCol w:w="3190"/>
        <w:gridCol w:w="3190"/>
      </w:tblGrid>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19,199,157.21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320,547.95</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减：利息收入</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47,673,844.71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60,995,183.11</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加：汇兑损失</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-2,603,199.69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1,368,267.75</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加：其他支出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528,887.30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469,470.69</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-30,548,999.89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-58,836,896.72</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rFonts w:ascii="Times New Roman" w:hAnsi="Times New Roman" w:cs="Times New Roman" w:eastAsia="Times New Roman" w:hint="default"/>
        </w:rPr>
        <w:t>58</w:t>
      </w:r>
      <w:r>
        <w:rPr/>
        <w:t>、资产减值损失</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5"/>
        <w:gridCol w:w="3203"/>
        <w:gridCol w:w="3190"/>
      </w:tblGrid>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一、坏账损失</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19,457,668.16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21,061,989.47</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87"/>
        <w:gridCol w:w="3192"/>
        <w:gridCol w:w="3190"/>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二、存货跌价损失</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721,590.54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三、可供出售金融资产减值损失</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248,627.78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1,662,761.19</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四、持有至到期投资减值损失</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五、长期股权投资减值损失</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六、投资性房地产减值损失</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七、固定资产减值损失</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w w:val="95"/>
                <w:sz w:val="18"/>
              </w:rPr>
              <w:t>4,074.19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八、工程物资减值损失</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九、在建工程减值损失</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十、生产性生物资产减值损失</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4"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十一、油气资产减值损失</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十二、无形资产减值损失</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十三、商誉减值损失</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925,460,757.97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32,858,396.05</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十四、其他</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945,892,718.64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55,583,146.71</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rFonts w:ascii="Times New Roman" w:hAnsi="Times New Roman" w:cs="Times New Roman" w:eastAsia="Times New Roman" w:hint="default"/>
        </w:rPr>
        <w:t>59</w:t>
      </w:r>
      <w:r>
        <w:rPr/>
        <w:t>、其他收益</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779" w:right="0"/>
              <w:jc w:val="left"/>
              <w:rPr>
                <w:rFonts w:ascii="宋体" w:hAnsi="宋体" w:cs="宋体" w:eastAsia="宋体" w:hint="default"/>
                <w:sz w:val="18"/>
                <w:szCs w:val="18"/>
              </w:rPr>
            </w:pPr>
            <w:r>
              <w:rPr>
                <w:rFonts w:ascii="宋体" w:hAnsi="宋体" w:cs="宋体" w:eastAsia="宋体" w:hint="default"/>
                <w:sz w:val="18"/>
                <w:szCs w:val="18"/>
              </w:rPr>
              <w:t>产生其他收益的来源</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增值税返还</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65,578,532.66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49,674,671.01</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45,572,134.36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49,220,377.07</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rFonts w:ascii="Times New Roman" w:hAnsi="Times New Roman" w:cs="Times New Roman" w:eastAsia="Times New Roman" w:hint="default"/>
        </w:rPr>
        <w:t>60</w:t>
      </w:r>
      <w:r>
        <w:rPr/>
        <w:t>、投资收益</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438"/>
        <w:gridCol w:w="3202"/>
        <w:gridCol w:w="2919"/>
      </w:tblGrid>
      <w:tr>
        <w:trPr>
          <w:trHeight w:val="403" w:hRule="exact"/>
        </w:trPr>
        <w:tc>
          <w:tcPr>
            <w:tcW w:w="3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29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-16,506,990.52</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4,473,110.87</w:t>
            </w:r>
          </w:p>
        </w:tc>
      </w:tr>
      <w:tr>
        <w:trPr>
          <w:trHeight w:val="403" w:hRule="exact"/>
        </w:trPr>
        <w:tc>
          <w:tcPr>
            <w:tcW w:w="3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307,610,485.89</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3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74"/>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 金融资产在持有期间的投资收益</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3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74"/>
              <w:jc w:val="left"/>
              <w:rPr>
                <w:rFonts w:ascii="宋体" w:hAnsi="宋体" w:cs="宋体" w:eastAsia="宋体" w:hint="default"/>
                <w:sz w:val="18"/>
                <w:szCs w:val="18"/>
              </w:rPr>
            </w:pPr>
            <w:r>
              <w:rPr>
                <w:rFonts w:ascii="宋体" w:hAnsi="宋体" w:cs="宋体" w:eastAsia="宋体" w:hint="default"/>
                <w:sz w:val="18"/>
                <w:szCs w:val="18"/>
              </w:rPr>
              <w:t>处置以公允价值计量且其变动计入当期损 益的金融资产取得的投资收益</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615,921,759.91</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持有至到期投资在持有期间的投资收益</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25,754,254.43</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7,556,839.13</w:t>
            </w:r>
          </w:p>
        </w:tc>
      </w:tr>
      <w:tr>
        <w:trPr>
          <w:trHeight w:val="403" w:hRule="exact"/>
        </w:trPr>
        <w:tc>
          <w:tcPr>
            <w:tcW w:w="3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可供出售金融资产在持有期间的投资收益</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1,183,069.00</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632,419.53</w:t>
            </w:r>
          </w:p>
        </w:tc>
      </w:tr>
      <w:tr>
        <w:trPr>
          <w:trHeight w:val="401" w:hRule="exact"/>
        </w:trPr>
        <w:tc>
          <w:tcPr>
            <w:tcW w:w="3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处置可供出售金融资产取得的投资收益</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6,520,000.00</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8,472,084.00</w:t>
            </w:r>
          </w:p>
        </w:tc>
      </w:tr>
      <w:tr>
        <w:trPr>
          <w:trHeight w:val="715" w:hRule="exact"/>
        </w:trPr>
        <w:tc>
          <w:tcPr>
            <w:tcW w:w="3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0"/>
              <w:jc w:val="left"/>
              <w:rPr>
                <w:rFonts w:ascii="宋体" w:hAnsi="宋体" w:cs="宋体" w:eastAsia="宋体" w:hint="default"/>
                <w:sz w:val="18"/>
                <w:szCs w:val="18"/>
              </w:rPr>
            </w:pPr>
            <w:r>
              <w:rPr>
                <w:rFonts w:ascii="宋体" w:hAnsi="宋体" w:cs="宋体" w:eastAsia="宋体" w:hint="default"/>
                <w:spacing w:val="-1"/>
                <w:sz w:val="18"/>
                <w:szCs w:val="18"/>
              </w:rPr>
              <w:t>丧失控制权后，剩余股权按公允价值重新计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量产生的利得</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770,083,080.90</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2,954,909.69</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461"/>
        <w:gridCol w:w="3190"/>
        <w:gridCol w:w="2919"/>
      </w:tblGrid>
      <w:tr>
        <w:trPr>
          <w:trHeight w:val="404" w:hRule="exact"/>
        </w:trPr>
        <w:tc>
          <w:tcPr>
            <w:tcW w:w="34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98" w:right="0"/>
              <w:jc w:val="left"/>
              <w:rPr>
                <w:rFonts w:ascii="Times New Roman" w:hAnsi="Times New Roman" w:cs="Times New Roman" w:eastAsia="Times New Roman" w:hint="default"/>
                <w:sz w:val="18"/>
                <w:szCs w:val="18"/>
              </w:rPr>
            </w:pPr>
            <w:r>
              <w:rPr>
                <w:rFonts w:ascii="Times New Roman"/>
                <w:sz w:val="18"/>
              </w:rPr>
              <w:t>1,710,565,659.61</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53" w:right="0"/>
              <w:jc w:val="left"/>
              <w:rPr>
                <w:rFonts w:ascii="Times New Roman" w:hAnsi="Times New Roman" w:cs="Times New Roman" w:eastAsia="Times New Roman" w:hint="default"/>
                <w:sz w:val="18"/>
                <w:szCs w:val="18"/>
              </w:rPr>
            </w:pPr>
            <w:r>
              <w:rPr>
                <w:rFonts w:ascii="Times New Roman"/>
                <w:sz w:val="18"/>
              </w:rPr>
              <w:t>24,089,363.22</w:t>
            </w:r>
          </w:p>
        </w:tc>
      </w:tr>
    </w:tbl>
    <w:p>
      <w:pPr>
        <w:pStyle w:val="BodyText"/>
        <w:spacing w:line="297" w:lineRule="auto" w:before="49"/>
        <w:ind w:right="1182"/>
        <w:jc w:val="left"/>
      </w:pPr>
      <w:r>
        <w:rPr/>
        <w:t>注</w:t>
      </w:r>
      <w:r>
        <w:rPr>
          <w:spacing w:val="-45"/>
        </w:rPr>
        <w:t> </w:t>
      </w:r>
      <w:r>
        <w:rPr>
          <w:rFonts w:ascii="Times New Roman" w:hAnsi="Times New Roman" w:cs="Times New Roman" w:eastAsia="Times New Roman" w:hint="default"/>
        </w:rPr>
        <w:t>1</w:t>
      </w:r>
      <w:r>
        <w:rPr/>
        <w:t>：因第三方股东对图吧</w:t>
      </w:r>
      <w:r>
        <w:rPr>
          <w:spacing w:val="-46"/>
        </w:rPr>
        <w:t> </w:t>
      </w:r>
      <w:r>
        <w:rPr>
          <w:rFonts w:ascii="Times New Roman" w:hAnsi="Times New Roman" w:cs="Times New Roman" w:eastAsia="Times New Roman" w:hint="default"/>
        </w:rPr>
        <w:t>BVI</w:t>
      </w:r>
      <w:r>
        <w:rPr>
          <w:rFonts w:ascii="Times New Roman" w:hAnsi="Times New Roman" w:cs="Times New Roman" w:eastAsia="Times New Roman" w:hint="default"/>
          <w:spacing w:val="-1"/>
        </w:rPr>
        <w:t> </w:t>
      </w:r>
      <w:r>
        <w:rPr/>
        <w:t>增资导致公司对图吧</w:t>
      </w:r>
      <w:r>
        <w:rPr>
          <w:spacing w:val="-45"/>
        </w:rPr>
        <w:t> </w:t>
      </w:r>
      <w:r>
        <w:rPr>
          <w:rFonts w:ascii="Times New Roman" w:hAnsi="Times New Roman" w:cs="Times New Roman" w:eastAsia="Times New Roman" w:hint="default"/>
        </w:rPr>
        <w:t>BVI</w:t>
      </w:r>
      <w:r>
        <w:rPr>
          <w:rFonts w:ascii="Times New Roman" w:hAnsi="Times New Roman" w:cs="Times New Roman" w:eastAsia="Times New Roman" w:hint="default"/>
          <w:spacing w:val="-1"/>
        </w:rPr>
        <w:t> </w:t>
      </w:r>
      <w:r>
        <w:rPr/>
        <w:t>丧失控制权，相关“丧失控制权后，剩余股权按公允价值重新计 量产生的利得”及“处置长期股权投资产生的投资收益”详见本附注“八、</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处置子公司”所述。</w:t>
      </w:r>
    </w:p>
    <w:p>
      <w:pPr>
        <w:pStyle w:val="BodyText"/>
        <w:spacing w:line="300" w:lineRule="auto" w:before="55"/>
        <w:ind w:right="1172"/>
        <w:jc w:val="left"/>
      </w:pPr>
      <w:r>
        <w:rPr/>
        <w:t>注</w:t>
      </w:r>
      <w:r>
        <w:rPr>
          <w:spacing w:val="-30"/>
        </w:rPr>
        <w:t> </w:t>
      </w:r>
      <w:r>
        <w:rPr>
          <w:rFonts w:ascii="Times New Roman" w:hAnsi="Times New Roman" w:cs="Times New Roman" w:eastAsia="Times New Roman" w:hint="default"/>
          <w:spacing w:val="-2"/>
        </w:rPr>
        <w:t>2</w:t>
      </w:r>
      <w:r>
        <w:rPr>
          <w:spacing w:val="-2"/>
        </w:rPr>
        <w:t>：处置以公允价值计量且其变动计入当期损益的金融负债取得的投资收益产生原因见本附注“十六、</w:t>
      </w:r>
      <w:r>
        <w:rPr>
          <w:rFonts w:ascii="Times New Roman" w:hAnsi="Times New Roman" w:cs="Times New Roman" w:eastAsia="Times New Roman" w:hint="default"/>
          <w:spacing w:val="-2"/>
        </w:rPr>
        <w:t>7</w:t>
      </w:r>
      <w:r>
        <w:rPr>
          <w:spacing w:val="-2"/>
        </w:rPr>
        <w:t>、（</w:t>
      </w:r>
      <w:r>
        <w:rPr>
          <w:rFonts w:ascii="Times New Roman" w:hAnsi="Times New Roman" w:cs="Times New Roman" w:eastAsia="Times New Roman" w:hint="default"/>
          <w:spacing w:val="-2"/>
        </w:rPr>
        <w:t>2</w:t>
      </w:r>
      <w:r>
        <w:rPr>
          <w:spacing w:val="-2"/>
        </w:rPr>
        <w:t>）其他对投</w:t>
      </w:r>
      <w:r>
        <w:rPr>
          <w:spacing w:val="-88"/>
        </w:rPr>
        <w:t> </w:t>
      </w:r>
      <w:r>
        <w:rPr/>
        <w:t>资者决策有影响的重要交易和事项”所述。</w:t>
      </w:r>
    </w:p>
    <w:p>
      <w:pPr>
        <w:spacing w:line="240" w:lineRule="auto" w:before="10"/>
        <w:rPr>
          <w:rFonts w:ascii="宋体" w:hAnsi="宋体" w:cs="宋体" w:eastAsia="宋体" w:hint="default"/>
          <w:sz w:val="23"/>
          <w:szCs w:val="23"/>
        </w:rPr>
      </w:pPr>
    </w:p>
    <w:p>
      <w:pPr>
        <w:pStyle w:val="Heading4"/>
        <w:spacing w:line="240" w:lineRule="auto"/>
        <w:ind w:right="982"/>
        <w:jc w:val="left"/>
        <w:rPr>
          <w:b w:val="0"/>
          <w:bCs w:val="0"/>
        </w:rPr>
      </w:pPr>
      <w:r>
        <w:rPr>
          <w:rFonts w:ascii="Times New Roman" w:hAnsi="Times New Roman" w:cs="Times New Roman" w:eastAsia="Times New Roman" w:hint="default"/>
        </w:rPr>
        <w:t>61</w:t>
      </w:r>
      <w:r>
        <w:rPr/>
        <w:t>、公允价值变动收益</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380"/>
        <w:gridCol w:w="3094"/>
        <w:gridCol w:w="3085"/>
      </w:tblGrid>
      <w:tr>
        <w:trPr>
          <w:trHeight w:val="403"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14" w:right="0"/>
              <w:jc w:val="left"/>
              <w:rPr>
                <w:rFonts w:ascii="宋体" w:hAnsi="宋体" w:cs="宋体" w:eastAsia="宋体" w:hint="default"/>
                <w:sz w:val="18"/>
                <w:szCs w:val="18"/>
              </w:rPr>
            </w:pPr>
            <w:r>
              <w:rPr>
                <w:rFonts w:ascii="宋体" w:hAnsi="宋体" w:cs="宋体" w:eastAsia="宋体" w:hint="default"/>
                <w:sz w:val="18"/>
                <w:szCs w:val="18"/>
              </w:rPr>
              <w:t>产生公允价值变动收益的来源</w:t>
            </w:r>
          </w:p>
        </w:tc>
        <w:tc>
          <w:tcPr>
            <w:tcW w:w="30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4"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0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3"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12" w:right="116"/>
              <w:jc w:val="left"/>
              <w:rPr>
                <w:rFonts w:ascii="宋体" w:hAnsi="宋体" w:cs="宋体" w:eastAsia="宋体" w:hint="default"/>
                <w:sz w:val="18"/>
                <w:szCs w:val="18"/>
              </w:rPr>
            </w:pPr>
            <w:r>
              <w:rPr>
                <w:rFonts w:ascii="宋体" w:hAnsi="宋体" w:cs="宋体" w:eastAsia="宋体" w:hint="default"/>
                <w:sz w:val="18"/>
                <w:szCs w:val="18"/>
              </w:rPr>
              <w:t>以公允价值计量的且其变动计入当期损益 的金融资产</w:t>
            </w:r>
          </w:p>
        </w:tc>
        <w:tc>
          <w:tcPr>
            <w:tcW w:w="30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pacing w:val="-5"/>
                <w:sz w:val="18"/>
                <w:szCs w:val="18"/>
              </w:rPr>
              <w:t>其中：衍生金融工具产生的公允价值变</w:t>
            </w:r>
            <w:r>
              <w:rPr>
                <w:rFonts w:ascii="宋体" w:hAnsi="宋体" w:cs="宋体" w:eastAsia="宋体" w:hint="default"/>
                <w:sz w:val="18"/>
                <w:szCs w:val="18"/>
              </w:rPr>
              <w:t> 动收益</w:t>
            </w:r>
          </w:p>
        </w:tc>
        <w:tc>
          <w:tcPr>
            <w:tcW w:w="30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16"/>
              <w:jc w:val="left"/>
              <w:rPr>
                <w:rFonts w:ascii="宋体" w:hAnsi="宋体" w:cs="宋体" w:eastAsia="宋体" w:hint="default"/>
                <w:sz w:val="18"/>
                <w:szCs w:val="18"/>
              </w:rPr>
            </w:pPr>
            <w:r>
              <w:rPr>
                <w:rFonts w:ascii="宋体" w:hAnsi="宋体" w:cs="宋体" w:eastAsia="宋体" w:hint="default"/>
                <w:sz w:val="18"/>
                <w:szCs w:val="18"/>
              </w:rPr>
              <w:t>以公允价值计量的且其变动计入当期损益 的金融负债</w:t>
            </w:r>
          </w:p>
        </w:tc>
        <w:tc>
          <w:tcPr>
            <w:tcW w:w="30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按公允价值计量的投资性房地产</w:t>
            </w:r>
          </w:p>
        </w:tc>
        <w:tc>
          <w:tcPr>
            <w:tcW w:w="30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rFonts w:ascii="Times New Roman" w:hAnsi="Times New Roman" w:cs="Times New Roman" w:eastAsia="Times New Roman" w:hint="default"/>
        </w:rPr>
        <w:t>62</w:t>
      </w:r>
      <w:r>
        <w:rPr/>
        <w:t>、资产处置收益</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9"/>
        <w:gridCol w:w="3190"/>
        <w:gridCol w:w="3190"/>
      </w:tblGrid>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79" w:right="0"/>
              <w:jc w:val="left"/>
              <w:rPr>
                <w:rFonts w:ascii="宋体" w:hAnsi="宋体" w:cs="宋体" w:eastAsia="宋体" w:hint="default"/>
                <w:sz w:val="18"/>
                <w:szCs w:val="18"/>
              </w:rPr>
            </w:pPr>
            <w:r>
              <w:rPr>
                <w:rFonts w:ascii="宋体" w:hAnsi="宋体" w:cs="宋体" w:eastAsia="宋体" w:hint="default"/>
                <w:sz w:val="18"/>
                <w:szCs w:val="18"/>
              </w:rPr>
              <w:t>资产处置收益的来源</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非流动资产处置收益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-317,546.55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-1,015,076.20</w:t>
            </w:r>
          </w:p>
        </w:tc>
      </w:tr>
      <w:tr>
        <w:trPr>
          <w:trHeight w:val="713"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97" w:lineRule="auto" w:before="49"/>
              <w:ind w:left="22" w:right="135" w:firstLine="182"/>
              <w:jc w:val="left"/>
              <w:rPr>
                <w:rFonts w:ascii="宋体" w:hAnsi="宋体" w:cs="宋体" w:eastAsia="宋体" w:hint="default"/>
                <w:sz w:val="18"/>
                <w:szCs w:val="18"/>
              </w:rPr>
            </w:pPr>
            <w:r>
              <w:rPr>
                <w:rFonts w:ascii="宋体" w:hAnsi="宋体" w:cs="宋体" w:eastAsia="宋体" w:hint="default"/>
                <w:sz w:val="18"/>
                <w:szCs w:val="18"/>
              </w:rPr>
              <w:t>其中</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未划分为持有待售的非流动资 产处置收益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-317,546.55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-1,015,076.20</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76" w:right="0"/>
              <w:jc w:val="left"/>
              <w:rPr>
                <w:rFonts w:ascii="宋体" w:hAnsi="宋体" w:cs="宋体" w:eastAsia="宋体" w:hint="default"/>
                <w:sz w:val="18"/>
                <w:szCs w:val="18"/>
              </w:rPr>
            </w:pPr>
            <w:r>
              <w:rPr>
                <w:rFonts w:ascii="宋体" w:hAnsi="宋体" w:cs="宋体" w:eastAsia="宋体" w:hint="default"/>
                <w:sz w:val="18"/>
                <w:szCs w:val="18"/>
              </w:rPr>
              <w:t>其中</w:t>
            </w:r>
            <w:r>
              <w:rPr>
                <w:rFonts w:ascii="Times New Roman" w:hAnsi="Times New Roman" w:cs="Times New Roman" w:eastAsia="Times New Roman" w:hint="default"/>
                <w:sz w:val="18"/>
                <w:szCs w:val="18"/>
              </w:rPr>
              <w:t>:</w:t>
            </w:r>
            <w:r>
              <w:rPr>
                <w:rFonts w:ascii="宋体" w:hAnsi="宋体" w:cs="宋体" w:eastAsia="宋体" w:hint="default"/>
                <w:sz w:val="18"/>
                <w:szCs w:val="18"/>
              </w:rPr>
              <w:t>固定资产处置收益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-108,144.86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-1,015,076.20</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76" w:right="0"/>
              <w:jc w:val="left"/>
              <w:rPr>
                <w:rFonts w:ascii="宋体" w:hAnsi="宋体" w:cs="宋体" w:eastAsia="宋体" w:hint="default"/>
                <w:sz w:val="18"/>
                <w:szCs w:val="18"/>
              </w:rPr>
            </w:pPr>
            <w:r>
              <w:rPr>
                <w:rFonts w:ascii="宋体" w:hAnsi="宋体" w:cs="宋体" w:eastAsia="宋体" w:hint="default"/>
                <w:sz w:val="18"/>
                <w:szCs w:val="18"/>
              </w:rPr>
              <w:t>其中</w:t>
            </w:r>
            <w:r>
              <w:rPr>
                <w:rFonts w:ascii="Times New Roman" w:hAnsi="Times New Roman" w:cs="Times New Roman" w:eastAsia="Times New Roman" w:hint="default"/>
                <w:sz w:val="18"/>
                <w:szCs w:val="18"/>
              </w:rPr>
              <w:t>:</w:t>
            </w:r>
            <w:r>
              <w:rPr>
                <w:rFonts w:ascii="宋体" w:hAnsi="宋体" w:cs="宋体" w:eastAsia="宋体" w:hint="default"/>
                <w:sz w:val="18"/>
                <w:szCs w:val="18"/>
              </w:rPr>
              <w:t>无形资产处置收益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-209,401.69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rFonts w:ascii="Times New Roman" w:hAnsi="Times New Roman" w:cs="Times New Roman" w:eastAsia="Times New Roman" w:hint="default"/>
        </w:rPr>
        <w:t>63</w:t>
      </w:r>
      <w:r>
        <w:rPr/>
        <w:t>、营业外收入</w:t>
      </w:r>
      <w:r>
        <w:rPr>
          <w:b w:val="0"/>
          <w:bCs w:val="0"/>
        </w:rPr>
      </w:r>
    </w:p>
    <w:p>
      <w:pPr>
        <w:spacing w:line="240" w:lineRule="auto" w:before="13"/>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366"/>
        <w:gridCol w:w="2407"/>
        <w:gridCol w:w="2393"/>
        <w:gridCol w:w="2393"/>
      </w:tblGrid>
      <w:tr>
        <w:trPr>
          <w:trHeight w:val="162" w:hRule="exact"/>
        </w:trPr>
        <w:tc>
          <w:tcPr>
            <w:tcW w:w="2366" w:type="dxa"/>
            <w:tcBorders>
              <w:top w:val="single" w:sz="4" w:space="0" w:color="000000"/>
              <w:left w:val="single" w:sz="4" w:space="0" w:color="000000"/>
              <w:bottom w:val="nil" w:sz="6" w:space="0" w:color="auto"/>
              <w:right w:val="single" w:sz="4" w:space="0" w:color="000000"/>
            </w:tcBorders>
            <w:shd w:val="clear" w:color="auto" w:fill="D2D2D2"/>
          </w:tcPr>
          <w:p>
            <w:pPr/>
          </w:p>
        </w:tc>
        <w:tc>
          <w:tcPr>
            <w:tcW w:w="2407"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3"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3"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50"/>
              <w:ind w:left="1102" w:right="111" w:hanging="992"/>
              <w:jc w:val="left"/>
              <w:rPr>
                <w:rFonts w:ascii="宋体" w:hAnsi="宋体" w:cs="宋体" w:eastAsia="宋体" w:hint="default"/>
                <w:sz w:val="18"/>
                <w:szCs w:val="18"/>
              </w:rPr>
            </w:pPr>
            <w:r>
              <w:rPr>
                <w:rFonts w:ascii="宋体" w:hAnsi="宋体" w:cs="宋体" w:eastAsia="宋体" w:hint="default"/>
                <w:sz w:val="18"/>
                <w:szCs w:val="18"/>
              </w:rPr>
              <w:t>计入当期非经常性损益的金 额</w:t>
            </w:r>
          </w:p>
        </w:tc>
      </w:tr>
      <w:tr>
        <w:trPr>
          <w:trHeight w:val="391" w:hRule="exact"/>
        </w:trPr>
        <w:tc>
          <w:tcPr>
            <w:tcW w:w="236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40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757"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741"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393" w:type="dxa"/>
            <w:vMerge/>
            <w:tcBorders>
              <w:left w:val="single" w:sz="4" w:space="0" w:color="000000"/>
              <w:right w:val="single" w:sz="4" w:space="0" w:color="000000"/>
            </w:tcBorders>
            <w:shd w:val="clear" w:color="auto" w:fill="D2D2D2"/>
          </w:tcPr>
          <w:p>
            <w:pPr/>
          </w:p>
        </w:tc>
      </w:tr>
      <w:tr>
        <w:trPr>
          <w:trHeight w:val="161" w:hRule="exact"/>
        </w:trPr>
        <w:tc>
          <w:tcPr>
            <w:tcW w:w="2366" w:type="dxa"/>
            <w:tcBorders>
              <w:top w:val="nil" w:sz="6" w:space="0" w:color="auto"/>
              <w:left w:val="single" w:sz="4" w:space="0" w:color="000000"/>
              <w:bottom w:val="single" w:sz="4" w:space="0" w:color="000000"/>
              <w:right w:val="single" w:sz="4" w:space="0" w:color="000000"/>
            </w:tcBorders>
            <w:shd w:val="clear" w:color="auto" w:fill="D2D2D2"/>
          </w:tcPr>
          <w:p>
            <w:pPr/>
          </w:p>
        </w:tc>
        <w:tc>
          <w:tcPr>
            <w:tcW w:w="2407"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3"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3"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2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债务重组利得</w:t>
            </w:r>
          </w:p>
        </w:tc>
        <w:tc>
          <w:tcPr>
            <w:tcW w:w="240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非货币性资产交换利得</w:t>
            </w:r>
          </w:p>
        </w:tc>
        <w:tc>
          <w:tcPr>
            <w:tcW w:w="240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2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接受捐赠</w:t>
            </w:r>
          </w:p>
        </w:tc>
        <w:tc>
          <w:tcPr>
            <w:tcW w:w="240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240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962,169.95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2,944,515.60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962,169.95</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2387"/>
        <w:gridCol w:w="2396"/>
        <w:gridCol w:w="2393"/>
        <w:gridCol w:w="2393"/>
      </w:tblGrid>
      <w:tr>
        <w:trPr>
          <w:trHeight w:val="401" w:hRule="exact"/>
        </w:trPr>
        <w:tc>
          <w:tcPr>
            <w:tcW w:w="23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无法支付的应付款项</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56,820.84</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72,946.00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56,820.84</w:t>
            </w:r>
          </w:p>
        </w:tc>
      </w:tr>
      <w:tr>
        <w:trPr>
          <w:trHeight w:val="403" w:hRule="exact"/>
        </w:trPr>
        <w:tc>
          <w:tcPr>
            <w:tcW w:w="23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307,354.29</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581,729.07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307,354.29</w:t>
            </w:r>
          </w:p>
        </w:tc>
      </w:tr>
      <w:tr>
        <w:trPr>
          <w:trHeight w:val="403" w:hRule="exact"/>
        </w:trPr>
        <w:tc>
          <w:tcPr>
            <w:tcW w:w="23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1,326,345.08</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3,599,190.67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1,326,345.08</w:t>
            </w:r>
          </w:p>
        </w:tc>
      </w:tr>
    </w:tbl>
    <w:p>
      <w:pPr>
        <w:pStyle w:val="BodyText"/>
        <w:spacing w:line="240" w:lineRule="auto" w:before="49"/>
        <w:ind w:right="982"/>
        <w:jc w:val="left"/>
      </w:pPr>
      <w:r>
        <w:rPr/>
        <w:t>计入当期损益的政府补助：</w:t>
      </w:r>
    </w:p>
    <w:p>
      <w:pPr>
        <w:pStyle w:val="BodyText"/>
        <w:spacing w:line="240" w:lineRule="auto" w:before="115"/>
        <w:ind w:left="0" w:right="1131"/>
        <w:jc w:val="right"/>
      </w:pPr>
      <w:r>
        <w:rPr/>
        <w:pict>
          <v:group style="position:absolute;margin-left:56.400002pt;margin-top:22.74172pt;width:479.05pt;height:592.050pt;mso-position-horizontal-relative:page;mso-position-vertical-relative:paragraph;z-index:-1324696" coordorigin="1128,455" coordsize="9581,11841">
            <v:group style="position:absolute;left:1140;top:469;width:1055;height:156" coordorigin="1140,469" coordsize="1055,156">
              <v:shape style="position:absolute;left:1140;top:469;width:1055;height:156" coordorigin="1140,469" coordsize="1055,156" path="m1140,625l2194,625,2194,469,1140,469,1140,625xe" filled="true" fillcolor="#d2d2d2" stroked="false">
                <v:path arrowok="t"/>
                <v:fill type="solid"/>
              </v:shape>
            </v:group>
            <v:group style="position:absolute;left:1151;top:625;width:2;height:392" coordorigin="1151,625" coordsize="2,392">
              <v:shape style="position:absolute;left:1151;top:625;width:2;height:392" coordorigin="1151,625" coordsize="0,392" path="m1151,625l1151,1016e" filled="false" stroked="true" strokeweight="1.08pt" strokecolor="#d2d2d2">
                <v:path arrowok="t"/>
              </v:shape>
            </v:group>
            <v:group style="position:absolute;left:2183;top:625;width:2;height:392" coordorigin="2183,625" coordsize="2,392">
              <v:shape style="position:absolute;left:2183;top:625;width:2;height:392" coordorigin="2183,625" coordsize="0,392" path="m2183,625l2183,1016e" filled="false" stroked="true" strokeweight="1.08pt" strokecolor="#d2d2d2">
                <v:path arrowok="t"/>
              </v:shape>
            </v:group>
            <v:group style="position:absolute;left:1140;top:1016;width:1055;height:156" coordorigin="1140,1016" coordsize="1055,156">
              <v:shape style="position:absolute;left:1140;top:1016;width:1055;height:156" coordorigin="1140,1016" coordsize="1055,156" path="m1140,1172l2194,1172,2194,1016,1140,1016,1140,1172xe" filled="true" fillcolor="#d2d2d2" stroked="false">
                <v:path arrowok="t"/>
                <v:fill type="solid"/>
              </v:shape>
            </v:group>
            <v:group style="position:absolute;left:1162;top:625;width:1011;height:392" coordorigin="1162,625" coordsize="1011,392">
              <v:shape style="position:absolute;left:1162;top:625;width:1011;height:392" coordorigin="1162,625" coordsize="1011,392" path="m1162,1016l2172,1016,2172,625,1162,625,1162,1016xe" filled="true" fillcolor="#d2d2d2" stroked="false">
                <v:path arrowok="t"/>
                <v:fill type="solid"/>
              </v:shape>
            </v:group>
            <v:group style="position:absolute;left:2204;top:469;width:1054;height:156" coordorigin="2204,469" coordsize="1054,156">
              <v:shape style="position:absolute;left:2204;top:469;width:1054;height:156" coordorigin="2204,469" coordsize="1054,156" path="m2204,625l3257,625,3257,469,2204,469,2204,625xe" filled="true" fillcolor="#d2d2d2" stroked="false">
                <v:path arrowok="t"/>
                <v:fill type="solid"/>
              </v:shape>
            </v:group>
            <v:group style="position:absolute;left:2216;top:625;width:2;height:392" coordorigin="2216,625" coordsize="2,392">
              <v:shape style="position:absolute;left:2216;top:625;width:2;height:392" coordorigin="2216,625" coordsize="0,392" path="m2216,625l2216,1016e" filled="false" stroked="true" strokeweight="1.2pt" strokecolor="#d2d2d2">
                <v:path arrowok="t"/>
              </v:shape>
            </v:group>
            <v:group style="position:absolute;left:3245;top:625;width:2;height:392" coordorigin="3245,625" coordsize="2,392">
              <v:shape style="position:absolute;left:3245;top:625;width:2;height:392" coordorigin="3245,625" coordsize="0,392" path="m3245,625l3245,1016e" filled="false" stroked="true" strokeweight="1.2pt" strokecolor="#d2d2d2">
                <v:path arrowok="t"/>
              </v:shape>
            </v:group>
            <v:group style="position:absolute;left:2204;top:1016;width:1054;height:156" coordorigin="2204,1016" coordsize="1054,156">
              <v:shape style="position:absolute;left:2204;top:1016;width:1054;height:156" coordorigin="2204,1016" coordsize="1054,156" path="m2204,1172l3257,1172,3257,1016,2204,1016,2204,1172xe" filled="true" fillcolor="#d2d2d2" stroked="false">
                <v:path arrowok="t"/>
                <v:fill type="solid"/>
              </v:shape>
            </v:group>
            <v:group style="position:absolute;left:2228;top:625;width:1006;height:392" coordorigin="2228,625" coordsize="1006,392">
              <v:shape style="position:absolute;left:2228;top:625;width:1006;height:392" coordorigin="2228,625" coordsize="1006,392" path="m2228,1016l3233,1016,3233,625,2228,625,2228,1016xe" filled="true" fillcolor="#d2d2d2" stroked="false">
                <v:path arrowok="t"/>
                <v:fill type="solid"/>
              </v:shape>
            </v:group>
            <v:group style="position:absolute;left:3267;top:469;width:1055;height:156" coordorigin="3267,469" coordsize="1055,156">
              <v:shape style="position:absolute;left:3267;top:469;width:1055;height:156" coordorigin="3267,469" coordsize="1055,156" path="m3267,625l4321,625,4321,469,3267,469,3267,625xe" filled="true" fillcolor="#d2d2d2" stroked="false">
                <v:path arrowok="t"/>
                <v:fill type="solid"/>
              </v:shape>
            </v:group>
            <v:group style="position:absolute;left:3279;top:625;width:2;height:392" coordorigin="3279,625" coordsize="2,392">
              <v:shape style="position:absolute;left:3279;top:625;width:2;height:392" coordorigin="3279,625" coordsize="0,392" path="m3279,625l3279,1016e" filled="false" stroked="true" strokeweight="1.2pt" strokecolor="#d2d2d2">
                <v:path arrowok="t"/>
              </v:shape>
            </v:group>
            <v:group style="position:absolute;left:4309;top:625;width:2;height:392" coordorigin="4309,625" coordsize="2,392">
              <v:shape style="position:absolute;left:4309;top:625;width:2;height:392" coordorigin="4309,625" coordsize="0,392" path="m4309,625l4309,1016e" filled="false" stroked="true" strokeweight="1.2pt" strokecolor="#d2d2d2">
                <v:path arrowok="t"/>
              </v:shape>
            </v:group>
            <v:group style="position:absolute;left:3267;top:1016;width:1055;height:156" coordorigin="3267,1016" coordsize="1055,156">
              <v:shape style="position:absolute;left:3267;top:1016;width:1055;height:156" coordorigin="3267,1016" coordsize="1055,156" path="m3267,1172l4321,1172,4321,1016,3267,1016,3267,1172xe" filled="true" fillcolor="#d2d2d2" stroked="false">
                <v:path arrowok="t"/>
                <v:fill type="solid"/>
              </v:shape>
            </v:group>
            <v:group style="position:absolute;left:3291;top:625;width:1007;height:392" coordorigin="3291,625" coordsize="1007,392">
              <v:shape style="position:absolute;left:3291;top:625;width:1007;height:392" coordorigin="3291,625" coordsize="1007,392" path="m3291,1016l4297,1016,4297,625,3291,625,3291,1016xe" filled="true" fillcolor="#d2d2d2" stroked="false">
                <v:path arrowok="t"/>
                <v:fill type="solid"/>
              </v:shape>
            </v:group>
            <v:group style="position:absolute;left:4331;top:469;width:1054;height:156" coordorigin="4331,469" coordsize="1054,156">
              <v:shape style="position:absolute;left:4331;top:469;width:1054;height:156" coordorigin="4331,469" coordsize="1054,156" path="m4331,625l5384,625,5384,469,4331,469,4331,625xe" filled="true" fillcolor="#d2d2d2" stroked="false">
                <v:path arrowok="t"/>
                <v:fill type="solid"/>
              </v:shape>
            </v:group>
            <v:group style="position:absolute;left:4343;top:625;width:2;height:392" coordorigin="4343,625" coordsize="2,392">
              <v:shape style="position:absolute;left:4343;top:625;width:2;height:392" coordorigin="4343,625" coordsize="0,392" path="m4343,625l4343,1016e" filled="false" stroked="true" strokeweight="1.2pt" strokecolor="#d2d2d2">
                <v:path arrowok="t"/>
              </v:shape>
            </v:group>
            <v:group style="position:absolute;left:5372;top:625;width:2;height:392" coordorigin="5372,625" coordsize="2,392">
              <v:shape style="position:absolute;left:5372;top:625;width:2;height:392" coordorigin="5372,625" coordsize="0,392" path="m5372,625l5372,1016e" filled="false" stroked="true" strokeweight="1.2pt" strokecolor="#d2d2d2">
                <v:path arrowok="t"/>
              </v:shape>
            </v:group>
            <v:group style="position:absolute;left:4331;top:1016;width:1054;height:156" coordorigin="4331,1016" coordsize="1054,156">
              <v:shape style="position:absolute;left:4331;top:1016;width:1054;height:156" coordorigin="4331,1016" coordsize="1054,156" path="m4331,1172l5384,1172,5384,1016,4331,1016,4331,1172xe" filled="true" fillcolor="#d2d2d2" stroked="false">
                <v:path arrowok="t"/>
                <v:fill type="solid"/>
              </v:shape>
            </v:group>
            <v:group style="position:absolute;left:4355;top:625;width:1006;height:392" coordorigin="4355,625" coordsize="1006,392">
              <v:shape style="position:absolute;left:4355;top:625;width:1006;height:392" coordorigin="4355,625" coordsize="1006,392" path="m4355,1016l5360,1016,5360,625,4355,625,4355,1016xe" filled="true" fillcolor="#d2d2d2" stroked="false">
                <v:path arrowok="t"/>
                <v:fill type="solid"/>
              </v:shape>
            </v:group>
            <v:group style="position:absolute;left:5406;top:469;width:2;height:704" coordorigin="5406,469" coordsize="2,704">
              <v:shape style="position:absolute;left:5406;top:469;width:2;height:704" coordorigin="5406,469" coordsize="0,704" path="m5406,469l5406,1172e" filled="false" stroked="true" strokeweight="1.2pt" strokecolor="#d2d2d2">
                <v:path arrowok="t"/>
              </v:shape>
            </v:group>
            <v:group style="position:absolute;left:6435;top:469;width:2;height:704" coordorigin="6435,469" coordsize="2,704">
              <v:shape style="position:absolute;left:6435;top:469;width:2;height:704" coordorigin="6435,469" coordsize="0,704" path="m6435,469l6435,1172e" filled="false" stroked="true" strokeweight="1.2pt" strokecolor="#d2d2d2">
                <v:path arrowok="t"/>
              </v:shape>
            </v:group>
            <v:group style="position:absolute;left:5418;top:469;width:1006;height:351" coordorigin="5418,469" coordsize="1006,351">
              <v:shape style="position:absolute;left:5418;top:469;width:1006;height:351" coordorigin="5418,469" coordsize="1006,351" path="m5418,820l6423,820,6423,469,5418,469,5418,820xe" filled="true" fillcolor="#d2d2d2" stroked="false">
                <v:path arrowok="t"/>
                <v:fill type="solid"/>
              </v:shape>
            </v:group>
            <v:group style="position:absolute;left:5418;top:820;width:1006;height:353" coordorigin="5418,820" coordsize="1006,353">
              <v:shape style="position:absolute;left:5418;top:820;width:1006;height:353" coordorigin="5418,820" coordsize="1006,353" path="m5418,1172l6423,1172,6423,820,5418,820,5418,1172xe" filled="true" fillcolor="#d2d2d2" stroked="false">
                <v:path arrowok="t"/>
                <v:fill type="solid"/>
              </v:shape>
            </v:group>
            <v:group style="position:absolute;left:6469;top:469;width:2;height:704" coordorigin="6469,469" coordsize="2,704">
              <v:shape style="position:absolute;left:6469;top:469;width:2;height:704" coordorigin="6469,469" coordsize="0,704" path="m6469,469l6469,1172e" filled="false" stroked="true" strokeweight="1.2pt" strokecolor="#d2d2d2">
                <v:path arrowok="t"/>
              </v:shape>
            </v:group>
            <v:group style="position:absolute;left:7499;top:469;width:2;height:704" coordorigin="7499,469" coordsize="2,704">
              <v:shape style="position:absolute;left:7499;top:469;width:2;height:704" coordorigin="7499,469" coordsize="0,704" path="m7499,469l7499,1172e" filled="false" stroked="true" strokeweight="1.2pt" strokecolor="#d2d2d2">
                <v:path arrowok="t"/>
              </v:shape>
            </v:group>
            <v:group style="position:absolute;left:6481;top:469;width:1007;height:351" coordorigin="6481,469" coordsize="1007,351">
              <v:shape style="position:absolute;left:6481;top:469;width:1007;height:351" coordorigin="6481,469" coordsize="1007,351" path="m6481,820l7487,820,7487,469,6481,469,6481,820xe" filled="true" fillcolor="#d2d2d2" stroked="false">
                <v:path arrowok="t"/>
                <v:fill type="solid"/>
              </v:shape>
            </v:group>
            <v:group style="position:absolute;left:6481;top:820;width:1007;height:353" coordorigin="6481,820" coordsize="1007,353">
              <v:shape style="position:absolute;left:6481;top:820;width:1007;height:353" coordorigin="6481,820" coordsize="1007,353" path="m6481,1172l7487,1172,7487,820,6481,820,6481,1172xe" filled="true" fillcolor="#d2d2d2" stroked="false">
                <v:path arrowok="t"/>
                <v:fill type="solid"/>
              </v:shape>
            </v:group>
            <v:group style="position:absolute;left:7531;top:469;width:2;height:704" coordorigin="7531,469" coordsize="2,704">
              <v:shape style="position:absolute;left:7531;top:469;width:2;height:704" coordorigin="7531,469" coordsize="0,704" path="m7531,469l7531,1172e" filled="false" stroked="true" strokeweight="1.08pt" strokecolor="#d2d2d2">
                <v:path arrowok="t"/>
              </v:shape>
            </v:group>
            <v:group style="position:absolute;left:8562;top:469;width:2;height:704" coordorigin="8562,469" coordsize="2,704">
              <v:shape style="position:absolute;left:8562;top:469;width:2;height:704" coordorigin="8562,469" coordsize="0,704" path="m8562,469l8562,1172e" filled="false" stroked="true" strokeweight="1.2pt" strokecolor="#d2d2d2">
                <v:path arrowok="t"/>
              </v:shape>
            </v:group>
            <v:group style="position:absolute;left:7542;top:469;width:1008;height:351" coordorigin="7542,469" coordsize="1008,351">
              <v:shape style="position:absolute;left:7542;top:469;width:1008;height:351" coordorigin="7542,469" coordsize="1008,351" path="m7542,820l8550,820,8550,469,7542,469,7542,820xe" filled="true" fillcolor="#d2d2d2" stroked="false">
                <v:path arrowok="t"/>
                <v:fill type="solid"/>
              </v:shape>
            </v:group>
            <v:group style="position:absolute;left:7542;top:820;width:1008;height:353" coordorigin="7542,820" coordsize="1008,353">
              <v:shape style="position:absolute;left:7542;top:820;width:1008;height:353" coordorigin="7542,820" coordsize="1008,353" path="m7542,1172l8550,1172,8550,820,7542,820,7542,1172xe" filled="true" fillcolor="#d2d2d2" stroked="false">
                <v:path arrowok="t"/>
                <v:fill type="solid"/>
              </v:shape>
            </v:group>
            <v:group style="position:absolute;left:8595;top:469;width:2;height:704" coordorigin="8595,469" coordsize="2,704">
              <v:shape style="position:absolute;left:8595;top:469;width:2;height:704" coordorigin="8595,469" coordsize="0,704" path="m8595,469l8595,1172e" filled="false" stroked="true" strokeweight="1.08pt" strokecolor="#d2d2d2">
                <v:path arrowok="t"/>
              </v:shape>
            </v:group>
            <v:group style="position:absolute;left:9626;top:469;width:2;height:704" coordorigin="9626,469" coordsize="2,704">
              <v:shape style="position:absolute;left:9626;top:469;width:2;height:704" coordorigin="9626,469" coordsize="0,704" path="m9626,469l9626,1172e" filled="false" stroked="true" strokeweight="1.2pt" strokecolor="#d2d2d2">
                <v:path arrowok="t"/>
              </v:shape>
            </v:group>
            <v:group style="position:absolute;left:8605;top:469;width:1009;height:351" coordorigin="8605,469" coordsize="1009,351">
              <v:shape style="position:absolute;left:8605;top:469;width:1009;height:351" coordorigin="8605,469" coordsize="1009,351" path="m8605,820l9614,820,9614,469,8605,469,8605,820xe" filled="true" fillcolor="#d2d2d2" stroked="false">
                <v:path arrowok="t"/>
                <v:fill type="solid"/>
              </v:shape>
            </v:group>
            <v:group style="position:absolute;left:8605;top:820;width:1009;height:353" coordorigin="8605,820" coordsize="1009,353">
              <v:shape style="position:absolute;left:8605;top:820;width:1009;height:353" coordorigin="8605,820" coordsize="1009,353" path="m8605,1172l9614,1172,9614,820,8605,820,8605,1172xe" filled="true" fillcolor="#d2d2d2" stroked="false">
                <v:path arrowok="t"/>
                <v:fill type="solid"/>
              </v:shape>
            </v:group>
            <v:group style="position:absolute;left:9658;top:469;width:2;height:704" coordorigin="9658,469" coordsize="2,704">
              <v:shape style="position:absolute;left:9658;top:469;width:2;height:704" coordorigin="9658,469" coordsize="0,704" path="m9658,469l9658,1172e" filled="false" stroked="true" strokeweight="1.08pt" strokecolor="#d2d2d2">
                <v:path arrowok="t"/>
              </v:shape>
            </v:group>
            <v:group style="position:absolute;left:10688;top:469;width:2;height:704" coordorigin="10688,469" coordsize="2,704">
              <v:shape style="position:absolute;left:10688;top:469;width:2;height:704" coordorigin="10688,469" coordsize="0,704" path="m10688,469l10688,1172e" filled="false" stroked="true" strokeweight="1.08pt" strokecolor="#d2d2d2">
                <v:path arrowok="t"/>
              </v:shape>
            </v:group>
            <v:group style="position:absolute;left:9669;top:469;width:1008;height:351" coordorigin="9669,469" coordsize="1008,351">
              <v:shape style="position:absolute;left:9669;top:469;width:1008;height:351" coordorigin="9669,469" coordsize="1008,351" path="m9669,820l10677,820,10677,469,9669,469,9669,820xe" filled="true" fillcolor="#d2d2d2" stroked="false">
                <v:path arrowok="t"/>
                <v:fill type="solid"/>
              </v:shape>
            </v:group>
            <v:group style="position:absolute;left:9669;top:820;width:1008;height:353" coordorigin="9669,820" coordsize="1008,353">
              <v:shape style="position:absolute;left:9669;top:820;width:1008;height:353" coordorigin="9669,820" coordsize="1008,353" path="m9669,1172l10677,1172,10677,820,9669,820,9669,1172xe" filled="true" fillcolor="#d2d2d2" stroked="false">
                <v:path arrowok="t"/>
                <v:fill type="solid"/>
              </v:shape>
            </v:group>
            <v:group style="position:absolute;left:1138;top:464;width:1057;height:2" coordorigin="1138,464" coordsize="1057,2">
              <v:shape style="position:absolute;left:1138;top:464;width:1057;height:2" coordorigin="1138,464" coordsize="1057,0" path="m1138,464l2194,464e" filled="false" stroked="true" strokeweight=".48001pt" strokecolor="#000000">
                <v:path arrowok="t"/>
              </v:shape>
            </v:group>
            <v:group style="position:absolute;left:2204;top:464;width:1054;height:2" coordorigin="2204,464" coordsize="1054,2">
              <v:shape style="position:absolute;left:2204;top:464;width:1054;height:2" coordorigin="2204,464" coordsize="1054,0" path="m2204,464l3257,464e" filled="false" stroked="true" strokeweight=".48001pt" strokecolor="#000000">
                <v:path arrowok="t"/>
              </v:shape>
            </v:group>
            <v:group style="position:absolute;left:3267;top:464;width:1055;height:2" coordorigin="3267,464" coordsize="1055,2">
              <v:shape style="position:absolute;left:3267;top:464;width:1055;height:2" coordorigin="3267,464" coordsize="1055,0" path="m3267,464l4321,464e" filled="false" stroked="true" strokeweight=".48001pt" strokecolor="#000000">
                <v:path arrowok="t"/>
              </v:shape>
            </v:group>
            <v:group style="position:absolute;left:4331;top:464;width:1054;height:2" coordorigin="4331,464" coordsize="1054,2">
              <v:shape style="position:absolute;left:4331;top:464;width:1054;height:2" coordorigin="4331,464" coordsize="1054,0" path="m4331,464l5384,464e" filled="false" stroked="true" strokeweight=".48001pt" strokecolor="#000000">
                <v:path arrowok="t"/>
              </v:shape>
            </v:group>
            <v:group style="position:absolute;left:5394;top:464;width:1052;height:2" coordorigin="5394,464" coordsize="1052,2">
              <v:shape style="position:absolute;left:5394;top:464;width:1052;height:2" coordorigin="5394,464" coordsize="1052,0" path="m5394,464l6445,464e" filled="false" stroked="true" strokeweight=".48001pt" strokecolor="#000000">
                <v:path arrowok="t"/>
              </v:shape>
            </v:group>
            <v:group style="position:absolute;left:6455;top:464;width:1055;height:2" coordorigin="6455,464" coordsize="1055,2">
              <v:shape style="position:absolute;left:6455;top:464;width:1055;height:2" coordorigin="6455,464" coordsize="1055,0" path="m6455,464l7509,464e" filled="false" stroked="true" strokeweight=".48001pt" strokecolor="#000000">
                <v:path arrowok="t"/>
              </v:shape>
            </v:group>
            <v:group style="position:absolute;left:7518;top:464;width:1054;height:2" coordorigin="7518,464" coordsize="1054,2">
              <v:shape style="position:absolute;left:7518;top:464;width:1054;height:2" coordorigin="7518,464" coordsize="1054,0" path="m7518,464l8572,464e" filled="false" stroked="true" strokeweight=".48001pt" strokecolor="#000000">
                <v:path arrowok="t"/>
              </v:shape>
            </v:group>
            <v:group style="position:absolute;left:8581;top:464;width:1055;height:2" coordorigin="8581,464" coordsize="1055,2">
              <v:shape style="position:absolute;left:8581;top:464;width:1055;height:2" coordorigin="8581,464" coordsize="1055,0" path="m8581,464l9635,464e" filled="false" stroked="true" strokeweight=".48001pt" strokecolor="#000000">
                <v:path arrowok="t"/>
              </v:shape>
            </v:group>
            <v:group style="position:absolute;left:9645;top:464;width:1054;height:2" coordorigin="9645,464" coordsize="1054,2">
              <v:shape style="position:absolute;left:9645;top:464;width:1054;height:2" coordorigin="9645,464" coordsize="1054,0" path="m9645,464l10699,464e" filled="false" stroked="true" strokeweight=".48001pt" strokecolor="#000000">
                <v:path arrowok="t"/>
              </v:shape>
            </v:group>
            <v:group style="position:absolute;left:1140;top:1182;width:1055;height:312" coordorigin="1140,1182" coordsize="1055,312">
              <v:shape style="position:absolute;left:1140;top:1182;width:1055;height:312" coordorigin="1140,1182" coordsize="1055,312" path="m1140,1494l2194,1494,2194,1182,1140,1182,1140,1494xe" filled="true" fillcolor="#d9d9d9" stroked="false">
                <v:path arrowok="t"/>
                <v:fill type="solid"/>
              </v:shape>
            </v:group>
            <v:group style="position:absolute;left:1151;top:1494;width:2;height:706" coordorigin="1151,1494" coordsize="2,706">
              <v:shape style="position:absolute;left:1151;top:1494;width:2;height:706" coordorigin="1151,1494" coordsize="0,706" path="m1151,1494l1151,2200e" filled="false" stroked="true" strokeweight="1.08pt" strokecolor="#d9d9d9">
                <v:path arrowok="t"/>
              </v:shape>
            </v:group>
            <v:group style="position:absolute;left:2183;top:1494;width:2;height:706" coordorigin="2183,1494" coordsize="2,706">
              <v:shape style="position:absolute;left:2183;top:1494;width:2;height:706" coordorigin="2183,1494" coordsize="0,706" path="m2183,1494l2183,2200e" filled="false" stroked="true" strokeweight="1.08pt" strokecolor="#d9d9d9">
                <v:path arrowok="t"/>
              </v:shape>
            </v:group>
            <v:group style="position:absolute;left:1140;top:2200;width:1055;height:313" coordorigin="1140,2200" coordsize="1055,313">
              <v:shape style="position:absolute;left:1140;top:2200;width:1055;height:313" coordorigin="1140,2200" coordsize="1055,313" path="m1140,2512l2194,2512,2194,2200,1140,2200,1140,2512xe" filled="true" fillcolor="#d9d9d9" stroked="false">
                <v:path arrowok="t"/>
                <v:fill type="solid"/>
              </v:shape>
            </v:group>
            <v:group style="position:absolute;left:1162;top:1494;width:1011;height:353" coordorigin="1162,1494" coordsize="1011,353">
              <v:shape style="position:absolute;left:1162;top:1494;width:1011;height:353" coordorigin="1162,1494" coordsize="1011,353" path="m1162,1847l2172,1847,2172,1494,1162,1494,1162,1847xe" filled="true" fillcolor="#d9d9d9" stroked="false">
                <v:path arrowok="t"/>
                <v:fill type="solid"/>
              </v:shape>
            </v:group>
            <v:group style="position:absolute;left:1162;top:1847;width:1011;height:353" coordorigin="1162,1847" coordsize="1011,353">
              <v:shape style="position:absolute;left:1162;top:1847;width:1011;height:353" coordorigin="1162,1847" coordsize="1011,353" path="m1162,2200l2172,2200,2172,1847,1162,1847,1162,2200xe" filled="true" fillcolor="#d9d9d9" stroked="false">
                <v:path arrowok="t"/>
                <v:fill type="solid"/>
              </v:shape>
            </v:group>
            <v:group style="position:absolute;left:5394;top:1182;width:1054;height:468" coordorigin="5394,1182" coordsize="1054,468">
              <v:shape style="position:absolute;left:5394;top:1182;width:1054;height:468" coordorigin="5394,1182" coordsize="1054,468" path="m5394,1650l6447,1650,6447,1182,5394,1182,5394,1650xe" filled="true" fillcolor="#ffffff" stroked="false">
                <v:path arrowok="t"/>
                <v:fill type="solid"/>
              </v:shape>
            </v:group>
            <v:group style="position:absolute;left:1138;top:1177;width:1057;height:2" coordorigin="1138,1177" coordsize="1057,2">
              <v:shape style="position:absolute;left:1138;top:1177;width:1057;height:2" coordorigin="1138,1177" coordsize="1057,0" path="m1138,1177l2194,1177e" filled="false" stroked="true" strokeweight=".48001pt" strokecolor="#000000">
                <v:path arrowok="t"/>
              </v:shape>
            </v:group>
            <v:group style="position:absolute;left:2204;top:1177;width:1054;height:2" coordorigin="2204,1177" coordsize="1054,2">
              <v:shape style="position:absolute;left:2204;top:1177;width:1054;height:2" coordorigin="2204,1177" coordsize="1054,0" path="m2204,1177l3257,1177e" filled="false" stroked="true" strokeweight=".48001pt" strokecolor="#000000">
                <v:path arrowok="t"/>
              </v:shape>
            </v:group>
            <v:group style="position:absolute;left:3267;top:1177;width:1055;height:2" coordorigin="3267,1177" coordsize="1055,2">
              <v:shape style="position:absolute;left:3267;top:1177;width:1055;height:2" coordorigin="3267,1177" coordsize="1055,0" path="m3267,1177l4321,1177e" filled="false" stroked="true" strokeweight=".48001pt" strokecolor="#000000">
                <v:path arrowok="t"/>
              </v:shape>
            </v:group>
            <v:group style="position:absolute;left:4331;top:1177;width:1054;height:2" coordorigin="4331,1177" coordsize="1054,2">
              <v:shape style="position:absolute;left:4331;top:1177;width:1054;height:2" coordorigin="4331,1177" coordsize="1054,0" path="m4331,1177l5384,1177e" filled="false" stroked="true" strokeweight=".48001pt" strokecolor="#000000">
                <v:path arrowok="t"/>
              </v:shape>
            </v:group>
            <v:group style="position:absolute;left:5394;top:1177;width:1052;height:2" coordorigin="5394,1177" coordsize="1052,2">
              <v:shape style="position:absolute;left:5394;top:1177;width:1052;height:2" coordorigin="5394,1177" coordsize="1052,0" path="m5394,1177l6445,1177e" filled="false" stroked="true" strokeweight=".48001pt" strokecolor="#000000">
                <v:path arrowok="t"/>
              </v:shape>
            </v:group>
            <v:group style="position:absolute;left:6455;top:1177;width:1055;height:2" coordorigin="6455,1177" coordsize="1055,2">
              <v:shape style="position:absolute;left:6455;top:1177;width:1055;height:2" coordorigin="6455,1177" coordsize="1055,0" path="m6455,1177l7509,1177e" filled="false" stroked="true" strokeweight=".48001pt" strokecolor="#000000">
                <v:path arrowok="t"/>
              </v:shape>
            </v:group>
            <v:group style="position:absolute;left:7518;top:1177;width:1054;height:2" coordorigin="7518,1177" coordsize="1054,2">
              <v:shape style="position:absolute;left:7518;top:1177;width:1054;height:2" coordorigin="7518,1177" coordsize="1054,0" path="m7518,1177l8572,1177e" filled="false" stroked="true" strokeweight=".48001pt" strokecolor="#000000">
                <v:path arrowok="t"/>
              </v:shape>
            </v:group>
            <v:group style="position:absolute;left:8581;top:1177;width:1055;height:2" coordorigin="8581,1177" coordsize="1055,2">
              <v:shape style="position:absolute;left:8581;top:1177;width:1055;height:2" coordorigin="8581,1177" coordsize="1055,0" path="m8581,1177l9635,1177e" filled="false" stroked="true" strokeweight=".48001pt" strokecolor="#000000">
                <v:path arrowok="t"/>
              </v:shape>
            </v:group>
            <v:group style="position:absolute;left:9645;top:1177;width:1054;height:2" coordorigin="9645,1177" coordsize="1054,2">
              <v:shape style="position:absolute;left:9645;top:1177;width:1054;height:2" coordorigin="9645,1177" coordsize="1054,0" path="m9645,1177l10699,1177e" filled="false" stroked="true" strokeweight=".48001pt" strokecolor="#000000">
                <v:path arrowok="t"/>
              </v:shape>
            </v:group>
            <v:group style="position:absolute;left:1140;top:2522;width:1055;height:156" coordorigin="1140,2522" coordsize="1055,156">
              <v:shape style="position:absolute;left:1140;top:2522;width:1055;height:156" coordorigin="1140,2522" coordsize="1055,156" path="m1140,2678l2194,2678,2194,2522,1140,2522,1140,2678xe" filled="true" fillcolor="#d9d9d9" stroked="false">
                <v:path arrowok="t"/>
                <v:fill type="solid"/>
              </v:shape>
            </v:group>
            <v:group style="position:absolute;left:1151;top:2678;width:2;height:1016" coordorigin="1151,2678" coordsize="2,1016">
              <v:shape style="position:absolute;left:1151;top:2678;width:2;height:1016" coordorigin="1151,2678" coordsize="0,1016" path="m1151,2678l1151,3693e" filled="false" stroked="true" strokeweight="1.08pt" strokecolor="#d9d9d9">
                <v:path arrowok="t"/>
              </v:shape>
            </v:group>
            <v:group style="position:absolute;left:2183;top:2678;width:2;height:1016" coordorigin="2183,2678" coordsize="2,1016">
              <v:shape style="position:absolute;left:2183;top:2678;width:2;height:1016" coordorigin="2183,2678" coordsize="0,1016" path="m2183,2678l2183,3693e" filled="false" stroked="true" strokeweight="1.08pt" strokecolor="#d9d9d9">
                <v:path arrowok="t"/>
              </v:shape>
            </v:group>
            <v:group style="position:absolute;left:1140;top:3693;width:1055;height:156" coordorigin="1140,3693" coordsize="1055,156">
              <v:shape style="position:absolute;left:1140;top:3693;width:1055;height:156" coordorigin="1140,3693" coordsize="1055,156" path="m1140,3849l2194,3849,2194,3693,1140,3693,1140,3849xe" filled="true" fillcolor="#d9d9d9" stroked="false">
                <v:path arrowok="t"/>
                <v:fill type="solid"/>
              </v:shape>
            </v:group>
            <v:group style="position:absolute;left:1162;top:2678;width:1011;height:351" coordorigin="1162,2678" coordsize="1011,351">
              <v:shape style="position:absolute;left:1162;top:2678;width:1011;height:351" coordorigin="1162,2678" coordsize="1011,351" path="m1162,3028l2172,3028,2172,2678,1162,2678,1162,3028xe" filled="true" fillcolor="#d9d9d9" stroked="false">
                <v:path arrowok="t"/>
                <v:fill type="solid"/>
              </v:shape>
            </v:group>
            <v:group style="position:absolute;left:1162;top:3028;width:1011;height:312" coordorigin="1162,3028" coordsize="1011,312">
              <v:shape style="position:absolute;left:1162;top:3028;width:1011;height:312" coordorigin="1162,3028" coordsize="1011,312" path="m1162,3340l2172,3340,2172,3028,1162,3028,1162,3340xe" filled="true" fillcolor="#d9d9d9" stroked="false">
                <v:path arrowok="t"/>
                <v:fill type="solid"/>
              </v:shape>
            </v:group>
            <v:group style="position:absolute;left:1162;top:3340;width:1011;height:353" coordorigin="1162,3340" coordsize="1011,353">
              <v:shape style="position:absolute;left:1162;top:3340;width:1011;height:353" coordorigin="1162,3340" coordsize="1011,353" path="m1162,3693l2172,3693,2172,3340,1162,3340,1162,3693xe" filled="true" fillcolor="#d9d9d9" stroked="false">
                <v:path arrowok="t"/>
                <v:fill type="solid"/>
              </v:shape>
            </v:group>
            <v:group style="position:absolute;left:5394;top:2522;width:1054;height:468" coordorigin="5394,2522" coordsize="1054,468">
              <v:shape style="position:absolute;left:5394;top:2522;width:1054;height:468" coordorigin="5394,2522" coordsize="1054,468" path="m5394,2990l6447,2990,6447,2522,5394,2522,5394,2990xe" filled="true" fillcolor="#ffffff" stroked="false">
                <v:path arrowok="t"/>
                <v:fill type="solid"/>
              </v:shape>
            </v:group>
            <v:group style="position:absolute;left:1138;top:2517;width:1057;height:2" coordorigin="1138,2517" coordsize="1057,2">
              <v:shape style="position:absolute;left:1138;top:2517;width:1057;height:2" coordorigin="1138,2517" coordsize="1057,0" path="m1138,2517l2194,2517e" filled="false" stroked="true" strokeweight=".48001pt" strokecolor="#000000">
                <v:path arrowok="t"/>
              </v:shape>
            </v:group>
            <v:group style="position:absolute;left:2204;top:2517;width:1054;height:2" coordorigin="2204,2517" coordsize="1054,2">
              <v:shape style="position:absolute;left:2204;top:2517;width:1054;height:2" coordorigin="2204,2517" coordsize="1054,0" path="m2204,2517l3257,2517e" filled="false" stroked="true" strokeweight=".48001pt" strokecolor="#000000">
                <v:path arrowok="t"/>
              </v:shape>
            </v:group>
            <v:group style="position:absolute;left:3267;top:2517;width:1055;height:2" coordorigin="3267,2517" coordsize="1055,2">
              <v:shape style="position:absolute;left:3267;top:2517;width:1055;height:2" coordorigin="3267,2517" coordsize="1055,0" path="m3267,2517l4321,2517e" filled="false" stroked="true" strokeweight=".48001pt" strokecolor="#000000">
                <v:path arrowok="t"/>
              </v:shape>
            </v:group>
            <v:group style="position:absolute;left:4331;top:2517;width:1054;height:2" coordorigin="4331,2517" coordsize="1054,2">
              <v:shape style="position:absolute;left:4331;top:2517;width:1054;height:2" coordorigin="4331,2517" coordsize="1054,0" path="m4331,2517l5384,2517e" filled="false" stroked="true" strokeweight=".48001pt" strokecolor="#000000">
                <v:path arrowok="t"/>
              </v:shape>
            </v:group>
            <v:group style="position:absolute;left:5394;top:2517;width:1052;height:2" coordorigin="5394,2517" coordsize="1052,2">
              <v:shape style="position:absolute;left:5394;top:2517;width:1052;height:2" coordorigin="5394,2517" coordsize="1052,0" path="m5394,2517l6445,2517e" filled="false" stroked="true" strokeweight=".48001pt" strokecolor="#000000">
                <v:path arrowok="t"/>
              </v:shape>
            </v:group>
            <v:group style="position:absolute;left:6455;top:2517;width:1055;height:2" coordorigin="6455,2517" coordsize="1055,2">
              <v:shape style="position:absolute;left:6455;top:2517;width:1055;height:2" coordorigin="6455,2517" coordsize="1055,0" path="m6455,2517l7509,2517e" filled="false" stroked="true" strokeweight=".48001pt" strokecolor="#000000">
                <v:path arrowok="t"/>
              </v:shape>
            </v:group>
            <v:group style="position:absolute;left:7518;top:2517;width:1054;height:2" coordorigin="7518,2517" coordsize="1054,2">
              <v:shape style="position:absolute;left:7518;top:2517;width:1054;height:2" coordorigin="7518,2517" coordsize="1054,0" path="m7518,2517l8572,2517e" filled="false" stroked="true" strokeweight=".48001pt" strokecolor="#000000">
                <v:path arrowok="t"/>
              </v:shape>
            </v:group>
            <v:group style="position:absolute;left:8581;top:2517;width:1055;height:2" coordorigin="8581,2517" coordsize="1055,2">
              <v:shape style="position:absolute;left:8581;top:2517;width:1055;height:2" coordorigin="8581,2517" coordsize="1055,0" path="m8581,2517l9635,2517e" filled="false" stroked="true" strokeweight=".48001pt" strokecolor="#000000">
                <v:path arrowok="t"/>
              </v:shape>
            </v:group>
            <v:group style="position:absolute;left:9645;top:2517;width:1054;height:2" coordorigin="9645,2517" coordsize="1054,2">
              <v:shape style="position:absolute;left:9645;top:2517;width:1054;height:2" coordorigin="9645,2517" coordsize="1054,0" path="m9645,2517l10699,2517e" filled="false" stroked="true" strokeweight=".48001pt" strokecolor="#000000">
                <v:path arrowok="t"/>
              </v:shape>
            </v:group>
            <v:group style="position:absolute;left:1140;top:3859;width:1055;height:312" coordorigin="1140,3859" coordsize="1055,312">
              <v:shape style="position:absolute;left:1140;top:3859;width:1055;height:312" coordorigin="1140,3859" coordsize="1055,312" path="m1140,4171l2194,4171,2194,3859,1140,3859,1140,4171xe" filled="true" fillcolor="#d9d9d9" stroked="false">
                <v:path arrowok="t"/>
                <v:fill type="solid"/>
              </v:shape>
            </v:group>
            <v:group style="position:absolute;left:1151;top:4171;width:2;height:706" coordorigin="1151,4171" coordsize="2,706">
              <v:shape style="position:absolute;left:1151;top:4171;width:2;height:706" coordorigin="1151,4171" coordsize="0,706" path="m1151,4171l1151,4876e" filled="false" stroked="true" strokeweight="1.08pt" strokecolor="#d9d9d9">
                <v:path arrowok="t"/>
              </v:shape>
            </v:group>
            <v:group style="position:absolute;left:2183;top:4171;width:2;height:706" coordorigin="2183,4171" coordsize="2,706">
              <v:shape style="position:absolute;left:2183;top:4171;width:2;height:706" coordorigin="2183,4171" coordsize="0,706" path="m2183,4171l2183,4876e" filled="false" stroked="true" strokeweight="1.08pt" strokecolor="#d9d9d9">
                <v:path arrowok="t"/>
              </v:shape>
            </v:group>
            <v:group style="position:absolute;left:1140;top:4876;width:1055;height:312" coordorigin="1140,4876" coordsize="1055,312">
              <v:shape style="position:absolute;left:1140;top:4876;width:1055;height:312" coordorigin="1140,4876" coordsize="1055,312" path="m1140,5188l2194,5188,2194,4876,1140,4876,1140,5188xe" filled="true" fillcolor="#d9d9d9" stroked="false">
                <v:path arrowok="t"/>
                <v:fill type="solid"/>
              </v:shape>
            </v:group>
            <v:group style="position:absolute;left:1162;top:4171;width:1011;height:353" coordorigin="1162,4171" coordsize="1011,353">
              <v:shape style="position:absolute;left:1162;top:4171;width:1011;height:353" coordorigin="1162,4171" coordsize="1011,353" path="m1162,4523l2172,4523,2172,4171,1162,4171,1162,4523xe" filled="true" fillcolor="#d9d9d9" stroked="false">
                <v:path arrowok="t"/>
                <v:fill type="solid"/>
              </v:shape>
            </v:group>
            <v:group style="position:absolute;left:1162;top:4523;width:1011;height:353" coordorigin="1162,4523" coordsize="1011,353">
              <v:shape style="position:absolute;left:1162;top:4523;width:1011;height:353" coordorigin="1162,4523" coordsize="1011,353" path="m1162,4876l2172,4876,2172,4523,1162,4523,1162,4876xe" filled="true" fillcolor="#d9d9d9" stroked="false">
                <v:path arrowok="t"/>
                <v:fill type="solid"/>
              </v:shape>
            </v:group>
            <v:group style="position:absolute;left:5394;top:3859;width:1054;height:468" coordorigin="5394,3859" coordsize="1054,468">
              <v:shape style="position:absolute;left:5394;top:3859;width:1054;height:468" coordorigin="5394,3859" coordsize="1054,468" path="m5394,4327l6447,4327,6447,3859,5394,3859,5394,4327xe" filled="true" fillcolor="#ffffff" stroked="false">
                <v:path arrowok="t"/>
                <v:fill type="solid"/>
              </v:shape>
            </v:group>
            <v:group style="position:absolute;left:1138;top:3854;width:1057;height:2" coordorigin="1138,3854" coordsize="1057,2">
              <v:shape style="position:absolute;left:1138;top:3854;width:1057;height:2" coordorigin="1138,3854" coordsize="1057,0" path="m1138,3854l2194,3854e" filled="false" stroked="true" strokeweight=".47998pt" strokecolor="#000000">
                <v:path arrowok="t"/>
              </v:shape>
            </v:group>
            <v:group style="position:absolute;left:2204;top:3854;width:1054;height:2" coordorigin="2204,3854" coordsize="1054,2">
              <v:shape style="position:absolute;left:2204;top:3854;width:1054;height:2" coordorigin="2204,3854" coordsize="1054,0" path="m2204,3854l3257,3854e" filled="false" stroked="true" strokeweight=".47998pt" strokecolor="#000000">
                <v:path arrowok="t"/>
              </v:shape>
            </v:group>
            <v:group style="position:absolute;left:3267;top:3854;width:1055;height:2" coordorigin="3267,3854" coordsize="1055,2">
              <v:shape style="position:absolute;left:3267;top:3854;width:1055;height:2" coordorigin="3267,3854" coordsize="1055,0" path="m3267,3854l4321,3854e" filled="false" stroked="true" strokeweight=".47998pt" strokecolor="#000000">
                <v:path arrowok="t"/>
              </v:shape>
            </v:group>
            <v:group style="position:absolute;left:4331;top:3854;width:1054;height:2" coordorigin="4331,3854" coordsize="1054,2">
              <v:shape style="position:absolute;left:4331;top:3854;width:1054;height:2" coordorigin="4331,3854" coordsize="1054,0" path="m4331,3854l5384,3854e" filled="false" stroked="true" strokeweight=".47998pt" strokecolor="#000000">
                <v:path arrowok="t"/>
              </v:shape>
            </v:group>
            <v:group style="position:absolute;left:5394;top:3854;width:1052;height:2" coordorigin="5394,3854" coordsize="1052,2">
              <v:shape style="position:absolute;left:5394;top:3854;width:1052;height:2" coordorigin="5394,3854" coordsize="1052,0" path="m5394,3854l6445,3854e" filled="false" stroked="true" strokeweight=".47998pt" strokecolor="#000000">
                <v:path arrowok="t"/>
              </v:shape>
            </v:group>
            <v:group style="position:absolute;left:6455;top:3854;width:1055;height:2" coordorigin="6455,3854" coordsize="1055,2">
              <v:shape style="position:absolute;left:6455;top:3854;width:1055;height:2" coordorigin="6455,3854" coordsize="1055,0" path="m6455,3854l7509,3854e" filled="false" stroked="true" strokeweight=".47998pt" strokecolor="#000000">
                <v:path arrowok="t"/>
              </v:shape>
            </v:group>
            <v:group style="position:absolute;left:7518;top:3854;width:1054;height:2" coordorigin="7518,3854" coordsize="1054,2">
              <v:shape style="position:absolute;left:7518;top:3854;width:1054;height:2" coordorigin="7518,3854" coordsize="1054,0" path="m7518,3854l8572,3854e" filled="false" stroked="true" strokeweight=".47998pt" strokecolor="#000000">
                <v:path arrowok="t"/>
              </v:shape>
            </v:group>
            <v:group style="position:absolute;left:8581;top:3854;width:1055;height:2" coordorigin="8581,3854" coordsize="1055,2">
              <v:shape style="position:absolute;left:8581;top:3854;width:1055;height:2" coordorigin="8581,3854" coordsize="1055,0" path="m8581,3854l9635,3854e" filled="false" stroked="true" strokeweight=".47998pt" strokecolor="#000000">
                <v:path arrowok="t"/>
              </v:shape>
            </v:group>
            <v:group style="position:absolute;left:9645;top:3854;width:1054;height:2" coordorigin="9645,3854" coordsize="1054,2">
              <v:shape style="position:absolute;left:9645;top:3854;width:1054;height:2" coordorigin="9645,3854" coordsize="1054,0" path="m9645,3854l10699,3854e" filled="false" stroked="true" strokeweight=".47998pt" strokecolor="#000000">
                <v:path arrowok="t"/>
              </v:shape>
            </v:group>
            <v:group style="position:absolute;left:1140;top:5198;width:1055;height:468" coordorigin="1140,5198" coordsize="1055,468">
              <v:shape style="position:absolute;left:1140;top:5198;width:1055;height:468" coordorigin="1140,5198" coordsize="1055,468" path="m1140,5666l2194,5666,2194,5198,1140,5198,1140,5666xe" filled="true" fillcolor="#d9d9d9" stroked="false">
                <v:path arrowok="t"/>
                <v:fill type="solid"/>
              </v:shape>
            </v:group>
            <v:group style="position:absolute;left:1151;top:5666;width:2;height:392" coordorigin="1151,5666" coordsize="2,392">
              <v:shape style="position:absolute;left:1151;top:5666;width:2;height:392" coordorigin="1151,5666" coordsize="0,392" path="m1151,5666l1151,6057e" filled="false" stroked="true" strokeweight="1.08pt" strokecolor="#d9d9d9">
                <v:path arrowok="t"/>
              </v:shape>
            </v:group>
            <v:group style="position:absolute;left:2183;top:5666;width:2;height:392" coordorigin="2183,5666" coordsize="2,392">
              <v:shape style="position:absolute;left:2183;top:5666;width:2;height:392" coordorigin="2183,5666" coordsize="0,392" path="m2183,5666l2183,6057e" filled="false" stroked="true" strokeweight="1.08pt" strokecolor="#d9d9d9">
                <v:path arrowok="t"/>
              </v:shape>
            </v:group>
            <v:group style="position:absolute;left:1140;top:6057;width:1055;height:468" coordorigin="1140,6057" coordsize="1055,468">
              <v:shape style="position:absolute;left:1140;top:6057;width:1055;height:468" coordorigin="1140,6057" coordsize="1055,468" path="m1140,6525l2194,6525,2194,6057,1140,6057,1140,6525xe" filled="true" fillcolor="#d9d9d9" stroked="false">
                <v:path arrowok="t"/>
                <v:fill type="solid"/>
              </v:shape>
            </v:group>
            <v:group style="position:absolute;left:1162;top:5666;width:1011;height:392" coordorigin="1162,5666" coordsize="1011,392">
              <v:shape style="position:absolute;left:1162;top:5666;width:1011;height:392" coordorigin="1162,5666" coordsize="1011,392" path="m1162,6057l2172,6057,2172,5666,1162,5666,1162,6057xe" filled="true" fillcolor="#d9d9d9" stroked="false">
                <v:path arrowok="t"/>
                <v:fill type="solid"/>
              </v:shape>
            </v:group>
            <v:group style="position:absolute;left:5394;top:5198;width:1054;height:468" coordorigin="5394,5198" coordsize="1054,468">
              <v:shape style="position:absolute;left:5394;top:5198;width:1054;height:468" coordorigin="5394,5198" coordsize="1054,468" path="m5394,5666l6447,5666,6447,5198,5394,5198,5394,5666xe" filled="true" fillcolor="#ffffff" stroked="false">
                <v:path arrowok="t"/>
                <v:fill type="solid"/>
              </v:shape>
            </v:group>
            <v:group style="position:absolute;left:1138;top:5193;width:1057;height:2" coordorigin="1138,5193" coordsize="1057,2">
              <v:shape style="position:absolute;left:1138;top:5193;width:1057;height:2" coordorigin="1138,5193" coordsize="1057,0" path="m1138,5193l2194,5193e" filled="false" stroked="true" strokeweight=".48001pt" strokecolor="#000000">
                <v:path arrowok="t"/>
              </v:shape>
            </v:group>
            <v:group style="position:absolute;left:2204;top:5193;width:1054;height:2" coordorigin="2204,5193" coordsize="1054,2">
              <v:shape style="position:absolute;left:2204;top:5193;width:1054;height:2" coordorigin="2204,5193" coordsize="1054,0" path="m2204,5193l3257,5193e" filled="false" stroked="true" strokeweight=".48001pt" strokecolor="#000000">
                <v:path arrowok="t"/>
              </v:shape>
            </v:group>
            <v:group style="position:absolute;left:3267;top:5193;width:1055;height:2" coordorigin="3267,5193" coordsize="1055,2">
              <v:shape style="position:absolute;left:3267;top:5193;width:1055;height:2" coordorigin="3267,5193" coordsize="1055,0" path="m3267,5193l4321,5193e" filled="false" stroked="true" strokeweight=".48001pt" strokecolor="#000000">
                <v:path arrowok="t"/>
              </v:shape>
            </v:group>
            <v:group style="position:absolute;left:4331;top:5193;width:1054;height:2" coordorigin="4331,5193" coordsize="1054,2">
              <v:shape style="position:absolute;left:4331;top:5193;width:1054;height:2" coordorigin="4331,5193" coordsize="1054,0" path="m4331,5193l5384,5193e" filled="false" stroked="true" strokeweight=".48001pt" strokecolor="#000000">
                <v:path arrowok="t"/>
              </v:shape>
            </v:group>
            <v:group style="position:absolute;left:5394;top:5193;width:1052;height:2" coordorigin="5394,5193" coordsize="1052,2">
              <v:shape style="position:absolute;left:5394;top:5193;width:1052;height:2" coordorigin="5394,5193" coordsize="1052,0" path="m5394,5193l6445,5193e" filled="false" stroked="true" strokeweight=".48001pt" strokecolor="#000000">
                <v:path arrowok="t"/>
              </v:shape>
            </v:group>
            <v:group style="position:absolute;left:6455;top:5193;width:1055;height:2" coordorigin="6455,5193" coordsize="1055,2">
              <v:shape style="position:absolute;left:6455;top:5193;width:1055;height:2" coordorigin="6455,5193" coordsize="1055,0" path="m6455,5193l7509,5193e" filled="false" stroked="true" strokeweight=".48001pt" strokecolor="#000000">
                <v:path arrowok="t"/>
              </v:shape>
            </v:group>
            <v:group style="position:absolute;left:7518;top:5193;width:1054;height:2" coordorigin="7518,5193" coordsize="1054,2">
              <v:shape style="position:absolute;left:7518;top:5193;width:1054;height:2" coordorigin="7518,5193" coordsize="1054,0" path="m7518,5193l8572,5193e" filled="false" stroked="true" strokeweight=".48001pt" strokecolor="#000000">
                <v:path arrowok="t"/>
              </v:shape>
            </v:group>
            <v:group style="position:absolute;left:8581;top:5193;width:1055;height:2" coordorigin="8581,5193" coordsize="1055,2">
              <v:shape style="position:absolute;left:8581;top:5193;width:1055;height:2" coordorigin="8581,5193" coordsize="1055,0" path="m8581,5193l9635,5193e" filled="false" stroked="true" strokeweight=".48001pt" strokecolor="#000000">
                <v:path arrowok="t"/>
              </v:shape>
            </v:group>
            <v:group style="position:absolute;left:9645;top:5193;width:1054;height:2" coordorigin="9645,5193" coordsize="1054,2">
              <v:shape style="position:absolute;left:9645;top:5193;width:1054;height:2" coordorigin="9645,5193" coordsize="1054,0" path="m9645,5193l10699,5193e" filled="false" stroked="true" strokeweight=".48001pt" strokecolor="#000000">
                <v:path arrowok="t"/>
              </v:shape>
            </v:group>
            <v:group style="position:absolute;left:1140;top:6535;width:1055;height:156" coordorigin="1140,6535" coordsize="1055,156">
              <v:shape style="position:absolute;left:1140;top:6535;width:1055;height:156" coordorigin="1140,6535" coordsize="1055,156" path="m1140,6691l2194,6691,2194,6535,1140,6535,1140,6691xe" filled="true" fillcolor="#d9d9d9" stroked="false">
                <v:path arrowok="t"/>
                <v:fill type="solid"/>
              </v:shape>
            </v:group>
            <v:group style="position:absolute;left:1151;top:6691;width:2;height:1018" coordorigin="1151,6691" coordsize="2,1018">
              <v:shape style="position:absolute;left:1151;top:6691;width:2;height:1018" coordorigin="1151,6691" coordsize="0,1018" path="m1151,6691l1151,7709e" filled="false" stroked="true" strokeweight="1.08pt" strokecolor="#d9d9d9">
                <v:path arrowok="t"/>
              </v:shape>
            </v:group>
            <v:group style="position:absolute;left:2183;top:6691;width:2;height:1018" coordorigin="2183,6691" coordsize="2,1018">
              <v:shape style="position:absolute;left:2183;top:6691;width:2;height:1018" coordorigin="2183,6691" coordsize="0,1018" path="m2183,6691l2183,7709e" filled="false" stroked="true" strokeweight="1.08pt" strokecolor="#d9d9d9">
                <v:path arrowok="t"/>
              </v:shape>
            </v:group>
            <v:group style="position:absolute;left:1140;top:7709;width:1055;height:156" coordorigin="1140,7709" coordsize="1055,156">
              <v:shape style="position:absolute;left:1140;top:7709;width:1055;height:156" coordorigin="1140,7709" coordsize="1055,156" path="m1140,7865l2194,7865,2194,7709,1140,7709,1140,7865xe" filled="true" fillcolor="#d9d9d9" stroked="false">
                <v:path arrowok="t"/>
                <v:fill type="solid"/>
              </v:shape>
            </v:group>
            <v:group style="position:absolute;left:1162;top:6691;width:1011;height:353" coordorigin="1162,6691" coordsize="1011,353">
              <v:shape style="position:absolute;left:1162;top:6691;width:1011;height:353" coordorigin="1162,6691" coordsize="1011,353" path="m1162,7044l2172,7044,2172,6691,1162,6691,1162,7044xe" filled="true" fillcolor="#d9d9d9" stroked="false">
                <v:path arrowok="t"/>
                <v:fill type="solid"/>
              </v:shape>
            </v:group>
            <v:group style="position:absolute;left:1162;top:7044;width:1011;height:312" coordorigin="1162,7044" coordsize="1011,312">
              <v:shape style="position:absolute;left:1162;top:7044;width:1011;height:312" coordorigin="1162,7044" coordsize="1011,312" path="m1162,7356l2172,7356,2172,7044,1162,7044,1162,7356xe" filled="true" fillcolor="#d9d9d9" stroked="false">
                <v:path arrowok="t"/>
                <v:fill type="solid"/>
              </v:shape>
            </v:group>
            <v:group style="position:absolute;left:1162;top:7356;width:1011;height:353" coordorigin="1162,7356" coordsize="1011,353">
              <v:shape style="position:absolute;left:1162;top:7356;width:1011;height:353" coordorigin="1162,7356" coordsize="1011,353" path="m1162,7709l2172,7709,2172,7356,1162,7356,1162,7709xe" filled="true" fillcolor="#d9d9d9" stroked="false">
                <v:path arrowok="t"/>
                <v:fill type="solid"/>
              </v:shape>
            </v:group>
            <v:group style="position:absolute;left:5394;top:6535;width:1054;height:468" coordorigin="5394,6535" coordsize="1054,468">
              <v:shape style="position:absolute;left:5394;top:6535;width:1054;height:468" coordorigin="5394,6535" coordsize="1054,468" path="m5394,7003l6447,7003,6447,6535,5394,6535,5394,7003xe" filled="true" fillcolor="#ffffff" stroked="false">
                <v:path arrowok="t"/>
                <v:fill type="solid"/>
              </v:shape>
            </v:group>
            <v:group style="position:absolute;left:1138;top:6530;width:1057;height:2" coordorigin="1138,6530" coordsize="1057,2">
              <v:shape style="position:absolute;left:1138;top:6530;width:1057;height:2" coordorigin="1138,6530" coordsize="1057,0" path="m1138,6530l2194,6530e" filled="false" stroked="true" strokeweight=".48001pt" strokecolor="#000000">
                <v:path arrowok="t"/>
              </v:shape>
            </v:group>
            <v:group style="position:absolute;left:2204;top:6530;width:1054;height:2" coordorigin="2204,6530" coordsize="1054,2">
              <v:shape style="position:absolute;left:2204;top:6530;width:1054;height:2" coordorigin="2204,6530" coordsize="1054,0" path="m2204,6530l3257,6530e" filled="false" stroked="true" strokeweight=".48001pt" strokecolor="#000000">
                <v:path arrowok="t"/>
              </v:shape>
            </v:group>
            <v:group style="position:absolute;left:3267;top:6530;width:1055;height:2" coordorigin="3267,6530" coordsize="1055,2">
              <v:shape style="position:absolute;left:3267;top:6530;width:1055;height:2" coordorigin="3267,6530" coordsize="1055,0" path="m3267,6530l4321,6530e" filled="false" stroked="true" strokeweight=".48001pt" strokecolor="#000000">
                <v:path arrowok="t"/>
              </v:shape>
            </v:group>
            <v:group style="position:absolute;left:4331;top:6530;width:1054;height:2" coordorigin="4331,6530" coordsize="1054,2">
              <v:shape style="position:absolute;left:4331;top:6530;width:1054;height:2" coordorigin="4331,6530" coordsize="1054,0" path="m4331,6530l5384,6530e" filled="false" stroked="true" strokeweight=".48001pt" strokecolor="#000000">
                <v:path arrowok="t"/>
              </v:shape>
            </v:group>
            <v:group style="position:absolute;left:5394;top:6530;width:1052;height:2" coordorigin="5394,6530" coordsize="1052,2">
              <v:shape style="position:absolute;left:5394;top:6530;width:1052;height:2" coordorigin="5394,6530" coordsize="1052,0" path="m5394,6530l6445,6530e" filled="false" stroked="true" strokeweight=".48001pt" strokecolor="#000000">
                <v:path arrowok="t"/>
              </v:shape>
            </v:group>
            <v:group style="position:absolute;left:6455;top:6530;width:1055;height:2" coordorigin="6455,6530" coordsize="1055,2">
              <v:shape style="position:absolute;left:6455;top:6530;width:1055;height:2" coordorigin="6455,6530" coordsize="1055,0" path="m6455,6530l7509,6530e" filled="false" stroked="true" strokeweight=".48001pt" strokecolor="#000000">
                <v:path arrowok="t"/>
              </v:shape>
            </v:group>
            <v:group style="position:absolute;left:7518;top:6530;width:1054;height:2" coordorigin="7518,6530" coordsize="1054,2">
              <v:shape style="position:absolute;left:7518;top:6530;width:1054;height:2" coordorigin="7518,6530" coordsize="1054,0" path="m7518,6530l8572,6530e" filled="false" stroked="true" strokeweight=".48001pt" strokecolor="#000000">
                <v:path arrowok="t"/>
              </v:shape>
            </v:group>
            <v:group style="position:absolute;left:8581;top:6530;width:1055;height:2" coordorigin="8581,6530" coordsize="1055,2">
              <v:shape style="position:absolute;left:8581;top:6530;width:1055;height:2" coordorigin="8581,6530" coordsize="1055,0" path="m8581,6530l9635,6530e" filled="false" stroked="true" strokeweight=".48001pt" strokecolor="#000000">
                <v:path arrowok="t"/>
              </v:shape>
            </v:group>
            <v:group style="position:absolute;left:9645;top:6530;width:1054;height:2" coordorigin="9645,6530" coordsize="1054,2">
              <v:shape style="position:absolute;left:9645;top:6530;width:1054;height:2" coordorigin="9645,6530" coordsize="1054,0" path="m9645,6530l10699,6530e" filled="false" stroked="true" strokeweight=".48001pt" strokecolor="#000000">
                <v:path arrowok="t"/>
              </v:shape>
            </v:group>
            <v:group style="position:absolute;left:1133;top:460;width:2;height:7415" coordorigin="1133,460" coordsize="2,7415">
              <v:shape style="position:absolute;left:1133;top:460;width:2;height:7415" coordorigin="1133,460" coordsize="0,7415" path="m1133,460l1133,7874e" filled="false" stroked="true" strokeweight=".48pt" strokecolor="#000000">
                <v:path arrowok="t"/>
              </v:shape>
            </v:group>
            <v:group style="position:absolute;left:1140;top:7874;width:1055;height:156" coordorigin="1140,7874" coordsize="1055,156">
              <v:shape style="position:absolute;left:1140;top:7874;width:1055;height:156" coordorigin="1140,7874" coordsize="1055,156" path="m1140,8030l2194,8030,2194,7874,1140,7874,1140,8030xe" filled="true" fillcolor="#d9d9d9" stroked="false">
                <v:path arrowok="t"/>
                <v:fill type="solid"/>
              </v:shape>
            </v:group>
            <v:group style="position:absolute;left:1151;top:8030;width:2;height:1016" coordorigin="1151,8030" coordsize="2,1016">
              <v:shape style="position:absolute;left:1151;top:8030;width:2;height:1016" coordorigin="1151,8030" coordsize="0,1016" path="m1151,8030l1151,9045e" filled="false" stroked="true" strokeweight="1.08pt" strokecolor="#d9d9d9">
                <v:path arrowok="t"/>
              </v:shape>
            </v:group>
            <v:group style="position:absolute;left:2183;top:8030;width:2;height:1016" coordorigin="2183,8030" coordsize="2,1016">
              <v:shape style="position:absolute;left:2183;top:8030;width:2;height:1016" coordorigin="2183,8030" coordsize="0,1016" path="m2183,8030l2183,9045e" filled="false" stroked="true" strokeweight="1.08pt" strokecolor="#d9d9d9">
                <v:path arrowok="t"/>
              </v:shape>
            </v:group>
            <v:group style="position:absolute;left:1140;top:9046;width:1055;height:157" coordorigin="1140,9046" coordsize="1055,157">
              <v:shape style="position:absolute;left:1140;top:9046;width:1055;height:157" coordorigin="1140,9046" coordsize="1055,157" path="m1140,9202l2194,9202,2194,9046,1140,9046,1140,9202xe" filled="true" fillcolor="#d9d9d9" stroked="false">
                <v:path arrowok="t"/>
                <v:fill type="solid"/>
              </v:shape>
            </v:group>
            <v:group style="position:absolute;left:1162;top:8030;width:1011;height:351" coordorigin="1162,8030" coordsize="1011,351">
              <v:shape style="position:absolute;left:1162;top:8030;width:1011;height:351" coordorigin="1162,8030" coordsize="1011,351" path="m1162,8381l2172,8381,2172,8030,1162,8030,1162,8381xe" filled="true" fillcolor="#d9d9d9" stroked="false">
                <v:path arrowok="t"/>
                <v:fill type="solid"/>
              </v:shape>
            </v:group>
            <v:group style="position:absolute;left:1162;top:8381;width:1011;height:312" coordorigin="1162,8381" coordsize="1011,312">
              <v:shape style="position:absolute;left:1162;top:8381;width:1011;height:312" coordorigin="1162,8381" coordsize="1011,312" path="m1162,8693l2172,8693,2172,8381,1162,8381,1162,8693xe" filled="true" fillcolor="#d9d9d9" stroked="false">
                <v:path arrowok="t"/>
                <v:fill type="solid"/>
              </v:shape>
            </v:group>
            <v:group style="position:absolute;left:1162;top:8693;width:1011;height:353" coordorigin="1162,8693" coordsize="1011,353">
              <v:shape style="position:absolute;left:1162;top:8693;width:1011;height:353" coordorigin="1162,8693" coordsize="1011,353" path="m1162,9045l2172,9045,2172,8693,1162,8693,1162,9045xe" filled="true" fillcolor="#d9d9d9" stroked="false">
                <v:path arrowok="t"/>
                <v:fill type="solid"/>
              </v:shape>
            </v:group>
            <v:group style="position:absolute;left:5394;top:7874;width:1054;height:468" coordorigin="5394,7874" coordsize="1054,468">
              <v:shape style="position:absolute;left:5394;top:7874;width:1054;height:468" coordorigin="5394,7874" coordsize="1054,468" path="m5394,8342l6447,8342,6447,7874,5394,7874,5394,8342xe" filled="true" fillcolor="#ffffff" stroked="false">
                <v:path arrowok="t"/>
                <v:fill type="solid"/>
              </v:shape>
            </v:group>
            <v:group style="position:absolute;left:1138;top:7869;width:1057;height:2" coordorigin="1138,7869" coordsize="1057,2">
              <v:shape style="position:absolute;left:1138;top:7869;width:1057;height:2" coordorigin="1138,7869" coordsize="1057,0" path="m1138,7869l2194,7869e" filled="false" stroked="true" strokeweight=".47998pt" strokecolor="#000000">
                <v:path arrowok="t"/>
              </v:shape>
            </v:group>
            <v:group style="position:absolute;left:2204;top:7869;width:1054;height:2" coordorigin="2204,7869" coordsize="1054,2">
              <v:shape style="position:absolute;left:2204;top:7869;width:1054;height:2" coordorigin="2204,7869" coordsize="1054,0" path="m2204,7869l3257,7869e" filled="false" stroked="true" strokeweight=".47998pt" strokecolor="#000000">
                <v:path arrowok="t"/>
              </v:shape>
            </v:group>
            <v:group style="position:absolute;left:3267;top:7869;width:1055;height:2" coordorigin="3267,7869" coordsize="1055,2">
              <v:shape style="position:absolute;left:3267;top:7869;width:1055;height:2" coordorigin="3267,7869" coordsize="1055,0" path="m3267,7869l4321,7869e" filled="false" stroked="true" strokeweight=".47998pt" strokecolor="#000000">
                <v:path arrowok="t"/>
              </v:shape>
            </v:group>
            <v:group style="position:absolute;left:4331;top:7869;width:1054;height:2" coordorigin="4331,7869" coordsize="1054,2">
              <v:shape style="position:absolute;left:4331;top:7869;width:1054;height:2" coordorigin="4331,7869" coordsize="1054,0" path="m4331,7869l5384,7869e" filled="false" stroked="true" strokeweight=".47998pt" strokecolor="#000000">
                <v:path arrowok="t"/>
              </v:shape>
            </v:group>
            <v:group style="position:absolute;left:5394;top:7869;width:1052;height:2" coordorigin="5394,7869" coordsize="1052,2">
              <v:shape style="position:absolute;left:5394;top:7869;width:1052;height:2" coordorigin="5394,7869" coordsize="1052,0" path="m5394,7869l6445,7869e" filled="false" stroked="true" strokeweight=".47998pt" strokecolor="#000000">
                <v:path arrowok="t"/>
              </v:shape>
            </v:group>
            <v:group style="position:absolute;left:6455;top:7869;width:1055;height:2" coordorigin="6455,7869" coordsize="1055,2">
              <v:shape style="position:absolute;left:6455;top:7869;width:1055;height:2" coordorigin="6455,7869" coordsize="1055,0" path="m6455,7869l7509,7869e" filled="false" stroked="true" strokeweight=".47998pt" strokecolor="#000000">
                <v:path arrowok="t"/>
              </v:shape>
            </v:group>
            <v:group style="position:absolute;left:7518;top:7869;width:1054;height:2" coordorigin="7518,7869" coordsize="1054,2">
              <v:shape style="position:absolute;left:7518;top:7869;width:1054;height:2" coordorigin="7518,7869" coordsize="1054,0" path="m7518,7869l8572,7869e" filled="false" stroked="true" strokeweight=".47998pt" strokecolor="#000000">
                <v:path arrowok="t"/>
              </v:shape>
            </v:group>
            <v:group style="position:absolute;left:8581;top:7869;width:1055;height:2" coordorigin="8581,7869" coordsize="1055,2">
              <v:shape style="position:absolute;left:8581;top:7869;width:1055;height:2" coordorigin="8581,7869" coordsize="1055,0" path="m8581,7869l9635,7869e" filled="false" stroked="true" strokeweight=".47998pt" strokecolor="#000000">
                <v:path arrowok="t"/>
              </v:shape>
            </v:group>
            <v:group style="position:absolute;left:9645;top:7869;width:1054;height:2" coordorigin="9645,7869" coordsize="1054,2">
              <v:shape style="position:absolute;left:9645;top:7869;width:1054;height:2" coordorigin="9645,7869" coordsize="1054,0" path="m9645,7869l10699,7869e" filled="false" stroked="true" strokeweight=".47998pt" strokecolor="#000000">
                <v:path arrowok="t"/>
              </v:shape>
            </v:group>
            <v:group style="position:absolute;left:1140;top:9212;width:1055;height:312" coordorigin="1140,9212" coordsize="1055,312">
              <v:shape style="position:absolute;left:1140;top:9212;width:1055;height:312" coordorigin="1140,9212" coordsize="1055,312" path="m1140,9524l2194,9524,2194,9212,1140,9212,1140,9524xe" filled="true" fillcolor="#d9d9d9" stroked="false">
                <v:path arrowok="t"/>
                <v:fill type="solid"/>
              </v:shape>
            </v:group>
            <v:group style="position:absolute;left:1151;top:9524;width:2;height:706" coordorigin="1151,9524" coordsize="2,706">
              <v:shape style="position:absolute;left:1151;top:9524;width:2;height:706" coordorigin="1151,9524" coordsize="0,706" path="m1151,9524l1151,10229e" filled="false" stroked="true" strokeweight="1.08pt" strokecolor="#d9d9d9">
                <v:path arrowok="t"/>
              </v:shape>
            </v:group>
            <v:group style="position:absolute;left:2183;top:9524;width:2;height:706" coordorigin="2183,9524" coordsize="2,706">
              <v:shape style="position:absolute;left:2183;top:9524;width:2;height:706" coordorigin="2183,9524" coordsize="0,706" path="m2183,9524l2183,10229e" filled="false" stroked="true" strokeweight="1.08pt" strokecolor="#d9d9d9">
                <v:path arrowok="t"/>
              </v:shape>
            </v:group>
            <v:group style="position:absolute;left:1140;top:10229;width:1055;height:312" coordorigin="1140,10229" coordsize="1055,312">
              <v:shape style="position:absolute;left:1140;top:10229;width:1055;height:312" coordorigin="1140,10229" coordsize="1055,312" path="m1140,10541l2194,10541,2194,10229,1140,10229,1140,10541xe" filled="true" fillcolor="#d9d9d9" stroked="false">
                <v:path arrowok="t"/>
                <v:fill type="solid"/>
              </v:shape>
            </v:group>
            <v:group style="position:absolute;left:1162;top:9524;width:1011;height:353" coordorigin="1162,9524" coordsize="1011,353">
              <v:shape style="position:absolute;left:1162;top:9524;width:1011;height:353" coordorigin="1162,9524" coordsize="1011,353" path="m1162,9876l2172,9876,2172,9524,1162,9524,1162,9876xe" filled="true" fillcolor="#d9d9d9" stroked="false">
                <v:path arrowok="t"/>
                <v:fill type="solid"/>
              </v:shape>
            </v:group>
            <v:group style="position:absolute;left:1162;top:9876;width:1011;height:353" coordorigin="1162,9876" coordsize="1011,353">
              <v:shape style="position:absolute;left:1162;top:9876;width:1011;height:353" coordorigin="1162,9876" coordsize="1011,353" path="m1162,10229l2172,10229,2172,9876,1162,9876,1162,10229xe" filled="true" fillcolor="#d9d9d9" stroked="false">
                <v:path arrowok="t"/>
                <v:fill type="solid"/>
              </v:shape>
            </v:group>
            <v:group style="position:absolute;left:5394;top:9212;width:1054;height:468" coordorigin="5394,9212" coordsize="1054,468">
              <v:shape style="position:absolute;left:5394;top:9212;width:1054;height:468" coordorigin="5394,9212" coordsize="1054,468" path="m5394,9680l6447,9680,6447,9212,5394,9212,5394,9680xe" filled="true" fillcolor="#ffffff" stroked="false">
                <v:path arrowok="t"/>
                <v:fill type="solid"/>
              </v:shape>
            </v:group>
            <v:group style="position:absolute;left:1138;top:9207;width:1057;height:2" coordorigin="1138,9207" coordsize="1057,2">
              <v:shape style="position:absolute;left:1138;top:9207;width:1057;height:2" coordorigin="1138,9207" coordsize="1057,0" path="m1138,9207l2194,9207e" filled="false" stroked="true" strokeweight=".47998pt" strokecolor="#000000">
                <v:path arrowok="t"/>
              </v:shape>
            </v:group>
            <v:group style="position:absolute;left:2204;top:9207;width:1054;height:2" coordorigin="2204,9207" coordsize="1054,2">
              <v:shape style="position:absolute;left:2204;top:9207;width:1054;height:2" coordorigin="2204,9207" coordsize="1054,0" path="m2204,9207l3257,9207e" filled="false" stroked="true" strokeweight=".47998pt" strokecolor="#000000">
                <v:path arrowok="t"/>
              </v:shape>
            </v:group>
            <v:group style="position:absolute;left:3267;top:9207;width:1055;height:2" coordorigin="3267,9207" coordsize="1055,2">
              <v:shape style="position:absolute;left:3267;top:9207;width:1055;height:2" coordorigin="3267,9207" coordsize="1055,0" path="m3267,9207l4321,9207e" filled="false" stroked="true" strokeweight=".47998pt" strokecolor="#000000">
                <v:path arrowok="t"/>
              </v:shape>
            </v:group>
            <v:group style="position:absolute;left:4331;top:9207;width:1054;height:2" coordorigin="4331,9207" coordsize="1054,2">
              <v:shape style="position:absolute;left:4331;top:9207;width:1054;height:2" coordorigin="4331,9207" coordsize="1054,0" path="m4331,9207l5384,9207e" filled="false" stroked="true" strokeweight=".47998pt" strokecolor="#000000">
                <v:path arrowok="t"/>
              </v:shape>
            </v:group>
            <v:group style="position:absolute;left:5394;top:9207;width:1052;height:2" coordorigin="5394,9207" coordsize="1052,2">
              <v:shape style="position:absolute;left:5394;top:9207;width:1052;height:2" coordorigin="5394,9207" coordsize="1052,0" path="m5394,9207l6445,9207e" filled="false" stroked="true" strokeweight=".47998pt" strokecolor="#000000">
                <v:path arrowok="t"/>
              </v:shape>
            </v:group>
            <v:group style="position:absolute;left:6455;top:9207;width:1055;height:2" coordorigin="6455,9207" coordsize="1055,2">
              <v:shape style="position:absolute;left:6455;top:9207;width:1055;height:2" coordorigin="6455,9207" coordsize="1055,0" path="m6455,9207l7509,9207e" filled="false" stroked="true" strokeweight=".47998pt" strokecolor="#000000">
                <v:path arrowok="t"/>
              </v:shape>
            </v:group>
            <v:group style="position:absolute;left:7518;top:9207;width:1054;height:2" coordorigin="7518,9207" coordsize="1054,2">
              <v:shape style="position:absolute;left:7518;top:9207;width:1054;height:2" coordorigin="7518,9207" coordsize="1054,0" path="m7518,9207l8572,9207e" filled="false" stroked="true" strokeweight=".47998pt" strokecolor="#000000">
                <v:path arrowok="t"/>
              </v:shape>
            </v:group>
            <v:group style="position:absolute;left:8581;top:9207;width:1055;height:2" coordorigin="8581,9207" coordsize="1055,2">
              <v:shape style="position:absolute;left:8581;top:9207;width:1055;height:2" coordorigin="8581,9207" coordsize="1055,0" path="m8581,9207l9635,9207e" filled="false" stroked="true" strokeweight=".47998pt" strokecolor="#000000">
                <v:path arrowok="t"/>
              </v:shape>
            </v:group>
            <v:group style="position:absolute;left:9645;top:9207;width:1054;height:2" coordorigin="9645,9207" coordsize="1054,2">
              <v:shape style="position:absolute;left:9645;top:9207;width:1054;height:2" coordorigin="9645,9207" coordsize="1054,0" path="m9645,9207l10699,9207e" filled="false" stroked="true" strokeweight=".47998pt" strokecolor="#000000">
                <v:path arrowok="t"/>
              </v:shape>
            </v:group>
            <v:group style="position:absolute;left:1140;top:10551;width:1055;height:312" coordorigin="1140,10551" coordsize="1055,312">
              <v:shape style="position:absolute;left:1140;top:10551;width:1055;height:312" coordorigin="1140,10551" coordsize="1055,312" path="m1140,10863l2194,10863,2194,10551,1140,10551,1140,10863xe" filled="true" fillcolor="#d9d9d9" stroked="false">
                <v:path arrowok="t"/>
                <v:fill type="solid"/>
              </v:shape>
            </v:group>
            <v:group style="position:absolute;left:1151;top:10863;width:2;height:704" coordorigin="1151,10863" coordsize="2,704">
              <v:shape style="position:absolute;left:1151;top:10863;width:2;height:704" coordorigin="1151,10863" coordsize="0,704" path="m1151,10863l1151,11566e" filled="false" stroked="true" strokeweight="1.08pt" strokecolor="#d9d9d9">
                <v:path arrowok="t"/>
              </v:shape>
            </v:group>
            <v:group style="position:absolute;left:2183;top:10863;width:2;height:704" coordorigin="2183,10863" coordsize="2,704">
              <v:shape style="position:absolute;left:2183;top:10863;width:2;height:704" coordorigin="2183,10863" coordsize="0,704" path="m2183,10863l2183,11566e" filled="false" stroked="true" strokeweight="1.08pt" strokecolor="#d9d9d9">
                <v:path arrowok="t"/>
              </v:shape>
            </v:group>
            <v:group style="position:absolute;left:1140;top:11566;width:1055;height:312" coordorigin="1140,11566" coordsize="1055,312">
              <v:shape style="position:absolute;left:1140;top:11566;width:1055;height:312" coordorigin="1140,11566" coordsize="1055,312" path="m1140,11878l2194,11878,2194,11566,1140,11566,1140,11878xe" filled="true" fillcolor="#d9d9d9" stroked="false">
                <v:path arrowok="t"/>
                <v:fill type="solid"/>
              </v:shape>
            </v:group>
            <v:group style="position:absolute;left:1162;top:10863;width:1011;height:351" coordorigin="1162,10863" coordsize="1011,351">
              <v:shape style="position:absolute;left:1162;top:10863;width:1011;height:351" coordorigin="1162,10863" coordsize="1011,351" path="m1162,11213l2172,11213,2172,10863,1162,10863,1162,11213xe" filled="true" fillcolor="#d9d9d9" stroked="false">
                <v:path arrowok="t"/>
                <v:fill type="solid"/>
              </v:shape>
            </v:group>
            <v:group style="position:absolute;left:1162;top:11213;width:1011;height:353" coordorigin="1162,11213" coordsize="1011,353">
              <v:shape style="position:absolute;left:1162;top:11213;width:1011;height:353" coordorigin="1162,11213" coordsize="1011,353" path="m1162,11566l2172,11566,2172,11213,1162,11213,1162,11566xe" filled="true" fillcolor="#d9d9d9" stroked="false">
                <v:path arrowok="t"/>
                <v:fill type="solid"/>
              </v:shape>
            </v:group>
            <v:group style="position:absolute;left:5394;top:10551;width:1054;height:468" coordorigin="5394,10551" coordsize="1054,468">
              <v:shape style="position:absolute;left:5394;top:10551;width:1054;height:468" coordorigin="5394,10551" coordsize="1054,468" path="m5394,11019l6447,11019,6447,10551,5394,10551,5394,11019xe" filled="true" fillcolor="#ffffff" stroked="false">
                <v:path arrowok="t"/>
                <v:fill type="solid"/>
              </v:shape>
            </v:group>
            <v:group style="position:absolute;left:1138;top:10546;width:1057;height:2" coordorigin="1138,10546" coordsize="1057,2">
              <v:shape style="position:absolute;left:1138;top:10546;width:1057;height:2" coordorigin="1138,10546" coordsize="1057,0" path="m1138,10546l2194,10546e" filled="false" stroked="true" strokeweight=".48004pt" strokecolor="#000000">
                <v:path arrowok="t"/>
              </v:shape>
            </v:group>
            <v:group style="position:absolute;left:2204;top:10546;width:1054;height:2" coordorigin="2204,10546" coordsize="1054,2">
              <v:shape style="position:absolute;left:2204;top:10546;width:1054;height:2" coordorigin="2204,10546" coordsize="1054,0" path="m2204,10546l3257,10546e" filled="false" stroked="true" strokeweight=".48004pt" strokecolor="#000000">
                <v:path arrowok="t"/>
              </v:shape>
            </v:group>
            <v:group style="position:absolute;left:3267;top:10546;width:1055;height:2" coordorigin="3267,10546" coordsize="1055,2">
              <v:shape style="position:absolute;left:3267;top:10546;width:1055;height:2" coordorigin="3267,10546" coordsize="1055,0" path="m3267,10546l4321,10546e" filled="false" stroked="true" strokeweight=".48004pt" strokecolor="#000000">
                <v:path arrowok="t"/>
              </v:shape>
            </v:group>
            <v:group style="position:absolute;left:4331;top:10546;width:1054;height:2" coordorigin="4331,10546" coordsize="1054,2">
              <v:shape style="position:absolute;left:4331;top:10546;width:1054;height:2" coordorigin="4331,10546" coordsize="1054,0" path="m4331,10546l5384,10546e" filled="false" stroked="true" strokeweight=".48004pt" strokecolor="#000000">
                <v:path arrowok="t"/>
              </v:shape>
            </v:group>
            <v:group style="position:absolute;left:5394;top:10546;width:1052;height:2" coordorigin="5394,10546" coordsize="1052,2">
              <v:shape style="position:absolute;left:5394;top:10546;width:1052;height:2" coordorigin="5394,10546" coordsize="1052,0" path="m5394,10546l6445,10546e" filled="false" stroked="true" strokeweight=".48004pt" strokecolor="#000000">
                <v:path arrowok="t"/>
              </v:shape>
            </v:group>
            <v:group style="position:absolute;left:6455;top:10546;width:1055;height:2" coordorigin="6455,10546" coordsize="1055,2">
              <v:shape style="position:absolute;left:6455;top:10546;width:1055;height:2" coordorigin="6455,10546" coordsize="1055,0" path="m6455,10546l7509,10546e" filled="false" stroked="true" strokeweight=".48004pt" strokecolor="#000000">
                <v:path arrowok="t"/>
              </v:shape>
            </v:group>
            <v:group style="position:absolute;left:7518;top:10546;width:1054;height:2" coordorigin="7518,10546" coordsize="1054,2">
              <v:shape style="position:absolute;left:7518;top:10546;width:1054;height:2" coordorigin="7518,10546" coordsize="1054,0" path="m7518,10546l8572,10546e" filled="false" stroked="true" strokeweight=".48004pt" strokecolor="#000000">
                <v:path arrowok="t"/>
              </v:shape>
            </v:group>
            <v:group style="position:absolute;left:8581;top:10546;width:1055;height:2" coordorigin="8581,10546" coordsize="1055,2">
              <v:shape style="position:absolute;left:8581;top:10546;width:1055;height:2" coordorigin="8581,10546" coordsize="1055,0" path="m8581,10546l9635,10546e" filled="false" stroked="true" strokeweight=".48004pt" strokecolor="#000000">
                <v:path arrowok="t"/>
              </v:shape>
            </v:group>
            <v:group style="position:absolute;left:9645;top:10546;width:1054;height:2" coordorigin="9645,10546" coordsize="1054,2">
              <v:shape style="position:absolute;left:9645;top:10546;width:1054;height:2" coordorigin="9645,10546" coordsize="1054,0" path="m9645,10546l10699,10546e" filled="false" stroked="true" strokeweight=".48004pt" strokecolor="#000000">
                <v:path arrowok="t"/>
              </v:shape>
            </v:group>
            <v:group style="position:absolute;left:1140;top:11898;width:1055;height:2" coordorigin="1140,11898" coordsize="1055,2">
              <v:shape style="position:absolute;left:1140;top:11898;width:1055;height:2" coordorigin="1140,11898" coordsize="1055,0" path="m1140,11898l2194,11898e" filled="false" stroked="true" strokeweight="1.08pt" strokecolor="#d9d9d9">
                <v:path arrowok="t"/>
              </v:shape>
            </v:group>
            <v:group style="position:absolute;left:1151;top:11909;width:2;height:351" coordorigin="1151,11909" coordsize="2,351">
              <v:shape style="position:absolute;left:1151;top:11909;width:2;height:351" coordorigin="1151,11909" coordsize="0,351" path="m1151,11909l1151,12260e" filled="false" stroked="true" strokeweight="1.08pt" strokecolor="#d9d9d9">
                <v:path arrowok="t"/>
              </v:shape>
            </v:group>
            <v:group style="position:absolute;left:2183;top:11909;width:2;height:351" coordorigin="2183,11909" coordsize="2,351">
              <v:shape style="position:absolute;left:2183;top:11909;width:2;height:351" coordorigin="2183,11909" coordsize="0,351" path="m2183,11909l2183,12260e" filled="false" stroked="true" strokeweight="1.08pt" strokecolor="#d9d9d9">
                <v:path arrowok="t"/>
              </v:shape>
            </v:group>
            <v:group style="position:absolute;left:1140;top:12270;width:1055;height:2" coordorigin="1140,12270" coordsize="1055,2">
              <v:shape style="position:absolute;left:1140;top:12270;width:1055;height:2" coordorigin="1140,12270" coordsize="1055,0" path="m1140,12270l2194,12270e" filled="false" stroked="true" strokeweight="1.08pt" strokecolor="#d9d9d9">
                <v:path arrowok="t"/>
              </v:shape>
            </v:group>
            <v:group style="position:absolute;left:1162;top:11909;width:1011;height:351" coordorigin="1162,11909" coordsize="1011,351">
              <v:shape style="position:absolute;left:1162;top:11909;width:1011;height:351" coordorigin="1162,11909" coordsize="1011,351" path="m1162,12260l2172,12260,2172,11909,1162,11909,1162,12260xe" filled="true" fillcolor="#d9d9d9" stroked="false">
                <v:path arrowok="t"/>
                <v:fill type="solid"/>
              </v:shape>
            </v:group>
            <v:group style="position:absolute;left:5406;top:11888;width:2;height:394" coordorigin="5406,11888" coordsize="2,394">
              <v:shape style="position:absolute;left:5406;top:11888;width:2;height:394" coordorigin="5406,11888" coordsize="0,394" path="m5406,11888l5406,12281e" filled="false" stroked="true" strokeweight="1.2pt" strokecolor="#ffffff">
                <v:path arrowok="t"/>
              </v:shape>
            </v:group>
            <v:group style="position:absolute;left:1138;top:11883;width:1057;height:2" coordorigin="1138,11883" coordsize="1057,2">
              <v:shape style="position:absolute;left:1138;top:11883;width:1057;height:2" coordorigin="1138,11883" coordsize="1057,0" path="m1138,11883l2194,11883e" filled="false" stroked="true" strokeweight=".47998pt" strokecolor="#000000">
                <v:path arrowok="t"/>
              </v:shape>
            </v:group>
            <v:group style="position:absolute;left:2204;top:11883;width:1054;height:2" coordorigin="2204,11883" coordsize="1054,2">
              <v:shape style="position:absolute;left:2204;top:11883;width:1054;height:2" coordorigin="2204,11883" coordsize="1054,0" path="m2204,11883l3257,11883e" filled="false" stroked="true" strokeweight=".47998pt" strokecolor="#000000">
                <v:path arrowok="t"/>
              </v:shape>
            </v:group>
            <v:group style="position:absolute;left:3267;top:11883;width:1055;height:2" coordorigin="3267,11883" coordsize="1055,2">
              <v:shape style="position:absolute;left:3267;top:11883;width:1055;height:2" coordorigin="3267,11883" coordsize="1055,0" path="m3267,11883l4321,11883e" filled="false" stroked="true" strokeweight=".47998pt" strokecolor="#000000">
                <v:path arrowok="t"/>
              </v:shape>
            </v:group>
            <v:group style="position:absolute;left:4331;top:11883;width:1054;height:2" coordorigin="4331,11883" coordsize="1054,2">
              <v:shape style="position:absolute;left:4331;top:11883;width:1054;height:2" coordorigin="4331,11883" coordsize="1054,0" path="m4331,11883l5384,11883e" filled="false" stroked="true" strokeweight=".47998pt" strokecolor="#000000">
                <v:path arrowok="t"/>
              </v:shape>
            </v:group>
            <v:group style="position:absolute;left:5394;top:11883;width:1052;height:2" coordorigin="5394,11883" coordsize="1052,2">
              <v:shape style="position:absolute;left:5394;top:11883;width:1052;height:2" coordorigin="5394,11883" coordsize="1052,0" path="m5394,11883l6445,11883e" filled="false" stroked="true" strokeweight=".47998pt" strokecolor="#000000">
                <v:path arrowok="t"/>
              </v:shape>
            </v:group>
            <v:group style="position:absolute;left:6455;top:11883;width:1055;height:2" coordorigin="6455,11883" coordsize="1055,2">
              <v:shape style="position:absolute;left:6455;top:11883;width:1055;height:2" coordorigin="6455,11883" coordsize="1055,0" path="m6455,11883l7509,11883e" filled="false" stroked="true" strokeweight=".47998pt" strokecolor="#000000">
                <v:path arrowok="t"/>
              </v:shape>
            </v:group>
            <v:group style="position:absolute;left:7518;top:11883;width:1054;height:2" coordorigin="7518,11883" coordsize="1054,2">
              <v:shape style="position:absolute;left:7518;top:11883;width:1054;height:2" coordorigin="7518,11883" coordsize="1054,0" path="m7518,11883l8572,11883e" filled="false" stroked="true" strokeweight=".47998pt" strokecolor="#000000">
                <v:path arrowok="t"/>
              </v:shape>
            </v:group>
            <v:group style="position:absolute;left:8581;top:11883;width:1055;height:2" coordorigin="8581,11883" coordsize="1055,2">
              <v:shape style="position:absolute;left:8581;top:11883;width:1055;height:2" coordorigin="8581,11883" coordsize="1055,0" path="m8581,11883l9635,11883e" filled="false" stroked="true" strokeweight=".47998pt" strokecolor="#000000">
                <v:path arrowok="t"/>
              </v:shape>
            </v:group>
            <v:group style="position:absolute;left:9645;top:11883;width:1054;height:2" coordorigin="9645,11883" coordsize="1054,2">
              <v:shape style="position:absolute;left:9645;top:11883;width:1054;height:2" coordorigin="9645,11883" coordsize="1054,0" path="m9645,11883l10699,11883e" filled="false" stroked="true" strokeweight=".47998pt" strokecolor="#000000">
                <v:path arrowok="t"/>
              </v:shape>
            </v:group>
            <v:group style="position:absolute;left:1133;top:7874;width:2;height:4417" coordorigin="1133,7874" coordsize="2,4417">
              <v:shape style="position:absolute;left:1133;top:7874;width:2;height:4417" coordorigin="1133,7874" coordsize="0,4417" path="m1133,7874l1133,12291e" filled="false" stroked="true" strokeweight=".48pt" strokecolor="#000000">
                <v:path arrowok="t"/>
              </v:shape>
            </v:group>
            <v:group style="position:absolute;left:1138;top:12286;width:1057;height:2" coordorigin="1138,12286" coordsize="1057,2">
              <v:shape style="position:absolute;left:1138;top:12286;width:1057;height:2" coordorigin="1138,12286" coordsize="1057,0" path="m1138,12286l2194,12286e" filled="false" stroked="true" strokeweight=".48004pt" strokecolor="#000000">
                <v:path arrowok="t"/>
              </v:shape>
            </v:group>
            <v:group style="position:absolute;left:2199;top:460;width:2;height:11832" coordorigin="2199,460" coordsize="2,11832">
              <v:shape style="position:absolute;left:2199;top:460;width:2;height:11832" coordorigin="2199,460" coordsize="0,11832" path="m2199,460l2199,12291e" filled="false" stroked="true" strokeweight=".48pt" strokecolor="#000000">
                <v:path arrowok="t"/>
              </v:shape>
            </v:group>
            <v:group style="position:absolute;left:2204;top:12286;width:1054;height:2" coordorigin="2204,12286" coordsize="1054,2">
              <v:shape style="position:absolute;left:2204;top:12286;width:1054;height:2" coordorigin="2204,12286" coordsize="1054,0" path="m2204,12286l3257,12286e" filled="false" stroked="true" strokeweight=".48004pt" strokecolor="#000000">
                <v:path arrowok="t"/>
              </v:shape>
            </v:group>
            <v:group style="position:absolute;left:3262;top:460;width:2;height:11832" coordorigin="3262,460" coordsize="2,11832">
              <v:shape style="position:absolute;left:3262;top:460;width:2;height:11832" coordorigin="3262,460" coordsize="0,11832" path="m3262,460l3262,12291e" filled="false" stroked="true" strokeweight=".48pt" strokecolor="#000000">
                <v:path arrowok="t"/>
              </v:shape>
            </v:group>
            <v:group style="position:absolute;left:3267;top:12286;width:1055;height:2" coordorigin="3267,12286" coordsize="1055,2">
              <v:shape style="position:absolute;left:3267;top:12286;width:1055;height:2" coordorigin="3267,12286" coordsize="1055,0" path="m3267,12286l4321,12286e" filled="false" stroked="true" strokeweight=".48004pt" strokecolor="#000000">
                <v:path arrowok="t"/>
              </v:shape>
            </v:group>
            <v:group style="position:absolute;left:4326;top:460;width:2;height:11832" coordorigin="4326,460" coordsize="2,11832">
              <v:shape style="position:absolute;left:4326;top:460;width:2;height:11832" coordorigin="4326,460" coordsize="0,11832" path="m4326,460l4326,12291e" filled="false" stroked="true" strokeweight=".48pt" strokecolor="#000000">
                <v:path arrowok="t"/>
              </v:shape>
            </v:group>
            <v:group style="position:absolute;left:4331;top:12286;width:1054;height:2" coordorigin="4331,12286" coordsize="1054,2">
              <v:shape style="position:absolute;left:4331;top:12286;width:1054;height:2" coordorigin="4331,12286" coordsize="1054,0" path="m4331,12286l5384,12286e" filled="false" stroked="true" strokeweight=".48004pt" strokecolor="#000000">
                <v:path arrowok="t"/>
              </v:shape>
            </v:group>
            <v:group style="position:absolute;left:5389;top:460;width:2;height:11832" coordorigin="5389,460" coordsize="2,11832">
              <v:shape style="position:absolute;left:5389;top:460;width:2;height:11832" coordorigin="5389,460" coordsize="0,11832" path="m5389,460l5389,12291e" filled="false" stroked="true" strokeweight=".47998pt" strokecolor="#000000">
                <v:path arrowok="t"/>
              </v:shape>
            </v:group>
            <v:group style="position:absolute;left:5394;top:12286;width:1052;height:2" coordorigin="5394,12286" coordsize="1052,2">
              <v:shape style="position:absolute;left:5394;top:12286;width:1052;height:2" coordorigin="5394,12286" coordsize="1052,0" path="m5394,12286l6445,12286e" filled="false" stroked="true" strokeweight=".48004pt" strokecolor="#000000">
                <v:path arrowok="t"/>
              </v:shape>
            </v:group>
            <v:group style="position:absolute;left:6450;top:460;width:2;height:11832" coordorigin="6450,460" coordsize="2,11832">
              <v:shape style="position:absolute;left:6450;top:460;width:2;height:11832" coordorigin="6450,460" coordsize="0,11832" path="m6450,460l6450,12291e" filled="false" stroked="true" strokeweight=".47998pt" strokecolor="#000000">
                <v:path arrowok="t"/>
              </v:shape>
            </v:group>
            <v:group style="position:absolute;left:6455;top:12286;width:1055;height:2" coordorigin="6455,12286" coordsize="1055,2">
              <v:shape style="position:absolute;left:6455;top:12286;width:1055;height:2" coordorigin="6455,12286" coordsize="1055,0" path="m6455,12286l7509,12286e" filled="false" stroked="true" strokeweight=".48004pt" strokecolor="#000000">
                <v:path arrowok="t"/>
              </v:shape>
            </v:group>
            <v:group style="position:absolute;left:7513;top:460;width:2;height:11832" coordorigin="7513,460" coordsize="2,11832">
              <v:shape style="position:absolute;left:7513;top:460;width:2;height:11832" coordorigin="7513,460" coordsize="0,11832" path="m7513,460l7513,12291e" filled="false" stroked="true" strokeweight=".48001pt" strokecolor="#000000">
                <v:path arrowok="t"/>
              </v:shape>
            </v:group>
            <v:group style="position:absolute;left:7518;top:12286;width:1054;height:2" coordorigin="7518,12286" coordsize="1054,2">
              <v:shape style="position:absolute;left:7518;top:12286;width:1054;height:2" coordorigin="7518,12286" coordsize="1054,0" path="m7518,12286l8572,12286e" filled="false" stroked="true" strokeweight=".48004pt" strokecolor="#000000">
                <v:path arrowok="t"/>
              </v:shape>
            </v:group>
            <v:group style="position:absolute;left:8577;top:460;width:2;height:11832" coordorigin="8577,460" coordsize="2,11832">
              <v:shape style="position:absolute;left:8577;top:460;width:2;height:11832" coordorigin="8577,460" coordsize="0,11832" path="m8577,460l8577,12291e" filled="false" stroked="true" strokeweight=".47998pt" strokecolor="#000000">
                <v:path arrowok="t"/>
              </v:shape>
            </v:group>
            <v:group style="position:absolute;left:8581;top:12286;width:1055;height:2" coordorigin="8581,12286" coordsize="1055,2">
              <v:shape style="position:absolute;left:8581;top:12286;width:1055;height:2" coordorigin="8581,12286" coordsize="1055,0" path="m8581,12286l9635,12286e" filled="false" stroked="true" strokeweight=".48004pt" strokecolor="#000000">
                <v:path arrowok="t"/>
              </v:shape>
            </v:group>
            <v:group style="position:absolute;left:9640;top:460;width:2;height:11832" coordorigin="9640,460" coordsize="2,11832">
              <v:shape style="position:absolute;left:9640;top:460;width:2;height:11832" coordorigin="9640,460" coordsize="0,11832" path="m9640,460l9640,12291e" filled="false" stroked="true" strokeweight=".48001pt" strokecolor="#000000">
                <v:path arrowok="t"/>
              </v:shape>
            </v:group>
            <v:group style="position:absolute;left:9645;top:12286;width:1054;height:2" coordorigin="9645,12286" coordsize="1054,2">
              <v:shape style="position:absolute;left:9645;top:12286;width:1054;height:2" coordorigin="9645,12286" coordsize="1054,0" path="m9645,12286l10699,12286e" filled="false" stroked="true" strokeweight=".48004pt" strokecolor="#000000">
                <v:path arrowok="t"/>
              </v:shape>
            </v:group>
            <v:group style="position:absolute;left:10704;top:460;width:2;height:11832" coordorigin="10704,460" coordsize="2,11832">
              <v:shape style="position:absolute;left:10704;top:460;width:2;height:11832" coordorigin="10704,460" coordsize="0,11832" path="m10704,460l10704,12291e" filled="false" stroked="true" strokeweight=".47998pt" strokecolor="#000000">
                <v:path arrowok="t"/>
              </v:shape>
            </v:group>
            <w10:wrap type="none"/>
          </v:group>
        </w:pict>
      </w:r>
      <w:r>
        <w:rPr/>
        <w:t>单位：</w:t>
      </w:r>
      <w:r>
        <w:rPr>
          <w:spacing w:val="1"/>
        </w:rPr>
        <w:t> </w:t>
      </w:r>
      <w:r>
        <w:rPr/>
        <w:t>元</w:t>
      </w:r>
    </w:p>
    <w:p>
      <w:pPr>
        <w:spacing w:line="240" w:lineRule="auto" w:before="5"/>
        <w:rPr>
          <w:rFonts w:ascii="宋体" w:hAnsi="宋体" w:cs="宋体" w:eastAsia="宋体" w:hint="default"/>
          <w:sz w:val="9"/>
          <w:szCs w:val="9"/>
        </w:rPr>
      </w:pPr>
    </w:p>
    <w:p>
      <w:pPr>
        <w:spacing w:after="0" w:line="240" w:lineRule="auto"/>
        <w:rPr>
          <w:rFonts w:ascii="宋体" w:hAnsi="宋体" w:cs="宋体" w:eastAsia="宋体" w:hint="default"/>
          <w:sz w:val="9"/>
          <w:szCs w:val="9"/>
        </w:rPr>
        <w:sectPr>
          <w:pgSz w:w="11910" w:h="16840"/>
          <w:pgMar w:header="745" w:footer="979" w:top="1060" w:bottom="1160" w:left="980" w:right="0"/>
        </w:sectPr>
      </w:pPr>
    </w:p>
    <w:p>
      <w:pPr>
        <w:spacing w:line="240" w:lineRule="auto" w:before="4"/>
        <w:rPr>
          <w:rFonts w:ascii="宋体" w:hAnsi="宋体" w:cs="宋体" w:eastAsia="宋体" w:hint="default"/>
          <w:sz w:val="15"/>
          <w:szCs w:val="15"/>
        </w:rPr>
      </w:pPr>
    </w:p>
    <w:p>
      <w:pPr>
        <w:pStyle w:val="BodyText"/>
        <w:tabs>
          <w:tab w:pos="1391" w:val="left" w:leader="none"/>
          <w:tab w:pos="2454" w:val="left" w:leader="none"/>
          <w:tab w:pos="3518" w:val="left" w:leader="none"/>
        </w:tabs>
        <w:spacing w:line="240" w:lineRule="auto"/>
        <w:ind w:left="325" w:right="-20"/>
        <w:jc w:val="left"/>
      </w:pPr>
      <w:r>
        <w:rPr/>
        <w:t>补助项目</w:t>
        <w:tab/>
        <w:t>发放主体</w:t>
        <w:tab/>
        <w:t>发放原因</w:t>
        <w:tab/>
        <w:t>性质类型</w:t>
      </w:r>
    </w:p>
    <w:p>
      <w:pPr>
        <w:pStyle w:val="BodyText"/>
        <w:spacing w:line="314" w:lineRule="auto" w:before="44"/>
        <w:ind w:left="211" w:right="-19"/>
        <w:jc w:val="left"/>
      </w:pPr>
      <w:r>
        <w:rPr/>
        <w:br w:type="column"/>
      </w:r>
      <w:r>
        <w:rPr/>
        <w:t>补贴是否影 响当年盈亏</w:t>
      </w:r>
    </w:p>
    <w:p>
      <w:pPr>
        <w:pStyle w:val="BodyText"/>
        <w:spacing w:line="314" w:lineRule="auto" w:before="44"/>
        <w:ind w:left="483" w:right="-19" w:hanging="361"/>
        <w:jc w:val="left"/>
      </w:pPr>
      <w:r>
        <w:rPr/>
        <w:br w:type="column"/>
      </w:r>
      <w:r>
        <w:rPr/>
        <w:t>是否特殊补 贴</w:t>
      </w:r>
    </w:p>
    <w:p>
      <w:pPr>
        <w:pStyle w:val="BodyText"/>
        <w:spacing w:line="314" w:lineRule="auto" w:before="44"/>
        <w:ind w:left="481" w:right="-20" w:hanging="360"/>
        <w:jc w:val="left"/>
      </w:pPr>
      <w:r>
        <w:rPr/>
        <w:br w:type="column"/>
      </w:r>
      <w:r>
        <w:rPr/>
        <w:t>本期发生金 额</w:t>
      </w:r>
    </w:p>
    <w:p>
      <w:pPr>
        <w:pStyle w:val="BodyText"/>
        <w:spacing w:line="314" w:lineRule="auto" w:before="44"/>
        <w:ind w:left="483" w:right="-20" w:hanging="360"/>
        <w:jc w:val="left"/>
      </w:pPr>
      <w:r>
        <w:rPr/>
        <w:br w:type="column"/>
      </w:r>
      <w:r>
        <w:rPr/>
        <w:t>上期发生金 额</w:t>
      </w:r>
    </w:p>
    <w:p>
      <w:pPr>
        <w:pStyle w:val="BodyText"/>
        <w:spacing w:line="297" w:lineRule="auto" w:before="44"/>
        <w:ind w:left="123" w:right="1239" w:hanging="24"/>
        <w:jc w:val="left"/>
      </w:pPr>
      <w:r>
        <w:rPr/>
        <w:br w:type="column"/>
      </w:r>
      <w:r>
        <w:rPr/>
        <w:t>与资产相关</w:t>
      </w:r>
      <w:r>
        <w:rPr>
          <w:rFonts w:ascii="Times New Roman" w:hAnsi="Times New Roman" w:cs="Times New Roman" w:eastAsia="Times New Roman" w:hint="default"/>
        </w:rPr>
        <w:t>/ </w:t>
      </w:r>
      <w:r>
        <w:rPr/>
        <w:t>与收益相关</w:t>
      </w:r>
    </w:p>
    <w:p>
      <w:pPr>
        <w:spacing w:after="0" w:line="297" w:lineRule="auto"/>
        <w:jc w:val="left"/>
        <w:sectPr>
          <w:type w:val="continuous"/>
          <w:pgSz w:w="11910" w:h="16840"/>
          <w:pgMar w:top="1060" w:bottom="1160" w:left="980" w:right="0"/>
          <w:cols w:num="6" w:equalWidth="0">
            <w:col w:w="4239" w:space="40"/>
            <w:col w:w="1113" w:space="40"/>
            <w:col w:w="1024" w:space="40"/>
            <w:col w:w="1022" w:space="40"/>
            <w:col w:w="1024" w:space="40"/>
            <w:col w:w="2308"/>
          </w:cols>
        </w:sectPr>
      </w:pPr>
    </w:p>
    <w:p>
      <w:pPr>
        <w:spacing w:line="240" w:lineRule="auto" w:before="0"/>
        <w:rPr>
          <w:rFonts w:ascii="宋体" w:hAnsi="宋体" w:cs="宋体" w:eastAsia="宋体" w:hint="default"/>
          <w:sz w:val="18"/>
          <w:szCs w:val="18"/>
        </w:rPr>
      </w:pPr>
    </w:p>
    <w:p>
      <w:pPr>
        <w:spacing w:line="240" w:lineRule="auto" w:before="5"/>
        <w:rPr>
          <w:rFonts w:ascii="宋体" w:hAnsi="宋体" w:cs="宋体" w:eastAsia="宋体" w:hint="default"/>
          <w:sz w:val="14"/>
          <w:szCs w:val="14"/>
        </w:rPr>
      </w:pPr>
    </w:p>
    <w:p>
      <w:pPr>
        <w:pStyle w:val="BodyText"/>
        <w:spacing w:line="316" w:lineRule="auto"/>
        <w:ind w:left="181" w:right="-20"/>
        <w:jc w:val="left"/>
      </w:pPr>
      <w:r>
        <w:rPr/>
        <w:t>海淀社保稳 岗补贴</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4"/>
        <w:rPr>
          <w:rFonts w:ascii="宋体" w:hAnsi="宋体" w:cs="宋体" w:eastAsia="宋体" w:hint="default"/>
          <w:sz w:val="26"/>
          <w:szCs w:val="26"/>
        </w:rPr>
      </w:pPr>
    </w:p>
    <w:p>
      <w:pPr>
        <w:pStyle w:val="BodyText"/>
        <w:spacing w:line="240" w:lineRule="auto"/>
        <w:ind w:left="125" w:right="-19"/>
        <w:jc w:val="left"/>
      </w:pPr>
      <w:r>
        <w:rPr/>
        <w:t>海淀社保局</w:t>
      </w:r>
      <w:r>
        <w:rPr>
          <w:spacing w:val="73"/>
        </w:rPr>
        <w:t> </w:t>
      </w:r>
      <w:r>
        <w:rPr/>
        <w:t>补助</w:t>
      </w:r>
    </w:p>
    <w:p>
      <w:pPr>
        <w:pStyle w:val="BodyText"/>
        <w:spacing w:line="310" w:lineRule="atLeast" w:before="37"/>
        <w:ind w:left="181" w:right="6452"/>
        <w:jc w:val="left"/>
      </w:pPr>
      <w:r>
        <w:rPr/>
        <w:br w:type="column"/>
      </w:r>
      <w:r>
        <w:rPr/>
        <w:t>因研究开发、 技术更新及</w:t>
      </w:r>
    </w:p>
    <w:p>
      <w:pPr>
        <w:pStyle w:val="BodyText"/>
        <w:tabs>
          <w:tab w:pos="2307" w:val="left" w:leader="none"/>
          <w:tab w:pos="3565" w:val="left" w:leader="none"/>
          <w:tab w:pos="4629" w:val="left" w:leader="none"/>
        </w:tabs>
        <w:spacing w:line="123" w:lineRule="exact"/>
        <w:ind w:left="1244" w:right="0"/>
        <w:jc w:val="left"/>
      </w:pPr>
      <w:r>
        <w:rPr/>
        <w:t>否</w:t>
        <w:tab/>
        <w:t>否</w:t>
        <w:tab/>
      </w:r>
      <w:r>
        <w:rPr>
          <w:rFonts w:ascii="Times New Roman" w:hAnsi="Times New Roman" w:cs="Times New Roman" w:eastAsia="Times New Roman" w:hint="default"/>
          <w:spacing w:val="-1"/>
        </w:rPr>
        <w:t>398,685.46</w:t>
        <w:tab/>
        <w:t>413,905.56</w:t>
      </w:r>
      <w:r>
        <w:rPr>
          <w:rFonts w:ascii="Times New Roman" w:hAnsi="Times New Roman" w:cs="Times New Roman" w:eastAsia="Times New Roman" w:hint="default"/>
          <w:spacing w:val="19"/>
        </w:rPr>
        <w:t> </w:t>
      </w:r>
      <w:r>
        <w:rPr/>
        <w:t>与收益相关</w:t>
      </w:r>
    </w:p>
    <w:p>
      <w:pPr>
        <w:pStyle w:val="BodyText"/>
        <w:spacing w:line="189" w:lineRule="exact"/>
        <w:ind w:left="181" w:right="6452"/>
        <w:jc w:val="left"/>
      </w:pPr>
      <w:r>
        <w:rPr/>
        <w:t>改造等获得</w:t>
      </w:r>
    </w:p>
    <w:p>
      <w:pPr>
        <w:pStyle w:val="BodyText"/>
        <w:spacing w:line="240" w:lineRule="auto" w:before="77"/>
        <w:ind w:left="181" w:right="6452"/>
        <w:jc w:val="left"/>
      </w:pPr>
      <w:r>
        <w:rPr/>
        <w:t>的补助</w:t>
      </w:r>
    </w:p>
    <w:p>
      <w:pPr>
        <w:spacing w:after="0" w:line="240" w:lineRule="auto"/>
        <w:jc w:val="left"/>
        <w:sectPr>
          <w:type w:val="continuous"/>
          <w:pgSz w:w="11910" w:h="16840"/>
          <w:pgMar w:top="1060" w:bottom="1160" w:left="980" w:right="0"/>
          <w:cols w:num="3" w:equalWidth="0">
            <w:col w:w="1082" w:space="40"/>
            <w:col w:w="1550" w:space="522"/>
            <w:col w:w="7736"/>
          </w:cols>
        </w:sectPr>
      </w:pPr>
    </w:p>
    <w:p>
      <w:pPr>
        <w:spacing w:line="240" w:lineRule="auto" w:before="5"/>
        <w:rPr>
          <w:rFonts w:ascii="宋体" w:hAnsi="宋体" w:cs="宋体" w:eastAsia="宋体" w:hint="default"/>
          <w:sz w:val="9"/>
          <w:szCs w:val="9"/>
        </w:rPr>
      </w:pPr>
    </w:p>
    <w:p>
      <w:pPr>
        <w:spacing w:after="0" w:line="240" w:lineRule="auto"/>
        <w:rPr>
          <w:rFonts w:ascii="宋体" w:hAnsi="宋体" w:cs="宋体" w:eastAsia="宋体" w:hint="default"/>
          <w:sz w:val="9"/>
          <w:szCs w:val="9"/>
        </w:rPr>
        <w:sectPr>
          <w:type w:val="continuous"/>
          <w:pgSz w:w="11910" w:h="16840"/>
          <w:pgMar w:top="1060" w:bottom="1160" w:left="980" w:right="0"/>
        </w:sectPr>
      </w:pPr>
    </w:p>
    <w:p>
      <w:pPr>
        <w:spacing w:line="240" w:lineRule="auto" w:before="4"/>
        <w:rPr>
          <w:rFonts w:ascii="宋体" w:hAnsi="宋体" w:cs="宋体" w:eastAsia="宋体" w:hint="default"/>
          <w:sz w:val="15"/>
          <w:szCs w:val="15"/>
        </w:rPr>
      </w:pPr>
    </w:p>
    <w:p>
      <w:pPr>
        <w:pStyle w:val="BodyText"/>
        <w:spacing w:line="316" w:lineRule="auto"/>
        <w:ind w:left="181" w:right="0"/>
        <w:jc w:val="both"/>
      </w:pPr>
      <w:r>
        <w:rPr/>
        <w:t>高新区经贸 局高层次人 才专项资金</w:t>
      </w:r>
    </w:p>
    <w:p>
      <w:pPr>
        <w:spacing w:line="240" w:lineRule="auto" w:before="0"/>
        <w:rPr>
          <w:rFonts w:ascii="宋体" w:hAnsi="宋体" w:cs="宋体" w:eastAsia="宋体" w:hint="default"/>
          <w:sz w:val="18"/>
          <w:szCs w:val="18"/>
        </w:rPr>
      </w:pPr>
      <w:r>
        <w:rPr/>
        <w:br w:type="column"/>
      </w:r>
      <w:r>
        <w:rPr>
          <w:rFonts w:ascii="宋体"/>
          <w:sz w:val="18"/>
        </w:rPr>
      </w:r>
    </w:p>
    <w:p>
      <w:pPr>
        <w:pStyle w:val="BodyText"/>
        <w:spacing w:line="196" w:lineRule="exact" w:before="121"/>
        <w:ind w:left="125" w:right="-19"/>
        <w:jc w:val="left"/>
      </w:pPr>
      <w:r>
        <w:rPr/>
        <w:t>高新区经贸</w:t>
      </w:r>
    </w:p>
    <w:p>
      <w:pPr>
        <w:pStyle w:val="BodyText"/>
        <w:spacing w:line="155" w:lineRule="exact"/>
        <w:ind w:left="0" w:right="0"/>
        <w:jc w:val="right"/>
      </w:pPr>
      <w:r>
        <w:rPr/>
        <w:t>补助</w:t>
      </w:r>
    </w:p>
    <w:p>
      <w:pPr>
        <w:pStyle w:val="BodyText"/>
        <w:spacing w:line="195" w:lineRule="exact"/>
        <w:ind w:left="125" w:right="-19"/>
        <w:jc w:val="left"/>
      </w:pPr>
      <w:r>
        <w:rPr/>
        <w:t>局</w:t>
      </w:r>
    </w:p>
    <w:p>
      <w:pPr>
        <w:pStyle w:val="BodyText"/>
        <w:spacing w:line="310" w:lineRule="exact" w:before="6"/>
        <w:ind w:left="181" w:right="6452"/>
        <w:jc w:val="left"/>
      </w:pPr>
      <w:r>
        <w:rPr/>
        <w:br w:type="column"/>
      </w:r>
      <w:r>
        <w:rPr/>
        <w:t>因研究开发、 技术更新及</w:t>
      </w:r>
    </w:p>
    <w:p>
      <w:pPr>
        <w:pStyle w:val="BodyText"/>
        <w:tabs>
          <w:tab w:pos="2307" w:val="left" w:leader="none"/>
          <w:tab w:pos="3565" w:val="left" w:leader="none"/>
          <w:tab w:pos="5126" w:val="left" w:leader="none"/>
        </w:tabs>
        <w:spacing w:line="88" w:lineRule="exact"/>
        <w:ind w:left="1244" w:right="0"/>
        <w:jc w:val="left"/>
      </w:pPr>
      <w:r>
        <w:rPr/>
        <w:t>否</w:t>
        <w:tab/>
        <w:t>否</w:t>
        <w:tab/>
      </w:r>
      <w:r>
        <w:rPr>
          <w:rFonts w:ascii="Times New Roman" w:hAnsi="Times New Roman" w:cs="Times New Roman" w:eastAsia="Times New Roman" w:hint="default"/>
          <w:spacing w:val="-1"/>
        </w:rPr>
        <w:t>314,400.00</w:t>
        <w:tab/>
        <w:t>0.00</w:t>
      </w:r>
      <w:r>
        <w:rPr>
          <w:rFonts w:ascii="Times New Roman" w:hAnsi="Times New Roman" w:cs="Times New Roman" w:eastAsia="Times New Roman" w:hint="default"/>
          <w:spacing w:val="12"/>
        </w:rPr>
        <w:t> </w:t>
      </w:r>
      <w:r>
        <w:rPr/>
        <w:t>与收益相关</w:t>
      </w:r>
    </w:p>
    <w:p>
      <w:pPr>
        <w:pStyle w:val="BodyText"/>
        <w:spacing w:line="188" w:lineRule="exact"/>
        <w:ind w:left="181" w:right="6452"/>
        <w:jc w:val="left"/>
      </w:pPr>
      <w:r>
        <w:rPr/>
        <w:t>改造等获得</w:t>
      </w:r>
    </w:p>
    <w:p>
      <w:pPr>
        <w:pStyle w:val="BodyText"/>
        <w:spacing w:line="240" w:lineRule="auto" w:before="76"/>
        <w:ind w:left="181" w:right="6452"/>
        <w:jc w:val="left"/>
      </w:pPr>
      <w:r>
        <w:rPr/>
        <w:t>的补助</w:t>
      </w:r>
    </w:p>
    <w:p>
      <w:pPr>
        <w:spacing w:after="0" w:line="240" w:lineRule="auto"/>
        <w:jc w:val="left"/>
        <w:sectPr>
          <w:type w:val="continuous"/>
          <w:pgSz w:w="11910" w:h="16840"/>
          <w:pgMar w:top="1060" w:bottom="1160" w:left="980" w:right="0"/>
          <w:cols w:num="3" w:equalWidth="0">
            <w:col w:w="1082" w:space="40"/>
            <w:col w:w="1550" w:space="522"/>
            <w:col w:w="7736"/>
          </w:cols>
        </w:sectPr>
      </w:pPr>
    </w:p>
    <w:p>
      <w:pPr>
        <w:spacing w:line="240" w:lineRule="auto" w:before="5"/>
        <w:rPr>
          <w:rFonts w:ascii="宋体" w:hAnsi="宋体" w:cs="宋体" w:eastAsia="宋体" w:hint="default"/>
          <w:sz w:val="9"/>
          <w:szCs w:val="9"/>
        </w:rPr>
      </w:pPr>
    </w:p>
    <w:p>
      <w:pPr>
        <w:spacing w:after="0" w:line="240" w:lineRule="auto"/>
        <w:rPr>
          <w:rFonts w:ascii="宋体" w:hAnsi="宋体" w:cs="宋体" w:eastAsia="宋体" w:hint="default"/>
          <w:sz w:val="9"/>
          <w:szCs w:val="9"/>
        </w:rPr>
        <w:sectPr>
          <w:type w:val="continuous"/>
          <w:pgSz w:w="11910" w:h="16840"/>
          <w:pgMar w:top="1060" w:bottom="1160" w:left="980" w:right="0"/>
        </w:sectPr>
      </w:pPr>
    </w:p>
    <w:p>
      <w:pPr>
        <w:spacing w:line="240" w:lineRule="auto" w:before="0"/>
        <w:rPr>
          <w:rFonts w:ascii="宋体" w:hAnsi="宋体" w:cs="宋体" w:eastAsia="宋体" w:hint="default"/>
          <w:sz w:val="18"/>
          <w:szCs w:val="18"/>
        </w:rPr>
      </w:pPr>
    </w:p>
    <w:p>
      <w:pPr>
        <w:pStyle w:val="BodyText"/>
        <w:spacing w:line="300" w:lineRule="auto" w:before="121"/>
        <w:ind w:left="181" w:right="-18"/>
        <w:jc w:val="left"/>
      </w:pPr>
      <w:r>
        <w:rPr>
          <w:rFonts w:ascii="Times New Roman" w:hAnsi="Times New Roman" w:cs="Times New Roman" w:eastAsia="Times New Roman" w:hint="default"/>
        </w:rPr>
        <w:t>2017</w:t>
      </w:r>
      <w:r>
        <w:rPr>
          <w:rFonts w:ascii="Times New Roman" w:hAnsi="Times New Roman" w:cs="Times New Roman" w:eastAsia="Times New Roman" w:hint="default"/>
          <w:spacing w:val="2"/>
        </w:rPr>
        <w:t> </w:t>
      </w:r>
      <w:r>
        <w:rPr/>
        <w:t>年企业 稳岗补贴</w:t>
      </w:r>
    </w:p>
    <w:p>
      <w:pPr>
        <w:spacing w:line="240" w:lineRule="auto" w:before="4"/>
        <w:rPr>
          <w:rFonts w:ascii="宋体" w:hAnsi="宋体" w:cs="宋体" w:eastAsia="宋体" w:hint="default"/>
          <w:sz w:val="15"/>
          <w:szCs w:val="15"/>
        </w:rPr>
      </w:pPr>
      <w:r>
        <w:rPr/>
        <w:br w:type="column"/>
      </w:r>
      <w:r>
        <w:rPr>
          <w:rFonts w:ascii="宋体"/>
          <w:sz w:val="15"/>
        </w:rPr>
      </w:r>
    </w:p>
    <w:p>
      <w:pPr>
        <w:pStyle w:val="BodyText"/>
        <w:spacing w:line="316" w:lineRule="auto"/>
        <w:ind w:left="77" w:right="-20"/>
        <w:jc w:val="left"/>
      </w:pPr>
      <w:r>
        <w:rPr/>
        <w:t>关于企业享 受岗位补贴</w:t>
      </w:r>
      <w:r>
        <w:rPr>
          <w:spacing w:val="73"/>
        </w:rPr>
        <w:t> </w:t>
      </w:r>
      <w:r>
        <w:rPr/>
        <w:t>补助</w:t>
      </w:r>
      <w:r>
        <w:rPr/>
        <w:t> 的公示</w:t>
      </w:r>
    </w:p>
    <w:p>
      <w:pPr>
        <w:pStyle w:val="BodyText"/>
        <w:spacing w:line="312" w:lineRule="exact" w:before="5"/>
        <w:ind w:left="181" w:right="6452"/>
        <w:jc w:val="left"/>
      </w:pPr>
      <w:r>
        <w:rPr/>
        <w:br w:type="column"/>
      </w:r>
      <w:r>
        <w:rPr/>
        <w:t>因研究开发、 技术更新及</w:t>
      </w:r>
    </w:p>
    <w:p>
      <w:pPr>
        <w:pStyle w:val="BodyText"/>
        <w:tabs>
          <w:tab w:pos="2307" w:val="left" w:leader="none"/>
          <w:tab w:pos="3657" w:val="left" w:leader="none"/>
          <w:tab w:pos="4636" w:val="left" w:leader="none"/>
        </w:tabs>
        <w:spacing w:line="86" w:lineRule="exact"/>
        <w:ind w:left="1244" w:right="0"/>
        <w:jc w:val="left"/>
      </w:pPr>
      <w:r>
        <w:rPr/>
        <w:t>否</w:t>
        <w:tab/>
        <w:t>否</w:t>
        <w:tab/>
      </w:r>
      <w:r>
        <w:rPr>
          <w:rFonts w:ascii="Times New Roman" w:hAnsi="Times New Roman" w:cs="Times New Roman" w:eastAsia="Times New Roman" w:hint="default"/>
          <w:spacing w:val="-1"/>
        </w:rPr>
        <w:t>94,226.00</w:t>
        <w:tab/>
        <w:t>112,734.00</w:t>
      </w:r>
      <w:r>
        <w:rPr>
          <w:rFonts w:ascii="Times New Roman" w:hAnsi="Times New Roman" w:cs="Times New Roman" w:eastAsia="Times New Roman" w:hint="default"/>
          <w:spacing w:val="12"/>
        </w:rPr>
        <w:t> </w:t>
      </w:r>
      <w:r>
        <w:rPr/>
        <w:t>与收益相关</w:t>
      </w:r>
    </w:p>
    <w:p>
      <w:pPr>
        <w:pStyle w:val="BodyText"/>
        <w:spacing w:line="189" w:lineRule="exact"/>
        <w:ind w:left="181" w:right="6452"/>
        <w:jc w:val="left"/>
      </w:pPr>
      <w:r>
        <w:rPr/>
        <w:t>改造等获得</w:t>
      </w:r>
    </w:p>
    <w:p>
      <w:pPr>
        <w:pStyle w:val="BodyText"/>
        <w:spacing w:line="240" w:lineRule="auto" w:before="76"/>
        <w:ind w:left="181" w:right="6452"/>
        <w:jc w:val="left"/>
      </w:pPr>
      <w:r>
        <w:rPr/>
        <w:t>的补助</w:t>
      </w:r>
    </w:p>
    <w:p>
      <w:pPr>
        <w:spacing w:after="0" w:line="240" w:lineRule="auto"/>
        <w:jc w:val="left"/>
        <w:sectPr>
          <w:type w:val="continuous"/>
          <w:pgSz w:w="11910" w:h="16840"/>
          <w:pgMar w:top="1060" w:bottom="1160" w:left="980" w:right="0"/>
          <w:cols w:num="3" w:equalWidth="0">
            <w:col w:w="1131" w:space="40"/>
            <w:col w:w="1501" w:space="522"/>
            <w:col w:w="7736"/>
          </w:cols>
        </w:sectPr>
      </w:pPr>
    </w:p>
    <w:p>
      <w:pPr>
        <w:spacing w:line="240" w:lineRule="auto" w:before="5"/>
        <w:rPr>
          <w:rFonts w:ascii="宋体" w:hAnsi="宋体" w:cs="宋体" w:eastAsia="宋体" w:hint="default"/>
          <w:sz w:val="9"/>
          <w:szCs w:val="9"/>
        </w:rPr>
      </w:pPr>
    </w:p>
    <w:p>
      <w:pPr>
        <w:spacing w:after="0" w:line="240" w:lineRule="auto"/>
        <w:rPr>
          <w:rFonts w:ascii="宋体" w:hAnsi="宋体" w:cs="宋体" w:eastAsia="宋体" w:hint="default"/>
          <w:sz w:val="9"/>
          <w:szCs w:val="9"/>
        </w:rPr>
        <w:sectPr>
          <w:type w:val="continuous"/>
          <w:pgSz w:w="11910" w:h="16840"/>
          <w:pgMar w:top="1060" w:bottom="1160" w:left="980" w:right="0"/>
        </w:sectPr>
      </w:pP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pStyle w:val="BodyText"/>
        <w:spacing w:line="240" w:lineRule="auto"/>
        <w:ind w:left="181" w:right="-20"/>
        <w:jc w:val="left"/>
      </w:pPr>
      <w:r>
        <w:rPr/>
        <w:t>稳岗补贴</w:t>
      </w:r>
    </w:p>
    <w:p>
      <w:pPr>
        <w:spacing w:line="240" w:lineRule="auto" w:before="0"/>
        <w:rPr>
          <w:rFonts w:ascii="宋体" w:hAnsi="宋体" w:cs="宋体" w:eastAsia="宋体" w:hint="default"/>
          <w:sz w:val="18"/>
          <w:szCs w:val="18"/>
        </w:rPr>
      </w:pPr>
      <w:r>
        <w:rPr/>
        <w:br w:type="column"/>
      </w:r>
      <w:r>
        <w:rPr>
          <w:rFonts w:ascii="宋体"/>
          <w:sz w:val="18"/>
        </w:rPr>
      </w:r>
    </w:p>
    <w:p>
      <w:pPr>
        <w:pStyle w:val="BodyText"/>
        <w:spacing w:line="196" w:lineRule="exact" w:before="121"/>
        <w:ind w:left="181" w:right="0"/>
        <w:jc w:val="left"/>
      </w:pPr>
      <w:r>
        <w:rPr/>
        <w:t>人力资源和</w:t>
      </w:r>
    </w:p>
    <w:p>
      <w:pPr>
        <w:pStyle w:val="BodyText"/>
        <w:spacing w:line="155" w:lineRule="exact"/>
        <w:ind w:left="0" w:right="0"/>
        <w:jc w:val="right"/>
      </w:pPr>
      <w:r>
        <w:rPr/>
        <w:t>补助</w:t>
      </w:r>
    </w:p>
    <w:p>
      <w:pPr>
        <w:pStyle w:val="BodyText"/>
        <w:spacing w:line="195" w:lineRule="exact"/>
        <w:ind w:left="181" w:right="0"/>
        <w:jc w:val="left"/>
      </w:pPr>
      <w:r>
        <w:rPr/>
        <w:t>社会保障局</w:t>
      </w:r>
    </w:p>
    <w:p>
      <w:pPr>
        <w:pStyle w:val="BodyText"/>
        <w:spacing w:line="310" w:lineRule="exact" w:before="6"/>
        <w:ind w:left="181" w:right="6452"/>
        <w:jc w:val="left"/>
      </w:pPr>
      <w:r>
        <w:rPr/>
        <w:br w:type="column"/>
      </w:r>
      <w:r>
        <w:rPr/>
        <w:t>因研究开发、 技术更新及</w:t>
      </w:r>
    </w:p>
    <w:p>
      <w:pPr>
        <w:pStyle w:val="BodyText"/>
        <w:tabs>
          <w:tab w:pos="2307" w:val="left" w:leader="none"/>
          <w:tab w:pos="3657" w:val="left" w:leader="none"/>
          <w:tab w:pos="5126" w:val="left" w:leader="none"/>
        </w:tabs>
        <w:spacing w:line="88" w:lineRule="exact"/>
        <w:ind w:left="1244" w:right="0"/>
        <w:jc w:val="left"/>
      </w:pPr>
      <w:r>
        <w:rPr/>
        <w:t>否</w:t>
        <w:tab/>
        <w:t>否</w:t>
        <w:tab/>
      </w:r>
      <w:r>
        <w:rPr>
          <w:rFonts w:ascii="Times New Roman" w:hAnsi="Times New Roman" w:cs="Times New Roman" w:eastAsia="Times New Roman" w:hint="default"/>
          <w:spacing w:val="-1"/>
        </w:rPr>
        <w:t>60,501.04</w:t>
        <w:tab/>
        <w:t>0.00</w:t>
      </w:r>
      <w:r>
        <w:rPr>
          <w:rFonts w:ascii="Times New Roman" w:hAnsi="Times New Roman" w:cs="Times New Roman" w:eastAsia="Times New Roman" w:hint="default"/>
          <w:spacing w:val="12"/>
        </w:rPr>
        <w:t> </w:t>
      </w:r>
      <w:r>
        <w:rPr/>
        <w:t>与收益相关</w:t>
      </w:r>
    </w:p>
    <w:p>
      <w:pPr>
        <w:pStyle w:val="BodyText"/>
        <w:spacing w:line="188" w:lineRule="exact"/>
        <w:ind w:left="181" w:right="6452"/>
        <w:jc w:val="left"/>
      </w:pPr>
      <w:r>
        <w:rPr/>
        <w:t>改造等获得</w:t>
      </w:r>
    </w:p>
    <w:p>
      <w:pPr>
        <w:pStyle w:val="BodyText"/>
        <w:spacing w:line="240" w:lineRule="auto" w:before="76"/>
        <w:ind w:left="181" w:right="6452"/>
        <w:jc w:val="left"/>
      </w:pPr>
      <w:r>
        <w:rPr/>
        <w:t>的补助</w:t>
      </w:r>
    </w:p>
    <w:p>
      <w:pPr>
        <w:spacing w:after="0" w:line="240" w:lineRule="auto"/>
        <w:jc w:val="left"/>
        <w:sectPr>
          <w:type w:val="continuous"/>
          <w:pgSz w:w="11910" w:h="16840"/>
          <w:pgMar w:top="1060" w:bottom="1160" w:left="980" w:right="0"/>
          <w:cols w:num="3" w:equalWidth="0">
            <w:col w:w="902" w:space="164"/>
            <w:col w:w="1605" w:space="522"/>
            <w:col w:w="7737"/>
          </w:cols>
        </w:sectPr>
      </w:pPr>
    </w:p>
    <w:p>
      <w:pPr>
        <w:spacing w:line="240" w:lineRule="auto" w:before="5"/>
        <w:rPr>
          <w:rFonts w:ascii="宋体" w:hAnsi="宋体" w:cs="宋体" w:eastAsia="宋体" w:hint="default"/>
          <w:sz w:val="9"/>
          <w:szCs w:val="9"/>
        </w:rPr>
      </w:pPr>
    </w:p>
    <w:p>
      <w:pPr>
        <w:spacing w:after="0" w:line="240" w:lineRule="auto"/>
        <w:rPr>
          <w:rFonts w:ascii="宋体" w:hAnsi="宋体" w:cs="宋体" w:eastAsia="宋体" w:hint="default"/>
          <w:sz w:val="9"/>
          <w:szCs w:val="9"/>
        </w:rPr>
        <w:sectPr>
          <w:type w:val="continuous"/>
          <w:pgSz w:w="11910" w:h="16840"/>
          <w:pgMar w:top="1060" w:bottom="1160" w:left="980" w:right="0"/>
        </w:sectPr>
      </w:pPr>
    </w:p>
    <w:p>
      <w:pPr>
        <w:spacing w:line="240" w:lineRule="auto" w:before="4"/>
        <w:rPr>
          <w:rFonts w:ascii="宋体" w:hAnsi="宋体" w:cs="宋体" w:eastAsia="宋体" w:hint="default"/>
          <w:sz w:val="15"/>
          <w:szCs w:val="15"/>
        </w:rPr>
      </w:pPr>
    </w:p>
    <w:p>
      <w:pPr>
        <w:pStyle w:val="BodyText"/>
        <w:spacing w:line="316" w:lineRule="auto"/>
        <w:ind w:left="181" w:right="0"/>
        <w:jc w:val="both"/>
      </w:pPr>
      <w:r>
        <w:rPr/>
        <w:t>老旧汽车淘 汰更新补贴 款</w:t>
      </w:r>
    </w:p>
    <w:p>
      <w:pPr>
        <w:spacing w:line="240" w:lineRule="auto" w:before="0"/>
        <w:rPr>
          <w:rFonts w:ascii="宋体" w:hAnsi="宋体" w:cs="宋体" w:eastAsia="宋体" w:hint="default"/>
          <w:sz w:val="18"/>
          <w:szCs w:val="18"/>
        </w:rPr>
      </w:pPr>
      <w:r>
        <w:rPr/>
        <w:br w:type="column"/>
      </w:r>
      <w:r>
        <w:rPr>
          <w:rFonts w:ascii="宋体"/>
          <w:sz w:val="18"/>
        </w:rPr>
      </w:r>
    </w:p>
    <w:p>
      <w:pPr>
        <w:pStyle w:val="BodyText"/>
        <w:spacing w:line="196" w:lineRule="exact" w:before="121"/>
        <w:ind w:left="125" w:right="-19"/>
        <w:jc w:val="left"/>
      </w:pPr>
      <w:r>
        <w:rPr/>
        <w:t>北京市环境</w:t>
      </w:r>
    </w:p>
    <w:p>
      <w:pPr>
        <w:pStyle w:val="BodyText"/>
        <w:spacing w:line="156" w:lineRule="exact"/>
        <w:ind w:left="0" w:right="0"/>
        <w:jc w:val="right"/>
      </w:pPr>
      <w:r>
        <w:rPr/>
        <w:t>补助</w:t>
      </w:r>
    </w:p>
    <w:p>
      <w:pPr>
        <w:pStyle w:val="BodyText"/>
        <w:spacing w:line="196" w:lineRule="exact"/>
        <w:ind w:left="125" w:right="-19"/>
        <w:jc w:val="left"/>
      </w:pPr>
      <w:r>
        <w:rPr/>
        <w:t>保护局</w:t>
      </w:r>
    </w:p>
    <w:p>
      <w:pPr>
        <w:pStyle w:val="BodyText"/>
        <w:spacing w:line="312" w:lineRule="exact" w:before="5"/>
        <w:ind w:left="181" w:right="6452"/>
        <w:jc w:val="left"/>
      </w:pPr>
      <w:r>
        <w:rPr/>
        <w:br w:type="column"/>
      </w:r>
      <w:r>
        <w:rPr/>
        <w:t>因研究开发、 技术更新及</w:t>
      </w:r>
    </w:p>
    <w:p>
      <w:pPr>
        <w:pStyle w:val="BodyText"/>
        <w:tabs>
          <w:tab w:pos="2307" w:val="left" w:leader="none"/>
          <w:tab w:pos="3657" w:val="left" w:leader="none"/>
          <w:tab w:pos="5126" w:val="left" w:leader="none"/>
        </w:tabs>
        <w:spacing w:line="86" w:lineRule="exact"/>
        <w:ind w:left="1244" w:right="0"/>
        <w:jc w:val="left"/>
      </w:pPr>
      <w:r>
        <w:rPr/>
        <w:t>否</w:t>
        <w:tab/>
        <w:t>否</w:t>
        <w:tab/>
      </w:r>
      <w:r>
        <w:rPr>
          <w:rFonts w:ascii="Times New Roman" w:hAnsi="Times New Roman" w:cs="Times New Roman" w:eastAsia="Times New Roman" w:hint="default"/>
          <w:spacing w:val="-1"/>
        </w:rPr>
        <w:t>36,000.00</w:t>
        <w:tab/>
        <w:t>0.00</w:t>
      </w:r>
      <w:r>
        <w:rPr>
          <w:rFonts w:ascii="Times New Roman" w:hAnsi="Times New Roman" w:cs="Times New Roman" w:eastAsia="Times New Roman" w:hint="default"/>
          <w:spacing w:val="12"/>
        </w:rPr>
        <w:t> </w:t>
      </w:r>
      <w:r>
        <w:rPr/>
        <w:t>与收益相关</w:t>
      </w:r>
    </w:p>
    <w:p>
      <w:pPr>
        <w:pStyle w:val="BodyText"/>
        <w:spacing w:line="189" w:lineRule="exact"/>
        <w:ind w:left="181" w:right="6452"/>
        <w:jc w:val="left"/>
      </w:pPr>
      <w:r>
        <w:rPr/>
        <w:t>改造等获得</w:t>
      </w:r>
    </w:p>
    <w:p>
      <w:pPr>
        <w:pStyle w:val="BodyText"/>
        <w:spacing w:line="240" w:lineRule="auto" w:before="76"/>
        <w:ind w:left="181" w:right="6452"/>
        <w:jc w:val="left"/>
      </w:pPr>
      <w:r>
        <w:rPr/>
        <w:t>的补助</w:t>
      </w:r>
    </w:p>
    <w:p>
      <w:pPr>
        <w:spacing w:after="0" w:line="240" w:lineRule="auto"/>
        <w:jc w:val="left"/>
        <w:sectPr>
          <w:type w:val="continuous"/>
          <w:pgSz w:w="11910" w:h="16840"/>
          <w:pgMar w:top="1060" w:bottom="1160" w:left="980" w:right="0"/>
          <w:cols w:num="3" w:equalWidth="0">
            <w:col w:w="1082" w:space="40"/>
            <w:col w:w="1550" w:space="522"/>
            <w:col w:w="7736"/>
          </w:cols>
        </w:sectPr>
      </w:pPr>
    </w:p>
    <w:p>
      <w:pPr>
        <w:spacing w:line="240" w:lineRule="auto" w:before="5"/>
        <w:rPr>
          <w:rFonts w:ascii="宋体" w:hAnsi="宋体" w:cs="宋体" w:eastAsia="宋体" w:hint="default"/>
          <w:sz w:val="9"/>
          <w:szCs w:val="9"/>
        </w:rPr>
      </w:pPr>
    </w:p>
    <w:p>
      <w:pPr>
        <w:spacing w:after="0" w:line="240" w:lineRule="auto"/>
        <w:rPr>
          <w:rFonts w:ascii="宋体" w:hAnsi="宋体" w:cs="宋体" w:eastAsia="宋体" w:hint="default"/>
          <w:sz w:val="9"/>
          <w:szCs w:val="9"/>
        </w:rPr>
        <w:sectPr>
          <w:type w:val="continuous"/>
          <w:pgSz w:w="11910" w:h="16840"/>
          <w:pgMar w:top="1060" w:bottom="1160" w:left="980" w:right="0"/>
        </w:sectPr>
      </w:pPr>
    </w:p>
    <w:p>
      <w:pPr>
        <w:spacing w:line="240" w:lineRule="auto" w:before="4"/>
        <w:rPr>
          <w:rFonts w:ascii="宋体" w:hAnsi="宋体" w:cs="宋体" w:eastAsia="宋体" w:hint="default"/>
          <w:sz w:val="15"/>
          <w:szCs w:val="15"/>
        </w:rPr>
      </w:pPr>
    </w:p>
    <w:p>
      <w:pPr>
        <w:pStyle w:val="BodyText"/>
        <w:spacing w:line="307" w:lineRule="auto"/>
        <w:ind w:left="181" w:right="0"/>
        <w:jc w:val="both"/>
      </w:pPr>
      <w:r>
        <w:rPr/>
        <w:t>深圳社保局 </w:t>
      </w:r>
      <w:r>
        <w:rPr>
          <w:rFonts w:ascii="Times New Roman" w:hAnsi="Times New Roman" w:cs="Times New Roman" w:eastAsia="Times New Roman" w:hint="default"/>
        </w:rPr>
        <w:t>18</w:t>
      </w:r>
      <w:r>
        <w:rPr>
          <w:rFonts w:ascii="Times New Roman" w:hAnsi="Times New Roman" w:cs="Times New Roman" w:eastAsia="Times New Roman" w:hint="default"/>
          <w:spacing w:val="2"/>
        </w:rPr>
        <w:t> </w:t>
      </w:r>
      <w:r>
        <w:rPr/>
        <w:t>年度稳岗 补贴</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2"/>
        <w:rPr>
          <w:rFonts w:ascii="宋体" w:hAnsi="宋体" w:cs="宋体" w:eastAsia="宋体" w:hint="default"/>
          <w:sz w:val="21"/>
          <w:szCs w:val="21"/>
        </w:rPr>
      </w:pPr>
    </w:p>
    <w:p>
      <w:pPr>
        <w:pStyle w:val="BodyText"/>
        <w:spacing w:line="240" w:lineRule="auto"/>
        <w:ind w:left="77" w:right="-20"/>
        <w:jc w:val="left"/>
      </w:pPr>
      <w:r>
        <w:rPr/>
        <w:t>深圳社保局</w:t>
      </w:r>
      <w:r>
        <w:rPr>
          <w:spacing w:val="73"/>
        </w:rPr>
        <w:t> </w:t>
      </w:r>
      <w:r>
        <w:rPr/>
        <w:t>补助</w:t>
      </w:r>
    </w:p>
    <w:p>
      <w:pPr>
        <w:pStyle w:val="BodyText"/>
        <w:spacing w:line="310" w:lineRule="exact" w:before="6"/>
        <w:ind w:left="181" w:right="6452"/>
        <w:jc w:val="left"/>
      </w:pPr>
      <w:r>
        <w:rPr/>
        <w:br w:type="column"/>
      </w:r>
      <w:r>
        <w:rPr/>
        <w:t>因研究开发、 技术更新及</w:t>
      </w:r>
    </w:p>
    <w:p>
      <w:pPr>
        <w:pStyle w:val="BodyText"/>
        <w:tabs>
          <w:tab w:pos="2307" w:val="left" w:leader="none"/>
          <w:tab w:pos="3657" w:val="left" w:leader="none"/>
          <w:tab w:pos="5126" w:val="left" w:leader="none"/>
        </w:tabs>
        <w:spacing w:line="88" w:lineRule="exact"/>
        <w:ind w:left="1244" w:right="0"/>
        <w:jc w:val="left"/>
      </w:pPr>
      <w:r>
        <w:rPr/>
        <w:t>否</w:t>
        <w:tab/>
        <w:t>否</w:t>
        <w:tab/>
      </w:r>
      <w:r>
        <w:rPr>
          <w:rFonts w:ascii="Times New Roman" w:hAnsi="Times New Roman" w:cs="Times New Roman" w:eastAsia="Times New Roman" w:hint="default"/>
          <w:spacing w:val="-1"/>
        </w:rPr>
        <w:t>18,562.19</w:t>
        <w:tab/>
        <w:t>0.00</w:t>
      </w:r>
      <w:r>
        <w:rPr>
          <w:rFonts w:ascii="Times New Roman" w:hAnsi="Times New Roman" w:cs="Times New Roman" w:eastAsia="Times New Roman" w:hint="default"/>
          <w:spacing w:val="12"/>
        </w:rPr>
        <w:t> </w:t>
      </w:r>
      <w:r>
        <w:rPr/>
        <w:t>与收益相关</w:t>
      </w:r>
    </w:p>
    <w:p>
      <w:pPr>
        <w:pStyle w:val="BodyText"/>
        <w:spacing w:line="188" w:lineRule="exact"/>
        <w:ind w:left="181" w:right="6452"/>
        <w:jc w:val="left"/>
      </w:pPr>
      <w:r>
        <w:rPr/>
        <w:t>改造等获得</w:t>
      </w:r>
    </w:p>
    <w:p>
      <w:pPr>
        <w:pStyle w:val="BodyText"/>
        <w:spacing w:line="240" w:lineRule="auto" w:before="76"/>
        <w:ind w:left="181" w:right="6452"/>
        <w:jc w:val="left"/>
      </w:pPr>
      <w:r>
        <w:rPr/>
        <w:t>的补助</w:t>
      </w:r>
    </w:p>
    <w:p>
      <w:pPr>
        <w:spacing w:after="0" w:line="240" w:lineRule="auto"/>
        <w:jc w:val="left"/>
        <w:sectPr>
          <w:type w:val="continuous"/>
          <w:pgSz w:w="11910" w:h="16840"/>
          <w:pgMar w:top="1060" w:bottom="1160" w:left="980" w:right="0"/>
          <w:cols w:num="3" w:equalWidth="0">
            <w:col w:w="1131" w:space="40"/>
            <w:col w:w="1501" w:space="522"/>
            <w:col w:w="7736"/>
          </w:cols>
        </w:sectPr>
      </w:pPr>
    </w:p>
    <w:p>
      <w:pPr>
        <w:spacing w:line="240" w:lineRule="auto" w:before="6"/>
        <w:rPr>
          <w:rFonts w:ascii="宋体" w:hAnsi="宋体" w:cs="宋体" w:eastAsia="宋体" w:hint="default"/>
          <w:sz w:val="9"/>
          <w:szCs w:val="9"/>
        </w:rPr>
      </w:pPr>
    </w:p>
    <w:p>
      <w:pPr>
        <w:spacing w:after="0" w:line="240" w:lineRule="auto"/>
        <w:rPr>
          <w:rFonts w:ascii="宋体" w:hAnsi="宋体" w:cs="宋体" w:eastAsia="宋体" w:hint="default"/>
          <w:sz w:val="9"/>
          <w:szCs w:val="9"/>
        </w:rPr>
        <w:sectPr>
          <w:type w:val="continuous"/>
          <w:pgSz w:w="11910" w:h="16840"/>
          <w:pgMar w:top="1060" w:bottom="1160" w:left="980" w:right="0"/>
        </w:sectPr>
      </w:pPr>
    </w:p>
    <w:p>
      <w:pPr>
        <w:spacing w:line="240" w:lineRule="auto" w:before="0"/>
        <w:rPr>
          <w:rFonts w:ascii="宋体" w:hAnsi="宋体" w:cs="宋体" w:eastAsia="宋体" w:hint="default"/>
          <w:sz w:val="18"/>
          <w:szCs w:val="18"/>
        </w:rPr>
      </w:pPr>
    </w:p>
    <w:p>
      <w:pPr>
        <w:pStyle w:val="BodyText"/>
        <w:spacing w:line="316" w:lineRule="auto" w:before="121"/>
        <w:ind w:left="181" w:right="-20"/>
        <w:jc w:val="left"/>
      </w:pPr>
      <w:r>
        <w:rPr/>
        <w:t>岗位补贴及 超比例奖金</w:t>
      </w:r>
    </w:p>
    <w:p>
      <w:pPr>
        <w:spacing w:line="240" w:lineRule="auto" w:before="4"/>
        <w:rPr>
          <w:rFonts w:ascii="宋体" w:hAnsi="宋体" w:cs="宋体" w:eastAsia="宋体" w:hint="default"/>
          <w:sz w:val="15"/>
          <w:szCs w:val="15"/>
        </w:rPr>
      </w:pPr>
      <w:r>
        <w:rPr/>
        <w:br w:type="column"/>
      </w:r>
      <w:r>
        <w:rPr>
          <w:rFonts w:ascii="宋体"/>
          <w:sz w:val="15"/>
        </w:rPr>
      </w:r>
    </w:p>
    <w:p>
      <w:pPr>
        <w:pStyle w:val="BodyText"/>
        <w:spacing w:line="316" w:lineRule="auto"/>
        <w:ind w:left="125" w:right="-19"/>
        <w:jc w:val="left"/>
      </w:pPr>
      <w:r>
        <w:rPr/>
        <w:t>海淀区残疾 人劳动就业</w:t>
      </w:r>
      <w:r>
        <w:rPr>
          <w:spacing w:val="73"/>
        </w:rPr>
        <w:t> </w:t>
      </w:r>
      <w:r>
        <w:rPr/>
        <w:t>补助</w:t>
      </w:r>
      <w:r>
        <w:rPr/>
        <w:t> 管理服务所</w:t>
      </w:r>
    </w:p>
    <w:p>
      <w:pPr>
        <w:pStyle w:val="BodyText"/>
        <w:spacing w:line="312" w:lineRule="exact" w:before="5"/>
        <w:ind w:left="181" w:right="6452"/>
        <w:jc w:val="left"/>
      </w:pPr>
      <w:r>
        <w:rPr/>
        <w:br w:type="column"/>
      </w:r>
      <w:r>
        <w:rPr/>
        <w:t>因研究开发、 技术更新及</w:t>
      </w:r>
    </w:p>
    <w:p>
      <w:pPr>
        <w:pStyle w:val="BodyText"/>
        <w:tabs>
          <w:tab w:pos="2307" w:val="left" w:leader="none"/>
          <w:tab w:pos="3657" w:val="left" w:leader="none"/>
          <w:tab w:pos="5126" w:val="left" w:leader="none"/>
        </w:tabs>
        <w:spacing w:line="86" w:lineRule="exact"/>
        <w:ind w:left="1244" w:right="0"/>
        <w:jc w:val="left"/>
      </w:pPr>
      <w:r>
        <w:rPr/>
        <w:t>否</w:t>
        <w:tab/>
        <w:t>否</w:t>
        <w:tab/>
      </w:r>
      <w:r>
        <w:rPr>
          <w:rFonts w:ascii="Times New Roman" w:hAnsi="Times New Roman" w:cs="Times New Roman" w:eastAsia="Times New Roman" w:hint="default"/>
          <w:spacing w:val="-1"/>
        </w:rPr>
        <w:t>12,000.00</w:t>
        <w:tab/>
        <w:t>0.00</w:t>
      </w:r>
      <w:r>
        <w:rPr>
          <w:rFonts w:ascii="Times New Roman" w:hAnsi="Times New Roman" w:cs="Times New Roman" w:eastAsia="Times New Roman" w:hint="default"/>
          <w:spacing w:val="12"/>
        </w:rPr>
        <w:t> </w:t>
      </w:r>
      <w:r>
        <w:rPr/>
        <w:t>与收益相关</w:t>
      </w:r>
    </w:p>
    <w:p>
      <w:pPr>
        <w:pStyle w:val="BodyText"/>
        <w:spacing w:line="189" w:lineRule="exact"/>
        <w:ind w:left="181" w:right="6452"/>
        <w:jc w:val="left"/>
      </w:pPr>
      <w:r>
        <w:rPr/>
        <w:t>改造等获得</w:t>
      </w:r>
    </w:p>
    <w:p>
      <w:pPr>
        <w:pStyle w:val="BodyText"/>
        <w:spacing w:line="240" w:lineRule="auto" w:before="76"/>
        <w:ind w:left="181" w:right="6452"/>
        <w:jc w:val="left"/>
      </w:pPr>
      <w:r>
        <w:rPr/>
        <w:t>的补助</w:t>
      </w:r>
    </w:p>
    <w:p>
      <w:pPr>
        <w:spacing w:after="0" w:line="240" w:lineRule="auto"/>
        <w:jc w:val="left"/>
        <w:sectPr>
          <w:type w:val="continuous"/>
          <w:pgSz w:w="11910" w:h="16840"/>
          <w:pgMar w:top="1060" w:bottom="1160" w:left="980" w:right="0"/>
          <w:cols w:num="3" w:equalWidth="0">
            <w:col w:w="1082" w:space="40"/>
            <w:col w:w="1550" w:space="522"/>
            <w:col w:w="7736"/>
          </w:cols>
        </w:sectPr>
      </w:pPr>
    </w:p>
    <w:p>
      <w:pPr>
        <w:spacing w:line="240" w:lineRule="auto" w:before="5"/>
        <w:rPr>
          <w:rFonts w:ascii="宋体" w:hAnsi="宋体" w:cs="宋体" w:eastAsia="宋体" w:hint="default"/>
          <w:sz w:val="9"/>
          <w:szCs w:val="9"/>
        </w:rPr>
      </w:pPr>
    </w:p>
    <w:p>
      <w:pPr>
        <w:spacing w:after="0" w:line="240" w:lineRule="auto"/>
        <w:rPr>
          <w:rFonts w:ascii="宋体" w:hAnsi="宋体" w:cs="宋体" w:eastAsia="宋体" w:hint="default"/>
          <w:sz w:val="9"/>
          <w:szCs w:val="9"/>
        </w:rPr>
        <w:sectPr>
          <w:type w:val="continuous"/>
          <w:pgSz w:w="11910" w:h="16840"/>
          <w:pgMar w:top="1060" w:bottom="1160" w:left="980" w:right="0"/>
        </w:sectPr>
      </w:pPr>
    </w:p>
    <w:p>
      <w:pPr>
        <w:spacing w:line="240" w:lineRule="auto" w:before="0"/>
        <w:rPr>
          <w:rFonts w:ascii="宋体" w:hAnsi="宋体" w:cs="宋体" w:eastAsia="宋体" w:hint="default"/>
          <w:sz w:val="18"/>
          <w:szCs w:val="18"/>
        </w:rPr>
      </w:pPr>
    </w:p>
    <w:p>
      <w:pPr>
        <w:pStyle w:val="BodyText"/>
        <w:spacing w:line="297" w:lineRule="auto" w:before="121"/>
        <w:ind w:left="181" w:right="-18"/>
        <w:jc w:val="left"/>
      </w:pPr>
      <w:r>
        <w:rPr>
          <w:rFonts w:ascii="Times New Roman" w:hAnsi="Times New Roman" w:cs="Times New Roman" w:eastAsia="Times New Roman" w:hint="default"/>
        </w:rPr>
        <w:t>2017</w:t>
      </w:r>
      <w:r>
        <w:rPr>
          <w:rFonts w:ascii="Times New Roman" w:hAnsi="Times New Roman" w:cs="Times New Roman" w:eastAsia="Times New Roman" w:hint="default"/>
          <w:spacing w:val="2"/>
        </w:rPr>
        <w:t> </w:t>
      </w:r>
      <w:r>
        <w:rPr/>
        <w:t>年稳岗 补贴资金</w:t>
      </w:r>
    </w:p>
    <w:p>
      <w:pPr>
        <w:spacing w:line="240" w:lineRule="auto" w:before="4"/>
        <w:rPr>
          <w:rFonts w:ascii="宋体" w:hAnsi="宋体" w:cs="宋体" w:eastAsia="宋体" w:hint="default"/>
          <w:sz w:val="15"/>
          <w:szCs w:val="15"/>
        </w:rPr>
      </w:pPr>
      <w:r>
        <w:rPr/>
        <w:br w:type="column"/>
      </w:r>
      <w:r>
        <w:rPr>
          <w:rFonts w:ascii="宋体"/>
          <w:sz w:val="15"/>
        </w:rPr>
      </w:r>
    </w:p>
    <w:p>
      <w:pPr>
        <w:pStyle w:val="BodyText"/>
        <w:spacing w:line="316" w:lineRule="auto"/>
        <w:ind w:left="77" w:right="-20"/>
        <w:jc w:val="left"/>
      </w:pPr>
      <w:r>
        <w:rPr/>
        <w:t>长沙市失业 保险管理服</w:t>
      </w:r>
      <w:r>
        <w:rPr>
          <w:spacing w:val="73"/>
        </w:rPr>
        <w:t> </w:t>
      </w:r>
      <w:r>
        <w:rPr/>
        <w:t>补助</w:t>
      </w:r>
      <w:r>
        <w:rPr/>
        <w:t> 务局</w:t>
      </w:r>
    </w:p>
    <w:p>
      <w:pPr>
        <w:pStyle w:val="BodyText"/>
        <w:spacing w:line="310" w:lineRule="exact" w:before="6"/>
        <w:ind w:left="181" w:right="6452"/>
        <w:jc w:val="left"/>
      </w:pPr>
      <w:r>
        <w:rPr/>
        <w:br w:type="column"/>
      </w:r>
      <w:r>
        <w:rPr/>
        <w:t>因研究开发、 技术更新及</w:t>
      </w:r>
    </w:p>
    <w:p>
      <w:pPr>
        <w:pStyle w:val="BodyText"/>
        <w:tabs>
          <w:tab w:pos="2307" w:val="left" w:leader="none"/>
          <w:tab w:pos="3664" w:val="left" w:leader="none"/>
          <w:tab w:pos="4720" w:val="left" w:leader="none"/>
        </w:tabs>
        <w:spacing w:line="88" w:lineRule="exact"/>
        <w:ind w:left="1244" w:right="0"/>
        <w:jc w:val="left"/>
      </w:pPr>
      <w:r>
        <w:rPr/>
        <w:t>否</w:t>
        <w:tab/>
        <w:t>否</w:t>
        <w:tab/>
      </w:r>
      <w:r>
        <w:rPr>
          <w:rFonts w:ascii="Times New Roman" w:hAnsi="Times New Roman" w:cs="Times New Roman" w:eastAsia="Times New Roman" w:hint="default"/>
          <w:spacing w:val="-1"/>
        </w:rPr>
        <w:t>11,473.56</w:t>
        <w:tab/>
        <w:t>17,996.04</w:t>
      </w:r>
      <w:r>
        <w:rPr>
          <w:rFonts w:ascii="Times New Roman" w:hAnsi="Times New Roman" w:cs="Times New Roman" w:eastAsia="Times New Roman" w:hint="default"/>
          <w:spacing w:val="17"/>
        </w:rPr>
        <w:t> </w:t>
      </w:r>
      <w:r>
        <w:rPr/>
        <w:t>与收益相关</w:t>
      </w:r>
    </w:p>
    <w:p>
      <w:pPr>
        <w:pStyle w:val="BodyText"/>
        <w:spacing w:line="188" w:lineRule="exact"/>
        <w:ind w:left="181" w:right="6452"/>
        <w:jc w:val="left"/>
      </w:pPr>
      <w:r>
        <w:rPr/>
        <w:t>改造等获得</w:t>
      </w:r>
    </w:p>
    <w:p>
      <w:pPr>
        <w:pStyle w:val="BodyText"/>
        <w:spacing w:line="240" w:lineRule="auto" w:before="76"/>
        <w:ind w:left="181" w:right="6452"/>
        <w:jc w:val="left"/>
      </w:pPr>
      <w:r>
        <w:rPr/>
        <w:t>的补助</w:t>
      </w:r>
    </w:p>
    <w:p>
      <w:pPr>
        <w:spacing w:after="0" w:line="240" w:lineRule="auto"/>
        <w:jc w:val="left"/>
        <w:sectPr>
          <w:type w:val="continuous"/>
          <w:pgSz w:w="11910" w:h="16840"/>
          <w:pgMar w:top="1060" w:bottom="1160" w:left="980" w:right="0"/>
          <w:cols w:num="3" w:equalWidth="0">
            <w:col w:w="1131" w:space="40"/>
            <w:col w:w="1501" w:space="522"/>
            <w:col w:w="7736"/>
          </w:cols>
        </w:sectPr>
      </w:pPr>
    </w:p>
    <w:p>
      <w:pPr>
        <w:spacing w:line="240" w:lineRule="auto" w:before="5"/>
        <w:rPr>
          <w:rFonts w:ascii="宋体" w:hAnsi="宋体" w:cs="宋体" w:eastAsia="宋体" w:hint="default"/>
          <w:sz w:val="9"/>
          <w:szCs w:val="9"/>
        </w:rPr>
      </w:pPr>
    </w:p>
    <w:p>
      <w:pPr>
        <w:pStyle w:val="BodyText"/>
        <w:tabs>
          <w:tab w:pos="3374" w:val="left" w:leader="none"/>
          <w:tab w:pos="5500" w:val="left" w:leader="none"/>
          <w:tab w:pos="6850" w:val="left" w:leader="none"/>
          <w:tab w:pos="8319" w:val="left" w:leader="none"/>
        </w:tabs>
        <w:spacing w:line="240" w:lineRule="auto" w:before="44"/>
        <w:ind w:left="181" w:right="982"/>
        <w:jc w:val="left"/>
      </w:pPr>
      <w:r>
        <w:rPr>
          <w:position w:val="-1"/>
        </w:rPr>
        <w:t>上海市残疾  上海市残疾</w:t>
      </w:r>
      <w:r>
        <w:rPr>
          <w:spacing w:val="59"/>
          <w:position w:val="-1"/>
        </w:rPr>
        <w:t> </w:t>
      </w:r>
      <w:r>
        <w:rPr/>
        <w:t>补助</w:t>
        <w:tab/>
      </w:r>
      <w:r>
        <w:rPr>
          <w:spacing w:val="-3"/>
          <w:position w:val="-1"/>
        </w:rPr>
        <w:t>因研究开发、</w:t>
      </w:r>
      <w:r>
        <w:rPr>
          <w:spacing w:val="-3"/>
        </w:rPr>
        <w:t>否</w:t>
        <w:tab/>
      </w:r>
      <w:r>
        <w:rPr/>
        <w:t>否</w:t>
        <w:tab/>
      </w:r>
      <w:r>
        <w:rPr>
          <w:rFonts w:ascii="Times New Roman" w:hAnsi="Times New Roman" w:cs="Times New Roman" w:eastAsia="Times New Roman" w:hint="default"/>
          <w:spacing w:val="-1"/>
        </w:rPr>
        <w:t>10,687.70</w:t>
        <w:tab/>
        <w:t>0.00</w:t>
      </w:r>
      <w:r>
        <w:rPr>
          <w:rFonts w:ascii="Times New Roman" w:hAnsi="Times New Roman" w:cs="Times New Roman" w:eastAsia="Times New Roman" w:hint="default"/>
          <w:spacing w:val="12"/>
        </w:rPr>
        <w:t> </w:t>
      </w:r>
      <w:r>
        <w:rPr/>
        <w:t>与收益相关</w:t>
      </w:r>
    </w:p>
    <w:p>
      <w:pPr>
        <w:spacing w:after="0" w:line="240" w:lineRule="auto"/>
        <w:jc w:val="left"/>
        <w:sectPr>
          <w:type w:val="continuous"/>
          <w:pgSz w:w="11910" w:h="16840"/>
          <w:pgMar w:top="1060" w:bottom="1160" w:left="980" w:right="0"/>
        </w:sectPr>
      </w:pPr>
    </w:p>
    <w:p>
      <w:pPr>
        <w:spacing w:line="240" w:lineRule="auto" w:before="6"/>
        <w:rPr>
          <w:rFonts w:ascii="宋体" w:hAnsi="宋体" w:cs="宋体" w:eastAsia="宋体" w:hint="default"/>
          <w:sz w:val="28"/>
          <w:szCs w:val="28"/>
        </w:rPr>
      </w:pPr>
      <w:r>
        <w:rPr/>
        <w:pict>
          <v:group style="position:absolute;margin-left:269.690002pt;margin-top:121.819984pt;width:52.7pt;height:23.4pt;mso-position-horizontal-relative:page;mso-position-vertical-relative:page;z-index:-1324672" coordorigin="5394,2436" coordsize="1054,468">
            <v:shape style="position:absolute;left:5394;top:2436;width:1054;height:468" coordorigin="5394,2436" coordsize="1054,468" path="m5394,2904l6447,2904,6447,2436,5394,2436,5394,2904xe" filled="true" fillcolor="#ffffff" stroked="false">
              <v:path arrowok="t"/>
              <v:fill type="solid"/>
            </v:shape>
            <w10:wrap type="none"/>
          </v:group>
        </w:pict>
      </w:r>
      <w:r>
        <w:rPr/>
        <w:pict>
          <v:group style="position:absolute;margin-left:269.690002pt;margin-top:188.659988pt;width:52.7pt;height:39pt;mso-position-horizontal-relative:page;mso-position-vertical-relative:page;z-index:-1324648" coordorigin="5394,3773" coordsize="1054,780">
            <v:shape style="position:absolute;left:5394;top:3773;width:1054;height:780" coordorigin="5394,3773" coordsize="1054,780" path="m5394,4553l6447,4553,6447,3773,5394,3773,5394,4553xe" filled="true" fillcolor="#ffffff" stroked="false">
              <v:path arrowok="t"/>
              <v:fill type="solid"/>
            </v:shape>
            <w10:wrap type="none"/>
          </v:group>
        </w:pict>
      </w:r>
    </w:p>
    <w:tbl>
      <w:tblPr>
        <w:tblW w:w="0" w:type="auto"/>
        <w:jc w:val="left"/>
        <w:tblInd w:w="149" w:type="dxa"/>
        <w:tblLayout w:type="fixed"/>
        <w:tblCellMar>
          <w:top w:w="0" w:type="dxa"/>
          <w:left w:w="0" w:type="dxa"/>
          <w:bottom w:w="0" w:type="dxa"/>
          <w:right w:w="0" w:type="dxa"/>
        </w:tblCellMar>
        <w:tblLook w:val="01E0"/>
      </w:tblPr>
      <w:tblGrid>
        <w:gridCol w:w="1065"/>
        <w:gridCol w:w="1063"/>
        <w:gridCol w:w="1064"/>
        <w:gridCol w:w="1063"/>
        <w:gridCol w:w="1061"/>
        <w:gridCol w:w="1064"/>
        <w:gridCol w:w="1063"/>
        <w:gridCol w:w="1064"/>
        <w:gridCol w:w="1063"/>
      </w:tblGrid>
      <w:tr>
        <w:trPr>
          <w:trHeight w:val="987" w:hRule="exact"/>
        </w:trPr>
        <w:tc>
          <w:tcPr>
            <w:tcW w:w="10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8"/>
              <w:ind w:left="22" w:right="130"/>
              <w:jc w:val="left"/>
              <w:rPr>
                <w:rFonts w:ascii="宋体" w:hAnsi="宋体" w:cs="宋体" w:eastAsia="宋体" w:hint="default"/>
                <w:sz w:val="18"/>
                <w:szCs w:val="18"/>
              </w:rPr>
            </w:pPr>
            <w:r>
              <w:rPr>
                <w:rFonts w:ascii="宋体" w:hAnsi="宋体" w:cs="宋体" w:eastAsia="宋体" w:hint="default"/>
                <w:sz w:val="18"/>
                <w:szCs w:val="18"/>
              </w:rPr>
              <w:t>人就业服务 中心</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8"/>
              <w:ind w:left="23" w:right="127"/>
              <w:jc w:val="left"/>
              <w:rPr>
                <w:rFonts w:ascii="宋体" w:hAnsi="宋体" w:cs="宋体" w:eastAsia="宋体" w:hint="default"/>
                <w:sz w:val="18"/>
                <w:szCs w:val="18"/>
              </w:rPr>
            </w:pPr>
            <w:r>
              <w:rPr>
                <w:rFonts w:ascii="宋体" w:hAnsi="宋体" w:cs="宋体" w:eastAsia="宋体" w:hint="default"/>
                <w:sz w:val="18"/>
                <w:szCs w:val="18"/>
              </w:rPr>
              <w:t>人就业服务 中心</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8"/>
              <w:ind w:left="23" w:right="127"/>
              <w:jc w:val="both"/>
              <w:rPr>
                <w:rFonts w:ascii="宋体" w:hAnsi="宋体" w:cs="宋体" w:eastAsia="宋体" w:hint="default"/>
                <w:sz w:val="18"/>
                <w:szCs w:val="18"/>
              </w:rPr>
            </w:pPr>
            <w:r>
              <w:rPr>
                <w:rFonts w:ascii="宋体" w:hAnsi="宋体" w:cs="宋体" w:eastAsia="宋体" w:hint="default"/>
                <w:sz w:val="18"/>
                <w:szCs w:val="18"/>
              </w:rPr>
              <w:t>技术更新及 改造等获得 的补助</w:t>
            </w:r>
          </w:p>
        </w:tc>
        <w:tc>
          <w:tcPr>
            <w:tcW w:w="1061"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1337" w:hRule="exact"/>
        </w:trPr>
        <w:tc>
          <w:tcPr>
            <w:tcW w:w="10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2" w:right="130"/>
              <w:jc w:val="both"/>
              <w:rPr>
                <w:rFonts w:ascii="宋体" w:hAnsi="宋体" w:cs="宋体" w:eastAsia="宋体" w:hint="default"/>
                <w:sz w:val="18"/>
                <w:szCs w:val="18"/>
              </w:rPr>
            </w:pPr>
            <w:r>
              <w:rPr>
                <w:rFonts w:ascii="宋体" w:hAnsi="宋体" w:cs="宋体" w:eastAsia="宋体" w:hint="default"/>
                <w:sz w:val="18"/>
                <w:szCs w:val="18"/>
              </w:rPr>
              <w:t>光谷人才市 场代办稳岗 补贴</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3" w:right="127"/>
              <w:jc w:val="both"/>
              <w:rPr>
                <w:rFonts w:ascii="宋体" w:hAnsi="宋体" w:cs="宋体" w:eastAsia="宋体" w:hint="default"/>
                <w:sz w:val="18"/>
                <w:szCs w:val="18"/>
              </w:rPr>
            </w:pPr>
            <w:r>
              <w:rPr>
                <w:rFonts w:ascii="宋体" w:hAnsi="宋体" w:cs="宋体" w:eastAsia="宋体" w:hint="default"/>
                <w:sz w:val="18"/>
                <w:szCs w:val="18"/>
              </w:rPr>
              <w:t>武汉市人力 资源和社会 保障局</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27"/>
              <w:jc w:val="both"/>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40"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5,634.00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16,000.00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964" w:hRule="exact"/>
        </w:trPr>
        <w:tc>
          <w:tcPr>
            <w:tcW w:w="10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2" w:lineRule="auto" w:before="49"/>
              <w:ind w:left="22" w:right="36"/>
              <w:jc w:val="left"/>
              <w:rPr>
                <w:rFonts w:ascii="宋体" w:hAnsi="宋体" w:cs="宋体" w:eastAsia="宋体" w:hint="default"/>
                <w:sz w:val="18"/>
                <w:szCs w:val="18"/>
              </w:rPr>
            </w:pPr>
            <w:r>
              <w:rPr>
                <w:rFonts w:ascii="宋体" w:hAnsi="宋体" w:cs="宋体" w:eastAsia="宋体" w:hint="default"/>
                <w:sz w:val="18"/>
                <w:szCs w:val="18"/>
              </w:rPr>
              <w:t>合肥高新区 一事一议年 薪</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万核心 骨干人员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年个人 所得税奖励</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19" w:lineRule="auto"/>
              <w:ind w:left="23" w:right="127"/>
              <w:jc w:val="both"/>
              <w:rPr>
                <w:rFonts w:ascii="宋体" w:hAnsi="宋体" w:cs="宋体" w:eastAsia="宋体" w:hint="default"/>
                <w:sz w:val="18"/>
                <w:szCs w:val="18"/>
              </w:rPr>
            </w:pPr>
            <w:r>
              <w:rPr>
                <w:rFonts w:ascii="宋体" w:hAnsi="宋体" w:cs="宋体" w:eastAsia="宋体" w:hint="default"/>
                <w:sz w:val="18"/>
                <w:szCs w:val="18"/>
              </w:rPr>
              <w:t>联发科技合 肥研发基地 及汽车电子 芯片项目合 作协议</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2"/>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5"/>
              <w:ind w:left="23" w:right="127"/>
              <w:jc w:val="both"/>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40"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2"/>
              <w:ind w:left="26"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2,380,000.00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2"/>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961" w:hRule="exact"/>
        </w:trPr>
        <w:tc>
          <w:tcPr>
            <w:tcW w:w="10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22" w:right="130"/>
              <w:jc w:val="both"/>
              <w:rPr>
                <w:rFonts w:ascii="宋体" w:hAnsi="宋体" w:cs="宋体" w:eastAsia="宋体" w:hint="default"/>
                <w:sz w:val="18"/>
                <w:szCs w:val="18"/>
              </w:rPr>
            </w:pPr>
            <w:r>
              <w:rPr>
                <w:rFonts w:ascii="宋体" w:hAnsi="宋体" w:cs="宋体" w:eastAsia="宋体" w:hint="default"/>
                <w:sz w:val="18"/>
                <w:szCs w:val="18"/>
              </w:rPr>
              <w:t>非公企业党 员学习经费 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27"/>
              <w:jc w:val="both"/>
              <w:rPr>
                <w:rFonts w:ascii="宋体" w:hAnsi="宋体" w:cs="宋体" w:eastAsia="宋体" w:hint="default"/>
                <w:sz w:val="18"/>
                <w:szCs w:val="18"/>
              </w:rPr>
            </w:pPr>
            <w:r>
              <w:rPr>
                <w:rFonts w:ascii="宋体" w:hAnsi="宋体" w:cs="宋体" w:eastAsia="宋体" w:hint="default"/>
                <w:sz w:val="18"/>
                <w:szCs w:val="18"/>
              </w:rPr>
              <w:t>高新区企业 党委非公企 业党员学习 活动经费申 请和使用管 理办法</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2"/>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3" w:right="127"/>
              <w:jc w:val="both"/>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40"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2"/>
              <w:ind w:left="26"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3,880.00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2"/>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pict>
          <v:group style="position:absolute;margin-left:269.690002pt;margin-top:-110.61631pt;width:52.7pt;height:39pt;mso-position-horizontal-relative:page;mso-position-vertical-relative:paragraph;z-index:-1324624" coordorigin="5394,-2212" coordsize="1054,780">
            <v:shape style="position:absolute;left:5394;top:-2212;width:1054;height:780" coordorigin="5394,-2212" coordsize="1054,780" path="m5394,-1432l6447,-1432,6447,-2212,5394,-2212,5394,-1432xe" filled="true" fillcolor="#ffffff" stroked="false">
              <v:path arrowok="t"/>
              <v:fill type="solid"/>
            </v:shape>
            <w10:wrap type="none"/>
          </v:group>
        </w:pict>
      </w:r>
      <w:r>
        <w:rPr>
          <w:rFonts w:ascii="Times New Roman" w:hAnsi="Times New Roman" w:cs="Times New Roman" w:eastAsia="Times New Roman" w:hint="default"/>
        </w:rPr>
        <w:t>64</w:t>
      </w:r>
      <w:r>
        <w:rPr/>
        <w:t>、营业外支出</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388"/>
        <w:gridCol w:w="2396"/>
        <w:gridCol w:w="2393"/>
        <w:gridCol w:w="2393"/>
      </w:tblGrid>
      <w:tr>
        <w:trPr>
          <w:trHeight w:val="161" w:hRule="exact"/>
        </w:trPr>
        <w:tc>
          <w:tcPr>
            <w:tcW w:w="2388"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6"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3"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3"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1102" w:right="111" w:hanging="992"/>
              <w:jc w:val="left"/>
              <w:rPr>
                <w:rFonts w:ascii="宋体" w:hAnsi="宋体" w:cs="宋体" w:eastAsia="宋体" w:hint="default"/>
                <w:sz w:val="18"/>
                <w:szCs w:val="18"/>
              </w:rPr>
            </w:pPr>
            <w:r>
              <w:rPr>
                <w:rFonts w:ascii="宋体" w:hAnsi="宋体" w:cs="宋体" w:eastAsia="宋体" w:hint="default"/>
                <w:sz w:val="18"/>
                <w:szCs w:val="18"/>
              </w:rPr>
              <w:t>计入当期非经常性损益的金 额</w:t>
            </w:r>
          </w:p>
        </w:tc>
      </w:tr>
      <w:tr>
        <w:trPr>
          <w:trHeight w:val="391" w:hRule="exact"/>
        </w:trPr>
        <w:tc>
          <w:tcPr>
            <w:tcW w:w="238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746"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741"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393" w:type="dxa"/>
            <w:vMerge/>
            <w:tcBorders>
              <w:left w:val="single" w:sz="4" w:space="0" w:color="000000"/>
              <w:right w:val="single" w:sz="4" w:space="0" w:color="000000"/>
            </w:tcBorders>
            <w:shd w:val="clear" w:color="auto" w:fill="D2D2D2"/>
          </w:tcPr>
          <w:p>
            <w:pPr/>
          </w:p>
        </w:tc>
      </w:tr>
      <w:tr>
        <w:trPr>
          <w:trHeight w:val="161" w:hRule="exact"/>
        </w:trPr>
        <w:tc>
          <w:tcPr>
            <w:tcW w:w="2388"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6"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3"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3"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债务重组损失</w:t>
            </w:r>
          </w:p>
        </w:tc>
        <w:tc>
          <w:tcPr>
            <w:tcW w:w="239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488,871.60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非货币性资产交换损失</w:t>
            </w:r>
          </w:p>
        </w:tc>
        <w:tc>
          <w:tcPr>
            <w:tcW w:w="239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对外捐赠</w:t>
            </w:r>
          </w:p>
        </w:tc>
        <w:tc>
          <w:tcPr>
            <w:tcW w:w="239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873,182.50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310,000.00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873,182.50</w:t>
            </w:r>
          </w:p>
        </w:tc>
      </w:tr>
      <w:tr>
        <w:trPr>
          <w:trHeight w:val="401" w:hRule="exact"/>
        </w:trPr>
        <w:tc>
          <w:tcPr>
            <w:tcW w:w="2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赔偿金、违约金及罚款支出</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27,524.03</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2,195,550.94</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27,524.03</w:t>
            </w:r>
          </w:p>
        </w:tc>
      </w:tr>
      <w:tr>
        <w:trPr>
          <w:trHeight w:val="403" w:hRule="exact"/>
        </w:trPr>
        <w:tc>
          <w:tcPr>
            <w:tcW w:w="2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397,431.48</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53,854.60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397,431.48</w:t>
            </w:r>
          </w:p>
        </w:tc>
      </w:tr>
      <w:tr>
        <w:trPr>
          <w:trHeight w:val="401" w:hRule="exact"/>
        </w:trPr>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1,298,138.01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3,048,277.14</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1,280,138.01</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rFonts w:ascii="Times New Roman" w:hAnsi="Times New Roman" w:cs="Times New Roman" w:eastAsia="Times New Roman" w:hint="default"/>
        </w:rPr>
        <w:t>65</w:t>
      </w:r>
      <w:r>
        <w:rPr/>
        <w:t>、所得税费用</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2"/>
        <w:jc w:val="left"/>
        <w:rPr>
          <w:b w:val="0"/>
          <w:bCs w:val="0"/>
        </w:rPr>
      </w:pPr>
      <w:r>
        <w:rPr/>
        <w:t>（</w:t>
      </w:r>
      <w:r>
        <w:rPr>
          <w:rFonts w:ascii="Times New Roman" w:hAnsi="Times New Roman" w:cs="Times New Roman" w:eastAsia="Times New Roman" w:hint="default"/>
        </w:rPr>
        <w:t>1</w:t>
      </w:r>
      <w:r>
        <w:rPr/>
        <w:t>）所得税费用表</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5"/>
        <w:gridCol w:w="3203"/>
        <w:gridCol w:w="3190"/>
      </w:tblGrid>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当期所得税费用</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132,833,849.05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58,642,750.96</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递延所得税费用</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-3,546,614.45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-1,520,197.43</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87"/>
        <w:gridCol w:w="3192"/>
        <w:gridCol w:w="3190"/>
      </w:tblGrid>
      <w:tr>
        <w:trPr>
          <w:trHeight w:val="404"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35" w:right="0"/>
              <w:jc w:val="left"/>
              <w:rPr>
                <w:rFonts w:ascii="Times New Roman" w:hAnsi="Times New Roman" w:cs="Times New Roman" w:eastAsia="Times New Roman" w:hint="default"/>
                <w:sz w:val="18"/>
                <w:szCs w:val="18"/>
              </w:rPr>
            </w:pPr>
            <w:r>
              <w:rPr>
                <w:rFonts w:ascii="Times New Roman"/>
                <w:sz w:val="18"/>
              </w:rPr>
              <w:t>129,287,234.60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57,122,553.53</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t>（</w:t>
      </w:r>
      <w:r>
        <w:rPr>
          <w:rFonts w:ascii="Times New Roman" w:hAnsi="Times New Roman" w:cs="Times New Roman" w:eastAsia="Times New Roman" w:hint="default"/>
        </w:rPr>
        <w:t>2</w:t>
      </w:r>
      <w:r>
        <w:rPr/>
        <w:t>）会计利润与所得税费用调整过程</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5790"/>
        <w:gridCol w:w="3769"/>
      </w:tblGrid>
      <w:tr>
        <w:trPr>
          <w:trHeight w:val="402" w:hRule="exact"/>
        </w:trPr>
        <w:tc>
          <w:tcPr>
            <w:tcW w:w="5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7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r>
      <w:tr>
        <w:trPr>
          <w:trHeight w:val="402" w:hRule="exact"/>
        </w:trPr>
        <w:tc>
          <w:tcPr>
            <w:tcW w:w="5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37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506,705,459.83</w:t>
            </w:r>
          </w:p>
        </w:tc>
      </w:tr>
      <w:tr>
        <w:trPr>
          <w:trHeight w:val="402" w:hRule="exact"/>
        </w:trPr>
        <w:tc>
          <w:tcPr>
            <w:tcW w:w="5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按法定</w:t>
            </w:r>
            <w:r>
              <w:rPr>
                <w:rFonts w:ascii="Times New Roman" w:hAnsi="Times New Roman" w:cs="Times New Roman" w:eastAsia="Times New Roman" w:hint="default"/>
                <w:sz w:val="18"/>
                <w:szCs w:val="18"/>
              </w:rPr>
              <w:t>/</w:t>
            </w:r>
            <w:r>
              <w:rPr>
                <w:rFonts w:ascii="宋体" w:hAnsi="宋体" w:cs="宋体" w:eastAsia="宋体" w:hint="default"/>
                <w:sz w:val="18"/>
                <w:szCs w:val="18"/>
              </w:rPr>
              <w:t>适用税率计算的所得税费用</w:t>
            </w:r>
          </w:p>
        </w:tc>
        <w:tc>
          <w:tcPr>
            <w:tcW w:w="37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126,676,364.96</w:t>
            </w:r>
          </w:p>
        </w:tc>
      </w:tr>
      <w:tr>
        <w:trPr>
          <w:trHeight w:val="402" w:hRule="exact"/>
        </w:trPr>
        <w:tc>
          <w:tcPr>
            <w:tcW w:w="5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子公司适用不同税率的影响</w:t>
            </w:r>
          </w:p>
        </w:tc>
        <w:tc>
          <w:tcPr>
            <w:tcW w:w="37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-20,382,834.71</w:t>
            </w:r>
          </w:p>
        </w:tc>
      </w:tr>
      <w:tr>
        <w:trPr>
          <w:trHeight w:val="402" w:hRule="exact"/>
        </w:trPr>
        <w:tc>
          <w:tcPr>
            <w:tcW w:w="5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调整以前期间所得税的影响</w:t>
            </w:r>
          </w:p>
        </w:tc>
        <w:tc>
          <w:tcPr>
            <w:tcW w:w="37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-6,259,271.36</w:t>
            </w:r>
          </w:p>
        </w:tc>
      </w:tr>
      <w:tr>
        <w:trPr>
          <w:trHeight w:val="403" w:hRule="exact"/>
        </w:trPr>
        <w:tc>
          <w:tcPr>
            <w:tcW w:w="5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非应税收入的影响</w:t>
            </w:r>
          </w:p>
        </w:tc>
        <w:tc>
          <w:tcPr>
            <w:tcW w:w="37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-25,712,424.55</w:t>
            </w:r>
          </w:p>
        </w:tc>
      </w:tr>
      <w:tr>
        <w:trPr>
          <w:trHeight w:val="402" w:hRule="exact"/>
        </w:trPr>
        <w:tc>
          <w:tcPr>
            <w:tcW w:w="5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不可抵扣的成本、费用和损失的影响</w:t>
            </w:r>
          </w:p>
        </w:tc>
        <w:tc>
          <w:tcPr>
            <w:tcW w:w="37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120,708,784.30</w:t>
            </w:r>
            <w:r>
              <w:rPr>
                <w:rFonts w:ascii="Times New Roman"/>
                <w:sz w:val="18"/>
              </w:rPr>
            </w:r>
          </w:p>
        </w:tc>
      </w:tr>
      <w:tr>
        <w:trPr>
          <w:trHeight w:val="402" w:hRule="exact"/>
        </w:trPr>
        <w:tc>
          <w:tcPr>
            <w:tcW w:w="5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使用前期未确认递延所得税资产的可抵扣亏损的影响</w:t>
            </w:r>
          </w:p>
        </w:tc>
        <w:tc>
          <w:tcPr>
            <w:tcW w:w="37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1,662,980.66</w:t>
            </w:r>
          </w:p>
        </w:tc>
      </w:tr>
      <w:tr>
        <w:trPr>
          <w:trHeight w:val="402" w:hRule="exact"/>
        </w:trPr>
        <w:tc>
          <w:tcPr>
            <w:tcW w:w="5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本期未确认递延所得税资产的可抵扣暂时性差异或可抵扣亏损的影响</w:t>
            </w:r>
          </w:p>
        </w:tc>
        <w:tc>
          <w:tcPr>
            <w:tcW w:w="37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-27,143,313.87</w:t>
            </w:r>
          </w:p>
        </w:tc>
      </w:tr>
      <w:tr>
        <w:trPr>
          <w:trHeight w:val="402" w:hRule="exact"/>
        </w:trPr>
        <w:tc>
          <w:tcPr>
            <w:tcW w:w="57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境外所得可抵免税额的影响</w:t>
            </w:r>
          </w:p>
        </w:tc>
        <w:tc>
          <w:tcPr>
            <w:tcW w:w="3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-40,263,050.83</w:t>
            </w:r>
          </w:p>
        </w:tc>
      </w:tr>
      <w:tr>
        <w:trPr>
          <w:trHeight w:val="402" w:hRule="exact"/>
        </w:trPr>
        <w:tc>
          <w:tcPr>
            <w:tcW w:w="5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3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129,287,234.60</w:t>
            </w:r>
          </w:p>
        </w:tc>
      </w:tr>
    </w:tbl>
    <w:p>
      <w:pPr>
        <w:spacing w:line="240" w:lineRule="auto" w:before="4"/>
        <w:rPr>
          <w:rFonts w:ascii="宋体" w:hAnsi="宋体" w:cs="宋体" w:eastAsia="宋体" w:hint="default"/>
          <w:sz w:val="19"/>
          <w:szCs w:val="19"/>
        </w:rPr>
      </w:pPr>
    </w:p>
    <w:p>
      <w:pPr>
        <w:spacing w:line="547" w:lineRule="auto" w:before="36"/>
        <w:ind w:left="152" w:right="8857"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66</w:t>
      </w:r>
      <w:r>
        <w:rPr>
          <w:rFonts w:ascii="宋体" w:hAnsi="宋体" w:cs="宋体" w:eastAsia="宋体" w:hint="default"/>
          <w:b/>
          <w:bCs/>
          <w:sz w:val="21"/>
          <w:szCs w:val="21"/>
        </w:rPr>
        <w:t>、其他综合收益</w:t>
      </w:r>
      <w:r>
        <w:rPr>
          <w:rFonts w:ascii="宋体" w:hAnsi="宋体" w:cs="宋体" w:eastAsia="宋体" w:hint="default"/>
          <w:b/>
          <w:bCs/>
          <w:w w:val="100"/>
          <w:sz w:val="21"/>
          <w:szCs w:val="21"/>
        </w:rPr>
        <w:t> </w:t>
      </w:r>
      <w:r>
        <w:rPr>
          <w:rFonts w:ascii="宋体" w:hAnsi="宋体" w:cs="宋体" w:eastAsia="宋体" w:hint="default"/>
          <w:sz w:val="18"/>
          <w:szCs w:val="18"/>
        </w:rPr>
        <w:t>详见附注七、</w:t>
      </w:r>
      <w:r>
        <w:rPr>
          <w:rFonts w:ascii="Times New Roman" w:hAnsi="Times New Roman" w:cs="Times New Roman" w:eastAsia="Times New Roman" w:hint="default"/>
          <w:sz w:val="18"/>
          <w:szCs w:val="18"/>
        </w:rPr>
        <w:t>48</w:t>
      </w:r>
      <w:r>
        <w:rPr>
          <w:rFonts w:ascii="宋体" w:hAnsi="宋体" w:cs="宋体" w:eastAsia="宋体" w:hint="default"/>
          <w:sz w:val="18"/>
          <w:szCs w:val="18"/>
        </w:rPr>
        <w:t>。 </w:t>
      </w:r>
      <w:r>
        <w:rPr>
          <w:rFonts w:ascii="Times New Roman" w:hAnsi="Times New Roman" w:cs="Times New Roman" w:eastAsia="Times New Roman" w:hint="default"/>
          <w:b/>
          <w:bCs/>
          <w:sz w:val="21"/>
          <w:szCs w:val="21"/>
        </w:rPr>
        <w:t>67</w:t>
      </w:r>
      <w:r>
        <w:rPr>
          <w:rFonts w:ascii="宋体" w:hAnsi="宋体" w:cs="宋体" w:eastAsia="宋体" w:hint="default"/>
          <w:b/>
          <w:bCs/>
          <w:sz w:val="21"/>
          <w:szCs w:val="21"/>
        </w:rPr>
        <w:t>、现金流量表项目</w:t>
      </w:r>
      <w:r>
        <w:rPr>
          <w:rFonts w:ascii="宋体" w:hAnsi="宋体" w:cs="宋体" w:eastAsia="宋体" w:hint="default"/>
          <w:sz w:val="21"/>
          <w:szCs w:val="21"/>
        </w:rPr>
      </w:r>
    </w:p>
    <w:p>
      <w:pPr>
        <w:pStyle w:val="Heading4"/>
        <w:spacing w:line="240" w:lineRule="auto" w:before="26"/>
        <w:ind w:right="982"/>
        <w:jc w:val="left"/>
        <w:rPr>
          <w:b w:val="0"/>
          <w:bCs w:val="0"/>
        </w:rPr>
      </w:pPr>
      <w:r>
        <w:rPr/>
        <w:t>（</w:t>
      </w:r>
      <w:r>
        <w:rPr>
          <w:rFonts w:ascii="Times New Roman" w:hAnsi="Times New Roman" w:cs="Times New Roman" w:eastAsia="Times New Roman" w:hint="default"/>
        </w:rPr>
        <w:t>1</w:t>
      </w:r>
      <w:r>
        <w:rPr/>
        <w:t>）收到的其他与经营活动有关的现金</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7"/>
        <w:gridCol w:w="3192"/>
        <w:gridCol w:w="3190"/>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保证金、往来款、备用金等收回</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50,037,076.81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35,128,642.45</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项目拨款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39,930,380.60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58,083,833.91</w:t>
            </w:r>
          </w:p>
        </w:tc>
      </w:tr>
      <w:tr>
        <w:trPr>
          <w:trHeight w:val="404"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34,589,667.42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23,514,379.25</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代收代交分红个人所得税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15,170,970.76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26,176,756.46</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13,291,716.12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5,592,110.51</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153,019,811.71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148,495,722.58</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t>（</w:t>
      </w:r>
      <w:r>
        <w:rPr>
          <w:rFonts w:ascii="Times New Roman" w:hAnsi="Times New Roman" w:cs="Times New Roman" w:eastAsia="Times New Roman" w:hint="default"/>
        </w:rPr>
        <w:t>2</w:t>
      </w:r>
      <w:r>
        <w:rPr/>
        <w:t>）支付的其他与经营活动有关的现金</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7"/>
        <w:gridCol w:w="3192"/>
        <w:gridCol w:w="3179"/>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after="0" w:line="240" w:lineRule="auto"/>
        <w:jc w:val="center"/>
        <w:rPr>
          <w:rFonts w:ascii="宋体" w:hAnsi="宋体" w:cs="宋体" w:eastAsia="宋体" w:hint="default"/>
          <w:sz w:val="18"/>
          <w:szCs w:val="18"/>
        </w:rPr>
        <w:sectPr>
          <w:footerReference w:type="default" r:id="rId54"/>
          <w:pgSz w:w="11910" w:h="16840"/>
          <w:pgMar w:footer="979" w:header="745"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87"/>
        <w:gridCol w:w="3192"/>
        <w:gridCol w:w="3190"/>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保证金、备用金、往来款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126,428,527.35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115,627,899.10</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数据费及技术咨询服务费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112,256,975.92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93,478,214.02</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差旅交通车辆费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76,233,390.76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42,584,800.13</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房租水电装修费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63,961,537.63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66,100,741.74</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展会、会议及招待费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45,279,530.42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33,417,737.99</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中介机构费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29,907,663.54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38,366,947.43</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网络、通讯及网站维护费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20,319,421.70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11,670,311.83</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日常办公及耗材</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19,032,269.37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24,868,103.39</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代收代交分红个人所得税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16,197,147.48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25,430,375.54</w:t>
            </w:r>
          </w:p>
        </w:tc>
      </w:tr>
      <w:tr>
        <w:trPr>
          <w:trHeight w:val="404"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0"/>
              <w:jc w:val="right"/>
              <w:rPr>
                <w:rFonts w:ascii="Times New Roman" w:hAnsi="Times New Roman" w:cs="Times New Roman" w:eastAsia="Times New Roman" w:hint="default"/>
                <w:sz w:val="18"/>
                <w:szCs w:val="18"/>
              </w:rPr>
            </w:pPr>
            <w:r>
              <w:rPr>
                <w:rFonts w:ascii="Times New Roman"/>
                <w:spacing w:val="-1"/>
                <w:sz w:val="18"/>
              </w:rPr>
              <w:t>16,331,786.47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2"/>
              <w:jc w:val="right"/>
              <w:rPr>
                <w:rFonts w:ascii="Times New Roman" w:hAnsi="Times New Roman" w:cs="Times New Roman" w:eastAsia="Times New Roman" w:hint="default"/>
                <w:sz w:val="18"/>
                <w:szCs w:val="18"/>
              </w:rPr>
            </w:pPr>
            <w:r>
              <w:rPr>
                <w:rFonts w:ascii="Times New Roman"/>
                <w:spacing w:val="-1"/>
                <w:sz w:val="18"/>
              </w:rPr>
              <w:t>17,506,790.24</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525,948,250.64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469,051,921.41</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t>（</w:t>
      </w:r>
      <w:r>
        <w:rPr>
          <w:rFonts w:ascii="Times New Roman" w:hAnsi="Times New Roman" w:cs="Times New Roman" w:eastAsia="Times New Roman" w:hint="default"/>
        </w:rPr>
        <w:t>3</w:t>
      </w:r>
      <w:r>
        <w:rPr/>
        <w:t>）收到的其他与投资活动有关的现金</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收回银行定期存款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1,571,116,328.54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2"/>
                <w:sz w:val="18"/>
              </w:rPr>
              <w:t>119,111,590.86</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定期存款利息</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41,175,526.93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4,251,844.16</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收回借款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19,783,000.00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1,632,074,855.47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123,363,435.02</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t>（</w:t>
      </w:r>
      <w:r>
        <w:rPr>
          <w:rFonts w:ascii="Times New Roman" w:hAnsi="Times New Roman" w:cs="Times New Roman" w:eastAsia="Times New Roman" w:hint="default"/>
        </w:rPr>
        <w:t>4</w:t>
      </w:r>
      <w:r>
        <w:rPr/>
        <w:t>）支付的其他与投资活动有关的现金</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银行定期存款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30,844,695.96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1,499,130,233.48</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30,844,695.96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1,499,130,233.48</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t>（</w:t>
      </w:r>
      <w:r>
        <w:rPr>
          <w:rFonts w:ascii="Times New Roman" w:hAnsi="Times New Roman" w:cs="Times New Roman" w:eastAsia="Times New Roman" w:hint="default"/>
        </w:rPr>
        <w:t>5</w:t>
      </w:r>
      <w:r>
        <w:rPr/>
        <w:t>）收到的其他与筹资活动有关的现金</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代收代交分红个人所得税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2,104,620.60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1,502,998.60</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28,516.37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2,133,136.97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1,502,998.60</w:t>
            </w:r>
          </w:p>
        </w:tc>
      </w:tr>
    </w:tbl>
    <w:p>
      <w:pPr>
        <w:spacing w:after="0" w:line="240" w:lineRule="auto"/>
        <w:jc w:val="right"/>
        <w:rPr>
          <w:rFonts w:ascii="Times New Roman" w:hAnsi="Times New Roman" w:cs="Times New Roman" w:eastAsia="Times New Roman" w:hint="default"/>
          <w:sz w:val="18"/>
          <w:szCs w:val="18"/>
        </w:rPr>
        <w:sectPr>
          <w:footerReference w:type="default" r:id="rId55"/>
          <w:pgSz w:w="11910" w:h="16840"/>
          <w:pgMar w:footer="979" w:header="745" w:top="1060" w:bottom="1160" w:left="980" w:right="0"/>
          <w:pgNumType w:start="201"/>
        </w:sectPr>
      </w:pPr>
    </w:p>
    <w:p>
      <w:pPr>
        <w:spacing w:line="240" w:lineRule="auto" w:before="10"/>
        <w:rPr>
          <w:rFonts w:ascii="宋体" w:hAnsi="宋体" w:cs="宋体" w:eastAsia="宋体" w:hint="default"/>
          <w:sz w:val="24"/>
          <w:szCs w:val="24"/>
        </w:rPr>
      </w:pPr>
      <w:r>
        <w:rPr/>
        <w:pict>
          <v:group style="position:absolute;margin-left:223.369995pt;margin-top:647.919983pt;width:151.25pt;height:40.8pt;mso-position-horizontal-relative:page;mso-position-vertical-relative:page;z-index:-1324600" coordorigin="4467,12958" coordsize="3025,816">
            <v:group style="position:absolute;left:4478;top:12969;width:2;height:394" coordorigin="4478,12969" coordsize="2,394">
              <v:shape style="position:absolute;left:4478;top:12969;width:2;height:394" coordorigin="4478,12969" coordsize="0,394" path="m4478,12969l4478,13363e" filled="false" stroked="true" strokeweight="1.08pt" strokecolor="#ffffff">
                <v:path arrowok="t"/>
              </v:shape>
            </v:group>
            <v:group style="position:absolute;left:4489;top:12969;width:3003;height:394" coordorigin="4489,12969" coordsize="3003,394">
              <v:shape style="position:absolute;left:4489;top:12969;width:3003;height:394" coordorigin="4489,12969" coordsize="3003,394" path="m4489,13363l7492,13363,7492,12969,4489,12969,4489,13363xe" filled="true" fillcolor="#ffffff" stroked="false">
                <v:path arrowok="t"/>
                <v:fill type="solid"/>
              </v:shape>
            </v:group>
            <v:group style="position:absolute;left:4478;top:13372;width:2;height:392" coordorigin="4478,13372" coordsize="2,392">
              <v:shape style="position:absolute;left:4478;top:13372;width:2;height:392" coordorigin="4478,13372" coordsize="0,392" path="m4478,13372l4478,13764e" filled="false" stroked="true" strokeweight="1.08pt" strokecolor="#ffffff">
                <v:path arrowok="t"/>
              </v:shape>
            </v:group>
            <v:group style="position:absolute;left:4489;top:13372;width:3003;height:392" coordorigin="4489,13372" coordsize="3003,392">
              <v:shape style="position:absolute;left:4489;top:13372;width:3003;height:392" coordorigin="4489,13372" coordsize="3003,392" path="m4489,13764l7492,13764,7492,13372,4489,13372,4489,13764xe" filled="true" fillcolor="#ffffff" stroked="false">
                <v:path arrowok="t"/>
                <v:fill type="solid"/>
              </v:shape>
            </v:group>
            <w10:wrap type="none"/>
          </v:group>
        </w:pict>
      </w:r>
    </w:p>
    <w:p>
      <w:pPr>
        <w:pStyle w:val="Heading4"/>
        <w:spacing w:line="240" w:lineRule="auto" w:before="36"/>
        <w:ind w:right="982"/>
        <w:jc w:val="left"/>
        <w:rPr>
          <w:b w:val="0"/>
          <w:bCs w:val="0"/>
        </w:rPr>
      </w:pPr>
      <w:r>
        <w:rPr/>
        <w:t>（</w:t>
      </w:r>
      <w:r>
        <w:rPr>
          <w:rFonts w:ascii="Times New Roman" w:hAnsi="Times New Roman" w:cs="Times New Roman" w:eastAsia="Times New Roman" w:hint="default"/>
        </w:rPr>
        <w:t>6</w:t>
      </w:r>
      <w:r>
        <w:rPr/>
        <w:t>）支付的其他与筹资活动有关的现金</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7"/>
        <w:gridCol w:w="3192"/>
        <w:gridCol w:w="3190"/>
      </w:tblGrid>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子公司支付少数股东股权回购款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62,281,956.32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584,967,930.89</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支付股票回购款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31,420,039.70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1,900,605.80</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代收代交分红个人所得税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1,381,338.86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1,543,058.23</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定向增发认购保证金</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84,600,000.00</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购买子公司少数股东股权款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66,350,900.00</w:t>
            </w:r>
          </w:p>
        </w:tc>
      </w:tr>
      <w:tr>
        <w:trPr>
          <w:trHeight w:val="404"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支付分红手续费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879,566.03</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95,083,334.88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740,242,060.95</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rFonts w:ascii="Times New Roman" w:hAnsi="Times New Roman" w:cs="Times New Roman" w:eastAsia="Times New Roman" w:hint="default"/>
        </w:rPr>
        <w:t>68</w:t>
      </w:r>
      <w:r>
        <w:rPr/>
        <w:t>、现金流量表补充资料</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2"/>
        <w:jc w:val="left"/>
        <w:rPr>
          <w:b w:val="0"/>
          <w:bCs w:val="0"/>
        </w:rPr>
      </w:pPr>
      <w:r>
        <w:rPr/>
        <w:t>（</w:t>
      </w:r>
      <w:r>
        <w:rPr>
          <w:rFonts w:ascii="Times New Roman" w:hAnsi="Times New Roman" w:cs="Times New Roman" w:eastAsia="Times New Roman" w:hint="default"/>
        </w:rPr>
        <w:t>1</w:t>
      </w:r>
      <w:r>
        <w:rPr/>
        <w:t>）现金流量表补充资料</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305"/>
        <w:gridCol w:w="3069"/>
        <w:gridCol w:w="3185"/>
      </w:tblGrid>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补充资料</w:t>
            </w:r>
          </w:p>
        </w:tc>
        <w:tc>
          <w:tcPr>
            <w:tcW w:w="30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．将净利润调节为经营活动现金流量：</w:t>
            </w:r>
          </w:p>
        </w:tc>
        <w:tc>
          <w:tcPr>
            <w:tcW w:w="30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 w:right="0"/>
              <w:jc w:val="center"/>
              <w:rPr>
                <w:rFonts w:ascii="Times New Roman" w:hAnsi="Times New Roman" w:cs="Times New Roman" w:eastAsia="Times New Roman" w:hint="default"/>
                <w:sz w:val="18"/>
                <w:szCs w:val="18"/>
              </w:rPr>
            </w:pPr>
            <w:r>
              <w:rPr>
                <w:rFonts w:ascii="Times New Roman"/>
                <w:sz w:val="18"/>
              </w:rPr>
              <w:t>--</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r>
        <w:trPr>
          <w:trHeight w:val="404"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377,418,225.23</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212,321,708.19</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945,892,718.64</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55,583,146.71</w:t>
            </w:r>
          </w:p>
        </w:tc>
      </w:tr>
      <w:tr>
        <w:trPr>
          <w:trHeight w:val="715"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42"/>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 物资产折旧</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69,545,683.21</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51,110,990.29</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209,680,175.44</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135,854,788.80</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96,325,169.04</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117,488,520.46</w:t>
            </w:r>
          </w:p>
        </w:tc>
      </w:tr>
      <w:tr>
        <w:trPr>
          <w:trHeight w:val="71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12" w:right="42"/>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 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317,546.55</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1,015,076.20</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固定资产报废损失（收益以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公允价值变动损失（收益以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2,521,837.02</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-37,906,899.05</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-1,710,565,659.61</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-24,089,363.22</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3"/>
                <w:sz w:val="18"/>
                <w:szCs w:val="18"/>
              </w:rPr>
              <w:t>递延所得税资产减少（增加以</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号填列</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tabs>
                <w:tab w:pos="2021" w:val="left" w:leader="none"/>
              </w:tabs>
              <w:spacing w:line="240" w:lineRule="auto" w:before="49"/>
              <w:ind w:left="-120" w:right="22"/>
              <w:jc w:val="right"/>
              <w:rPr>
                <w:rFonts w:ascii="Times New Roman" w:hAnsi="Times New Roman" w:cs="Times New Roman" w:eastAsia="Times New Roman" w:hint="default"/>
                <w:sz w:val="18"/>
                <w:szCs w:val="18"/>
              </w:rPr>
            </w:pPr>
            <w:r>
              <w:rPr>
                <w:rFonts w:ascii="宋体" w:hAnsi="宋体" w:cs="宋体" w:eastAsia="宋体" w:hint="default"/>
                <w:sz w:val="18"/>
                <w:szCs w:val="18"/>
              </w:rPr>
              <w:t>）</w:t>
              <w:tab/>
            </w:r>
            <w:r>
              <w:rPr>
                <w:rFonts w:ascii="Times New Roman" w:hAnsi="Times New Roman" w:cs="Times New Roman" w:eastAsia="Times New Roman" w:hint="default"/>
                <w:spacing w:val="-1"/>
                <w:sz w:val="18"/>
                <w:szCs w:val="18"/>
              </w:rPr>
              <w:t>-3,546,614.45</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-1,520,197.43</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3"/>
                <w:sz w:val="18"/>
                <w:szCs w:val="18"/>
              </w:rPr>
              <w:t>递延所得税负债增加（减少以</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号填列</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tabs>
                <w:tab w:pos="2713" w:val="left" w:leader="none"/>
              </w:tabs>
              <w:spacing w:line="240" w:lineRule="auto" w:before="49"/>
              <w:ind w:left="-120" w:right="21"/>
              <w:jc w:val="right"/>
              <w:rPr>
                <w:rFonts w:ascii="Times New Roman" w:hAnsi="Times New Roman" w:cs="Times New Roman" w:eastAsia="Times New Roman" w:hint="default"/>
                <w:sz w:val="18"/>
                <w:szCs w:val="18"/>
              </w:rPr>
            </w:pPr>
            <w:r>
              <w:rPr>
                <w:rFonts w:ascii="宋体" w:hAnsi="宋体" w:cs="宋体" w:eastAsia="宋体" w:hint="default"/>
                <w:sz w:val="18"/>
                <w:szCs w:val="18"/>
              </w:rPr>
              <w:t>）</w:t>
              <w:tab/>
            </w:r>
            <w:r>
              <w:rPr>
                <w:rFonts w:ascii="Times New Roman" w:hAnsi="Times New Roman" w:cs="Times New Roman" w:eastAsia="Times New Roman" w:hint="default"/>
                <w:spacing w:val="-1"/>
                <w:sz w:val="18"/>
                <w:szCs w:val="18"/>
              </w:rPr>
              <w:t>0.00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存货的减少（增加以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-7,838,267.12</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57,575,595.19</w:t>
            </w:r>
          </w:p>
        </w:tc>
      </w:tr>
      <w:tr>
        <w:trPr>
          <w:trHeight w:val="71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49"/>
              <w:ind w:left="12" w:right="61"/>
              <w:jc w:val="left"/>
              <w:rPr>
                <w:rFonts w:ascii="宋体" w:hAnsi="宋体" w:cs="宋体" w:eastAsia="宋体" w:hint="default"/>
                <w:sz w:val="18"/>
                <w:szCs w:val="18"/>
              </w:rPr>
            </w:pPr>
            <w:r>
              <w:rPr>
                <w:rFonts w:ascii="宋体" w:hAnsi="宋体" w:cs="宋体" w:eastAsia="宋体" w:hint="default"/>
                <w:sz w:val="18"/>
                <w:szCs w:val="18"/>
              </w:rPr>
              <w:t>经营性应收项目的减少（增加以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213,668,992.07</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-274,459,275.56</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0"/>
              <w:ind w:left="12" w:right="0"/>
              <w:jc w:val="left"/>
              <w:rPr>
                <w:rFonts w:ascii="宋体" w:hAnsi="宋体" w:cs="宋体" w:eastAsia="宋体" w:hint="default"/>
                <w:sz w:val="18"/>
                <w:szCs w:val="18"/>
              </w:rPr>
            </w:pPr>
            <w:r>
              <w:rPr>
                <w:rFonts w:ascii="宋体" w:hAnsi="宋体" w:cs="宋体" w:eastAsia="宋体" w:hint="default"/>
                <w:sz w:val="18"/>
                <w:szCs w:val="18"/>
              </w:rPr>
              <w:t>经营性应付项目的增加（减少以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148,962,555.07</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71,485,935.14</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3305"/>
        <w:gridCol w:w="3069"/>
        <w:gridCol w:w="3185"/>
      </w:tblGrid>
      <w:tr>
        <w:trPr>
          <w:trHeight w:val="36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069" w:type="dxa"/>
            <w:tcBorders>
              <w:top w:val="single" w:sz="4" w:space="0" w:color="000000"/>
              <w:left w:val="single" w:sz="10" w:space="0" w:color="D2D2D2"/>
              <w:bottom w:val="single" w:sz="4" w:space="0" w:color="000000"/>
              <w:right w:val="single" w:sz="4" w:space="0" w:color="000000"/>
            </w:tcBorders>
          </w:tcPr>
          <w:p>
            <w:pPr/>
          </w:p>
        </w:tc>
        <w:tc>
          <w:tcPr>
            <w:tcW w:w="318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28,367,309.50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25,854,047.86</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370,749,670.59</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390,314,073.58</w:t>
            </w:r>
          </w:p>
        </w:tc>
      </w:tr>
      <w:tr>
        <w:trPr>
          <w:trHeight w:val="161" w:hRule="exact"/>
        </w:trPr>
        <w:tc>
          <w:tcPr>
            <w:tcW w:w="3305" w:type="dxa"/>
            <w:vMerge w:val="restart"/>
            <w:tcBorders>
              <w:top w:val="single" w:sz="4" w:space="0" w:color="000000"/>
              <w:left w:val="single" w:sz="4" w:space="0" w:color="000000"/>
              <w:right w:val="single" w:sz="4" w:space="0" w:color="000000"/>
            </w:tcBorders>
            <w:shd w:val="clear" w:color="auto" w:fill="D2D2D2"/>
          </w:tcPr>
          <w:p>
            <w:pPr>
              <w:pStyle w:val="TableParagraph"/>
              <w:spacing w:line="300" w:lineRule="auto" w:before="49"/>
              <w:ind w:left="12" w:right="129"/>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．不涉及现金收支的重大投资和筹资活 动：</w:t>
            </w:r>
          </w:p>
        </w:tc>
        <w:tc>
          <w:tcPr>
            <w:tcW w:w="3069" w:type="dxa"/>
            <w:tcBorders>
              <w:top w:val="single" w:sz="4" w:space="0" w:color="000000"/>
              <w:left w:val="single" w:sz="4" w:space="0" w:color="000000"/>
              <w:bottom w:val="nil" w:sz="6" w:space="0" w:color="auto"/>
              <w:right w:val="single" w:sz="4" w:space="0" w:color="000000"/>
            </w:tcBorders>
            <w:shd w:val="clear" w:color="auto" w:fill="D2D2D2"/>
          </w:tcPr>
          <w:p>
            <w:pPr/>
          </w:p>
        </w:tc>
        <w:tc>
          <w:tcPr>
            <w:tcW w:w="3185"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1" w:hRule="exact"/>
        </w:trPr>
        <w:tc>
          <w:tcPr>
            <w:tcW w:w="3305" w:type="dxa"/>
            <w:vMerge/>
            <w:tcBorders>
              <w:left w:val="single" w:sz="4" w:space="0" w:color="000000"/>
              <w:right w:val="single" w:sz="4" w:space="0" w:color="000000"/>
            </w:tcBorders>
            <w:shd w:val="clear" w:color="auto" w:fill="D2D2D2"/>
          </w:tcPr>
          <w:p>
            <w:pPr/>
          </w:p>
        </w:tc>
        <w:tc>
          <w:tcPr>
            <w:tcW w:w="306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1474" w:right="0"/>
              <w:jc w:val="left"/>
              <w:rPr>
                <w:rFonts w:ascii="Times New Roman" w:hAnsi="Times New Roman" w:cs="Times New Roman" w:eastAsia="Times New Roman" w:hint="default"/>
                <w:sz w:val="18"/>
                <w:szCs w:val="18"/>
              </w:rPr>
            </w:pPr>
            <w:r>
              <w:rPr>
                <w:rFonts w:ascii="Times New Roman"/>
                <w:sz w:val="18"/>
              </w:rPr>
              <w:t>--</w:t>
            </w:r>
          </w:p>
        </w:tc>
        <w:tc>
          <w:tcPr>
            <w:tcW w:w="318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1526" w:right="0"/>
              <w:jc w:val="left"/>
              <w:rPr>
                <w:rFonts w:ascii="Times New Roman" w:hAnsi="Times New Roman" w:cs="Times New Roman" w:eastAsia="Times New Roman" w:hint="default"/>
                <w:sz w:val="18"/>
                <w:szCs w:val="18"/>
              </w:rPr>
            </w:pPr>
            <w:r>
              <w:rPr>
                <w:rFonts w:ascii="Times New Roman"/>
                <w:sz w:val="18"/>
              </w:rPr>
              <w:t>--</w:t>
            </w:r>
          </w:p>
        </w:tc>
      </w:tr>
      <w:tr>
        <w:trPr>
          <w:trHeight w:val="161" w:hRule="exact"/>
        </w:trPr>
        <w:tc>
          <w:tcPr>
            <w:tcW w:w="3305" w:type="dxa"/>
            <w:vMerge/>
            <w:tcBorders>
              <w:left w:val="single" w:sz="4" w:space="0" w:color="000000"/>
              <w:bottom w:val="single" w:sz="4" w:space="0" w:color="000000"/>
              <w:right w:val="single" w:sz="4" w:space="0" w:color="000000"/>
            </w:tcBorders>
            <w:shd w:val="clear" w:color="auto" w:fill="D2D2D2"/>
          </w:tcPr>
          <w:p>
            <w:pPr/>
          </w:p>
        </w:tc>
        <w:tc>
          <w:tcPr>
            <w:tcW w:w="3069" w:type="dxa"/>
            <w:tcBorders>
              <w:top w:val="nil" w:sz="6" w:space="0" w:color="auto"/>
              <w:left w:val="single" w:sz="4" w:space="0" w:color="000000"/>
              <w:bottom w:val="single" w:sz="4" w:space="0" w:color="000000"/>
              <w:right w:val="single" w:sz="4" w:space="0" w:color="000000"/>
            </w:tcBorders>
            <w:shd w:val="clear" w:color="auto" w:fill="D2D2D2"/>
          </w:tcPr>
          <w:p>
            <w:pPr/>
          </w:p>
        </w:tc>
        <w:tc>
          <w:tcPr>
            <w:tcW w:w="3185"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债务转为资本</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一年内到期的可转换公司债券</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融资租入固定资产</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．现金及现金等价物净变动情况：</w:t>
            </w:r>
          </w:p>
        </w:tc>
        <w:tc>
          <w:tcPr>
            <w:tcW w:w="30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474" w:right="0"/>
              <w:jc w:val="left"/>
              <w:rPr>
                <w:rFonts w:ascii="Times New Roman" w:hAnsi="Times New Roman" w:cs="Times New Roman" w:eastAsia="Times New Roman" w:hint="default"/>
                <w:sz w:val="18"/>
                <w:szCs w:val="18"/>
              </w:rPr>
            </w:pPr>
            <w:r>
              <w:rPr>
                <w:rFonts w:ascii="Times New Roman"/>
                <w:sz w:val="18"/>
              </w:rPr>
              <w:t>--</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526" w:right="0"/>
              <w:jc w:val="left"/>
              <w:rPr>
                <w:rFonts w:ascii="Times New Roman" w:hAnsi="Times New Roman" w:cs="Times New Roman" w:eastAsia="Times New Roman" w:hint="default"/>
                <w:sz w:val="18"/>
                <w:szCs w:val="18"/>
              </w:rPr>
            </w:pPr>
            <w:r>
              <w:rPr>
                <w:rFonts w:ascii="Times New Roman"/>
                <w:sz w:val="18"/>
              </w:rPr>
              <w:t>--</w:t>
            </w:r>
          </w:p>
        </w:tc>
      </w:tr>
      <w:tr>
        <w:trPr>
          <w:trHeight w:val="404"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2,009,445,465.65</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1,469,211,491.56</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减：现金的期初余额</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1,469,211,491.56</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1,066,725,366.19</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加：现金等价物的期末余额</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72,354,286.80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220,764,018.40</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减：现金等价物的期初余额</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220,764,018.40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297,238,938.27</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391,824,242.49</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326,011,205.50</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t>（</w:t>
      </w:r>
      <w:r>
        <w:rPr>
          <w:rFonts w:ascii="Times New Roman" w:hAnsi="Times New Roman" w:cs="Times New Roman" w:eastAsia="Times New Roman" w:hint="default"/>
        </w:rPr>
        <w:t>2</w:t>
      </w:r>
      <w:r>
        <w:rPr/>
        <w:t>）本期支付的取得子公司的现金净额</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18"/>
        <w:ind w:right="982"/>
        <w:jc w:val="left"/>
        <w:rPr>
          <w:b w:val="0"/>
          <w:bCs w:val="0"/>
        </w:rPr>
      </w:pPr>
      <w:r>
        <w:rPr/>
        <w:t>（</w:t>
      </w:r>
      <w:r>
        <w:rPr>
          <w:rFonts w:ascii="Times New Roman" w:hAnsi="Times New Roman" w:cs="Times New Roman" w:eastAsia="Times New Roman" w:hint="default"/>
        </w:rPr>
        <w:t>3</w:t>
      </w:r>
      <w:r>
        <w:rPr/>
        <w:t>）本期收到的处置子公司的现金净额</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4965"/>
        <w:gridCol w:w="4593"/>
      </w:tblGrid>
      <w:tr>
        <w:trPr>
          <w:trHeight w:val="401" w:hRule="exact"/>
        </w:trPr>
        <w:tc>
          <w:tcPr>
            <w:tcW w:w="4965"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45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8" w:right="0"/>
              <w:jc w:val="center"/>
              <w:rPr>
                <w:rFonts w:ascii="宋体" w:hAnsi="宋体" w:cs="宋体" w:eastAsia="宋体" w:hint="default"/>
                <w:sz w:val="18"/>
                <w:szCs w:val="18"/>
              </w:rPr>
            </w:pPr>
            <w:r>
              <w:rPr>
                <w:rFonts w:ascii="宋体" w:hAnsi="宋体" w:cs="宋体" w:eastAsia="宋体" w:hint="default"/>
                <w:sz w:val="18"/>
                <w:szCs w:val="18"/>
              </w:rPr>
              <w:t>金额</w:t>
            </w:r>
          </w:p>
        </w:tc>
      </w:tr>
      <w:tr>
        <w:trPr>
          <w:trHeight w:val="403" w:hRule="exact"/>
        </w:trPr>
        <w:tc>
          <w:tcPr>
            <w:tcW w:w="49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本期处置子公司于本期收到的现金或现金等价物</w:t>
            </w:r>
          </w:p>
        </w:tc>
        <w:tc>
          <w:tcPr>
            <w:tcW w:w="459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49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8" w:right="0"/>
              <w:jc w:val="center"/>
              <w:rPr>
                <w:rFonts w:ascii="Times New Roman" w:hAnsi="Times New Roman" w:cs="Times New Roman" w:eastAsia="Times New Roman" w:hint="default"/>
                <w:sz w:val="18"/>
                <w:szCs w:val="18"/>
              </w:rPr>
            </w:pPr>
            <w:r>
              <w:rPr>
                <w:rFonts w:ascii="Times New Roman"/>
                <w:sz w:val="18"/>
              </w:rPr>
              <w:t>--</w:t>
            </w:r>
          </w:p>
        </w:tc>
      </w:tr>
      <w:tr>
        <w:trPr>
          <w:trHeight w:val="403" w:hRule="exact"/>
        </w:trPr>
        <w:tc>
          <w:tcPr>
            <w:tcW w:w="49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1"/>
              <w:ind w:left="283" w:right="0"/>
              <w:jc w:val="left"/>
              <w:rPr>
                <w:rFonts w:ascii="Times New Roman" w:hAnsi="Times New Roman" w:cs="Times New Roman" w:eastAsia="Times New Roman" w:hint="default"/>
                <w:sz w:val="18"/>
                <w:szCs w:val="18"/>
              </w:rPr>
            </w:pPr>
            <w:r>
              <w:rPr>
                <w:rFonts w:ascii="Times New Roman"/>
                <w:sz w:val="18"/>
              </w:rPr>
              <w:t>Mapbar Technology</w:t>
            </w:r>
            <w:r>
              <w:rPr>
                <w:rFonts w:ascii="Times New Roman"/>
                <w:spacing w:val="-28"/>
                <w:sz w:val="18"/>
              </w:rPr>
              <w:t> </w:t>
            </w:r>
            <w:r>
              <w:rPr>
                <w:rFonts w:ascii="Times New Roman"/>
                <w:sz w:val="18"/>
              </w:rPr>
              <w:t>Limited</w:t>
            </w:r>
          </w:p>
        </w:tc>
        <w:tc>
          <w:tcPr>
            <w:tcW w:w="45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49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83" w:right="0"/>
              <w:jc w:val="left"/>
              <w:rPr>
                <w:rFonts w:ascii="宋体" w:hAnsi="宋体" w:cs="宋体" w:eastAsia="宋体" w:hint="default"/>
                <w:sz w:val="18"/>
                <w:szCs w:val="18"/>
              </w:rPr>
            </w:pPr>
            <w:r>
              <w:rPr>
                <w:rFonts w:ascii="宋体" w:hAnsi="宋体" w:cs="宋体" w:eastAsia="宋体" w:hint="default"/>
                <w:sz w:val="18"/>
                <w:szCs w:val="18"/>
              </w:rPr>
              <w:t>北京图新智盛信息技术有限公司</w:t>
            </w:r>
          </w:p>
        </w:tc>
        <w:tc>
          <w:tcPr>
            <w:tcW w:w="45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49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减：丧失控制权日子公司持有的现金及现金等价物</w:t>
            </w:r>
          </w:p>
        </w:tc>
        <w:tc>
          <w:tcPr>
            <w:tcW w:w="459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713,840,525.78</w:t>
            </w:r>
          </w:p>
        </w:tc>
      </w:tr>
      <w:tr>
        <w:trPr>
          <w:trHeight w:val="401" w:hRule="exact"/>
        </w:trPr>
        <w:tc>
          <w:tcPr>
            <w:tcW w:w="49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8" w:right="0"/>
              <w:jc w:val="center"/>
              <w:rPr>
                <w:rFonts w:ascii="Times New Roman" w:hAnsi="Times New Roman" w:cs="Times New Roman" w:eastAsia="Times New Roman" w:hint="default"/>
                <w:sz w:val="18"/>
                <w:szCs w:val="18"/>
              </w:rPr>
            </w:pPr>
            <w:r>
              <w:rPr>
                <w:rFonts w:ascii="Times New Roman"/>
                <w:sz w:val="18"/>
              </w:rPr>
              <w:t>--</w:t>
            </w:r>
          </w:p>
        </w:tc>
      </w:tr>
      <w:tr>
        <w:trPr>
          <w:trHeight w:val="403" w:hRule="exact"/>
        </w:trPr>
        <w:tc>
          <w:tcPr>
            <w:tcW w:w="49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1"/>
              <w:ind w:left="283" w:right="0"/>
              <w:jc w:val="left"/>
              <w:rPr>
                <w:rFonts w:ascii="Times New Roman" w:hAnsi="Times New Roman" w:cs="Times New Roman" w:eastAsia="Times New Roman" w:hint="default"/>
                <w:sz w:val="18"/>
                <w:szCs w:val="18"/>
              </w:rPr>
            </w:pPr>
            <w:r>
              <w:rPr>
                <w:rFonts w:ascii="Times New Roman"/>
                <w:sz w:val="18"/>
              </w:rPr>
              <w:t>Mapbar Technology</w:t>
            </w:r>
            <w:r>
              <w:rPr>
                <w:rFonts w:ascii="Times New Roman"/>
                <w:spacing w:val="-28"/>
                <w:sz w:val="18"/>
              </w:rPr>
              <w:t> </w:t>
            </w:r>
            <w:r>
              <w:rPr>
                <w:rFonts w:ascii="Times New Roman"/>
                <w:sz w:val="18"/>
              </w:rPr>
              <w:t>Limited</w:t>
            </w:r>
          </w:p>
        </w:tc>
        <w:tc>
          <w:tcPr>
            <w:tcW w:w="45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684,754,712.04</w:t>
            </w:r>
          </w:p>
        </w:tc>
      </w:tr>
      <w:tr>
        <w:trPr>
          <w:trHeight w:val="401" w:hRule="exact"/>
        </w:trPr>
        <w:tc>
          <w:tcPr>
            <w:tcW w:w="49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83" w:right="0"/>
              <w:jc w:val="left"/>
              <w:rPr>
                <w:rFonts w:ascii="宋体" w:hAnsi="宋体" w:cs="宋体" w:eastAsia="宋体" w:hint="default"/>
                <w:sz w:val="18"/>
                <w:szCs w:val="18"/>
              </w:rPr>
            </w:pPr>
            <w:r>
              <w:rPr>
                <w:rFonts w:ascii="宋体" w:hAnsi="宋体" w:cs="宋体" w:eastAsia="宋体" w:hint="default"/>
                <w:sz w:val="18"/>
                <w:szCs w:val="18"/>
              </w:rPr>
              <w:t>北京图新智盛信息技术有限公司</w:t>
            </w:r>
          </w:p>
        </w:tc>
        <w:tc>
          <w:tcPr>
            <w:tcW w:w="45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29,085,813.74</w:t>
            </w:r>
          </w:p>
        </w:tc>
      </w:tr>
      <w:tr>
        <w:trPr>
          <w:trHeight w:val="403" w:hRule="exact"/>
        </w:trPr>
        <w:tc>
          <w:tcPr>
            <w:tcW w:w="49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加：以前期间处置子公司于本期收到的现金或现金等价物</w:t>
            </w:r>
          </w:p>
        </w:tc>
        <w:tc>
          <w:tcPr>
            <w:tcW w:w="459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49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8" w:right="0"/>
              <w:jc w:val="center"/>
              <w:rPr>
                <w:rFonts w:ascii="Times New Roman" w:hAnsi="Times New Roman" w:cs="Times New Roman" w:eastAsia="Times New Roman" w:hint="default"/>
                <w:sz w:val="18"/>
                <w:szCs w:val="18"/>
              </w:rPr>
            </w:pPr>
            <w:r>
              <w:rPr>
                <w:rFonts w:ascii="Times New Roman"/>
                <w:sz w:val="18"/>
              </w:rPr>
              <w:t>--</w:t>
            </w:r>
          </w:p>
        </w:tc>
      </w:tr>
      <w:tr>
        <w:trPr>
          <w:trHeight w:val="403" w:hRule="exact"/>
        </w:trPr>
        <w:tc>
          <w:tcPr>
            <w:tcW w:w="49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1"/>
              <w:ind w:left="283" w:right="0"/>
              <w:jc w:val="left"/>
              <w:rPr>
                <w:rFonts w:ascii="Times New Roman" w:hAnsi="Times New Roman" w:cs="Times New Roman" w:eastAsia="Times New Roman" w:hint="default"/>
                <w:sz w:val="18"/>
                <w:szCs w:val="18"/>
              </w:rPr>
            </w:pPr>
            <w:r>
              <w:rPr>
                <w:rFonts w:ascii="Times New Roman"/>
                <w:sz w:val="18"/>
              </w:rPr>
              <w:t>Mapbar Technology</w:t>
            </w:r>
            <w:r>
              <w:rPr>
                <w:rFonts w:ascii="Times New Roman"/>
                <w:spacing w:val="-28"/>
                <w:sz w:val="18"/>
              </w:rPr>
              <w:t> </w:t>
            </w:r>
            <w:r>
              <w:rPr>
                <w:rFonts w:ascii="Times New Roman"/>
                <w:sz w:val="18"/>
              </w:rPr>
              <w:t>Limited</w:t>
            </w:r>
          </w:p>
        </w:tc>
        <w:tc>
          <w:tcPr>
            <w:tcW w:w="45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49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83" w:right="0"/>
              <w:jc w:val="left"/>
              <w:rPr>
                <w:rFonts w:ascii="宋体" w:hAnsi="宋体" w:cs="宋体" w:eastAsia="宋体" w:hint="default"/>
                <w:sz w:val="18"/>
                <w:szCs w:val="18"/>
              </w:rPr>
            </w:pPr>
            <w:r>
              <w:rPr>
                <w:rFonts w:ascii="宋体" w:hAnsi="宋体" w:cs="宋体" w:eastAsia="宋体" w:hint="default"/>
                <w:sz w:val="18"/>
                <w:szCs w:val="18"/>
              </w:rPr>
              <w:t>北京图新智盛信息技术有限公司</w:t>
            </w:r>
          </w:p>
        </w:tc>
        <w:tc>
          <w:tcPr>
            <w:tcW w:w="45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49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处置子公司收到的现金净额</w:t>
            </w:r>
          </w:p>
        </w:tc>
        <w:tc>
          <w:tcPr>
            <w:tcW w:w="45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-713,840,525.78</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2"/>
        <w:jc w:val="left"/>
        <w:rPr>
          <w:b w:val="0"/>
          <w:bCs w:val="0"/>
        </w:rPr>
      </w:pPr>
      <w:r>
        <w:rPr/>
        <w:t>（</w:t>
      </w:r>
      <w:r>
        <w:rPr>
          <w:rFonts w:ascii="Times New Roman" w:hAnsi="Times New Roman" w:cs="Times New Roman" w:eastAsia="Times New Roman" w:hint="default"/>
        </w:rPr>
        <w:t>4</w:t>
      </w:r>
      <w:r>
        <w:rPr/>
        <w:t>）现金和现金等价物的构成</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305"/>
        <w:gridCol w:w="3069"/>
        <w:gridCol w:w="3185"/>
      </w:tblGrid>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0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一、现金</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2,009,445,465.65</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1,469,211,491.56</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其中：库存现金</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235,969.78</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248,300.34</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可随时用于支付的银行存款</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2,009,209,495.87</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1,468,963,191.22</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可随时用于支付的其他货币资金</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可用于支付的存放中央银行款项</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4"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存放同业款项</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拆放同业款项</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二、现金等价物</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72,354,286.80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220,764,018.40</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其中：三个月内到期的债券投资</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三、期末现金及现金等价物余额</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2,081,799,752.45</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1,689,975,509.96</w:t>
            </w:r>
          </w:p>
        </w:tc>
      </w:tr>
      <w:tr>
        <w:trPr>
          <w:trHeight w:val="71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42"/>
              <w:jc w:val="left"/>
              <w:rPr>
                <w:rFonts w:ascii="宋体" w:hAnsi="宋体" w:cs="宋体" w:eastAsia="宋体" w:hint="default"/>
                <w:sz w:val="18"/>
                <w:szCs w:val="18"/>
              </w:rPr>
            </w:pPr>
            <w:r>
              <w:rPr>
                <w:rFonts w:ascii="宋体" w:hAnsi="宋体" w:cs="宋体" w:eastAsia="宋体" w:hint="default"/>
                <w:sz w:val="18"/>
                <w:szCs w:val="18"/>
              </w:rPr>
              <w:t>其中：母公司或集团内子公司使用受限制 的现金和现金等价物</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222,658,161.56</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327,820,923.18</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rFonts w:ascii="Times New Roman" w:hAnsi="Times New Roman" w:cs="Times New Roman" w:eastAsia="Times New Roman" w:hint="default"/>
        </w:rPr>
        <w:t>69</w:t>
      </w:r>
      <w:r>
        <w:rPr/>
        <w:t>、所有者权益变动表项目注释</w:t>
      </w:r>
      <w:r>
        <w:rPr>
          <w:b w:val="0"/>
          <w:bCs w:val="0"/>
        </w:rPr>
      </w:r>
    </w:p>
    <w:p>
      <w:pPr>
        <w:spacing w:line="240" w:lineRule="auto" w:before="5"/>
        <w:rPr>
          <w:rFonts w:ascii="宋体" w:hAnsi="宋体" w:cs="宋体" w:eastAsia="宋体" w:hint="default"/>
          <w:b/>
          <w:bCs/>
          <w:sz w:val="26"/>
          <w:szCs w:val="26"/>
        </w:rPr>
      </w:pPr>
    </w:p>
    <w:p>
      <w:pPr>
        <w:pStyle w:val="BodyText"/>
        <w:spacing w:line="340" w:lineRule="auto"/>
        <w:ind w:right="5374"/>
        <w:jc w:val="left"/>
      </w:pPr>
      <w:r>
        <w:rPr/>
        <w:t>说明对上年期末余额进行调整的</w:t>
      </w:r>
      <w:r>
        <w:rPr>
          <w:rFonts w:ascii="Times New Roman" w:hAnsi="Times New Roman" w:cs="Times New Roman" w:eastAsia="Times New Roman" w:hint="default"/>
        </w:rPr>
        <w:t>“</w:t>
      </w:r>
      <w:r>
        <w:rPr/>
        <w:t>其他</w:t>
      </w:r>
      <w:r>
        <w:rPr>
          <w:rFonts w:ascii="Times New Roman" w:hAnsi="Times New Roman" w:cs="Times New Roman" w:eastAsia="Times New Roman" w:hint="default"/>
        </w:rPr>
        <w:t>”</w:t>
      </w:r>
      <w:r>
        <w:rPr/>
        <w:t>项目名称及调整金额等事项： 无</w:t>
      </w:r>
    </w:p>
    <w:p>
      <w:pPr>
        <w:spacing w:line="240" w:lineRule="auto" w:before="5"/>
        <w:rPr>
          <w:rFonts w:ascii="宋体" w:hAnsi="宋体" w:cs="宋体" w:eastAsia="宋体" w:hint="default"/>
          <w:sz w:val="21"/>
          <w:szCs w:val="21"/>
        </w:rPr>
      </w:pPr>
    </w:p>
    <w:p>
      <w:pPr>
        <w:pStyle w:val="Heading4"/>
        <w:spacing w:line="240" w:lineRule="auto"/>
        <w:ind w:right="982"/>
        <w:jc w:val="left"/>
        <w:rPr>
          <w:b w:val="0"/>
          <w:bCs w:val="0"/>
        </w:rPr>
      </w:pPr>
      <w:r>
        <w:rPr>
          <w:rFonts w:ascii="Times New Roman" w:hAnsi="Times New Roman" w:cs="Times New Roman" w:eastAsia="Times New Roman" w:hint="default"/>
        </w:rPr>
        <w:t>70</w:t>
      </w:r>
      <w:r>
        <w:rPr/>
        <w:t>、所有权或使用权受到限制的资产</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305"/>
        <w:gridCol w:w="3069"/>
        <w:gridCol w:w="3185"/>
      </w:tblGrid>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0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94" w:right="0"/>
              <w:jc w:val="left"/>
              <w:rPr>
                <w:rFonts w:ascii="宋体" w:hAnsi="宋体" w:cs="宋体" w:eastAsia="宋体" w:hint="default"/>
                <w:sz w:val="18"/>
                <w:szCs w:val="18"/>
              </w:rPr>
            </w:pPr>
            <w:r>
              <w:rPr>
                <w:rFonts w:ascii="宋体" w:hAnsi="宋体" w:cs="宋体" w:eastAsia="宋体" w:hint="default"/>
                <w:sz w:val="18"/>
                <w:szCs w:val="18"/>
              </w:rPr>
              <w:t>期末账面价值</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受限原因</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222,658,161.56</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个月以上的定期存款及保证金</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17,230,964.80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质押用于应付票据保证金</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69" w:type="dxa"/>
            <w:tcBorders>
              <w:top w:val="single" w:sz="4" w:space="0" w:color="000000"/>
              <w:left w:val="single" w:sz="10" w:space="0" w:color="D2D2D2"/>
              <w:bottom w:val="single" w:sz="4" w:space="0" w:color="000000"/>
              <w:right w:val="single" w:sz="13" w:space="0" w:color="D2D2D2"/>
            </w:tcBorders>
          </w:tcPr>
          <w:p>
            <w:pPr>
              <w:pStyle w:val="TableParagraph"/>
              <w:spacing w:line="240" w:lineRule="auto" w:before="91"/>
              <w:ind w:right="10"/>
              <w:jc w:val="right"/>
              <w:rPr>
                <w:rFonts w:ascii="Times New Roman" w:hAnsi="Times New Roman" w:cs="Times New Roman" w:eastAsia="Times New Roman" w:hint="default"/>
                <w:sz w:val="18"/>
                <w:szCs w:val="18"/>
              </w:rPr>
            </w:pPr>
            <w:r>
              <w:rPr>
                <w:rFonts w:ascii="Times New Roman"/>
                <w:spacing w:val="-1"/>
                <w:sz w:val="18"/>
              </w:rPr>
              <w:t>239,889,126.36</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rFonts w:ascii="Times New Roman" w:hAnsi="Times New Roman" w:cs="Times New Roman" w:eastAsia="Times New Roman" w:hint="default"/>
        </w:rPr>
        <w:t>71</w:t>
      </w:r>
      <w:r>
        <w:rPr/>
        <w:t>、外币货币性项目</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2"/>
        <w:jc w:val="left"/>
        <w:rPr>
          <w:b w:val="0"/>
          <w:bCs w:val="0"/>
        </w:rPr>
      </w:pPr>
      <w:r>
        <w:rPr/>
        <w:t>（</w:t>
      </w:r>
      <w:r>
        <w:rPr>
          <w:rFonts w:ascii="Times New Roman" w:hAnsi="Times New Roman" w:cs="Times New Roman" w:eastAsia="Times New Roman" w:hint="default"/>
        </w:rPr>
        <w:t>1</w:t>
      </w:r>
      <w:r>
        <w:rPr/>
        <w:t>）外币货币性项目</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after="0" w:line="240" w:lineRule="auto"/>
        <w:jc w:val="right"/>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2480"/>
        <w:gridCol w:w="2309"/>
        <w:gridCol w:w="2391"/>
        <w:gridCol w:w="2391"/>
      </w:tblGrid>
      <w:tr>
        <w:trPr>
          <w:trHeight w:val="402" w:hRule="exact"/>
        </w:trPr>
        <w:tc>
          <w:tcPr>
            <w:tcW w:w="24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7"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19" w:right="0"/>
              <w:jc w:val="left"/>
              <w:rPr>
                <w:rFonts w:ascii="宋体" w:hAnsi="宋体" w:cs="宋体" w:eastAsia="宋体" w:hint="default"/>
                <w:sz w:val="18"/>
                <w:szCs w:val="18"/>
              </w:rPr>
            </w:pPr>
            <w:r>
              <w:rPr>
                <w:rFonts w:ascii="宋体" w:hAnsi="宋体" w:cs="宋体" w:eastAsia="宋体" w:hint="default"/>
                <w:sz w:val="18"/>
                <w:szCs w:val="18"/>
              </w:rPr>
              <w:t>期末外币余额</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折算汇率</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9" w:right="0"/>
              <w:jc w:val="left"/>
              <w:rPr>
                <w:rFonts w:ascii="宋体" w:hAnsi="宋体" w:cs="宋体" w:eastAsia="宋体" w:hint="default"/>
                <w:sz w:val="18"/>
                <w:szCs w:val="18"/>
              </w:rPr>
            </w:pPr>
            <w:r>
              <w:rPr>
                <w:rFonts w:ascii="宋体" w:hAnsi="宋体" w:cs="宋体" w:eastAsia="宋体" w:hint="default"/>
                <w:sz w:val="18"/>
                <w:szCs w:val="18"/>
              </w:rPr>
              <w:t>期末折算人民币余额</w:t>
            </w:r>
          </w:p>
        </w:tc>
      </w:tr>
      <w:tr>
        <w:trPr>
          <w:trHeight w:val="402" w:hRule="exact"/>
        </w:trPr>
        <w:tc>
          <w:tcPr>
            <w:tcW w:w="24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3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19" w:right="0"/>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551,611,456.47</w:t>
            </w:r>
          </w:p>
        </w:tc>
      </w:tr>
      <w:tr>
        <w:trPr>
          <w:trHeight w:val="401" w:hRule="exact"/>
        </w:trPr>
        <w:tc>
          <w:tcPr>
            <w:tcW w:w="24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30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25,655,002.11</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6.8632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176,075,410.46</w:t>
            </w:r>
          </w:p>
        </w:tc>
      </w:tr>
      <w:tr>
        <w:trPr>
          <w:trHeight w:val="403" w:hRule="exact"/>
        </w:trPr>
        <w:tc>
          <w:tcPr>
            <w:tcW w:w="24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欧元</w:t>
            </w:r>
          </w:p>
        </w:tc>
        <w:tc>
          <w:tcPr>
            <w:tcW w:w="230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47,784,851.46</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7.8473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374,982,064.86</w:t>
            </w:r>
          </w:p>
        </w:tc>
      </w:tr>
      <w:tr>
        <w:trPr>
          <w:trHeight w:val="401" w:hRule="exact"/>
        </w:trPr>
        <w:tc>
          <w:tcPr>
            <w:tcW w:w="24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港币</w:t>
            </w:r>
          </w:p>
        </w:tc>
        <w:tc>
          <w:tcPr>
            <w:tcW w:w="230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203,238.03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0.8762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178,077.16</w:t>
            </w:r>
          </w:p>
        </w:tc>
      </w:tr>
      <w:tr>
        <w:trPr>
          <w:trHeight w:val="403" w:hRule="exact"/>
        </w:trPr>
        <w:tc>
          <w:tcPr>
            <w:tcW w:w="24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566" w:right="0"/>
              <w:jc w:val="left"/>
              <w:rPr>
                <w:rFonts w:ascii="宋体" w:hAnsi="宋体" w:cs="宋体" w:eastAsia="宋体" w:hint="default"/>
                <w:sz w:val="18"/>
                <w:szCs w:val="18"/>
              </w:rPr>
            </w:pPr>
            <w:r>
              <w:rPr>
                <w:rFonts w:ascii="宋体" w:hAnsi="宋体" w:cs="宋体" w:eastAsia="宋体" w:hint="default"/>
                <w:sz w:val="18"/>
                <w:szCs w:val="18"/>
              </w:rPr>
              <w:t>日元</w:t>
            </w:r>
          </w:p>
        </w:tc>
        <w:tc>
          <w:tcPr>
            <w:tcW w:w="2309" w:type="dxa"/>
            <w:tcBorders>
              <w:top w:val="single" w:sz="4" w:space="0" w:color="000000"/>
              <w:left w:val="single" w:sz="10" w:space="0" w:color="D9D9D9"/>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6,074,038.00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0.061887</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375,903.99</w:t>
            </w:r>
          </w:p>
        </w:tc>
      </w:tr>
      <w:tr>
        <w:trPr>
          <w:trHeight w:val="401" w:hRule="exact"/>
        </w:trPr>
        <w:tc>
          <w:tcPr>
            <w:tcW w:w="24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3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9" w:right="0"/>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177,166,854.44</w:t>
            </w:r>
          </w:p>
        </w:tc>
      </w:tr>
      <w:tr>
        <w:trPr>
          <w:trHeight w:val="403" w:hRule="exact"/>
        </w:trPr>
        <w:tc>
          <w:tcPr>
            <w:tcW w:w="24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30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22,731,838.25</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6.8632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156,013,152.28</w:t>
            </w:r>
          </w:p>
        </w:tc>
      </w:tr>
      <w:tr>
        <w:trPr>
          <w:trHeight w:val="401" w:hRule="exact"/>
        </w:trPr>
        <w:tc>
          <w:tcPr>
            <w:tcW w:w="24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欧元</w:t>
            </w:r>
          </w:p>
        </w:tc>
        <w:tc>
          <w:tcPr>
            <w:tcW w:w="230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2,695,666.30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7.8473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21,153,702.16</w:t>
            </w:r>
          </w:p>
        </w:tc>
      </w:tr>
      <w:tr>
        <w:trPr>
          <w:trHeight w:val="404" w:hRule="exact"/>
        </w:trPr>
        <w:tc>
          <w:tcPr>
            <w:tcW w:w="24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港币</w:t>
            </w:r>
          </w:p>
        </w:tc>
        <w:tc>
          <w:tcPr>
            <w:tcW w:w="230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4"/>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18"/>
                <w:szCs w:val="18"/>
              </w:rPr>
            </w:pPr>
            <w:r>
              <w:rPr>
                <w:rFonts w:ascii="Times New Roman"/>
                <w:spacing w:val="-1"/>
                <w:sz w:val="18"/>
              </w:rPr>
              <w:t>0.8762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24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23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9" w:right="0"/>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4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30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6.8632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24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欧元</w:t>
            </w:r>
          </w:p>
        </w:tc>
        <w:tc>
          <w:tcPr>
            <w:tcW w:w="230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7.8473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4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港币</w:t>
            </w:r>
          </w:p>
        </w:tc>
        <w:tc>
          <w:tcPr>
            <w:tcW w:w="230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0.8762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24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3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1"/>
              <w:ind w:left="19" w:right="0"/>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12" w:space="0" w:color="D9D9D9"/>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1,162,274.56</w:t>
            </w:r>
          </w:p>
        </w:tc>
      </w:tr>
      <w:tr>
        <w:trPr>
          <w:trHeight w:val="403" w:hRule="exact"/>
        </w:trPr>
        <w:tc>
          <w:tcPr>
            <w:tcW w:w="24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309" w:type="dxa"/>
            <w:tcBorders>
              <w:top w:val="single" w:sz="4" w:space="0" w:color="000000"/>
              <w:left w:val="single" w:sz="10" w:space="0" w:color="D9D9D9"/>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w w:val="95"/>
                <w:sz w:val="18"/>
              </w:rPr>
              <w:t>9,215.92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6.8632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63,250.70</w:t>
            </w:r>
          </w:p>
        </w:tc>
      </w:tr>
      <w:tr>
        <w:trPr>
          <w:trHeight w:val="401" w:hRule="exact"/>
        </w:trPr>
        <w:tc>
          <w:tcPr>
            <w:tcW w:w="24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566"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2309" w:type="dxa"/>
            <w:tcBorders>
              <w:top w:val="single" w:sz="4" w:space="0" w:color="000000"/>
              <w:left w:val="single" w:sz="10" w:space="0" w:color="D9D9D9"/>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140,051.21</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7.8473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1,099,023.86</w:t>
            </w:r>
          </w:p>
        </w:tc>
      </w:tr>
      <w:tr>
        <w:trPr>
          <w:trHeight w:val="404" w:hRule="exact"/>
        </w:trPr>
        <w:tc>
          <w:tcPr>
            <w:tcW w:w="24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应付票据及应付账款</w:t>
            </w:r>
          </w:p>
        </w:tc>
        <w:tc>
          <w:tcPr>
            <w:tcW w:w="23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3"/>
              <w:ind w:left="19" w:right="0"/>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12" w:space="0" w:color="D9D9D9"/>
              <w:bottom w:val="single" w:sz="4" w:space="0" w:color="000000"/>
              <w:right w:val="single" w:sz="4" w:space="0" w:color="000000"/>
            </w:tcBorders>
          </w:tcPr>
          <w:p>
            <w:pPr>
              <w:pStyle w:val="TableParagraph"/>
              <w:spacing w:line="240" w:lineRule="auto" w:before="93"/>
              <w:ind w:right="24"/>
              <w:jc w:val="right"/>
              <w:rPr>
                <w:rFonts w:ascii="Times New Roman" w:hAnsi="Times New Roman" w:cs="Times New Roman" w:eastAsia="Times New Roman" w:hint="default"/>
                <w:sz w:val="18"/>
                <w:szCs w:val="18"/>
              </w:rPr>
            </w:pPr>
            <w:r>
              <w:rPr>
                <w:rFonts w:ascii="Times New Roman"/>
                <w:spacing w:val="-1"/>
                <w:sz w:val="18"/>
              </w:rPr>
              <w:t>64,972,652.26</w:t>
            </w:r>
          </w:p>
        </w:tc>
      </w:tr>
      <w:tr>
        <w:trPr>
          <w:trHeight w:val="401" w:hRule="exact"/>
        </w:trPr>
        <w:tc>
          <w:tcPr>
            <w:tcW w:w="24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309" w:type="dxa"/>
            <w:tcBorders>
              <w:top w:val="single" w:sz="4" w:space="0" w:color="000000"/>
              <w:left w:val="single" w:sz="10" w:space="0" w:color="D9D9D9"/>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8,384,510.51</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6.8632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57,544,572.53</w:t>
            </w:r>
          </w:p>
        </w:tc>
      </w:tr>
      <w:tr>
        <w:trPr>
          <w:trHeight w:val="403" w:hRule="exact"/>
        </w:trPr>
        <w:tc>
          <w:tcPr>
            <w:tcW w:w="24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566"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2309" w:type="dxa"/>
            <w:tcBorders>
              <w:top w:val="single" w:sz="4" w:space="0" w:color="000000"/>
              <w:left w:val="single" w:sz="10" w:space="0" w:color="D9D9D9"/>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946,577.77</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7.8473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7,428,079.73</w:t>
            </w:r>
          </w:p>
        </w:tc>
      </w:tr>
      <w:tr>
        <w:trPr>
          <w:trHeight w:val="401" w:hRule="exact"/>
        </w:trPr>
        <w:tc>
          <w:tcPr>
            <w:tcW w:w="24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3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1"/>
              <w:ind w:left="19" w:right="0"/>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12" w:space="0" w:color="D9D9D9"/>
              <w:bottom w:val="single" w:sz="4" w:space="0" w:color="000000"/>
              <w:right w:val="single" w:sz="4" w:space="0" w:color="000000"/>
            </w:tcBorders>
          </w:tcPr>
          <w:p>
            <w:pPr>
              <w:pStyle w:val="TableParagraph"/>
              <w:spacing w:line="240" w:lineRule="auto" w:before="91"/>
              <w:ind w:right="24"/>
              <w:jc w:val="right"/>
              <w:rPr>
                <w:rFonts w:ascii="Times New Roman" w:hAnsi="Times New Roman" w:cs="Times New Roman" w:eastAsia="Times New Roman" w:hint="default"/>
                <w:sz w:val="18"/>
                <w:szCs w:val="18"/>
              </w:rPr>
            </w:pPr>
            <w:r>
              <w:rPr>
                <w:rFonts w:ascii="Times New Roman"/>
                <w:spacing w:val="-1"/>
                <w:sz w:val="18"/>
              </w:rPr>
              <w:t>38,869,265.06</w:t>
            </w:r>
          </w:p>
        </w:tc>
      </w:tr>
      <w:tr>
        <w:trPr>
          <w:trHeight w:val="403" w:hRule="exact"/>
        </w:trPr>
        <w:tc>
          <w:tcPr>
            <w:tcW w:w="24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309" w:type="dxa"/>
            <w:tcBorders>
              <w:top w:val="single" w:sz="4" w:space="0" w:color="000000"/>
              <w:left w:val="single" w:sz="10" w:space="0" w:color="D9D9D9"/>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580,469.17</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6.8632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3,983,876.01</w:t>
            </w:r>
          </w:p>
        </w:tc>
      </w:tr>
      <w:tr>
        <w:trPr>
          <w:trHeight w:val="403" w:hRule="exact"/>
        </w:trPr>
        <w:tc>
          <w:tcPr>
            <w:tcW w:w="24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566"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2309" w:type="dxa"/>
            <w:tcBorders>
              <w:top w:val="single" w:sz="4" w:space="0" w:color="000000"/>
              <w:left w:val="single" w:sz="10" w:space="0" w:color="D9D9D9"/>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4,445,527.64</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7.8473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34,885,389.05</w:t>
            </w:r>
          </w:p>
        </w:tc>
      </w:tr>
    </w:tbl>
    <w:p>
      <w:pPr>
        <w:spacing w:line="240" w:lineRule="auto" w:before="3"/>
        <w:rPr>
          <w:rFonts w:ascii="宋体" w:hAnsi="宋体" w:cs="宋体" w:eastAsia="宋体" w:hint="default"/>
          <w:sz w:val="19"/>
          <w:szCs w:val="19"/>
        </w:rPr>
      </w:pPr>
    </w:p>
    <w:p>
      <w:pPr>
        <w:pStyle w:val="Heading4"/>
        <w:spacing w:line="256" w:lineRule="auto" w:before="36"/>
        <w:ind w:right="982"/>
        <w:jc w:val="left"/>
        <w:rPr>
          <w:b w:val="0"/>
          <w:bCs w:val="0"/>
        </w:rPr>
      </w:pPr>
      <w:r>
        <w:rPr/>
        <w:t>（</w:t>
      </w:r>
      <w:r>
        <w:rPr>
          <w:rFonts w:ascii="Times New Roman" w:hAnsi="Times New Roman" w:cs="Times New Roman" w:eastAsia="Times New Roman" w:hint="default"/>
        </w:rPr>
        <w:t>2</w:t>
      </w:r>
      <w:r>
        <w:rPr/>
        <w:t>）境外经营实体说明，包括对于重要的境外经营实体，应披露其境外主要经营地、记账本位币及选择</w:t>
      </w:r>
      <w:r>
        <w:rPr>
          <w:spacing w:val="-65"/>
        </w:rPr>
        <w:t> </w:t>
      </w:r>
      <w:r>
        <w:rPr>
          <w:spacing w:val="-65"/>
        </w:rPr>
      </w:r>
      <w:r>
        <w:rPr/>
        <w:t>依据，记账本位币发生变化的还应披露原因。</w:t>
      </w:r>
      <w:r>
        <w:rPr>
          <w:b w:val="0"/>
          <w:bCs w:val="0"/>
        </w:rPr>
      </w:r>
    </w:p>
    <w:p>
      <w:pPr>
        <w:spacing w:line="240" w:lineRule="auto" w:before="6"/>
        <w:rPr>
          <w:rFonts w:ascii="宋体" w:hAnsi="宋体" w:cs="宋体" w:eastAsia="宋体" w:hint="default"/>
          <w:b/>
          <w:bCs/>
          <w:sz w:val="26"/>
          <w:szCs w:val="26"/>
        </w:rPr>
      </w:pPr>
    </w:p>
    <w:p>
      <w:pPr>
        <w:pStyle w:val="BodyText"/>
        <w:spacing w:line="415" w:lineRule="auto"/>
        <w:ind w:left="513" w:right="4993" w:hanging="361"/>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2"/>
        </w:rPr>
        <w:t> </w:t>
      </w:r>
      <w:r>
        <w:rPr/>
        <w:t>不适用 本公司之境外子公司分别采用所在地区适用的外币作为记账本位币。</w:t>
      </w:r>
    </w:p>
    <w:p>
      <w:pPr>
        <w:pStyle w:val="BodyText"/>
        <w:spacing w:line="316" w:lineRule="auto" w:before="65"/>
        <w:ind w:right="1034" w:firstLine="360"/>
        <w:jc w:val="left"/>
      </w:pPr>
      <w:r>
        <w:rPr/>
        <w:t>本公司之境外子公司四维图新（香港）公司主要经营地为香港，原记账本位币为港币，因其主要业务结算货币为美元， 自</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w:t>
      </w:r>
      <w:r>
        <w:rPr/>
        <w:t>日起其记账本位币变更为美元，编制财务报表时折算为人民币。</w:t>
      </w:r>
    </w:p>
    <w:p>
      <w:pPr>
        <w:pStyle w:val="BodyText"/>
        <w:spacing w:line="300" w:lineRule="auto" w:before="119"/>
        <w:ind w:right="1128" w:firstLine="360"/>
        <w:jc w:val="left"/>
      </w:pPr>
      <w:r>
        <w:rPr/>
        <w:t>本公司之境外子公司</w:t>
      </w:r>
      <w:r>
        <w:rPr>
          <w:rFonts w:ascii="Times New Roman" w:hAnsi="Times New Roman" w:cs="Times New Roman" w:eastAsia="Times New Roman" w:hint="default"/>
        </w:rPr>
        <w:t>Coöperatieve NavInfo U.A.</w:t>
      </w:r>
      <w:r>
        <w:rPr/>
        <w:t>、四维图新（欧洲）公司、</w:t>
      </w:r>
      <w:r>
        <w:rPr>
          <w:rFonts w:ascii="Times New Roman" w:hAnsi="Times New Roman" w:cs="Times New Roman" w:eastAsia="Times New Roman" w:hint="default"/>
        </w:rPr>
        <w:t>Mapscape</w:t>
      </w:r>
      <w:r>
        <w:rPr>
          <w:rFonts w:ascii="Times New Roman" w:hAnsi="Times New Roman" w:cs="Times New Roman" w:eastAsia="Times New Roman" w:hint="default"/>
          <w:spacing w:val="32"/>
        </w:rPr>
        <w:t> </w:t>
      </w:r>
      <w:r>
        <w:rPr>
          <w:rFonts w:ascii="Times New Roman" w:hAnsi="Times New Roman" w:cs="Times New Roman" w:eastAsia="Times New Roman" w:hint="default"/>
        </w:rPr>
        <w:t>B.V.</w:t>
      </w:r>
      <w:r>
        <w:rPr/>
        <w:t>主要经营地为荷兰，记账本位 币为欧元，编制财务报表时折算为人民币。</w:t>
      </w:r>
    </w:p>
    <w:p>
      <w:pPr>
        <w:pStyle w:val="BodyText"/>
        <w:spacing w:line="316" w:lineRule="auto" w:before="151"/>
        <w:ind w:right="982" w:firstLine="360"/>
        <w:jc w:val="left"/>
      </w:pPr>
      <w:r>
        <w:rPr>
          <w:spacing w:val="-2"/>
        </w:rPr>
        <w:t>本公司之境外子公司图新投资（香港）科技有限公司主要经营地为香港，记账本位币为美元，编制财务报表时折算为人</w:t>
      </w:r>
      <w:r>
        <w:rPr/>
        <w:t> 民币。</w:t>
      </w:r>
    </w:p>
    <w:p>
      <w:pPr>
        <w:pStyle w:val="BodyText"/>
        <w:spacing w:line="240" w:lineRule="auto" w:before="138"/>
        <w:ind w:left="513" w:right="982"/>
        <w:jc w:val="left"/>
      </w:pPr>
      <w:r>
        <w:rPr/>
        <w:t>本公司之境外子公司</w:t>
      </w:r>
      <w:r>
        <w:rPr>
          <w:rFonts w:ascii="Times New Roman" w:hAnsi="Times New Roman" w:cs="Times New Roman" w:eastAsia="Times New Roman" w:hint="default"/>
        </w:rPr>
        <w:t>Navinfo  North  America</w:t>
      </w:r>
      <w:r>
        <w:rPr>
          <w:rFonts w:ascii="Times New Roman" w:hAnsi="Times New Roman" w:cs="Times New Roman" w:eastAsia="Times New Roman" w:hint="default"/>
          <w:spacing w:val="-10"/>
        </w:rPr>
        <w:t> </w:t>
      </w:r>
      <w:r>
        <w:rPr>
          <w:rFonts w:ascii="Times New Roman" w:hAnsi="Times New Roman" w:cs="Times New Roman" w:eastAsia="Times New Roman" w:hint="default"/>
        </w:rPr>
        <w:t>Corp.</w:t>
      </w:r>
      <w:r>
        <w:rPr/>
        <w:t>主要经营地为美国，记账本位币为美元，编制财务报表时折算为人民</w:t>
      </w:r>
    </w:p>
    <w:p>
      <w:pPr>
        <w:spacing w:after="0" w:line="240" w:lineRule="auto"/>
        <w:jc w:val="left"/>
        <w:sectPr>
          <w:pgSz w:w="11910" w:h="16840"/>
          <w:pgMar w:header="745" w:footer="979" w:top="1060" w:bottom="1160" w:left="980" w:right="0"/>
        </w:sectPr>
      </w:pPr>
    </w:p>
    <w:p>
      <w:pPr>
        <w:spacing w:line="240" w:lineRule="auto" w:before="9"/>
        <w:rPr>
          <w:rFonts w:ascii="宋体" w:hAnsi="宋体" w:cs="宋体" w:eastAsia="宋体" w:hint="default"/>
          <w:sz w:val="25"/>
          <w:szCs w:val="25"/>
        </w:rPr>
      </w:pPr>
    </w:p>
    <w:p>
      <w:pPr>
        <w:pStyle w:val="BodyText"/>
        <w:spacing w:line="240" w:lineRule="auto" w:before="44"/>
        <w:ind w:right="982"/>
        <w:jc w:val="left"/>
      </w:pPr>
      <w:r>
        <w:rPr/>
        <w:t>币。</w:t>
      </w:r>
    </w:p>
    <w:p>
      <w:pPr>
        <w:spacing w:line="240" w:lineRule="auto" w:before="8"/>
        <w:rPr>
          <w:rFonts w:ascii="宋体" w:hAnsi="宋体" w:cs="宋体" w:eastAsia="宋体" w:hint="default"/>
          <w:sz w:val="11"/>
          <w:szCs w:val="11"/>
        </w:rPr>
      </w:pPr>
    </w:p>
    <w:p>
      <w:pPr>
        <w:pStyle w:val="BodyText"/>
        <w:spacing w:line="439" w:lineRule="auto" w:before="44"/>
        <w:ind w:left="513" w:right="982"/>
        <w:jc w:val="left"/>
      </w:pPr>
      <w:r>
        <w:rPr>
          <w:spacing w:val="-4"/>
        </w:rPr>
        <w:t>本公司之境外子公司四维图新新加坡有限公司主要经营地为新加坡，记账本位币为美元，编制财务报表时折算为人民币。</w:t>
      </w:r>
      <w:r>
        <w:rPr>
          <w:spacing w:val="-52"/>
        </w:rPr>
        <w:t> </w:t>
      </w:r>
      <w:r>
        <w:rPr>
          <w:spacing w:val="-52"/>
        </w:rPr>
      </w:r>
      <w:r>
        <w:rPr/>
        <w:t>本公司之境外子公司四维图新日本有限公司主要经营地为日本，记账本位币为日元，编制财务报表时折算为人民币。</w:t>
      </w:r>
    </w:p>
    <w:p>
      <w:pPr>
        <w:spacing w:line="240" w:lineRule="auto" w:before="10"/>
        <w:rPr>
          <w:rFonts w:ascii="宋体" w:hAnsi="宋体" w:cs="宋体" w:eastAsia="宋体" w:hint="default"/>
          <w:sz w:val="15"/>
          <w:szCs w:val="15"/>
        </w:rPr>
      </w:pPr>
    </w:p>
    <w:p>
      <w:pPr>
        <w:pStyle w:val="Heading4"/>
        <w:spacing w:line="240" w:lineRule="auto"/>
        <w:ind w:right="982"/>
        <w:jc w:val="left"/>
        <w:rPr>
          <w:b w:val="0"/>
          <w:bCs w:val="0"/>
        </w:rPr>
      </w:pPr>
      <w:r>
        <w:rPr>
          <w:rFonts w:ascii="Times New Roman" w:hAnsi="Times New Roman" w:cs="Times New Roman" w:eastAsia="Times New Roman" w:hint="default"/>
        </w:rPr>
        <w:t>72</w:t>
      </w:r>
      <w:r>
        <w:rPr/>
        <w:t>、套期</w:t>
      </w:r>
      <w:r>
        <w:rPr>
          <w:b w:val="0"/>
          <w:bCs w:val="0"/>
        </w:rPr>
      </w:r>
    </w:p>
    <w:p>
      <w:pPr>
        <w:spacing w:line="240" w:lineRule="auto" w:before="4"/>
        <w:rPr>
          <w:rFonts w:ascii="宋体" w:hAnsi="宋体" w:cs="宋体" w:eastAsia="宋体" w:hint="default"/>
          <w:b/>
          <w:bCs/>
          <w:sz w:val="26"/>
          <w:szCs w:val="26"/>
        </w:rPr>
      </w:pPr>
    </w:p>
    <w:p>
      <w:pPr>
        <w:pStyle w:val="BodyText"/>
        <w:spacing w:line="357" w:lineRule="auto"/>
        <w:ind w:right="4634"/>
        <w:jc w:val="left"/>
      </w:pPr>
      <w:r>
        <w:rPr/>
        <w:t>按照套期类别披露套期项目及相关套期工具、被套期风险的定性和定量信息： 无</w:t>
      </w:r>
    </w:p>
    <w:p>
      <w:pPr>
        <w:spacing w:line="240" w:lineRule="auto" w:before="6"/>
        <w:rPr>
          <w:rFonts w:ascii="宋体" w:hAnsi="宋体" w:cs="宋体" w:eastAsia="宋体" w:hint="default"/>
          <w:sz w:val="20"/>
          <w:szCs w:val="20"/>
        </w:rPr>
      </w:pPr>
    </w:p>
    <w:p>
      <w:pPr>
        <w:pStyle w:val="Heading4"/>
        <w:spacing w:line="240" w:lineRule="auto"/>
        <w:ind w:right="982"/>
        <w:jc w:val="left"/>
        <w:rPr>
          <w:b w:val="0"/>
          <w:bCs w:val="0"/>
        </w:rPr>
      </w:pPr>
      <w:r>
        <w:rPr>
          <w:rFonts w:ascii="Times New Roman" w:hAnsi="Times New Roman" w:cs="Times New Roman" w:eastAsia="Times New Roman" w:hint="default"/>
        </w:rPr>
        <w:t>73</w:t>
      </w:r>
      <w:r>
        <w:rPr/>
        <w:t>、政府补助</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2"/>
        <w:jc w:val="left"/>
        <w:rPr>
          <w:b w:val="0"/>
          <w:bCs w:val="0"/>
        </w:rPr>
      </w:pPr>
      <w:r>
        <w:rPr/>
        <w:t>（</w:t>
      </w:r>
      <w:r>
        <w:rPr>
          <w:rFonts w:ascii="Times New Roman" w:hAnsi="Times New Roman" w:cs="Times New Roman" w:eastAsia="Times New Roman" w:hint="default"/>
        </w:rPr>
        <w:t>1</w:t>
      </w:r>
      <w:r>
        <w:rPr/>
        <w:t>）政府补助基本情况</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687"/>
        <w:gridCol w:w="1844"/>
        <w:gridCol w:w="1982"/>
        <w:gridCol w:w="2057"/>
      </w:tblGrid>
      <w:tr>
        <w:trPr>
          <w:trHeight w:val="401"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种类</w:t>
            </w:r>
          </w:p>
        </w:tc>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9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26" w:right="0"/>
              <w:jc w:val="left"/>
              <w:rPr>
                <w:rFonts w:ascii="宋体" w:hAnsi="宋体" w:cs="宋体" w:eastAsia="宋体" w:hint="default"/>
                <w:sz w:val="18"/>
                <w:szCs w:val="18"/>
              </w:rPr>
            </w:pPr>
            <w:r>
              <w:rPr>
                <w:rFonts w:ascii="宋体" w:hAnsi="宋体" w:cs="宋体" w:eastAsia="宋体" w:hint="default"/>
                <w:sz w:val="18"/>
                <w:szCs w:val="18"/>
              </w:rPr>
              <w:t>列报项目</w:t>
            </w:r>
          </w:p>
        </w:tc>
        <w:tc>
          <w:tcPr>
            <w:tcW w:w="2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15" w:right="0"/>
              <w:jc w:val="left"/>
              <w:rPr>
                <w:rFonts w:ascii="宋体" w:hAnsi="宋体" w:cs="宋体" w:eastAsia="宋体" w:hint="default"/>
                <w:sz w:val="18"/>
                <w:szCs w:val="18"/>
              </w:rPr>
            </w:pPr>
            <w:r>
              <w:rPr>
                <w:rFonts w:ascii="宋体" w:hAnsi="宋体" w:cs="宋体" w:eastAsia="宋体" w:hint="default"/>
                <w:sz w:val="18"/>
                <w:szCs w:val="18"/>
              </w:rPr>
              <w:t>计入当期损益的金额</w:t>
            </w:r>
          </w:p>
        </w:tc>
      </w:tr>
      <w:tr>
        <w:trPr>
          <w:trHeight w:val="403"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年省集成电路基地资金</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12,000,000.00</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12,000,000.00</w:t>
            </w:r>
          </w:p>
        </w:tc>
      </w:tr>
      <w:tr>
        <w:trPr>
          <w:trHeight w:val="401"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年集成电路基地资金</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7,500,000.00</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7,500,000.00</w:t>
            </w:r>
          </w:p>
        </w:tc>
      </w:tr>
      <w:tr>
        <w:trPr>
          <w:trHeight w:val="715"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51"/>
              <w:jc w:val="left"/>
              <w:rPr>
                <w:rFonts w:ascii="宋体" w:hAnsi="宋体" w:cs="宋体" w:eastAsia="宋体" w:hint="default"/>
                <w:sz w:val="18"/>
                <w:szCs w:val="18"/>
              </w:rPr>
            </w:pPr>
            <w:r>
              <w:rPr>
                <w:rFonts w:ascii="宋体" w:hAnsi="宋体" w:cs="宋体" w:eastAsia="宋体" w:hint="default"/>
                <w:sz w:val="18"/>
                <w:szCs w:val="18"/>
              </w:rPr>
              <w:t>上海交通大数据服务平台构建与应用关键技术 研究项目</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3,962,264.04</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3,962,264.04</w:t>
            </w:r>
          </w:p>
        </w:tc>
      </w:tr>
      <w:tr>
        <w:trPr>
          <w:trHeight w:val="713"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1"/>
              <w:jc w:val="left"/>
              <w:rPr>
                <w:rFonts w:ascii="宋体" w:hAnsi="宋体" w:cs="宋体" w:eastAsia="宋体" w:hint="default"/>
                <w:sz w:val="18"/>
                <w:szCs w:val="18"/>
              </w:rPr>
            </w:pPr>
            <w:r>
              <w:rPr>
                <w:rFonts w:ascii="宋体" w:hAnsi="宋体" w:cs="宋体" w:eastAsia="宋体" w:hint="default"/>
                <w:sz w:val="18"/>
                <w:szCs w:val="18"/>
              </w:rPr>
              <w:t>可追溯商用车高效物流服务平台北京市工程实 验室创新能力建设项目</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3,886,166.67</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3,886,166.67</w:t>
            </w:r>
          </w:p>
        </w:tc>
      </w:tr>
      <w:tr>
        <w:trPr>
          <w:trHeight w:val="403"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高新区经贸局一事一议政策兑现智能驾驶项目</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8,000,000.00</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递延收益、其他收益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3,100,000.00</w:t>
            </w:r>
          </w:p>
        </w:tc>
      </w:tr>
      <w:tr>
        <w:trPr>
          <w:trHeight w:val="401"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科技专项补助</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2,286,000.00</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2,286,000.00</w:t>
            </w:r>
          </w:p>
        </w:tc>
      </w:tr>
      <w:tr>
        <w:trPr>
          <w:trHeight w:val="403"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高新财政拨付专项资金</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2,000,000.00</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2,000,000.00</w:t>
            </w:r>
          </w:p>
        </w:tc>
      </w:tr>
      <w:tr>
        <w:trPr>
          <w:trHeight w:val="401"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个税手续费返还</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1,442,215.02</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1,442,215.02</w:t>
            </w:r>
          </w:p>
        </w:tc>
      </w:tr>
      <w:tr>
        <w:trPr>
          <w:trHeight w:val="715"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97" w:lineRule="auto" w:before="51"/>
              <w:ind w:left="24" w:right="186"/>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基于移动互联网的公众绿色出行位置服务系 统研发及应用示范项目</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1,012,452.82</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1,012,452.82</w:t>
            </w:r>
          </w:p>
        </w:tc>
      </w:tr>
      <w:tr>
        <w:trPr>
          <w:trHeight w:val="401"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合肥市科技局关键技术重大研发类项目资金</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1,000,000.00</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基于北斗的高精度位置信息数据服务平台</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839,743.70</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839,743.70</w:t>
            </w:r>
          </w:p>
        </w:tc>
      </w:tr>
      <w:tr>
        <w:trPr>
          <w:trHeight w:val="401"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警用设备可视化管理系统</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630,000.00</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630,000.00</w:t>
            </w:r>
          </w:p>
        </w:tc>
      </w:tr>
      <w:tr>
        <w:trPr>
          <w:trHeight w:val="403"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室内高精度测图与实时</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GIS</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技术</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582,742.33</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582,742.33</w:t>
            </w:r>
          </w:p>
        </w:tc>
      </w:tr>
      <w:tr>
        <w:trPr>
          <w:trHeight w:val="713"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1"/>
              <w:jc w:val="left"/>
              <w:rPr>
                <w:rFonts w:ascii="宋体" w:hAnsi="宋体" w:cs="宋体" w:eastAsia="宋体" w:hint="default"/>
                <w:sz w:val="18"/>
                <w:szCs w:val="18"/>
              </w:rPr>
            </w:pPr>
            <w:r>
              <w:rPr>
                <w:rFonts w:ascii="宋体" w:hAnsi="宋体" w:cs="宋体" w:eastAsia="宋体" w:hint="default"/>
                <w:sz w:val="18"/>
                <w:szCs w:val="18"/>
              </w:rPr>
              <w:t>北京市外国专家与外国人就业事务中心工资补 贴款</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500,000.00</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500,000.00</w:t>
            </w:r>
          </w:p>
        </w:tc>
      </w:tr>
      <w:tr>
        <w:trPr>
          <w:trHeight w:val="715"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51"/>
              <w:jc w:val="left"/>
              <w:rPr>
                <w:rFonts w:ascii="宋体" w:hAnsi="宋体" w:cs="宋体" w:eastAsia="宋体" w:hint="default"/>
                <w:sz w:val="18"/>
                <w:szCs w:val="18"/>
              </w:rPr>
            </w:pPr>
            <w:r>
              <w:rPr>
                <w:rFonts w:ascii="宋体" w:hAnsi="宋体" w:cs="宋体" w:eastAsia="宋体" w:hint="default"/>
                <w:sz w:val="18"/>
                <w:szCs w:val="18"/>
              </w:rPr>
              <w:t>安徽省经信委奖补首次进入安徽省重点企业名 单</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500,000.00</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500,000.00</w:t>
            </w:r>
          </w:p>
        </w:tc>
      </w:tr>
      <w:tr>
        <w:trPr>
          <w:trHeight w:val="401"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安徽省外经贸拨付资金（服务贸易企业奖励）</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500,000.00</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500,000.00</w:t>
            </w:r>
          </w:p>
        </w:tc>
      </w:tr>
      <w:tr>
        <w:trPr>
          <w:trHeight w:val="403"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安徽省商务厅</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2016-2017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外经贸政策资金</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500,000.00</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500,000.00</w:t>
            </w:r>
          </w:p>
        </w:tc>
      </w:tr>
      <w:tr>
        <w:trPr>
          <w:trHeight w:val="403"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24" w:right="0"/>
              <w:jc w:val="left"/>
              <w:rPr>
                <w:rFonts w:ascii="宋体" w:hAnsi="宋体" w:cs="宋体" w:eastAsia="宋体" w:hint="default"/>
                <w:sz w:val="18"/>
                <w:szCs w:val="18"/>
              </w:rPr>
            </w:pPr>
            <w:r>
              <w:rPr>
                <w:rFonts w:ascii="宋体" w:hAnsi="宋体" w:cs="宋体" w:eastAsia="宋体" w:hint="default"/>
                <w:sz w:val="18"/>
                <w:szCs w:val="18"/>
              </w:rPr>
              <w:t>基于安全可控移动智能终端操作系统的地图及</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383,105.20</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383,105.20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3687"/>
        <w:gridCol w:w="1844"/>
        <w:gridCol w:w="1982"/>
        <w:gridCol w:w="2057"/>
      </w:tblGrid>
      <w:tr>
        <w:trPr>
          <w:trHeight w:val="363"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位置服务应用研发及产业化项目</w:t>
            </w:r>
          </w:p>
        </w:tc>
        <w:tc>
          <w:tcPr>
            <w:tcW w:w="1844" w:type="dxa"/>
            <w:tcBorders>
              <w:top w:val="single" w:sz="4" w:space="0" w:color="000000"/>
              <w:left w:val="single" w:sz="4" w:space="0" w:color="000000"/>
              <w:bottom w:val="single" w:sz="4" w:space="0" w:color="000000"/>
              <w:right w:val="single" w:sz="4" w:space="0" w:color="000000"/>
            </w:tcBorders>
          </w:tcPr>
          <w:p>
            <w:pPr/>
          </w:p>
        </w:tc>
        <w:tc>
          <w:tcPr>
            <w:tcW w:w="1982" w:type="dxa"/>
            <w:tcBorders>
              <w:top w:val="single" w:sz="4" w:space="0" w:color="000000"/>
              <w:left w:val="single" w:sz="4" w:space="0" w:color="000000"/>
              <w:bottom w:val="single" w:sz="4" w:space="0" w:color="000000"/>
              <w:right w:val="single" w:sz="4" w:space="0" w:color="000000"/>
            </w:tcBorders>
          </w:tcPr>
          <w:p>
            <w:pPr/>
          </w:p>
        </w:tc>
        <w:tc>
          <w:tcPr>
            <w:tcW w:w="2057"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中国四维测绘技术有限公司补助</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365,000.00</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365,000.00</w:t>
            </w:r>
          </w:p>
        </w:tc>
      </w:tr>
      <w:tr>
        <w:trPr>
          <w:trHeight w:val="1027"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24" w:right="51"/>
              <w:jc w:val="left"/>
              <w:rPr>
                <w:rFonts w:ascii="宋体" w:hAnsi="宋体" w:cs="宋体" w:eastAsia="宋体" w:hint="default"/>
                <w:sz w:val="18"/>
                <w:szCs w:val="18"/>
              </w:rPr>
            </w:pPr>
            <w:r>
              <w:rPr>
                <w:rFonts w:ascii="宋体" w:hAnsi="宋体" w:cs="宋体" w:eastAsia="宋体" w:hint="default"/>
                <w:sz w:val="18"/>
                <w:szCs w:val="18"/>
              </w:rPr>
              <w:t>中国技术交易所有限公司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年度中关村技 术创新能力建设专项资金（商标部分）商标注 册资助资金</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311,000.00</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311,000.00</w:t>
            </w:r>
          </w:p>
        </w:tc>
      </w:tr>
      <w:tr>
        <w:trPr>
          <w:trHeight w:val="401"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紫竹开发区扶持款</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270,000.00</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270,000.00</w:t>
            </w:r>
          </w:p>
        </w:tc>
      </w:tr>
      <w:tr>
        <w:trPr>
          <w:trHeight w:val="403"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高新技术企业认定奖励</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257,919.83</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257,919.83</w:t>
            </w:r>
          </w:p>
        </w:tc>
      </w:tr>
      <w:tr>
        <w:trPr>
          <w:trHeight w:val="401"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杨浦区科技小巨人项目专项补助</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250,000.00</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高新技术企业奖励</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220,000.00</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220,000.00</w:t>
            </w:r>
          </w:p>
        </w:tc>
      </w:tr>
      <w:tr>
        <w:trPr>
          <w:trHeight w:val="401"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杨浦创新专项资金出行信息服务平台</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200,000.00</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200,000.00</w:t>
            </w:r>
          </w:p>
        </w:tc>
      </w:tr>
      <w:tr>
        <w:trPr>
          <w:trHeight w:val="403"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创新创业专项资金</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200,000.00</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200,000.00</w:t>
            </w:r>
          </w:p>
        </w:tc>
      </w:tr>
      <w:tr>
        <w:trPr>
          <w:trHeight w:val="401"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高新技术企业奖励</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200,000.00</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200,000.00</w:t>
            </w:r>
          </w:p>
        </w:tc>
      </w:tr>
      <w:tr>
        <w:trPr>
          <w:trHeight w:val="403"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停车导航系统研究与应用示范项目</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197,214.85</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197,214.85</w:t>
            </w:r>
          </w:p>
        </w:tc>
      </w:tr>
      <w:tr>
        <w:trPr>
          <w:trHeight w:val="401"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年海淀区标准化实施专项资金</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170,000.00</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170,000.00</w:t>
            </w:r>
          </w:p>
        </w:tc>
      </w:tr>
      <w:tr>
        <w:trPr>
          <w:trHeight w:val="403"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西安市</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年第八批科技计划项目</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160,000.00</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160,000.00</w:t>
            </w:r>
          </w:p>
        </w:tc>
      </w:tr>
      <w:tr>
        <w:trPr>
          <w:trHeight w:val="713"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1"/>
              <w:jc w:val="left"/>
              <w:rPr>
                <w:rFonts w:ascii="Times New Roman" w:hAnsi="Times New Roman" w:cs="Times New Roman" w:eastAsia="Times New Roman" w:hint="default"/>
                <w:sz w:val="18"/>
                <w:szCs w:val="18"/>
              </w:rPr>
            </w:pPr>
            <w:r>
              <w:rPr>
                <w:rFonts w:ascii="宋体" w:hAnsi="宋体" w:cs="宋体" w:eastAsia="宋体" w:hint="default"/>
                <w:sz w:val="18"/>
                <w:szCs w:val="18"/>
              </w:rPr>
              <w:t>基于互联网迭加协议的全息位置地图汇集融合 技术项目</w:t>
            </w:r>
            <w:r>
              <w:rPr>
                <w:rFonts w:ascii="Times New Roman" w:hAnsi="Times New Roman" w:cs="Times New Roman" w:eastAsia="Times New Roman" w:hint="default"/>
                <w:sz w:val="18"/>
                <w:szCs w:val="18"/>
              </w:rPr>
              <w:t>(863)</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155,873.90</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155,873.90</w:t>
            </w:r>
          </w:p>
        </w:tc>
      </w:tr>
      <w:tr>
        <w:trPr>
          <w:trHeight w:val="403"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高新技术企业补贴</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150,000.00</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150,000.00</w:t>
            </w:r>
          </w:p>
        </w:tc>
      </w:tr>
      <w:tr>
        <w:trPr>
          <w:trHeight w:val="401"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生产力促进中心房租补贴</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147,661.00</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147,661.00</w:t>
            </w:r>
          </w:p>
        </w:tc>
      </w:tr>
      <w:tr>
        <w:trPr>
          <w:trHeight w:val="715"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4" w:right="58"/>
              <w:jc w:val="left"/>
              <w:rPr>
                <w:rFonts w:ascii="宋体" w:hAnsi="宋体" w:cs="宋体" w:eastAsia="宋体" w:hint="default"/>
                <w:sz w:val="18"/>
                <w:szCs w:val="18"/>
              </w:rPr>
            </w:pPr>
            <w:r>
              <w:rPr>
                <w:rFonts w:ascii="宋体" w:hAnsi="宋体" w:cs="宋体" w:eastAsia="宋体" w:hint="default"/>
                <w:sz w:val="18"/>
                <w:szCs w:val="18"/>
              </w:rPr>
              <w:t>高新区科技局</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月份自主创新政策奖 励</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120,000.00</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120,000.00</w:t>
            </w:r>
          </w:p>
        </w:tc>
      </w:tr>
      <w:tr>
        <w:trPr>
          <w:trHeight w:val="713"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1"/>
              <w:jc w:val="left"/>
              <w:rPr>
                <w:rFonts w:ascii="宋体" w:hAnsi="宋体" w:cs="宋体" w:eastAsia="宋体" w:hint="default"/>
                <w:sz w:val="18"/>
                <w:szCs w:val="18"/>
              </w:rPr>
            </w:pPr>
            <w:r>
              <w:rPr>
                <w:rFonts w:ascii="宋体" w:hAnsi="宋体" w:cs="宋体" w:eastAsia="宋体" w:hint="default"/>
                <w:sz w:val="18"/>
                <w:szCs w:val="18"/>
              </w:rPr>
              <w:t>基于多维云资源的综合型交通大数据中心构建 研究</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100,000.00</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100,000.00</w:t>
            </w:r>
          </w:p>
        </w:tc>
      </w:tr>
      <w:tr>
        <w:trPr>
          <w:trHeight w:val="403"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高新技术企业培育企业补贴</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100,000.00</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100,000.00</w:t>
            </w:r>
          </w:p>
        </w:tc>
      </w:tr>
      <w:tr>
        <w:trPr>
          <w:trHeight w:val="401"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财政贯标认证资助经费</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100,000.00</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100,000.00</w:t>
            </w:r>
          </w:p>
        </w:tc>
      </w:tr>
      <w:tr>
        <w:trPr>
          <w:trHeight w:val="403"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高新区科技局第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条专利定额资助</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90,000.00</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90,000.00</w:t>
            </w:r>
          </w:p>
        </w:tc>
      </w:tr>
      <w:tr>
        <w:trPr>
          <w:trHeight w:val="713"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4" w:right="140"/>
              <w:jc w:val="left"/>
              <w:rPr>
                <w:rFonts w:ascii="宋体" w:hAnsi="宋体" w:cs="宋体" w:eastAsia="宋体" w:hint="default"/>
                <w:sz w:val="18"/>
                <w:szCs w:val="18"/>
              </w:rPr>
            </w:pPr>
            <w:r>
              <w:rPr>
                <w:rFonts w:ascii="宋体" w:hAnsi="宋体" w:cs="宋体" w:eastAsia="宋体" w:hint="default"/>
                <w:sz w:val="18"/>
                <w:szCs w:val="18"/>
              </w:rPr>
              <w:t>首都知识产权服务业协会</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年度中关村技 术创新能力建设专项基金（专利部分）</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88,000.00</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88,000.00</w:t>
            </w:r>
          </w:p>
        </w:tc>
      </w:tr>
      <w:tr>
        <w:trPr>
          <w:trHeight w:val="403"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科技创新券</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64,475.00</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64,475.00</w:t>
            </w:r>
          </w:p>
        </w:tc>
      </w:tr>
      <w:tr>
        <w:trPr>
          <w:trHeight w:val="401"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年度技术转移输出方奖补</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54,200.00</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54,200.00</w:t>
            </w:r>
          </w:p>
        </w:tc>
      </w:tr>
      <w:tr>
        <w:trPr>
          <w:trHeight w:val="403"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高新企业奖励补贴</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50,000.00</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50,000.00</w:t>
            </w:r>
          </w:p>
        </w:tc>
      </w:tr>
      <w:tr>
        <w:trPr>
          <w:trHeight w:val="401"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航天基地管委会奖补费用</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36,600.00</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36,600.00</w:t>
            </w:r>
          </w:p>
        </w:tc>
      </w:tr>
      <w:tr>
        <w:trPr>
          <w:trHeight w:val="715"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1"/>
              <w:jc w:val="left"/>
              <w:rPr>
                <w:rFonts w:ascii="宋体" w:hAnsi="宋体" w:cs="宋体" w:eastAsia="宋体" w:hint="default"/>
                <w:sz w:val="18"/>
                <w:szCs w:val="18"/>
              </w:rPr>
            </w:pPr>
            <w:r>
              <w:rPr>
                <w:rFonts w:ascii="宋体" w:hAnsi="宋体" w:cs="宋体" w:eastAsia="宋体" w:hint="default"/>
                <w:sz w:val="18"/>
                <w:szCs w:val="18"/>
              </w:rPr>
              <w:t>国家知识产权局专利局北京代办处北京市专利 资助金</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34,500.00</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34,500.00</w:t>
            </w:r>
          </w:p>
        </w:tc>
      </w:tr>
      <w:tr>
        <w:trPr>
          <w:trHeight w:val="401"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创新创业相关政策奖励补贴</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30,000.00</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30,000.00</w:t>
            </w:r>
          </w:p>
        </w:tc>
      </w:tr>
      <w:tr>
        <w:trPr>
          <w:trHeight w:val="403"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知识产权专利资助款</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24,000.00</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24,000.00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3687"/>
        <w:gridCol w:w="1844"/>
        <w:gridCol w:w="1982"/>
        <w:gridCol w:w="2057"/>
      </w:tblGrid>
      <w:tr>
        <w:trPr>
          <w:trHeight w:val="401"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上海杨浦区科委创新基金补贴款</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16,000.00</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16,000.00</w:t>
            </w:r>
          </w:p>
        </w:tc>
      </w:tr>
      <w:tr>
        <w:trPr>
          <w:trHeight w:val="403"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国家知识产权局专利局北京代办处补助</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14,500.00</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14,500.00</w:t>
            </w:r>
          </w:p>
        </w:tc>
      </w:tr>
      <w:tr>
        <w:trPr>
          <w:trHeight w:val="401"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年度科技发展计划和科技经费</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10,000.00</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10,000.00</w:t>
            </w:r>
          </w:p>
        </w:tc>
      </w:tr>
      <w:tr>
        <w:trPr>
          <w:trHeight w:val="715"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51"/>
              <w:jc w:val="left"/>
              <w:rPr>
                <w:rFonts w:ascii="宋体" w:hAnsi="宋体" w:cs="宋体" w:eastAsia="宋体" w:hint="default"/>
                <w:sz w:val="18"/>
                <w:szCs w:val="18"/>
              </w:rPr>
            </w:pPr>
            <w:r>
              <w:rPr>
                <w:rFonts w:ascii="宋体" w:hAnsi="宋体" w:cs="宋体" w:eastAsia="宋体" w:hint="default"/>
                <w:sz w:val="18"/>
                <w:szCs w:val="18"/>
              </w:rPr>
              <w:t>中关村科技园区海淀园管委会的购信用报告费 用补贴</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5,000.00</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5,000.00</w:t>
            </w:r>
          </w:p>
        </w:tc>
      </w:tr>
      <w:tr>
        <w:trPr>
          <w:trHeight w:val="401"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省</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年度知识产权计划经费</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4,000.00</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4,000.00</w:t>
            </w:r>
          </w:p>
        </w:tc>
      </w:tr>
      <w:tr>
        <w:trPr>
          <w:trHeight w:val="403"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国家知识产权局专利局北京代办处专利补助</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w w:val="95"/>
                <w:sz w:val="18"/>
              </w:rPr>
              <w:t>1,500.00</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w w:val="95"/>
                <w:sz w:val="18"/>
              </w:rPr>
              <w:t>1,500.00</w:t>
            </w:r>
          </w:p>
        </w:tc>
      </w:tr>
      <w:tr>
        <w:trPr>
          <w:trHeight w:val="401"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海淀社保稳岗补贴</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398,685.46</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398,685.46</w:t>
            </w:r>
          </w:p>
        </w:tc>
      </w:tr>
      <w:tr>
        <w:trPr>
          <w:trHeight w:val="403"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高新区经贸局高层次人才专项资金</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314,400.00</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314,400.00</w:t>
            </w:r>
          </w:p>
        </w:tc>
      </w:tr>
      <w:tr>
        <w:trPr>
          <w:trHeight w:val="401"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年企业稳岗补贴</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94,226.00</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94,226.00</w:t>
            </w:r>
          </w:p>
        </w:tc>
      </w:tr>
      <w:tr>
        <w:trPr>
          <w:trHeight w:val="403"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稳岗补贴</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60,501.04</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60,501.04</w:t>
            </w:r>
          </w:p>
        </w:tc>
      </w:tr>
      <w:tr>
        <w:trPr>
          <w:trHeight w:val="401"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老旧汽车淘汰更新补贴款</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36,000.00</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36,000.00</w:t>
            </w:r>
          </w:p>
        </w:tc>
      </w:tr>
      <w:tr>
        <w:trPr>
          <w:trHeight w:val="403"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深圳社保局</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年度稳岗补贴</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18,562.19</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18,562.19</w:t>
            </w:r>
          </w:p>
        </w:tc>
      </w:tr>
      <w:tr>
        <w:trPr>
          <w:trHeight w:val="401"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岗位补贴及超比例奖金</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12,000.00</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12,000.00</w:t>
            </w:r>
          </w:p>
        </w:tc>
      </w:tr>
      <w:tr>
        <w:trPr>
          <w:trHeight w:val="403"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年稳岗补贴资金</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w w:val="95"/>
                <w:sz w:val="18"/>
              </w:rPr>
              <w:t>11,473.56</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w w:val="95"/>
                <w:sz w:val="18"/>
              </w:rPr>
              <w:t>11,473.56</w:t>
            </w:r>
          </w:p>
        </w:tc>
      </w:tr>
      <w:tr>
        <w:trPr>
          <w:trHeight w:val="401"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上海市残疾人就业服务中心</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10,687.70</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10,687.70</w:t>
            </w:r>
          </w:p>
        </w:tc>
      </w:tr>
      <w:tr>
        <w:trPr>
          <w:trHeight w:val="403"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光谷人才市场代办稳岗补贴</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w w:val="95"/>
                <w:sz w:val="18"/>
              </w:rPr>
              <w:t>5,634.00</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w w:val="95"/>
                <w:sz w:val="18"/>
              </w:rPr>
              <w:t>5,634.00</w:t>
            </w:r>
          </w:p>
        </w:tc>
      </w:tr>
    </w:tbl>
    <w:p>
      <w:pPr>
        <w:spacing w:line="240" w:lineRule="auto" w:before="10"/>
        <w:rPr>
          <w:rFonts w:ascii="Times New Roman" w:hAnsi="Times New Roman" w:cs="Times New Roman" w:eastAsia="Times New Roman" w:hint="default"/>
          <w:sz w:val="21"/>
          <w:szCs w:val="21"/>
        </w:rPr>
      </w:pPr>
    </w:p>
    <w:p>
      <w:pPr>
        <w:pStyle w:val="Heading4"/>
        <w:spacing w:line="240" w:lineRule="auto" w:before="36"/>
        <w:ind w:right="982"/>
        <w:jc w:val="left"/>
        <w:rPr>
          <w:b w:val="0"/>
          <w:bCs w:val="0"/>
        </w:rPr>
      </w:pPr>
      <w:r>
        <w:rPr/>
        <w:t>（</w:t>
      </w:r>
      <w:r>
        <w:rPr>
          <w:rFonts w:ascii="Times New Roman" w:hAnsi="Times New Roman" w:cs="Times New Roman" w:eastAsia="Times New Roman" w:hint="default"/>
        </w:rPr>
        <w:t>2</w:t>
      </w:r>
      <w:r>
        <w:rPr/>
        <w:t>）政府补助退回情况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13"/>
        <w:rPr>
          <w:rFonts w:ascii="宋体" w:hAnsi="宋体" w:cs="宋体" w:eastAsia="宋体" w:hint="default"/>
          <w:sz w:val="25"/>
          <w:szCs w:val="25"/>
        </w:rPr>
      </w:pPr>
    </w:p>
    <w:p>
      <w:pPr>
        <w:pStyle w:val="Heading4"/>
        <w:spacing w:line="240" w:lineRule="auto"/>
        <w:ind w:right="982"/>
        <w:jc w:val="left"/>
        <w:rPr>
          <w:b w:val="0"/>
          <w:bCs w:val="0"/>
        </w:rPr>
      </w:pPr>
      <w:r>
        <w:rPr>
          <w:rFonts w:ascii="Times New Roman" w:hAnsi="Times New Roman" w:cs="Times New Roman" w:eastAsia="Times New Roman" w:hint="default"/>
        </w:rPr>
        <w:t>74</w:t>
      </w:r>
      <w:r>
        <w:rPr/>
        <w:t>、其他</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3"/>
        <w:rPr>
          <w:rFonts w:ascii="宋体" w:hAnsi="宋体" w:cs="宋体" w:eastAsia="宋体" w:hint="default"/>
          <w:sz w:val="25"/>
          <w:szCs w:val="25"/>
        </w:rPr>
      </w:pPr>
    </w:p>
    <w:p>
      <w:pPr>
        <w:spacing w:line="506" w:lineRule="auto" w:before="0"/>
        <w:ind w:left="152" w:right="8330" w:firstLine="0"/>
        <w:jc w:val="left"/>
        <w:rPr>
          <w:rFonts w:ascii="宋体" w:hAnsi="宋体" w:cs="宋体" w:eastAsia="宋体" w:hint="default"/>
          <w:sz w:val="18"/>
          <w:szCs w:val="18"/>
        </w:rPr>
      </w:pPr>
      <w:r>
        <w:rPr>
          <w:rFonts w:ascii="宋体" w:hAnsi="宋体" w:cs="宋体" w:eastAsia="宋体" w:hint="default"/>
          <w:b/>
          <w:bCs/>
          <w:sz w:val="24"/>
          <w:szCs w:val="24"/>
        </w:rPr>
        <w:t>八、合并范围的变更</w:t>
      </w:r>
      <w:r>
        <w:rPr>
          <w:rFonts w:ascii="宋体" w:hAnsi="宋体" w:cs="宋体" w:eastAsia="宋体" w:hint="default"/>
          <w:b/>
          <w:bCs/>
          <w:w w:val="99"/>
          <w:sz w:val="24"/>
          <w:szCs w:val="24"/>
        </w:rPr>
        <w:t> </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、非同一控制下企业合并</w:t>
      </w:r>
      <w:r>
        <w:rPr>
          <w:rFonts w:ascii="宋体" w:hAnsi="宋体" w:cs="宋体" w:eastAsia="宋体" w:hint="default"/>
          <w:b/>
          <w:bCs/>
          <w:w w:val="100"/>
          <w:sz w:val="21"/>
          <w:szCs w:val="21"/>
        </w:rPr>
        <w:t> </w:t>
      </w:r>
      <w:r>
        <w:rPr>
          <w:rFonts w:ascii="宋体" w:hAnsi="宋体" w:cs="宋体" w:eastAsia="宋体" w:hint="default"/>
          <w:sz w:val="18"/>
          <w:szCs w:val="18"/>
        </w:rPr>
        <w:t>无</w:t>
      </w:r>
    </w:p>
    <w:p>
      <w:pPr>
        <w:pStyle w:val="Heading4"/>
        <w:spacing w:line="240" w:lineRule="auto" w:before="156"/>
        <w:ind w:right="982"/>
        <w:jc w:val="left"/>
        <w:rPr>
          <w:b w:val="0"/>
          <w:bCs w:val="0"/>
        </w:rPr>
      </w:pPr>
      <w:r>
        <w:rPr>
          <w:rFonts w:ascii="Times New Roman" w:hAnsi="Times New Roman" w:cs="Times New Roman" w:eastAsia="Times New Roman" w:hint="default"/>
        </w:rPr>
        <w:t>2</w:t>
      </w:r>
      <w:r>
        <w:rPr/>
        <w:t>、同一控制下企业合并</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rFonts w:ascii="Times New Roman" w:hAnsi="Times New Roman" w:cs="Times New Roman" w:eastAsia="Times New Roman" w:hint="default"/>
        </w:rPr>
        <w:t>3</w:t>
      </w:r>
      <w:r>
        <w:rPr/>
        <w:t>、反向购买</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982"/>
        <w:jc w:val="left"/>
      </w:pPr>
      <w:r>
        <w:rPr/>
        <w:t>无</w:t>
      </w:r>
    </w:p>
    <w:p>
      <w:pPr>
        <w:spacing w:after="0" w:line="240" w:lineRule="auto"/>
        <w:jc w:val="left"/>
        <w:sectPr>
          <w:pgSz w:w="11910" w:h="16840"/>
          <w:pgMar w:header="745" w:footer="979"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2"/>
        <w:jc w:val="left"/>
        <w:rPr>
          <w:b w:val="0"/>
          <w:bCs w:val="0"/>
        </w:rPr>
      </w:pPr>
      <w:r>
        <w:rPr>
          <w:rFonts w:ascii="Times New Roman" w:hAnsi="Times New Roman" w:cs="Times New Roman" w:eastAsia="Times New Roman" w:hint="default"/>
        </w:rPr>
        <w:t>4</w:t>
      </w:r>
      <w:r>
        <w:rPr/>
        <w:t>、处置子公司</w:t>
      </w:r>
      <w:r>
        <w:rPr>
          <w:b w:val="0"/>
          <w:bCs w:val="0"/>
        </w:rPr>
      </w:r>
    </w:p>
    <w:p>
      <w:pPr>
        <w:spacing w:line="240" w:lineRule="auto" w:before="12"/>
        <w:rPr>
          <w:rFonts w:ascii="宋体" w:hAnsi="宋体" w:cs="宋体" w:eastAsia="宋体" w:hint="default"/>
          <w:b/>
          <w:bCs/>
          <w:sz w:val="22"/>
          <w:szCs w:val="22"/>
        </w:rPr>
      </w:pPr>
    </w:p>
    <w:p>
      <w:pPr>
        <w:spacing w:after="0" w:line="240" w:lineRule="auto"/>
        <w:rPr>
          <w:rFonts w:ascii="宋体" w:hAnsi="宋体" w:cs="宋体" w:eastAsia="宋体" w:hint="default"/>
          <w:sz w:val="22"/>
          <w:szCs w:val="22"/>
        </w:rPr>
        <w:sectPr>
          <w:pgSz w:w="11910" w:h="16840"/>
          <w:pgMar w:header="745" w:footer="979" w:top="1060" w:bottom="1160" w:left="980" w:right="0"/>
        </w:sectPr>
      </w:pPr>
    </w:p>
    <w:p>
      <w:pPr>
        <w:pStyle w:val="BodyText"/>
        <w:spacing w:line="240" w:lineRule="auto" w:before="44"/>
        <w:ind w:right="-20"/>
        <w:jc w:val="left"/>
      </w:pPr>
      <w:r>
        <w:rPr/>
        <w:t>是否存在单次处置对子公司投资即丧失控制权的情形</w:t>
      </w:r>
    </w:p>
    <w:p>
      <w:pPr>
        <w:pStyle w:val="BodyText"/>
        <w:spacing w:line="240" w:lineRule="auto" w:before="115"/>
        <w:ind w:right="-20"/>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否</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pStyle w:val="BodyText"/>
        <w:spacing w:line="240" w:lineRule="auto"/>
        <w:ind w:right="0"/>
        <w:jc w:val="left"/>
      </w:pPr>
      <w:r>
        <w:rPr/>
        <w:t>单位：</w:t>
      </w:r>
      <w:r>
        <w:rPr>
          <w:spacing w:val="1"/>
        </w:rPr>
        <w:t> </w:t>
      </w:r>
      <w:r>
        <w:rPr/>
        <w:t>元</w:t>
      </w:r>
    </w:p>
    <w:p>
      <w:pPr>
        <w:spacing w:after="0" w:line="240" w:lineRule="auto"/>
        <w:jc w:val="left"/>
        <w:sectPr>
          <w:type w:val="continuous"/>
          <w:pgSz w:w="11910" w:h="16840"/>
          <w:pgMar w:top="1060" w:bottom="1160" w:left="980" w:right="0"/>
          <w:cols w:num="2" w:equalWidth="0">
            <w:col w:w="4293" w:space="4536"/>
            <w:col w:w="2101"/>
          </w:cols>
        </w:sectPr>
      </w:pP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737"/>
        <w:gridCol w:w="734"/>
        <w:gridCol w:w="737"/>
        <w:gridCol w:w="735"/>
        <w:gridCol w:w="737"/>
        <w:gridCol w:w="734"/>
        <w:gridCol w:w="734"/>
        <w:gridCol w:w="735"/>
        <w:gridCol w:w="737"/>
        <w:gridCol w:w="737"/>
        <w:gridCol w:w="737"/>
        <w:gridCol w:w="734"/>
        <w:gridCol w:w="737"/>
      </w:tblGrid>
      <w:tr>
        <w:trPr>
          <w:trHeight w:val="3833" w:hRule="exact"/>
        </w:trPr>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4"/>
                <w:szCs w:val="14"/>
              </w:rPr>
            </w:pPr>
          </w:p>
          <w:p>
            <w:pPr>
              <w:pStyle w:val="TableParagraph"/>
              <w:spacing w:line="316" w:lineRule="auto"/>
              <w:ind w:left="182" w:right="92" w:hanging="90"/>
              <w:jc w:val="left"/>
              <w:rPr>
                <w:rFonts w:ascii="宋体" w:hAnsi="宋体" w:cs="宋体" w:eastAsia="宋体" w:hint="default"/>
                <w:sz w:val="18"/>
                <w:szCs w:val="18"/>
              </w:rPr>
            </w:pPr>
            <w:r>
              <w:rPr>
                <w:rFonts w:ascii="宋体" w:hAnsi="宋体" w:cs="宋体" w:eastAsia="宋体" w:hint="default"/>
                <w:sz w:val="18"/>
                <w:szCs w:val="18"/>
              </w:rPr>
              <w:t>子公司 名称</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4"/>
                <w:szCs w:val="14"/>
              </w:rPr>
            </w:pPr>
          </w:p>
          <w:p>
            <w:pPr>
              <w:pStyle w:val="TableParagraph"/>
              <w:spacing w:line="316" w:lineRule="auto"/>
              <w:ind w:left="93" w:right="89"/>
              <w:jc w:val="left"/>
              <w:rPr>
                <w:rFonts w:ascii="宋体" w:hAnsi="宋体" w:cs="宋体" w:eastAsia="宋体" w:hint="default"/>
                <w:sz w:val="18"/>
                <w:szCs w:val="18"/>
              </w:rPr>
            </w:pPr>
            <w:r>
              <w:rPr>
                <w:rFonts w:ascii="宋体" w:hAnsi="宋体" w:cs="宋体" w:eastAsia="宋体" w:hint="default"/>
                <w:sz w:val="18"/>
                <w:szCs w:val="18"/>
              </w:rPr>
              <w:t>股权处 置价款</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4"/>
                <w:szCs w:val="14"/>
              </w:rPr>
            </w:pPr>
          </w:p>
          <w:p>
            <w:pPr>
              <w:pStyle w:val="TableParagraph"/>
              <w:spacing w:line="316" w:lineRule="auto"/>
              <w:ind w:left="93" w:right="91"/>
              <w:jc w:val="left"/>
              <w:rPr>
                <w:rFonts w:ascii="宋体" w:hAnsi="宋体" w:cs="宋体" w:eastAsia="宋体" w:hint="default"/>
                <w:sz w:val="18"/>
                <w:szCs w:val="18"/>
              </w:rPr>
            </w:pPr>
            <w:r>
              <w:rPr>
                <w:rFonts w:ascii="宋体" w:hAnsi="宋体" w:cs="宋体" w:eastAsia="宋体" w:hint="default"/>
                <w:sz w:val="18"/>
                <w:szCs w:val="18"/>
              </w:rPr>
              <w:t>股权处 置比例</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4"/>
                <w:szCs w:val="14"/>
              </w:rPr>
            </w:pPr>
          </w:p>
          <w:p>
            <w:pPr>
              <w:pStyle w:val="TableParagraph"/>
              <w:spacing w:line="316" w:lineRule="auto"/>
              <w:ind w:left="93" w:right="89"/>
              <w:jc w:val="left"/>
              <w:rPr>
                <w:rFonts w:ascii="宋体" w:hAnsi="宋体" w:cs="宋体" w:eastAsia="宋体" w:hint="default"/>
                <w:sz w:val="18"/>
                <w:szCs w:val="18"/>
              </w:rPr>
            </w:pPr>
            <w:r>
              <w:rPr>
                <w:rFonts w:ascii="宋体" w:hAnsi="宋体" w:cs="宋体" w:eastAsia="宋体" w:hint="default"/>
                <w:sz w:val="18"/>
                <w:szCs w:val="18"/>
              </w:rPr>
              <w:t>股权处 置方式</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1"/>
                <w:szCs w:val="21"/>
              </w:rPr>
            </w:pPr>
          </w:p>
          <w:p>
            <w:pPr>
              <w:pStyle w:val="TableParagraph"/>
              <w:spacing w:line="316" w:lineRule="auto"/>
              <w:ind w:left="93" w:right="91"/>
              <w:jc w:val="both"/>
              <w:rPr>
                <w:rFonts w:ascii="宋体" w:hAnsi="宋体" w:cs="宋体" w:eastAsia="宋体" w:hint="default"/>
                <w:sz w:val="18"/>
                <w:szCs w:val="18"/>
              </w:rPr>
            </w:pPr>
            <w:r>
              <w:rPr>
                <w:rFonts w:ascii="宋体" w:hAnsi="宋体" w:cs="宋体" w:eastAsia="宋体" w:hint="default"/>
                <w:sz w:val="18"/>
                <w:szCs w:val="18"/>
              </w:rPr>
              <w:t>丧失控 制权的 时点</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19"/>
              <w:ind w:left="93" w:right="89"/>
              <w:jc w:val="both"/>
              <w:rPr>
                <w:rFonts w:ascii="宋体" w:hAnsi="宋体" w:cs="宋体" w:eastAsia="宋体" w:hint="default"/>
                <w:sz w:val="18"/>
                <w:szCs w:val="18"/>
              </w:rPr>
            </w:pPr>
            <w:r>
              <w:rPr>
                <w:rFonts w:ascii="宋体" w:hAnsi="宋体" w:cs="宋体" w:eastAsia="宋体" w:hint="default"/>
                <w:sz w:val="18"/>
                <w:szCs w:val="18"/>
              </w:rPr>
              <w:t>丧失控 制权时 点的确 定依据</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93" w:right="89"/>
              <w:jc w:val="center"/>
              <w:rPr>
                <w:rFonts w:ascii="宋体" w:hAnsi="宋体" w:cs="宋体" w:eastAsia="宋体" w:hint="default"/>
                <w:sz w:val="18"/>
                <w:szCs w:val="18"/>
              </w:rPr>
            </w:pPr>
            <w:r>
              <w:rPr>
                <w:rFonts w:ascii="宋体" w:hAnsi="宋体" w:cs="宋体" w:eastAsia="宋体" w:hint="default"/>
                <w:sz w:val="18"/>
                <w:szCs w:val="18"/>
              </w:rPr>
              <w:t>处置价 款与处 置投资 对应的 合并财 务报表 层面享 有该子 公司净 资产份 额的差 额</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316" w:lineRule="auto"/>
              <w:ind w:left="93" w:right="89"/>
              <w:jc w:val="both"/>
              <w:rPr>
                <w:rFonts w:ascii="宋体" w:hAnsi="宋体" w:cs="宋体" w:eastAsia="宋体" w:hint="default"/>
                <w:sz w:val="18"/>
                <w:szCs w:val="18"/>
              </w:rPr>
            </w:pPr>
            <w:r>
              <w:rPr>
                <w:rFonts w:ascii="宋体" w:hAnsi="宋体" w:cs="宋体" w:eastAsia="宋体" w:hint="default"/>
                <w:sz w:val="18"/>
                <w:szCs w:val="18"/>
              </w:rPr>
              <w:t>丧失控 制权之 日剩余 股权的 比例</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316" w:lineRule="auto"/>
              <w:ind w:left="93" w:right="91"/>
              <w:jc w:val="center"/>
              <w:rPr>
                <w:rFonts w:ascii="宋体" w:hAnsi="宋体" w:cs="宋体" w:eastAsia="宋体" w:hint="default"/>
                <w:sz w:val="18"/>
                <w:szCs w:val="18"/>
              </w:rPr>
            </w:pPr>
            <w:r>
              <w:rPr>
                <w:rFonts w:ascii="宋体" w:hAnsi="宋体" w:cs="宋体" w:eastAsia="宋体" w:hint="default"/>
                <w:sz w:val="18"/>
                <w:szCs w:val="18"/>
              </w:rPr>
              <w:t>丧失控 制权之 日剩余 股权的 账面价 值</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316" w:lineRule="auto"/>
              <w:ind w:left="93" w:right="91"/>
              <w:jc w:val="center"/>
              <w:rPr>
                <w:rFonts w:ascii="宋体" w:hAnsi="宋体" w:cs="宋体" w:eastAsia="宋体" w:hint="default"/>
                <w:sz w:val="18"/>
                <w:szCs w:val="18"/>
              </w:rPr>
            </w:pPr>
            <w:r>
              <w:rPr>
                <w:rFonts w:ascii="宋体" w:hAnsi="宋体" w:cs="宋体" w:eastAsia="宋体" w:hint="default"/>
                <w:sz w:val="18"/>
                <w:szCs w:val="18"/>
              </w:rPr>
              <w:t>丧失控 制权之 日剩余 股权的 公允价 值</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316" w:lineRule="auto"/>
              <w:ind w:left="93" w:right="92"/>
              <w:jc w:val="center"/>
              <w:rPr>
                <w:rFonts w:ascii="宋体" w:hAnsi="宋体" w:cs="宋体" w:eastAsia="宋体" w:hint="default"/>
                <w:sz w:val="18"/>
                <w:szCs w:val="18"/>
              </w:rPr>
            </w:pPr>
            <w:r>
              <w:rPr>
                <w:rFonts w:ascii="宋体" w:hAnsi="宋体" w:cs="宋体" w:eastAsia="宋体" w:hint="default"/>
                <w:sz w:val="18"/>
                <w:szCs w:val="18"/>
              </w:rPr>
              <w:t>按照公 允价值 重新计 量剩余 股权产 生的利 得或损 失</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93" w:right="89"/>
              <w:jc w:val="center"/>
              <w:rPr>
                <w:rFonts w:ascii="宋体" w:hAnsi="宋体" w:cs="宋体" w:eastAsia="宋体" w:hint="default"/>
                <w:sz w:val="18"/>
                <w:szCs w:val="18"/>
              </w:rPr>
            </w:pPr>
            <w:r>
              <w:rPr>
                <w:rFonts w:ascii="宋体" w:hAnsi="宋体" w:cs="宋体" w:eastAsia="宋体" w:hint="default"/>
                <w:sz w:val="18"/>
                <w:szCs w:val="18"/>
              </w:rPr>
              <w:t>丧失控 制权之 日剩余 股权公 允价值 的确定 方法及 主要假 设</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93" w:right="91"/>
              <w:jc w:val="both"/>
              <w:rPr>
                <w:rFonts w:ascii="宋体" w:hAnsi="宋体" w:cs="宋体" w:eastAsia="宋体" w:hint="default"/>
                <w:sz w:val="18"/>
                <w:szCs w:val="18"/>
              </w:rPr>
            </w:pPr>
            <w:r>
              <w:rPr>
                <w:rFonts w:ascii="宋体" w:hAnsi="宋体" w:cs="宋体" w:eastAsia="宋体" w:hint="default"/>
                <w:sz w:val="18"/>
                <w:szCs w:val="18"/>
              </w:rPr>
              <w:t>与原子 公司股 权投资 相关的 其他综 合收益 转入投 资损益 的金额</w:t>
            </w:r>
          </w:p>
        </w:tc>
      </w:tr>
      <w:tr>
        <w:trPr>
          <w:trHeight w:val="1964" w:hRule="exact"/>
        </w:trPr>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362" w:lineRule="auto"/>
              <w:ind w:left="24" w:right="34"/>
              <w:jc w:val="left"/>
              <w:rPr>
                <w:rFonts w:ascii="Times New Roman" w:hAnsi="Times New Roman" w:cs="Times New Roman" w:eastAsia="Times New Roman" w:hint="default"/>
                <w:sz w:val="18"/>
                <w:szCs w:val="18"/>
              </w:rPr>
            </w:pPr>
            <w:r>
              <w:rPr>
                <w:rFonts w:ascii="Times New Roman"/>
                <w:sz w:val="18"/>
              </w:rPr>
              <w:t>Mapbar </w:t>
            </w:r>
            <w:r>
              <w:rPr>
                <w:rFonts w:ascii="Times New Roman"/>
                <w:spacing w:val="-2"/>
                <w:sz w:val="18"/>
              </w:rPr>
              <w:t>Technolo</w:t>
            </w:r>
            <w:r>
              <w:rPr>
                <w:rFonts w:ascii="Times New Roman"/>
                <w:spacing w:val="-42"/>
                <w:sz w:val="18"/>
              </w:rPr>
              <w:t> </w:t>
            </w:r>
            <w:r>
              <w:rPr>
                <w:rFonts w:ascii="Times New Roman"/>
                <w:spacing w:val="-42"/>
                <w:sz w:val="18"/>
              </w:rPr>
            </w:r>
            <w:r>
              <w:rPr>
                <w:rFonts w:ascii="Times New Roman"/>
                <w:sz w:val="18"/>
              </w:rPr>
              <w:t>gy</w:t>
            </w:r>
            <w:r>
              <w:rPr>
                <w:rFonts w:ascii="Times New Roman"/>
                <w:sz w:val="18"/>
              </w:rPr>
              <w:t> Limited</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51" w:right="0"/>
              <w:jc w:val="center"/>
              <w:rPr>
                <w:rFonts w:ascii="Times New Roman" w:hAnsi="Times New Roman" w:cs="Times New Roman" w:eastAsia="Times New Roman" w:hint="default"/>
                <w:sz w:val="18"/>
                <w:szCs w:val="18"/>
              </w:rPr>
            </w:pPr>
            <w:r>
              <w:rPr>
                <w:rFonts w:ascii="Times New Roman"/>
                <w:sz w:val="18"/>
              </w:rPr>
              <w:t>579,303,</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537.47</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27" w:right="0"/>
              <w:jc w:val="center"/>
              <w:rPr>
                <w:rFonts w:ascii="Times New Roman" w:hAnsi="Times New Roman" w:cs="Times New Roman" w:eastAsia="Times New Roman" w:hint="default"/>
                <w:sz w:val="18"/>
                <w:szCs w:val="18"/>
              </w:rPr>
            </w:pPr>
            <w:r>
              <w:rPr>
                <w:rFonts w:ascii="Times New Roman"/>
                <w:sz w:val="18"/>
              </w:rPr>
              <w:t>13.40%</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3" w:right="159"/>
              <w:jc w:val="both"/>
              <w:rPr>
                <w:rFonts w:ascii="宋体" w:hAnsi="宋体" w:cs="宋体" w:eastAsia="宋体" w:hint="default"/>
                <w:sz w:val="18"/>
                <w:szCs w:val="18"/>
              </w:rPr>
            </w:pPr>
            <w:r>
              <w:rPr>
                <w:rFonts w:ascii="宋体" w:hAnsi="宋体" w:cs="宋体" w:eastAsia="宋体" w:hint="default"/>
                <w:sz w:val="18"/>
                <w:szCs w:val="18"/>
              </w:rPr>
              <w:t>第三方 股东增 资视同 处置</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3"/>
                <w:sz w:val="18"/>
                <w:szCs w:val="18"/>
              </w:rPr>
              <w:t>11 </w:t>
            </w:r>
            <w:r>
              <w:rPr>
                <w:rFonts w:ascii="宋体" w:hAnsi="宋体" w:cs="宋体" w:eastAsia="宋体" w:hint="default"/>
                <w:sz w:val="18"/>
                <w:szCs w:val="18"/>
              </w:rPr>
              <w:t>月</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23</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4" w:right="113"/>
              <w:jc w:val="both"/>
              <w:rPr>
                <w:rFonts w:ascii="宋体" w:hAnsi="宋体" w:cs="宋体" w:eastAsia="宋体" w:hint="default"/>
                <w:sz w:val="18"/>
                <w:szCs w:val="18"/>
              </w:rPr>
            </w:pPr>
            <w:r>
              <w:rPr>
                <w:rFonts w:ascii="宋体" w:hAnsi="宋体" w:cs="宋体" w:eastAsia="宋体" w:hint="default"/>
                <w:sz w:val="18"/>
                <w:szCs w:val="18"/>
              </w:rPr>
              <w:t>增资及 工商变 更登记 完成</w:t>
            </w:r>
            <w:r>
              <w:rPr>
                <w:rFonts w:ascii="Times New Roman" w:hAnsi="Times New Roman" w:cs="Times New Roman" w:eastAsia="Times New Roman" w:hint="default"/>
                <w:sz w:val="18"/>
                <w:szCs w:val="18"/>
              </w:rPr>
              <w:t>,</w:t>
            </w:r>
            <w:r>
              <w:rPr>
                <w:rFonts w:ascii="宋体" w:hAnsi="宋体" w:cs="宋体" w:eastAsia="宋体" w:hint="default"/>
                <w:sz w:val="18"/>
                <w:szCs w:val="18"/>
              </w:rPr>
              <w:t>董 事会对 外公告</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51" w:right="0"/>
              <w:jc w:val="center"/>
              <w:rPr>
                <w:rFonts w:ascii="Times New Roman" w:hAnsi="Times New Roman" w:cs="Times New Roman" w:eastAsia="Times New Roman" w:hint="default"/>
                <w:sz w:val="18"/>
                <w:szCs w:val="18"/>
              </w:rPr>
            </w:pPr>
            <w:r>
              <w:rPr>
                <w:rFonts w:ascii="Times New Roman"/>
                <w:sz w:val="18"/>
              </w:rPr>
              <w:t>314,059,</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472.67</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29" w:right="0"/>
              <w:jc w:val="center"/>
              <w:rPr>
                <w:rFonts w:ascii="Times New Roman" w:hAnsi="Times New Roman" w:cs="Times New Roman" w:eastAsia="Times New Roman" w:hint="default"/>
                <w:sz w:val="18"/>
                <w:szCs w:val="18"/>
              </w:rPr>
            </w:pPr>
            <w:r>
              <w:rPr>
                <w:rFonts w:ascii="Times New Roman"/>
                <w:sz w:val="18"/>
              </w:rPr>
              <w:t>46.93%</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53" w:right="0"/>
              <w:jc w:val="center"/>
              <w:rPr>
                <w:rFonts w:ascii="Times New Roman" w:hAnsi="Times New Roman" w:cs="Times New Roman" w:eastAsia="Times New Roman" w:hint="default"/>
                <w:sz w:val="18"/>
                <w:szCs w:val="18"/>
              </w:rPr>
            </w:pPr>
            <w:r>
              <w:rPr>
                <w:rFonts w:ascii="Times New Roman"/>
                <w:sz w:val="18"/>
              </w:rPr>
              <w:t>454,293,</w:t>
            </w:r>
          </w:p>
          <w:p>
            <w:pPr>
              <w:pStyle w:val="TableParagraph"/>
              <w:spacing w:line="240" w:lineRule="auto" w:before="105"/>
              <w:ind w:left="190" w:right="0"/>
              <w:jc w:val="center"/>
              <w:rPr>
                <w:rFonts w:ascii="Times New Roman" w:hAnsi="Times New Roman" w:cs="Times New Roman" w:eastAsia="Times New Roman" w:hint="default"/>
                <w:sz w:val="18"/>
                <w:szCs w:val="18"/>
              </w:rPr>
            </w:pPr>
            <w:r>
              <w:rPr>
                <w:rFonts w:ascii="Times New Roman"/>
                <w:sz w:val="18"/>
              </w:rPr>
              <w:t>101.18</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1,224,37</w:t>
            </w:r>
          </w:p>
          <w:p>
            <w:pPr>
              <w:pStyle w:val="TableParagraph"/>
              <w:spacing w:line="240" w:lineRule="auto" w:before="105"/>
              <w:ind w:left="71" w:right="0"/>
              <w:jc w:val="left"/>
              <w:rPr>
                <w:rFonts w:ascii="Times New Roman" w:hAnsi="Times New Roman" w:cs="Times New Roman" w:eastAsia="Times New Roman" w:hint="default"/>
                <w:sz w:val="18"/>
                <w:szCs w:val="18"/>
              </w:rPr>
            </w:pPr>
            <w:r>
              <w:rPr>
                <w:rFonts w:ascii="Times New Roman"/>
                <w:sz w:val="18"/>
              </w:rPr>
              <w:t>6,182.08</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48" w:right="0"/>
              <w:jc w:val="center"/>
              <w:rPr>
                <w:rFonts w:ascii="Times New Roman" w:hAnsi="Times New Roman" w:cs="Times New Roman" w:eastAsia="Times New Roman" w:hint="default"/>
                <w:sz w:val="18"/>
                <w:szCs w:val="18"/>
              </w:rPr>
            </w:pPr>
            <w:r>
              <w:rPr>
                <w:rFonts w:ascii="Times New Roman"/>
                <w:sz w:val="18"/>
              </w:rPr>
              <w:t>770,083,</w:t>
            </w:r>
          </w:p>
          <w:p>
            <w:pPr>
              <w:pStyle w:val="TableParagraph"/>
              <w:spacing w:line="240" w:lineRule="auto" w:before="105"/>
              <w:ind w:left="184" w:right="0"/>
              <w:jc w:val="center"/>
              <w:rPr>
                <w:rFonts w:ascii="Times New Roman" w:hAnsi="Times New Roman" w:cs="Times New Roman" w:eastAsia="Times New Roman" w:hint="default"/>
                <w:sz w:val="18"/>
                <w:szCs w:val="18"/>
              </w:rPr>
            </w:pPr>
            <w:r>
              <w:rPr>
                <w:rFonts w:ascii="Times New Roman"/>
                <w:sz w:val="18"/>
              </w:rPr>
              <w:t>080.90</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316" w:lineRule="auto"/>
              <w:ind w:left="24" w:right="158"/>
              <w:jc w:val="left"/>
              <w:rPr>
                <w:rFonts w:ascii="宋体" w:hAnsi="宋体" w:cs="宋体" w:eastAsia="宋体" w:hint="default"/>
                <w:sz w:val="18"/>
                <w:szCs w:val="18"/>
              </w:rPr>
            </w:pPr>
            <w:r>
              <w:rPr>
                <w:rFonts w:ascii="宋体" w:hAnsi="宋体" w:cs="宋体" w:eastAsia="宋体" w:hint="default"/>
                <w:sz w:val="18"/>
                <w:szCs w:val="18"/>
              </w:rPr>
              <w:t>交易价 格</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79" w:right="0"/>
              <w:jc w:val="center"/>
              <w:rPr>
                <w:rFonts w:ascii="Times New Roman" w:hAnsi="Times New Roman" w:cs="Times New Roman" w:eastAsia="Times New Roman" w:hint="default"/>
                <w:sz w:val="18"/>
                <w:szCs w:val="18"/>
              </w:rPr>
            </w:pPr>
            <w:r>
              <w:rPr>
                <w:rFonts w:ascii="Times New Roman"/>
                <w:sz w:val="18"/>
              </w:rPr>
              <w:t>-7,864,7</w:t>
            </w:r>
          </w:p>
          <w:p>
            <w:pPr>
              <w:pStyle w:val="TableParagraph"/>
              <w:spacing w:line="240" w:lineRule="auto" w:before="105"/>
              <w:ind w:left="274" w:right="0"/>
              <w:jc w:val="center"/>
              <w:rPr>
                <w:rFonts w:ascii="Times New Roman" w:hAnsi="Times New Roman" w:cs="Times New Roman" w:eastAsia="Times New Roman" w:hint="default"/>
                <w:sz w:val="18"/>
                <w:szCs w:val="18"/>
              </w:rPr>
            </w:pPr>
            <w:r>
              <w:rPr>
                <w:rFonts w:ascii="Times New Roman"/>
                <w:sz w:val="18"/>
              </w:rPr>
              <w:t>54.31</w:t>
            </w:r>
          </w:p>
        </w:tc>
      </w:tr>
      <w:tr>
        <w:trPr>
          <w:trHeight w:val="1649" w:hRule="exact"/>
        </w:trPr>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61"/>
              <w:jc w:val="both"/>
              <w:rPr>
                <w:rFonts w:ascii="宋体" w:hAnsi="宋体" w:cs="宋体" w:eastAsia="宋体" w:hint="default"/>
                <w:sz w:val="18"/>
                <w:szCs w:val="18"/>
              </w:rPr>
            </w:pPr>
            <w:r>
              <w:rPr>
                <w:rFonts w:ascii="宋体" w:hAnsi="宋体" w:cs="宋体" w:eastAsia="宋体" w:hint="default"/>
                <w:sz w:val="18"/>
                <w:szCs w:val="18"/>
              </w:rPr>
              <w:t>北京图 新智盛 信息技 术有限 公司</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14,850,0</w:t>
            </w:r>
          </w:p>
          <w:p>
            <w:pPr>
              <w:pStyle w:val="TableParagraph"/>
              <w:spacing w:line="240" w:lineRule="auto" w:before="102"/>
              <w:ind w:left="297" w:right="0"/>
              <w:jc w:val="left"/>
              <w:rPr>
                <w:rFonts w:ascii="Times New Roman" w:hAnsi="Times New Roman" w:cs="Times New Roman" w:eastAsia="Times New Roman" w:hint="default"/>
                <w:sz w:val="18"/>
                <w:szCs w:val="18"/>
              </w:rPr>
            </w:pPr>
            <w:r>
              <w:rPr>
                <w:rFonts w:ascii="Times New Roman"/>
                <w:sz w:val="18"/>
              </w:rPr>
              <w:t>00.00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127" w:right="0"/>
              <w:jc w:val="center"/>
              <w:rPr>
                <w:rFonts w:ascii="Times New Roman" w:hAnsi="Times New Roman" w:cs="Times New Roman" w:eastAsia="Times New Roman" w:hint="default"/>
                <w:sz w:val="18"/>
                <w:szCs w:val="18"/>
              </w:rPr>
            </w:pPr>
            <w:r>
              <w:rPr>
                <w:rFonts w:ascii="Times New Roman"/>
                <w:sz w:val="18"/>
              </w:rPr>
              <w:t>65.00%</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4" w:lineRule="auto"/>
              <w:ind w:left="23" w:right="159"/>
              <w:jc w:val="left"/>
              <w:rPr>
                <w:rFonts w:ascii="宋体" w:hAnsi="宋体" w:cs="宋体" w:eastAsia="宋体" w:hint="default"/>
                <w:sz w:val="18"/>
                <w:szCs w:val="18"/>
              </w:rPr>
            </w:pPr>
            <w:r>
              <w:rPr>
                <w:rFonts w:ascii="宋体" w:hAnsi="宋体" w:cs="宋体" w:eastAsia="宋体" w:hint="default"/>
                <w:sz w:val="18"/>
                <w:szCs w:val="18"/>
              </w:rPr>
              <w:t>股权转 让</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0"/>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16</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4" w:right="158"/>
              <w:jc w:val="both"/>
              <w:rPr>
                <w:rFonts w:ascii="宋体" w:hAnsi="宋体" w:cs="宋体" w:eastAsia="宋体" w:hint="default"/>
                <w:sz w:val="18"/>
                <w:szCs w:val="18"/>
              </w:rPr>
            </w:pPr>
            <w:r>
              <w:rPr>
                <w:rFonts w:ascii="宋体" w:hAnsi="宋体" w:cs="宋体" w:eastAsia="宋体" w:hint="default"/>
                <w:sz w:val="18"/>
                <w:szCs w:val="18"/>
              </w:rPr>
              <w:t>工商变 更登记 完成</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1,856,69</w:t>
            </w:r>
          </w:p>
          <w:p>
            <w:pPr>
              <w:pStyle w:val="TableParagraph"/>
              <w:spacing w:line="240" w:lineRule="auto" w:before="102"/>
              <w:ind w:left="388" w:right="0"/>
              <w:jc w:val="left"/>
              <w:rPr>
                <w:rFonts w:ascii="Times New Roman" w:hAnsi="Times New Roman" w:cs="Times New Roman" w:eastAsia="Times New Roman" w:hint="default"/>
                <w:sz w:val="18"/>
                <w:szCs w:val="18"/>
              </w:rPr>
            </w:pPr>
            <w:r>
              <w:rPr>
                <w:rFonts w:ascii="Times New Roman"/>
                <w:sz w:val="18"/>
              </w:rPr>
              <w:t>4.22</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16" w:right="0"/>
              <w:jc w:val="center"/>
              <w:rPr>
                <w:rFonts w:ascii="Times New Roman" w:hAnsi="Times New Roman" w:cs="Times New Roman" w:eastAsia="Times New Roman" w:hint="default"/>
                <w:sz w:val="18"/>
                <w:szCs w:val="18"/>
              </w:rPr>
            </w:pPr>
            <w:r>
              <w:rPr>
                <w:rFonts w:ascii="Times New Roman"/>
                <w:sz w:val="18"/>
              </w:rPr>
              <w:t>0.00%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391" w:right="0"/>
              <w:jc w:val="left"/>
              <w:rPr>
                <w:rFonts w:ascii="Times New Roman" w:hAnsi="Times New Roman" w:cs="Times New Roman" w:eastAsia="Times New Roman" w:hint="default"/>
                <w:sz w:val="18"/>
                <w:szCs w:val="18"/>
              </w:rPr>
            </w:pPr>
            <w:r>
              <w:rPr>
                <w:rFonts w:ascii="Times New Roman"/>
                <w:sz w:val="18"/>
              </w:rPr>
              <w:t>0.00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388" w:right="0"/>
              <w:jc w:val="left"/>
              <w:rPr>
                <w:rFonts w:ascii="Times New Roman" w:hAnsi="Times New Roman" w:cs="Times New Roman" w:eastAsia="Times New Roman" w:hint="default"/>
                <w:sz w:val="18"/>
                <w:szCs w:val="18"/>
              </w:rPr>
            </w:pPr>
            <w:r>
              <w:rPr>
                <w:rFonts w:ascii="Times New Roman"/>
                <w:sz w:val="18"/>
              </w:rPr>
              <w:t>0.00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388" w:right="0"/>
              <w:jc w:val="left"/>
              <w:rPr>
                <w:rFonts w:ascii="Times New Roman" w:hAnsi="Times New Roman" w:cs="Times New Roman" w:eastAsia="Times New Roman" w:hint="default"/>
                <w:sz w:val="18"/>
                <w:szCs w:val="18"/>
              </w:rPr>
            </w:pPr>
            <w:r>
              <w:rPr>
                <w:rFonts w:ascii="Times New Roman"/>
                <w:sz w:val="18"/>
              </w:rPr>
              <w:t>0.00</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4" w:lineRule="auto"/>
              <w:ind w:left="24" w:right="158"/>
              <w:jc w:val="left"/>
              <w:rPr>
                <w:rFonts w:ascii="宋体" w:hAnsi="宋体" w:cs="宋体" w:eastAsia="宋体" w:hint="default"/>
                <w:sz w:val="18"/>
                <w:szCs w:val="18"/>
              </w:rPr>
            </w:pPr>
            <w:r>
              <w:rPr>
                <w:rFonts w:ascii="宋体" w:hAnsi="宋体" w:cs="宋体" w:eastAsia="宋体" w:hint="default"/>
                <w:sz w:val="18"/>
                <w:szCs w:val="18"/>
              </w:rPr>
              <w:t>交易价 格</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388" w:right="0"/>
              <w:jc w:val="left"/>
              <w:rPr>
                <w:rFonts w:ascii="Times New Roman" w:hAnsi="Times New Roman" w:cs="Times New Roman" w:eastAsia="Times New Roman" w:hint="default"/>
                <w:sz w:val="18"/>
                <w:szCs w:val="18"/>
              </w:rPr>
            </w:pPr>
            <w:r>
              <w:rPr>
                <w:rFonts w:ascii="Times New Roman"/>
                <w:sz w:val="18"/>
              </w:rPr>
              <w:t>0.00</w:t>
            </w:r>
          </w:p>
        </w:tc>
      </w:tr>
    </w:tbl>
    <w:p>
      <w:pPr>
        <w:pStyle w:val="BodyText"/>
        <w:spacing w:line="240" w:lineRule="auto" w:before="49"/>
        <w:ind w:right="982"/>
        <w:jc w:val="left"/>
      </w:pPr>
      <w:r>
        <w:rPr/>
        <w:t>其他说明：</w:t>
      </w:r>
    </w:p>
    <w:p>
      <w:pPr>
        <w:spacing w:line="240" w:lineRule="auto" w:before="3"/>
        <w:rPr>
          <w:rFonts w:ascii="宋体" w:hAnsi="宋体" w:cs="宋体" w:eastAsia="宋体" w:hint="default"/>
          <w:sz w:val="15"/>
          <w:szCs w:val="15"/>
        </w:rPr>
      </w:pPr>
    </w:p>
    <w:p>
      <w:pPr>
        <w:pStyle w:val="BodyText"/>
        <w:spacing w:line="297" w:lineRule="auto"/>
        <w:ind w:right="1123" w:firstLine="360"/>
        <w:jc w:val="left"/>
      </w:pPr>
      <w:r>
        <w:rPr/>
        <w:t>注：本报告期，因第三方股东增资导致本公司在</w:t>
      </w:r>
      <w:r>
        <w:rPr>
          <w:rFonts w:ascii="Times New Roman" w:hAnsi="Times New Roman" w:cs="Times New Roman" w:eastAsia="Times New Roman" w:hint="default"/>
        </w:rPr>
        <w:t>Mapbar</w:t>
      </w:r>
      <w:r>
        <w:rPr>
          <w:rFonts w:ascii="Times New Roman" w:hAnsi="Times New Roman" w:cs="Times New Roman" w:eastAsia="Times New Roman" w:hint="default"/>
          <w:spacing w:val="-18"/>
        </w:rPr>
        <w:t> </w:t>
      </w:r>
      <w:r>
        <w:rPr>
          <w:rFonts w:ascii="Times New Roman" w:hAnsi="Times New Roman" w:cs="Times New Roman" w:eastAsia="Times New Roman" w:hint="default"/>
        </w:rPr>
        <w:t>Technology</w:t>
      </w:r>
      <w:r>
        <w:rPr>
          <w:rFonts w:ascii="Times New Roman" w:hAnsi="Times New Roman" w:cs="Times New Roman" w:eastAsia="Times New Roman" w:hint="default"/>
          <w:spacing w:val="-20"/>
        </w:rPr>
        <w:t> </w:t>
      </w:r>
      <w:r>
        <w:rPr>
          <w:rFonts w:ascii="Times New Roman" w:hAnsi="Times New Roman" w:cs="Times New Roman" w:eastAsia="Times New Roman" w:hint="default"/>
        </w:rPr>
        <w:t>Limited</w:t>
      </w:r>
      <w:r>
        <w:rPr/>
        <w:t>的持股比例由</w:t>
      </w:r>
      <w:r>
        <w:rPr>
          <w:rFonts w:ascii="Times New Roman" w:hAnsi="Times New Roman" w:cs="Times New Roman" w:eastAsia="Times New Roman" w:hint="default"/>
        </w:rPr>
        <w:t>60.33%</w:t>
      </w:r>
      <w:r>
        <w:rPr/>
        <w:t>减少到</w:t>
      </w:r>
      <w:r>
        <w:rPr>
          <w:rFonts w:ascii="Times New Roman" w:hAnsi="Times New Roman" w:cs="Times New Roman" w:eastAsia="Times New Roman" w:hint="default"/>
        </w:rPr>
        <w:t>46.93%</w:t>
      </w:r>
      <w:r>
        <w:rPr/>
        <w:t>，详见本 附注</w:t>
      </w:r>
      <w:r>
        <w:rPr>
          <w:rFonts w:ascii="Times New Roman" w:hAnsi="Times New Roman" w:cs="Times New Roman" w:eastAsia="Times New Roman" w:hint="default"/>
        </w:rPr>
        <w:t>“</w:t>
      </w:r>
      <w:r>
        <w:rPr/>
        <w:t>十六、</w:t>
      </w:r>
      <w:r>
        <w:rPr>
          <w:rFonts w:ascii="Times New Roman" w:hAnsi="Times New Roman" w:cs="Times New Roman" w:eastAsia="Times New Roman" w:hint="default"/>
        </w:rPr>
        <w:t>7</w:t>
      </w:r>
      <w:r>
        <w:rPr/>
        <w:t>、（</w:t>
      </w:r>
      <w:r>
        <w:rPr>
          <w:rFonts w:ascii="Times New Roman" w:hAnsi="Times New Roman" w:cs="Times New Roman" w:eastAsia="Times New Roman" w:hint="default"/>
        </w:rPr>
        <w:t>1</w:t>
      </w:r>
      <w:r>
        <w:rPr/>
        <w:t>）其他对投资者决策有影响的重要交易和事项</w:t>
      </w:r>
      <w:r>
        <w:rPr>
          <w:rFonts w:ascii="Times New Roman" w:hAnsi="Times New Roman" w:cs="Times New Roman" w:eastAsia="Times New Roman" w:hint="default"/>
        </w:rPr>
        <w:t>”</w:t>
      </w:r>
      <w:r>
        <w:rPr/>
        <w:t>所述。</w:t>
      </w:r>
    </w:p>
    <w:p>
      <w:pPr>
        <w:spacing w:line="240" w:lineRule="auto" w:before="0"/>
        <w:rPr>
          <w:rFonts w:ascii="宋体" w:hAnsi="宋体" w:cs="宋体" w:eastAsia="宋体" w:hint="default"/>
          <w:sz w:val="18"/>
          <w:szCs w:val="18"/>
        </w:rPr>
      </w:pPr>
    </w:p>
    <w:p>
      <w:pPr>
        <w:pStyle w:val="BodyText"/>
        <w:spacing w:line="240" w:lineRule="auto" w:before="133"/>
        <w:ind w:right="982"/>
        <w:jc w:val="left"/>
      </w:pPr>
      <w:r>
        <w:rPr/>
        <w:t>是否存在通过多次交易分步处置对子公司投资且在本期丧失控制权的情形</w:t>
      </w:r>
    </w:p>
    <w:p>
      <w:pPr>
        <w:pStyle w:val="BodyText"/>
        <w:spacing w:line="240" w:lineRule="auto" w:before="115"/>
        <w:ind w:right="982"/>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spacing w:line="240" w:lineRule="auto" w:before="2"/>
        <w:rPr>
          <w:rFonts w:ascii="宋体" w:hAnsi="宋体" w:cs="宋体" w:eastAsia="宋体" w:hint="default"/>
          <w:sz w:val="26"/>
          <w:szCs w:val="26"/>
        </w:rPr>
      </w:pPr>
    </w:p>
    <w:p>
      <w:pPr>
        <w:pStyle w:val="Heading4"/>
        <w:spacing w:line="240" w:lineRule="auto"/>
        <w:ind w:right="982"/>
        <w:jc w:val="left"/>
        <w:rPr>
          <w:b w:val="0"/>
          <w:bCs w:val="0"/>
        </w:rPr>
      </w:pPr>
      <w:r>
        <w:rPr>
          <w:rFonts w:ascii="Times New Roman" w:hAnsi="Times New Roman" w:cs="Times New Roman" w:eastAsia="Times New Roman" w:hint="default"/>
        </w:rPr>
        <w:t>5</w:t>
      </w:r>
      <w:r>
        <w:rPr/>
        <w:t>、其他原因的合并范围变动</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t>说明其他原因导致的合并范围变动（如，新设子公司、清算子公司等）及其相关情况：</w:t>
      </w:r>
    </w:p>
    <w:p>
      <w:pPr>
        <w:spacing w:line="240" w:lineRule="auto" w:before="3"/>
        <w:rPr>
          <w:rFonts w:ascii="宋体" w:hAnsi="宋体" w:cs="宋体" w:eastAsia="宋体" w:hint="default"/>
          <w:sz w:val="8"/>
          <w:szCs w:val="8"/>
        </w:rPr>
      </w:pPr>
    </w:p>
    <w:tbl>
      <w:tblPr>
        <w:tblW w:w="0" w:type="auto"/>
        <w:jc w:val="left"/>
        <w:tblInd w:w="145" w:type="dxa"/>
        <w:tblLayout w:type="fixed"/>
        <w:tblCellMar>
          <w:top w:w="0" w:type="dxa"/>
          <w:left w:w="0" w:type="dxa"/>
          <w:bottom w:w="0" w:type="dxa"/>
          <w:right w:w="0" w:type="dxa"/>
        </w:tblCellMar>
        <w:tblLook w:val="01E0"/>
      </w:tblPr>
      <w:tblGrid>
        <w:gridCol w:w="2946"/>
        <w:gridCol w:w="1279"/>
        <w:gridCol w:w="1589"/>
        <w:gridCol w:w="1699"/>
        <w:gridCol w:w="2127"/>
      </w:tblGrid>
      <w:tr>
        <w:trPr>
          <w:trHeight w:val="659" w:hRule="exact"/>
        </w:trPr>
        <w:tc>
          <w:tcPr>
            <w:tcW w:w="294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right="1102"/>
              <w:jc w:val="right"/>
              <w:rPr>
                <w:rFonts w:ascii="宋体" w:hAnsi="宋体" w:cs="宋体" w:eastAsia="宋体" w:hint="default"/>
                <w:sz w:val="18"/>
                <w:szCs w:val="18"/>
              </w:rPr>
            </w:pPr>
            <w:r>
              <w:rPr>
                <w:rFonts w:ascii="宋体" w:hAnsi="宋体" w:cs="宋体" w:eastAsia="宋体" w:hint="default"/>
                <w:sz w:val="18"/>
                <w:szCs w:val="18"/>
              </w:rPr>
              <w:t>公司名称</w:t>
            </w:r>
          </w:p>
        </w:tc>
        <w:tc>
          <w:tcPr>
            <w:tcW w:w="1279"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16" w:lineRule="auto" w:before="19"/>
              <w:ind w:left="271" w:right="271"/>
              <w:jc w:val="left"/>
              <w:rPr>
                <w:rFonts w:ascii="宋体" w:hAnsi="宋体" w:cs="宋体" w:eastAsia="宋体" w:hint="default"/>
                <w:sz w:val="18"/>
                <w:szCs w:val="18"/>
              </w:rPr>
            </w:pPr>
            <w:r>
              <w:rPr>
                <w:rFonts w:ascii="宋体" w:hAnsi="宋体" w:cs="宋体" w:eastAsia="宋体" w:hint="default"/>
                <w:sz w:val="18"/>
                <w:szCs w:val="18"/>
              </w:rPr>
              <w:t>合并范围 变动原因</w:t>
            </w:r>
          </w:p>
        </w:tc>
        <w:tc>
          <w:tcPr>
            <w:tcW w:w="1589"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持股比例（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699"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left="391" w:right="0"/>
              <w:jc w:val="left"/>
              <w:rPr>
                <w:rFonts w:ascii="宋体" w:hAnsi="宋体" w:cs="宋体" w:eastAsia="宋体" w:hint="default"/>
                <w:sz w:val="18"/>
                <w:szCs w:val="18"/>
              </w:rPr>
            </w:pPr>
            <w:r>
              <w:rPr>
                <w:rFonts w:ascii="宋体" w:hAnsi="宋体" w:cs="宋体" w:eastAsia="宋体" w:hint="default"/>
                <w:sz w:val="18"/>
                <w:szCs w:val="18"/>
              </w:rPr>
              <w:t>年末净资产</w:t>
            </w:r>
          </w:p>
        </w:tc>
        <w:tc>
          <w:tcPr>
            <w:tcW w:w="212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left="607" w:right="0"/>
              <w:jc w:val="left"/>
              <w:rPr>
                <w:rFonts w:ascii="宋体" w:hAnsi="宋体" w:cs="宋体" w:eastAsia="宋体" w:hint="default"/>
                <w:sz w:val="18"/>
                <w:szCs w:val="18"/>
              </w:rPr>
            </w:pPr>
            <w:r>
              <w:rPr>
                <w:rFonts w:ascii="宋体" w:hAnsi="宋体" w:cs="宋体" w:eastAsia="宋体" w:hint="default"/>
                <w:sz w:val="18"/>
                <w:szCs w:val="18"/>
              </w:rPr>
              <w:t>本年净利润</w:t>
            </w:r>
          </w:p>
        </w:tc>
      </w:tr>
      <w:tr>
        <w:trPr>
          <w:trHeight w:val="348" w:hRule="exact"/>
        </w:trPr>
        <w:tc>
          <w:tcPr>
            <w:tcW w:w="29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right="1124"/>
              <w:jc w:val="right"/>
              <w:rPr>
                <w:rFonts w:ascii="宋体" w:hAnsi="宋体" w:cs="宋体" w:eastAsia="宋体" w:hint="default"/>
                <w:sz w:val="18"/>
                <w:szCs w:val="18"/>
              </w:rPr>
            </w:pPr>
            <w:r>
              <w:rPr>
                <w:rFonts w:ascii="宋体" w:hAnsi="宋体" w:cs="宋体" w:eastAsia="宋体" w:hint="default"/>
                <w:sz w:val="18"/>
                <w:szCs w:val="18"/>
              </w:rPr>
              <w:t>北京六分科技有限公司</w:t>
            </w:r>
          </w:p>
        </w:tc>
        <w:tc>
          <w:tcPr>
            <w:tcW w:w="12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设立</w:t>
            </w:r>
          </w:p>
        </w:tc>
        <w:tc>
          <w:tcPr>
            <w:tcW w:w="15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center"/>
              <w:rPr>
                <w:rFonts w:ascii="Times New Roman" w:hAnsi="Times New Roman" w:cs="Times New Roman" w:eastAsia="Times New Roman" w:hint="default"/>
                <w:sz w:val="18"/>
                <w:szCs w:val="18"/>
              </w:rPr>
            </w:pPr>
            <w:r>
              <w:rPr>
                <w:rFonts w:ascii="Times New Roman"/>
                <w:sz w:val="18"/>
              </w:rPr>
              <w:t>60.00</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0.00</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0.00</w:t>
            </w:r>
          </w:p>
        </w:tc>
      </w:tr>
      <w:tr>
        <w:trPr>
          <w:trHeight w:val="346" w:hRule="exact"/>
        </w:trPr>
        <w:tc>
          <w:tcPr>
            <w:tcW w:w="29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right="1124"/>
              <w:jc w:val="right"/>
              <w:rPr>
                <w:rFonts w:ascii="宋体" w:hAnsi="宋体" w:cs="宋体" w:eastAsia="宋体" w:hint="default"/>
                <w:sz w:val="18"/>
                <w:szCs w:val="18"/>
              </w:rPr>
            </w:pPr>
            <w:r>
              <w:rPr>
                <w:rFonts w:ascii="宋体" w:hAnsi="宋体" w:cs="宋体" w:eastAsia="宋体" w:hint="default"/>
                <w:sz w:val="18"/>
                <w:szCs w:val="18"/>
              </w:rPr>
              <w:t>四维图新日本有限公司</w:t>
            </w:r>
          </w:p>
        </w:tc>
        <w:tc>
          <w:tcPr>
            <w:tcW w:w="12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设立</w:t>
            </w:r>
          </w:p>
        </w:tc>
        <w:tc>
          <w:tcPr>
            <w:tcW w:w="15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100.00</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0.00</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0.00</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60" w:left="980" w:right="0"/>
        </w:sectPr>
      </w:pPr>
    </w:p>
    <w:p>
      <w:pPr>
        <w:spacing w:line="240" w:lineRule="auto" w:before="6"/>
        <w:rPr>
          <w:rFonts w:ascii="宋体" w:hAnsi="宋体" w:cs="宋体" w:eastAsia="宋体" w:hint="default"/>
          <w:sz w:val="28"/>
          <w:szCs w:val="28"/>
        </w:rPr>
      </w:pPr>
    </w:p>
    <w:tbl>
      <w:tblPr>
        <w:tblW w:w="0" w:type="auto"/>
        <w:jc w:val="left"/>
        <w:tblInd w:w="145" w:type="dxa"/>
        <w:tblLayout w:type="fixed"/>
        <w:tblCellMar>
          <w:top w:w="0" w:type="dxa"/>
          <w:left w:w="0" w:type="dxa"/>
          <w:bottom w:w="0" w:type="dxa"/>
          <w:right w:w="0" w:type="dxa"/>
        </w:tblCellMar>
        <w:tblLook w:val="01E0"/>
      </w:tblPr>
      <w:tblGrid>
        <w:gridCol w:w="2946"/>
        <w:gridCol w:w="1279"/>
        <w:gridCol w:w="1589"/>
        <w:gridCol w:w="1699"/>
        <w:gridCol w:w="2127"/>
      </w:tblGrid>
      <w:tr>
        <w:trPr>
          <w:trHeight w:val="348" w:hRule="exact"/>
        </w:trPr>
        <w:tc>
          <w:tcPr>
            <w:tcW w:w="29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陕西世纪高通科技有限公司</w:t>
            </w:r>
          </w:p>
        </w:tc>
        <w:tc>
          <w:tcPr>
            <w:tcW w:w="12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设立</w:t>
            </w:r>
          </w:p>
        </w:tc>
        <w:tc>
          <w:tcPr>
            <w:tcW w:w="15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100.00</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Times New Roman" w:hAnsi="Times New Roman" w:cs="Times New Roman" w:eastAsia="Times New Roman" w:hint="default"/>
                <w:sz w:val="18"/>
                <w:szCs w:val="18"/>
              </w:rPr>
            </w:pPr>
            <w:r>
              <w:rPr>
                <w:rFonts w:ascii="Times New Roman"/>
                <w:spacing w:val="-1"/>
                <w:sz w:val="18"/>
              </w:rPr>
              <w:t>-5,117,239.49</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-117,239.49</w:t>
            </w:r>
          </w:p>
        </w:tc>
      </w:tr>
      <w:tr>
        <w:trPr>
          <w:trHeight w:val="346" w:hRule="exact"/>
        </w:trPr>
        <w:tc>
          <w:tcPr>
            <w:tcW w:w="29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西安四维图新实业有限公司</w:t>
            </w:r>
          </w:p>
        </w:tc>
        <w:tc>
          <w:tcPr>
            <w:tcW w:w="12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注销</w:t>
            </w:r>
          </w:p>
        </w:tc>
        <w:tc>
          <w:tcPr>
            <w:tcW w:w="15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100.00</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0.00</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-6,664.72</w:t>
            </w:r>
          </w:p>
        </w:tc>
      </w:tr>
    </w:tbl>
    <w:p>
      <w:pPr>
        <w:spacing w:line="240" w:lineRule="auto" w:before="5"/>
        <w:rPr>
          <w:rFonts w:ascii="宋体" w:hAnsi="宋体" w:cs="宋体" w:eastAsia="宋体" w:hint="default"/>
          <w:sz w:val="6"/>
          <w:szCs w:val="6"/>
        </w:rPr>
      </w:pPr>
    </w:p>
    <w:p>
      <w:pPr>
        <w:pStyle w:val="BodyText"/>
        <w:spacing w:line="300" w:lineRule="auto" w:before="44"/>
        <w:ind w:right="1128" w:firstLine="360"/>
        <w:jc w:val="both"/>
      </w:pPr>
      <w:r>
        <w:rPr/>
        <w:t>北京六分科技有限公司成立于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23</w:t>
      </w:r>
      <w:r>
        <w:rPr/>
        <w:t>日，是由本公司与宁波梅山保税港区嘉业投资管理合伙企业（有限合伙）共 </w:t>
      </w:r>
      <w:r>
        <w:rPr>
          <w:spacing w:val="-1"/>
        </w:rPr>
        <w:t>同出资设立的子公司，注册资本为</w:t>
      </w:r>
      <w:r>
        <w:rPr>
          <w:rFonts w:ascii="Times New Roman" w:hAnsi="Times New Roman" w:cs="Times New Roman" w:eastAsia="Times New Roman" w:hint="default"/>
          <w:spacing w:val="-1"/>
        </w:rPr>
        <w:t>500.00</w:t>
      </w:r>
      <w:r>
        <w:rPr>
          <w:spacing w:val="-1"/>
        </w:rPr>
        <w:t>万元，其中本公司应出资</w:t>
      </w:r>
      <w:r>
        <w:rPr>
          <w:rFonts w:ascii="Times New Roman" w:hAnsi="Times New Roman" w:cs="Times New Roman" w:eastAsia="Times New Roman" w:hint="default"/>
          <w:spacing w:val="-1"/>
        </w:rPr>
        <w:t>300.00</w:t>
      </w:r>
      <w:r>
        <w:rPr>
          <w:spacing w:val="-1"/>
        </w:rPr>
        <w:t>万元</w:t>
      </w:r>
      <w:r>
        <w:rPr>
          <w:rFonts w:ascii="Times New Roman" w:hAnsi="Times New Roman" w:cs="Times New Roman" w:eastAsia="Times New Roman" w:hint="default"/>
          <w:spacing w:val="-1"/>
        </w:rPr>
        <w:t>,</w:t>
      </w:r>
      <w:r>
        <w:rPr>
          <w:spacing w:val="-1"/>
        </w:rPr>
        <w:t>持股比例为</w:t>
      </w:r>
      <w:r>
        <w:rPr>
          <w:rFonts w:ascii="Times New Roman" w:hAnsi="Times New Roman" w:cs="Times New Roman" w:eastAsia="Times New Roman" w:hint="default"/>
          <w:spacing w:val="-1"/>
        </w:rPr>
        <w:t>60.00%</w:t>
      </w:r>
      <w:r>
        <w:rPr>
          <w:spacing w:val="-1"/>
        </w:rPr>
        <w:t>。截至</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12</w:t>
      </w:r>
      <w:r>
        <w:rPr>
          <w:spacing w:val="-1"/>
        </w:rPr>
        <w:t>月</w:t>
      </w:r>
      <w:r>
        <w:rPr>
          <w:rFonts w:ascii="Times New Roman" w:hAnsi="Times New Roman" w:cs="Times New Roman" w:eastAsia="Times New Roman" w:hint="default"/>
          <w:spacing w:val="-1"/>
        </w:rPr>
        <w:t>31</w:t>
      </w:r>
      <w:r>
        <w:rPr>
          <w:spacing w:val="-1"/>
        </w:rPr>
        <w:t>日，本</w:t>
      </w:r>
      <w:r>
        <w:rPr>
          <w:spacing w:val="-85"/>
        </w:rPr>
        <w:t> </w:t>
      </w:r>
      <w:r>
        <w:rPr>
          <w:spacing w:val="-85"/>
        </w:rPr>
      </w:r>
      <w:r>
        <w:rPr/>
        <w:t>公司尚未实际缴付出资。</w:t>
      </w:r>
    </w:p>
    <w:p>
      <w:pPr>
        <w:pStyle w:val="BodyText"/>
        <w:spacing w:line="300" w:lineRule="auto" w:before="151"/>
        <w:ind w:right="1128" w:firstLine="360"/>
        <w:jc w:val="both"/>
      </w:pPr>
      <w:r>
        <w:rPr>
          <w:spacing w:val="-1"/>
        </w:rPr>
        <w:t>四维图新日本有限公司成立于</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11</w:t>
      </w:r>
      <w:r>
        <w:rPr>
          <w:spacing w:val="-1"/>
        </w:rPr>
        <w:t>月</w:t>
      </w:r>
      <w:r>
        <w:rPr>
          <w:rFonts w:ascii="Times New Roman" w:hAnsi="Times New Roman" w:cs="Times New Roman" w:eastAsia="Times New Roman" w:hint="default"/>
          <w:spacing w:val="-1"/>
        </w:rPr>
        <w:t>14</w:t>
      </w:r>
      <w:r>
        <w:rPr>
          <w:spacing w:val="-1"/>
        </w:rPr>
        <w:t>日，是本公司于日本全资设立的子公司，注册资本为</w:t>
      </w:r>
      <w:r>
        <w:rPr>
          <w:rFonts w:ascii="Times New Roman" w:hAnsi="Times New Roman" w:cs="Times New Roman" w:eastAsia="Times New Roman" w:hint="default"/>
          <w:spacing w:val="-1"/>
        </w:rPr>
        <w:t>500.00</w:t>
      </w:r>
      <w:r>
        <w:rPr>
          <w:spacing w:val="-1"/>
        </w:rPr>
        <w:t>万美元（折合人</w:t>
      </w:r>
      <w:r>
        <w:rPr/>
        <w:t> 民币</w:t>
      </w:r>
      <w:r>
        <w:rPr>
          <w:rFonts w:ascii="Times New Roman" w:hAnsi="Times New Roman" w:cs="Times New Roman" w:eastAsia="Times New Roman" w:hint="default"/>
        </w:rPr>
        <w:t>3,465</w:t>
      </w:r>
      <w:r>
        <w:rPr/>
        <w:t>万元），截至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日，本公司尚未实际缴付出资。</w:t>
      </w:r>
    </w:p>
    <w:p>
      <w:pPr>
        <w:pStyle w:val="BodyText"/>
        <w:spacing w:line="300" w:lineRule="auto" w:before="133"/>
        <w:ind w:right="1134" w:firstLine="360"/>
        <w:jc w:val="both"/>
      </w:pPr>
      <w:r>
        <w:rPr/>
        <w:t>陕西世纪高通科技有限公司成立于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27</w:t>
      </w:r>
      <w:r>
        <w:rPr/>
        <w:t>日，是由本公司下属子公司北京世纪高通科技有限公司出资设立的全资 子公司，注册资本为人民币</w:t>
      </w:r>
      <w:r>
        <w:rPr>
          <w:rFonts w:ascii="Times New Roman" w:hAnsi="Times New Roman" w:cs="Times New Roman" w:eastAsia="Times New Roman" w:hint="default"/>
        </w:rPr>
        <w:t>500.00</w:t>
      </w:r>
      <w:r>
        <w:rPr/>
        <w:t>万元，截至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日，北京世纪高通科技有限公司已全部实际缴付完成。</w:t>
      </w:r>
    </w:p>
    <w:p>
      <w:pPr>
        <w:pStyle w:val="BodyText"/>
        <w:spacing w:line="300" w:lineRule="auto" w:before="133"/>
        <w:ind w:right="1134" w:firstLine="360"/>
        <w:jc w:val="both"/>
      </w:pPr>
      <w:r>
        <w:rPr/>
        <w:t>西安四维图新实业有限公司已于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13</w:t>
      </w:r>
      <w:r>
        <w:rPr/>
        <w:t>日完成清算手续，并已取得由西安市工商管理局出具的《准予注销登记通 知书》（（西工商航天）登记内销字 </w:t>
      </w:r>
      <w:r>
        <w:rPr>
          <w:rFonts w:ascii="Times New Roman" w:hAnsi="Times New Roman" w:cs="Times New Roman" w:eastAsia="Times New Roman" w:hint="default"/>
        </w:rPr>
        <w:t>[2018]</w:t>
      </w:r>
      <w:r>
        <w:rPr>
          <w:rFonts w:ascii="Times New Roman" w:hAnsi="Times New Roman" w:cs="Times New Roman" w:eastAsia="Times New Roman" w:hint="default"/>
          <w:spacing w:val="3"/>
        </w:rPr>
        <w:t> </w:t>
      </w:r>
      <w:r>
        <w:rPr/>
        <w:t>第</w:t>
      </w:r>
      <w:r>
        <w:rPr>
          <w:rFonts w:ascii="Times New Roman" w:hAnsi="Times New Roman" w:cs="Times New Roman" w:eastAsia="Times New Roman" w:hint="default"/>
        </w:rPr>
        <w:t>000045</w:t>
      </w:r>
      <w:r>
        <w:rPr/>
        <w:t>号），准予其注销登记。</w:t>
      </w:r>
    </w:p>
    <w:p>
      <w:pPr>
        <w:spacing w:line="240" w:lineRule="auto" w:before="4"/>
        <w:rPr>
          <w:rFonts w:ascii="宋体" w:hAnsi="宋体" w:cs="宋体" w:eastAsia="宋体" w:hint="default"/>
          <w:sz w:val="22"/>
          <w:szCs w:val="22"/>
        </w:rPr>
      </w:pPr>
    </w:p>
    <w:p>
      <w:pPr>
        <w:pStyle w:val="Heading4"/>
        <w:spacing w:line="240" w:lineRule="auto"/>
        <w:ind w:right="982"/>
        <w:jc w:val="left"/>
        <w:rPr>
          <w:b w:val="0"/>
          <w:bCs w:val="0"/>
        </w:rPr>
      </w:pPr>
      <w:r>
        <w:rPr>
          <w:rFonts w:ascii="Times New Roman" w:hAnsi="Times New Roman" w:cs="Times New Roman" w:eastAsia="Times New Roman" w:hint="default"/>
        </w:rPr>
        <w:t>6</w:t>
      </w:r>
      <w:r>
        <w:rPr/>
        <w:t>、其他</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3"/>
        <w:rPr>
          <w:rFonts w:ascii="宋体" w:hAnsi="宋体" w:cs="宋体" w:eastAsia="宋体" w:hint="default"/>
          <w:sz w:val="25"/>
          <w:szCs w:val="25"/>
        </w:rPr>
      </w:pPr>
    </w:p>
    <w:p>
      <w:pPr>
        <w:pStyle w:val="Heading2"/>
        <w:spacing w:line="240" w:lineRule="auto"/>
        <w:ind w:right="982"/>
        <w:jc w:val="left"/>
        <w:rPr>
          <w:b w:val="0"/>
          <w:bCs w:val="0"/>
        </w:rPr>
      </w:pPr>
      <w:r>
        <w:rPr/>
        <w:t>九、在其他主体中的权益</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right="982"/>
        <w:jc w:val="left"/>
        <w:rPr>
          <w:b w:val="0"/>
          <w:bCs w:val="0"/>
        </w:rPr>
      </w:pPr>
      <w:r>
        <w:rPr>
          <w:rFonts w:ascii="Times New Roman" w:hAnsi="Times New Roman" w:cs="Times New Roman" w:eastAsia="Times New Roman" w:hint="default"/>
        </w:rPr>
        <w:t>1</w:t>
      </w:r>
      <w:r>
        <w:rPr/>
        <w:t>、在子公司中的权益</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2"/>
        <w:jc w:val="left"/>
        <w:rPr>
          <w:b w:val="0"/>
          <w:bCs w:val="0"/>
        </w:rPr>
      </w:pPr>
      <w:r>
        <w:rPr/>
        <w:t>（</w:t>
      </w:r>
      <w:r>
        <w:rPr>
          <w:rFonts w:ascii="Times New Roman" w:hAnsi="Times New Roman" w:cs="Times New Roman" w:eastAsia="Times New Roman" w:hint="default"/>
        </w:rPr>
        <w:t>1</w:t>
      </w:r>
      <w:r>
        <w:rPr/>
        <w:t>）企业集团的构成</w:t>
      </w:r>
      <w:r>
        <w:rPr>
          <w:b w:val="0"/>
          <w:bCs w:val="0"/>
        </w:rPr>
      </w:r>
    </w:p>
    <w:p>
      <w:pPr>
        <w:spacing w:line="240" w:lineRule="auto" w:before="9"/>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1371"/>
        <w:gridCol w:w="1368"/>
        <w:gridCol w:w="1366"/>
        <w:gridCol w:w="1368"/>
        <w:gridCol w:w="1368"/>
        <w:gridCol w:w="1366"/>
        <w:gridCol w:w="1366"/>
      </w:tblGrid>
      <w:tr>
        <w:trPr>
          <w:trHeight w:val="401" w:hRule="exact"/>
        </w:trPr>
        <w:tc>
          <w:tcPr>
            <w:tcW w:w="137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230"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227"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408"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321"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持股比例</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取得方式</w:t>
            </w:r>
          </w:p>
        </w:tc>
      </w:tr>
      <w:tr>
        <w:trPr>
          <w:trHeight w:val="403" w:hRule="exact"/>
        </w:trPr>
        <w:tc>
          <w:tcPr>
            <w:tcW w:w="1371"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6"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直接</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间接</w:t>
            </w:r>
          </w:p>
        </w:tc>
        <w:tc>
          <w:tcPr>
            <w:tcW w:w="1366" w:type="dxa"/>
            <w:vMerge/>
            <w:tcBorders>
              <w:left w:val="single" w:sz="4" w:space="0" w:color="000000"/>
              <w:bottom w:val="single" w:sz="4" w:space="0" w:color="000000"/>
              <w:right w:val="single" w:sz="4" w:space="0" w:color="000000"/>
            </w:tcBorders>
            <w:shd w:val="clear" w:color="auto" w:fill="D2D2D2"/>
          </w:tcPr>
          <w:p>
            <w:pPr/>
          </w:p>
        </w:tc>
      </w:tr>
      <w:tr>
        <w:trPr>
          <w:trHeight w:val="1025"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49"/>
              <w:ind w:left="24" w:right="75"/>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北京图新经纬 导航系统有限公 司</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4" w:lineRule="auto"/>
              <w:ind w:left="26" w:right="70"/>
              <w:jc w:val="left"/>
              <w:rPr>
                <w:rFonts w:ascii="宋体" w:hAnsi="宋体" w:cs="宋体" w:eastAsia="宋体" w:hint="default"/>
                <w:sz w:val="18"/>
                <w:szCs w:val="18"/>
              </w:rPr>
            </w:pPr>
            <w:r>
              <w:rPr>
                <w:rFonts w:ascii="宋体" w:hAnsi="宋体" w:cs="宋体" w:eastAsia="宋体" w:hint="default"/>
                <w:sz w:val="18"/>
                <w:szCs w:val="18"/>
              </w:rPr>
              <w:t>导航电子地图销 售</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51.00%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5"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4" w:right="118"/>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上海纳维信息 技术有限公司</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6" w:right="70"/>
              <w:jc w:val="left"/>
              <w:rPr>
                <w:rFonts w:ascii="宋体" w:hAnsi="宋体" w:cs="宋体" w:eastAsia="宋体" w:hint="default"/>
                <w:sz w:val="18"/>
                <w:szCs w:val="18"/>
              </w:rPr>
            </w:pPr>
            <w:r>
              <w:rPr>
                <w:rFonts w:ascii="宋体" w:hAnsi="宋体" w:cs="宋体" w:eastAsia="宋体" w:hint="default"/>
                <w:sz w:val="18"/>
                <w:szCs w:val="18"/>
              </w:rPr>
              <w:t>导航电子地图销 售</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3"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97" w:lineRule="auto" w:before="49"/>
              <w:ind w:left="24" w:right="118"/>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北京四维图新 科技有限公司</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6" w:right="70"/>
              <w:jc w:val="left"/>
              <w:rPr>
                <w:rFonts w:ascii="宋体" w:hAnsi="宋体" w:cs="宋体" w:eastAsia="宋体" w:hint="default"/>
                <w:sz w:val="18"/>
                <w:szCs w:val="18"/>
              </w:rPr>
            </w:pPr>
            <w:r>
              <w:rPr>
                <w:rFonts w:ascii="宋体" w:hAnsi="宋体" w:cs="宋体" w:eastAsia="宋体" w:hint="default"/>
                <w:sz w:val="18"/>
                <w:szCs w:val="18"/>
              </w:rPr>
              <w:t>导航电子地图技 术开发</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6"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4" w:right="118"/>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北京世纪高通 科技有限公司</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6" w:right="70"/>
              <w:jc w:val="left"/>
              <w:rPr>
                <w:rFonts w:ascii="宋体" w:hAnsi="宋体" w:cs="宋体" w:eastAsia="宋体" w:hint="default"/>
                <w:sz w:val="18"/>
                <w:szCs w:val="18"/>
              </w:rPr>
            </w:pPr>
            <w:r>
              <w:rPr>
                <w:rFonts w:ascii="宋体" w:hAnsi="宋体" w:cs="宋体" w:eastAsia="宋体" w:hint="default"/>
                <w:sz w:val="18"/>
                <w:szCs w:val="18"/>
              </w:rPr>
              <w:t>动态交通信息服 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90.00%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71"/>
              <w:jc w:val="left"/>
              <w:rPr>
                <w:rFonts w:ascii="宋体" w:hAnsi="宋体" w:cs="宋体" w:eastAsia="宋体" w:hint="default"/>
                <w:sz w:val="18"/>
                <w:szCs w:val="18"/>
              </w:rPr>
            </w:pPr>
            <w:r>
              <w:rPr>
                <w:rFonts w:ascii="宋体" w:hAnsi="宋体" w:cs="宋体" w:eastAsia="宋体" w:hint="default"/>
                <w:sz w:val="18"/>
                <w:szCs w:val="18"/>
              </w:rPr>
              <w:t>非同一控制下企 业合并</w:t>
            </w:r>
          </w:p>
        </w:tc>
      </w:tr>
      <w:tr>
        <w:trPr>
          <w:trHeight w:val="713"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97" w:lineRule="auto" w:before="49"/>
              <w:ind w:left="24" w:right="118"/>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四维图新（香 港）有限公司</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6" w:right="70"/>
              <w:jc w:val="left"/>
              <w:rPr>
                <w:rFonts w:ascii="宋体" w:hAnsi="宋体" w:cs="宋体" w:eastAsia="宋体" w:hint="default"/>
                <w:sz w:val="18"/>
                <w:szCs w:val="18"/>
              </w:rPr>
            </w:pPr>
            <w:r>
              <w:rPr>
                <w:rFonts w:ascii="宋体" w:hAnsi="宋体" w:cs="宋体" w:eastAsia="宋体" w:hint="default"/>
                <w:sz w:val="18"/>
                <w:szCs w:val="18"/>
              </w:rPr>
              <w:t>导航电子地图产 品与技术开发</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1027"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24" w:right="75"/>
              <w:jc w:val="both"/>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上海四维图新 信息技术有限公 司</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26" w:right="70"/>
              <w:jc w:val="left"/>
              <w:rPr>
                <w:rFonts w:ascii="宋体" w:hAnsi="宋体" w:cs="宋体" w:eastAsia="宋体" w:hint="default"/>
                <w:sz w:val="18"/>
                <w:szCs w:val="18"/>
              </w:rPr>
            </w:pPr>
            <w:r>
              <w:rPr>
                <w:rFonts w:ascii="宋体" w:hAnsi="宋体" w:cs="宋体" w:eastAsia="宋体" w:hint="default"/>
                <w:sz w:val="18"/>
                <w:szCs w:val="18"/>
              </w:rPr>
              <w:t>计算机软件开发 服务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3"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68"/>
              <w:ind w:left="24" w:right="75"/>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西安四维图新 信息技术有限公</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西安</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西安</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6" w:right="70"/>
              <w:jc w:val="left"/>
              <w:rPr>
                <w:rFonts w:ascii="宋体" w:hAnsi="宋体" w:cs="宋体" w:eastAsia="宋体" w:hint="default"/>
                <w:sz w:val="18"/>
                <w:szCs w:val="18"/>
              </w:rPr>
            </w:pPr>
            <w:r>
              <w:rPr>
                <w:rFonts w:ascii="宋体" w:hAnsi="宋体" w:cs="宋体" w:eastAsia="宋体" w:hint="default"/>
                <w:sz w:val="18"/>
                <w:szCs w:val="18"/>
              </w:rPr>
              <w:t>信息技术产品开 发</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b/>
          <w:bCs/>
          <w:sz w:val="28"/>
          <w:szCs w:val="28"/>
        </w:rPr>
      </w:pPr>
    </w:p>
    <w:tbl>
      <w:tblPr>
        <w:tblW w:w="0" w:type="auto"/>
        <w:jc w:val="left"/>
        <w:tblInd w:w="148" w:type="dxa"/>
        <w:tblLayout w:type="fixed"/>
        <w:tblCellMar>
          <w:top w:w="0" w:type="dxa"/>
          <w:left w:w="0" w:type="dxa"/>
          <w:bottom w:w="0" w:type="dxa"/>
          <w:right w:w="0" w:type="dxa"/>
        </w:tblCellMar>
        <w:tblLook w:val="01E0"/>
      </w:tblPr>
      <w:tblGrid>
        <w:gridCol w:w="1371"/>
        <w:gridCol w:w="1368"/>
        <w:gridCol w:w="1366"/>
        <w:gridCol w:w="1368"/>
        <w:gridCol w:w="1368"/>
        <w:gridCol w:w="1366"/>
        <w:gridCol w:w="1366"/>
      </w:tblGrid>
      <w:tr>
        <w:trPr>
          <w:trHeight w:val="363"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司</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24" w:right="75"/>
              <w:jc w:val="both"/>
              <w:rPr>
                <w:rFonts w:ascii="宋体" w:hAnsi="宋体" w:cs="宋体" w:eastAsia="宋体" w:hint="default"/>
                <w:sz w:val="18"/>
                <w:szCs w:val="18"/>
              </w:rPr>
            </w:pPr>
            <w:r>
              <w:rPr>
                <w:rFonts w:ascii="Times New Roman" w:hAnsi="Times New Roman" w:cs="Times New Roman" w:eastAsia="Times New Roman" w:hint="default"/>
                <w:sz w:val="18"/>
                <w:szCs w:val="18"/>
              </w:rPr>
              <w:t>8.</w:t>
            </w:r>
            <w:r>
              <w:rPr>
                <w:rFonts w:ascii="宋体" w:hAnsi="宋体" w:cs="宋体" w:eastAsia="宋体" w:hint="default"/>
                <w:sz w:val="18"/>
                <w:szCs w:val="18"/>
              </w:rPr>
              <w:t>中交宇科（北 京）空间信息技 术有限公司</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6" w:right="0"/>
              <w:jc w:val="left"/>
              <w:rPr>
                <w:rFonts w:ascii="宋体" w:hAnsi="宋体" w:cs="宋体" w:eastAsia="宋体" w:hint="default"/>
                <w:sz w:val="18"/>
                <w:szCs w:val="18"/>
              </w:rPr>
            </w:pPr>
            <w:r>
              <w:rPr>
                <w:rFonts w:ascii="宋体" w:hAnsi="宋体" w:cs="宋体" w:eastAsia="宋体" w:hint="default"/>
                <w:sz w:val="18"/>
                <w:szCs w:val="18"/>
              </w:rPr>
              <w:t>勘察测绘</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51.98%</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23" w:right="71"/>
              <w:jc w:val="left"/>
              <w:rPr>
                <w:rFonts w:ascii="宋体" w:hAnsi="宋体" w:cs="宋体" w:eastAsia="宋体" w:hint="default"/>
                <w:sz w:val="18"/>
                <w:szCs w:val="18"/>
              </w:rPr>
            </w:pPr>
            <w:r>
              <w:rPr>
                <w:rFonts w:ascii="宋体" w:hAnsi="宋体" w:cs="宋体" w:eastAsia="宋体" w:hint="default"/>
                <w:sz w:val="18"/>
                <w:szCs w:val="18"/>
              </w:rPr>
              <w:t>非同一控制下企 业合并</w:t>
            </w:r>
          </w:p>
        </w:tc>
      </w:tr>
      <w:tr>
        <w:trPr>
          <w:trHeight w:val="1027"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24" w:right="75"/>
              <w:jc w:val="both"/>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宋体" w:hAnsi="宋体" w:cs="宋体" w:eastAsia="宋体" w:hint="default"/>
                <w:sz w:val="18"/>
                <w:szCs w:val="18"/>
              </w:rPr>
              <w:t>北京图迅丰达 信息技术有限公 司</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6" w:right="70"/>
              <w:jc w:val="both"/>
              <w:rPr>
                <w:rFonts w:ascii="宋体" w:hAnsi="宋体" w:cs="宋体" w:eastAsia="宋体" w:hint="default"/>
                <w:sz w:val="18"/>
                <w:szCs w:val="18"/>
              </w:rPr>
            </w:pPr>
            <w:r>
              <w:rPr>
                <w:rFonts w:ascii="宋体" w:hAnsi="宋体" w:cs="宋体" w:eastAsia="宋体" w:hint="default"/>
                <w:sz w:val="18"/>
                <w:szCs w:val="18"/>
              </w:rPr>
              <w:t>车载导航地图系 统的技术开发及 服务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51.00%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3"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4" w:right="26"/>
              <w:jc w:val="left"/>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宋体" w:hAnsi="宋体" w:cs="宋体" w:eastAsia="宋体" w:hint="default"/>
                <w:sz w:val="18"/>
                <w:szCs w:val="18"/>
              </w:rPr>
              <w:t>中寰卫星导航</w:t>
            </w:r>
            <w:r>
              <w:rPr>
                <w:rFonts w:ascii="宋体" w:hAnsi="宋体" w:cs="宋体" w:eastAsia="宋体" w:hint="default"/>
                <w:spacing w:val="-87"/>
                <w:sz w:val="18"/>
                <w:szCs w:val="18"/>
              </w:rPr>
              <w:t> </w:t>
            </w:r>
            <w:r>
              <w:rPr>
                <w:rFonts w:ascii="宋体" w:hAnsi="宋体" w:cs="宋体" w:eastAsia="宋体" w:hint="default"/>
                <w:sz w:val="18"/>
                <w:szCs w:val="18"/>
              </w:rPr>
              <w:t>通信有限公司</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6" w:right="70"/>
              <w:jc w:val="left"/>
              <w:rPr>
                <w:rFonts w:ascii="宋体" w:hAnsi="宋体" w:cs="宋体" w:eastAsia="宋体" w:hint="default"/>
                <w:sz w:val="18"/>
                <w:szCs w:val="18"/>
              </w:rPr>
            </w:pPr>
            <w:r>
              <w:rPr>
                <w:rFonts w:ascii="宋体" w:hAnsi="宋体" w:cs="宋体" w:eastAsia="宋体" w:hint="default"/>
                <w:sz w:val="18"/>
                <w:szCs w:val="18"/>
              </w:rPr>
              <w:t>车载定位系统及 监控服务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47.88%</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71"/>
              <w:jc w:val="left"/>
              <w:rPr>
                <w:rFonts w:ascii="宋体" w:hAnsi="宋体" w:cs="宋体" w:eastAsia="宋体" w:hint="default"/>
                <w:sz w:val="18"/>
                <w:szCs w:val="18"/>
              </w:rPr>
            </w:pPr>
            <w:r>
              <w:rPr>
                <w:rFonts w:ascii="宋体" w:hAnsi="宋体" w:cs="宋体" w:eastAsia="宋体" w:hint="default"/>
                <w:sz w:val="18"/>
                <w:szCs w:val="18"/>
              </w:rPr>
              <w:t>同一控制下企业 合并</w:t>
            </w:r>
          </w:p>
        </w:tc>
      </w:tr>
      <w:tr>
        <w:trPr>
          <w:trHeight w:val="716"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4" w:right="33"/>
              <w:jc w:val="left"/>
              <w:rPr>
                <w:rFonts w:ascii="宋体" w:hAnsi="宋体" w:cs="宋体" w:eastAsia="宋体" w:hint="default"/>
                <w:sz w:val="18"/>
                <w:szCs w:val="18"/>
              </w:rPr>
            </w:pPr>
            <w:r>
              <w:rPr>
                <w:rFonts w:ascii="Times New Roman" w:hAnsi="Times New Roman" w:cs="Times New Roman" w:eastAsia="Times New Roman" w:hint="default"/>
                <w:sz w:val="18"/>
                <w:szCs w:val="18"/>
              </w:rPr>
              <w:t>11.</w:t>
            </w:r>
            <w:r>
              <w:rPr>
                <w:rFonts w:ascii="宋体" w:hAnsi="宋体" w:cs="宋体" w:eastAsia="宋体" w:hint="default"/>
                <w:sz w:val="18"/>
                <w:szCs w:val="18"/>
              </w:rPr>
              <w:t>长沙市海图科 技有限公司</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长沙</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长沙</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6" w:right="70"/>
              <w:jc w:val="left"/>
              <w:rPr>
                <w:rFonts w:ascii="宋体" w:hAnsi="宋体" w:cs="宋体" w:eastAsia="宋体" w:hint="default"/>
                <w:sz w:val="18"/>
                <w:szCs w:val="18"/>
              </w:rPr>
            </w:pPr>
            <w:r>
              <w:rPr>
                <w:rFonts w:ascii="宋体" w:hAnsi="宋体" w:cs="宋体" w:eastAsia="宋体" w:hint="default"/>
                <w:sz w:val="18"/>
                <w:szCs w:val="18"/>
              </w:rPr>
              <w:t>地理信息系统的 研发及技术服务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51.00%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780" w:right="0"/>
              <w:jc w:val="left"/>
              <w:rPr>
                <w:rFonts w:ascii="Times New Roman" w:hAnsi="Times New Roman" w:cs="Times New Roman" w:eastAsia="Times New Roman" w:hint="default"/>
                <w:sz w:val="18"/>
                <w:szCs w:val="18"/>
              </w:rPr>
            </w:pPr>
            <w:r>
              <w:rPr>
                <w:rFonts w:ascii="Times New Roman"/>
                <w:sz w:val="18"/>
              </w:rPr>
              <w:t>34.03%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71"/>
              <w:jc w:val="left"/>
              <w:rPr>
                <w:rFonts w:ascii="宋体" w:hAnsi="宋体" w:cs="宋体" w:eastAsia="宋体" w:hint="default"/>
                <w:sz w:val="18"/>
                <w:szCs w:val="18"/>
              </w:rPr>
            </w:pPr>
            <w:r>
              <w:rPr>
                <w:rFonts w:ascii="宋体" w:hAnsi="宋体" w:cs="宋体" w:eastAsia="宋体" w:hint="default"/>
                <w:sz w:val="18"/>
                <w:szCs w:val="18"/>
              </w:rPr>
              <w:t>非同一控制下企 业合并</w:t>
            </w:r>
          </w:p>
        </w:tc>
      </w:tr>
      <w:tr>
        <w:trPr>
          <w:trHeight w:val="713"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4" w:right="26"/>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宋体" w:hAnsi="宋体" w:cs="宋体" w:eastAsia="宋体" w:hint="default"/>
                <w:sz w:val="18"/>
                <w:szCs w:val="18"/>
              </w:rPr>
              <w:t>武汉四维图新</w:t>
            </w:r>
            <w:r>
              <w:rPr>
                <w:rFonts w:ascii="宋体" w:hAnsi="宋体" w:cs="宋体" w:eastAsia="宋体" w:hint="default"/>
                <w:spacing w:val="-87"/>
                <w:sz w:val="18"/>
                <w:szCs w:val="18"/>
              </w:rPr>
              <w:t> </w:t>
            </w:r>
            <w:r>
              <w:rPr>
                <w:rFonts w:ascii="宋体" w:hAnsi="宋体" w:cs="宋体" w:eastAsia="宋体" w:hint="default"/>
                <w:sz w:val="18"/>
                <w:szCs w:val="18"/>
              </w:rPr>
              <w:t>科技有限公司</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武汉</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武汉</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6" w:right="70"/>
              <w:jc w:val="left"/>
              <w:rPr>
                <w:rFonts w:ascii="宋体" w:hAnsi="宋体" w:cs="宋体" w:eastAsia="宋体" w:hint="default"/>
                <w:sz w:val="18"/>
                <w:szCs w:val="18"/>
              </w:rPr>
            </w:pPr>
            <w:r>
              <w:rPr>
                <w:rFonts w:ascii="宋体" w:hAnsi="宋体" w:cs="宋体" w:eastAsia="宋体" w:hint="default"/>
                <w:sz w:val="18"/>
                <w:szCs w:val="18"/>
              </w:rPr>
              <w:t>导航电子地图技 术开发</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1027"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00" w:lineRule="auto"/>
              <w:ind w:left="24" w:right="117"/>
              <w:jc w:val="left"/>
              <w:rPr>
                <w:rFonts w:ascii="宋体" w:hAnsi="宋体" w:cs="宋体" w:eastAsia="宋体" w:hint="default"/>
                <w:sz w:val="18"/>
                <w:szCs w:val="18"/>
              </w:rPr>
            </w:pP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四维图新新 加坡有限公司</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新加坡</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新加坡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6" w:right="70"/>
              <w:jc w:val="both"/>
              <w:rPr>
                <w:rFonts w:ascii="宋体" w:hAnsi="宋体" w:cs="宋体" w:eastAsia="宋体" w:hint="default"/>
                <w:sz w:val="18"/>
                <w:szCs w:val="18"/>
              </w:rPr>
            </w:pPr>
            <w:r>
              <w:rPr>
                <w:rFonts w:ascii="宋体" w:hAnsi="宋体" w:cs="宋体" w:eastAsia="宋体" w:hint="default"/>
                <w:sz w:val="18"/>
                <w:szCs w:val="18"/>
              </w:rPr>
              <w:t>导航电子地图开 发和销售及车联 网业务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3"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4" w:right="163"/>
              <w:jc w:val="left"/>
              <w:rPr>
                <w:rFonts w:ascii="Times New Roman" w:hAnsi="Times New Roman" w:cs="Times New Roman" w:eastAsia="Times New Roman" w:hint="default"/>
                <w:sz w:val="18"/>
                <w:szCs w:val="18"/>
              </w:rPr>
            </w:pPr>
            <w:r>
              <w:rPr>
                <w:rFonts w:ascii="Times New Roman"/>
                <w:sz w:val="18"/>
              </w:rPr>
              <w:t>14.Co?peratieve NavInfo</w:t>
            </w:r>
            <w:r>
              <w:rPr>
                <w:rFonts w:ascii="Times New Roman"/>
                <w:spacing w:val="-7"/>
                <w:sz w:val="18"/>
              </w:rPr>
              <w:t> </w:t>
            </w:r>
            <w:r>
              <w:rPr>
                <w:rFonts w:ascii="Times New Roman"/>
                <w:sz w:val="18"/>
              </w:rPr>
              <w:t>U.A.</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荷兰</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荷兰</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6" w:right="70"/>
              <w:jc w:val="left"/>
              <w:rPr>
                <w:rFonts w:ascii="宋体" w:hAnsi="宋体" w:cs="宋体" w:eastAsia="宋体" w:hint="default"/>
                <w:sz w:val="18"/>
                <w:szCs w:val="18"/>
              </w:rPr>
            </w:pPr>
            <w:r>
              <w:rPr>
                <w:rFonts w:ascii="宋体" w:hAnsi="宋体" w:cs="宋体" w:eastAsia="宋体" w:hint="default"/>
                <w:sz w:val="18"/>
                <w:szCs w:val="18"/>
              </w:rPr>
              <w:t>导航电子地图相 关研发与销售</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1028"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362" w:lineRule="auto"/>
              <w:ind w:left="24" w:right="55"/>
              <w:jc w:val="left"/>
              <w:rPr>
                <w:rFonts w:ascii="Times New Roman" w:hAnsi="Times New Roman" w:cs="Times New Roman" w:eastAsia="Times New Roman" w:hint="default"/>
                <w:sz w:val="18"/>
                <w:szCs w:val="18"/>
              </w:rPr>
            </w:pPr>
            <w:r>
              <w:rPr>
                <w:rFonts w:ascii="Times New Roman"/>
                <w:sz w:val="18"/>
              </w:rPr>
              <w:t>15.Navinfo</w:t>
            </w:r>
            <w:r>
              <w:rPr>
                <w:rFonts w:ascii="Times New Roman"/>
                <w:spacing w:val="-4"/>
                <w:sz w:val="18"/>
              </w:rPr>
              <w:t> </w:t>
            </w:r>
            <w:r>
              <w:rPr>
                <w:rFonts w:ascii="Times New Roman"/>
                <w:sz w:val="18"/>
              </w:rPr>
              <w:t>North</w:t>
            </w:r>
            <w:r>
              <w:rPr>
                <w:rFonts w:ascii="Times New Roman"/>
                <w:w w:val="99"/>
                <w:sz w:val="18"/>
              </w:rPr>
              <w:t> </w:t>
            </w:r>
            <w:r>
              <w:rPr>
                <w:rFonts w:ascii="Times New Roman"/>
                <w:sz w:val="18"/>
              </w:rPr>
              <w:t>America</w:t>
            </w:r>
            <w:r>
              <w:rPr>
                <w:rFonts w:ascii="Times New Roman"/>
                <w:spacing w:val="-3"/>
                <w:sz w:val="18"/>
              </w:rPr>
              <w:t> </w:t>
            </w:r>
            <w:r>
              <w:rPr>
                <w:rFonts w:ascii="Times New Roman"/>
                <w:sz w:val="18"/>
              </w:rPr>
              <w:t>Corp.</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美国</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美国</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6" w:right="70"/>
              <w:jc w:val="both"/>
              <w:rPr>
                <w:rFonts w:ascii="宋体" w:hAnsi="宋体" w:cs="宋体" w:eastAsia="宋体" w:hint="default"/>
                <w:sz w:val="18"/>
                <w:szCs w:val="18"/>
              </w:rPr>
            </w:pPr>
            <w:r>
              <w:rPr>
                <w:rFonts w:ascii="宋体" w:hAnsi="宋体" w:cs="宋体" w:eastAsia="宋体" w:hint="default"/>
                <w:sz w:val="18"/>
                <w:szCs w:val="18"/>
              </w:rPr>
              <w:t>研发和销售汽车 导航相关软件产 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1025"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24" w:right="26"/>
              <w:jc w:val="both"/>
              <w:rPr>
                <w:rFonts w:ascii="宋体" w:hAnsi="宋体" w:cs="宋体" w:eastAsia="宋体" w:hint="default"/>
                <w:sz w:val="18"/>
                <w:szCs w:val="18"/>
              </w:rPr>
            </w:pPr>
            <w:r>
              <w:rPr>
                <w:rFonts w:ascii="Times New Roman" w:hAnsi="Times New Roman" w:cs="Times New Roman" w:eastAsia="Times New Roman" w:hint="default"/>
                <w:sz w:val="18"/>
                <w:szCs w:val="18"/>
              </w:rPr>
              <w:t>16.</w:t>
            </w:r>
            <w:r>
              <w:rPr>
                <w:rFonts w:ascii="宋体" w:hAnsi="宋体" w:cs="宋体" w:eastAsia="宋体" w:hint="default"/>
                <w:sz w:val="18"/>
                <w:szCs w:val="18"/>
              </w:rPr>
              <w:t>图新投资（香</w:t>
            </w:r>
            <w:r>
              <w:rPr>
                <w:rFonts w:ascii="宋体" w:hAnsi="宋体" w:cs="宋体" w:eastAsia="宋体" w:hint="default"/>
                <w:spacing w:val="-87"/>
                <w:sz w:val="18"/>
                <w:szCs w:val="18"/>
              </w:rPr>
              <w:t> </w:t>
            </w:r>
            <w:r>
              <w:rPr>
                <w:rFonts w:ascii="宋体" w:hAnsi="宋体" w:cs="宋体" w:eastAsia="宋体" w:hint="default"/>
                <w:sz w:val="18"/>
                <w:szCs w:val="18"/>
              </w:rPr>
              <w:t>港）科技有限公 司</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6" w:right="0"/>
              <w:jc w:val="left"/>
              <w:rPr>
                <w:rFonts w:ascii="宋体" w:hAnsi="宋体" w:cs="宋体" w:eastAsia="宋体" w:hint="default"/>
                <w:sz w:val="18"/>
                <w:szCs w:val="18"/>
              </w:rPr>
            </w:pPr>
            <w:r>
              <w:rPr>
                <w:rFonts w:ascii="宋体" w:hAnsi="宋体" w:cs="宋体" w:eastAsia="宋体" w:hint="default"/>
                <w:sz w:val="18"/>
                <w:szCs w:val="18"/>
              </w:rPr>
              <w:t>投资并购</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5"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4" w:right="26"/>
              <w:jc w:val="left"/>
              <w:rPr>
                <w:rFonts w:ascii="宋体" w:hAnsi="宋体" w:cs="宋体" w:eastAsia="宋体" w:hint="default"/>
                <w:sz w:val="18"/>
                <w:szCs w:val="18"/>
              </w:rPr>
            </w:pPr>
            <w:r>
              <w:rPr>
                <w:rFonts w:ascii="Times New Roman" w:hAnsi="Times New Roman" w:cs="Times New Roman" w:eastAsia="Times New Roman" w:hint="default"/>
                <w:sz w:val="18"/>
                <w:szCs w:val="18"/>
              </w:rPr>
              <w:t>17.</w:t>
            </w:r>
            <w:r>
              <w:rPr>
                <w:rFonts w:ascii="宋体" w:hAnsi="宋体" w:cs="宋体" w:eastAsia="宋体" w:hint="default"/>
                <w:sz w:val="18"/>
                <w:szCs w:val="18"/>
              </w:rPr>
              <w:t>合肥杰发科技</w:t>
            </w:r>
            <w:r>
              <w:rPr>
                <w:rFonts w:ascii="宋体" w:hAnsi="宋体" w:cs="宋体" w:eastAsia="宋体" w:hint="default"/>
                <w:spacing w:val="-87"/>
                <w:sz w:val="18"/>
                <w:szCs w:val="18"/>
              </w:rPr>
              <w:t> </w:t>
            </w:r>
            <w:r>
              <w:rPr>
                <w:rFonts w:ascii="宋体" w:hAnsi="宋体" w:cs="宋体" w:eastAsia="宋体" w:hint="default"/>
                <w:sz w:val="18"/>
                <w:szCs w:val="18"/>
              </w:rPr>
              <w:t>有限公司</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台湾</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合肥</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汽车电子芯片</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71"/>
              <w:jc w:val="left"/>
              <w:rPr>
                <w:rFonts w:ascii="宋体" w:hAnsi="宋体" w:cs="宋体" w:eastAsia="宋体" w:hint="default"/>
                <w:sz w:val="18"/>
                <w:szCs w:val="18"/>
              </w:rPr>
            </w:pPr>
            <w:r>
              <w:rPr>
                <w:rFonts w:ascii="宋体" w:hAnsi="宋体" w:cs="宋体" w:eastAsia="宋体" w:hint="default"/>
                <w:sz w:val="18"/>
                <w:szCs w:val="18"/>
              </w:rPr>
              <w:t>非同一控制下企 业合并</w:t>
            </w:r>
          </w:p>
        </w:tc>
      </w:tr>
      <w:tr>
        <w:trPr>
          <w:trHeight w:val="713"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4" w:right="117"/>
              <w:jc w:val="left"/>
              <w:rPr>
                <w:rFonts w:ascii="宋体" w:hAnsi="宋体" w:cs="宋体" w:eastAsia="宋体" w:hint="default"/>
                <w:sz w:val="18"/>
                <w:szCs w:val="18"/>
              </w:rPr>
            </w:pP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北京六分科 技有限公司</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6" w:right="70"/>
              <w:jc w:val="left"/>
              <w:rPr>
                <w:rFonts w:ascii="宋体" w:hAnsi="宋体" w:cs="宋体" w:eastAsia="宋体" w:hint="default"/>
                <w:sz w:val="18"/>
                <w:szCs w:val="18"/>
              </w:rPr>
            </w:pPr>
            <w:r>
              <w:rPr>
                <w:rFonts w:ascii="宋体" w:hAnsi="宋体" w:cs="宋体" w:eastAsia="宋体" w:hint="default"/>
                <w:sz w:val="18"/>
                <w:szCs w:val="18"/>
              </w:rPr>
              <w:t>从事高精度定位 运营服务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60.00%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1028"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00" w:lineRule="auto"/>
              <w:ind w:left="24" w:right="117"/>
              <w:jc w:val="left"/>
              <w:rPr>
                <w:rFonts w:ascii="宋体" w:hAnsi="宋体" w:cs="宋体" w:eastAsia="宋体" w:hint="default"/>
                <w:sz w:val="18"/>
                <w:szCs w:val="18"/>
              </w:rPr>
            </w:pP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四维图新日 本有限公司</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日本</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日本</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6" w:right="70"/>
              <w:jc w:val="both"/>
              <w:rPr>
                <w:rFonts w:ascii="宋体" w:hAnsi="宋体" w:cs="宋体" w:eastAsia="宋体" w:hint="default"/>
                <w:sz w:val="18"/>
                <w:szCs w:val="18"/>
              </w:rPr>
            </w:pPr>
            <w:r>
              <w:rPr>
                <w:rFonts w:ascii="宋体" w:hAnsi="宋体" w:cs="宋体" w:eastAsia="宋体" w:hint="default"/>
                <w:sz w:val="18"/>
                <w:szCs w:val="18"/>
              </w:rPr>
              <w:t>导航电子地图开 发和销售及车联 网业务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bl>
    <w:p>
      <w:pPr>
        <w:pStyle w:val="BodyText"/>
        <w:spacing w:line="357" w:lineRule="auto" w:before="49"/>
        <w:ind w:right="6974"/>
        <w:jc w:val="left"/>
      </w:pPr>
      <w:r>
        <w:rPr/>
        <w:t>在子公司的持股比例不同于表决权比例的说明： 无</w:t>
      </w:r>
    </w:p>
    <w:p>
      <w:pPr>
        <w:pStyle w:val="BodyText"/>
        <w:spacing w:line="360" w:lineRule="auto" w:before="29"/>
        <w:ind w:right="2834"/>
        <w:jc w:val="left"/>
      </w:pPr>
      <w:r>
        <w:rPr/>
        <w:t>持有半数或以下表决权但仍控制被投资单位、以及持有半数以上表决权但不控制被投资单位的依据： 无</w:t>
      </w:r>
    </w:p>
    <w:p>
      <w:pPr>
        <w:pStyle w:val="BodyText"/>
        <w:spacing w:line="357" w:lineRule="auto" w:before="27"/>
        <w:ind w:right="6434"/>
        <w:jc w:val="left"/>
      </w:pPr>
      <w:r>
        <w:rPr/>
        <w:t>对于纳入合并范围的重要的结构化主体，控制的依据： 无</w:t>
      </w:r>
    </w:p>
    <w:p>
      <w:pPr>
        <w:pStyle w:val="BodyText"/>
        <w:spacing w:line="357" w:lineRule="auto" w:before="29"/>
        <w:ind w:right="7694"/>
        <w:jc w:val="left"/>
      </w:pPr>
      <w:r>
        <w:rPr/>
        <w:t>确定公司是代理人还是委托人的依据： 无</w:t>
      </w:r>
    </w:p>
    <w:p>
      <w:pPr>
        <w:spacing w:after="0" w:line="357" w:lineRule="auto"/>
        <w:jc w:val="left"/>
        <w:sectPr>
          <w:pgSz w:w="11910" w:h="16840"/>
          <w:pgMar w:header="745" w:footer="979"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2"/>
        <w:jc w:val="left"/>
        <w:rPr>
          <w:b w:val="0"/>
          <w:bCs w:val="0"/>
        </w:rPr>
      </w:pPr>
      <w:r>
        <w:rPr/>
        <w:t>（</w:t>
      </w:r>
      <w:r>
        <w:rPr>
          <w:rFonts w:ascii="Times New Roman" w:hAnsi="Times New Roman" w:cs="Times New Roman" w:eastAsia="Times New Roman" w:hint="default"/>
        </w:rPr>
        <w:t>2</w:t>
      </w:r>
      <w:r>
        <w:rPr/>
        <w:t>）重要的非全资子公司</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268"/>
        <w:gridCol w:w="1844"/>
        <w:gridCol w:w="1844"/>
        <w:gridCol w:w="1702"/>
        <w:gridCol w:w="1916"/>
      </w:tblGrid>
      <w:tr>
        <w:trPr>
          <w:trHeight w:val="766" w:hRule="exact"/>
        </w:trPr>
        <w:tc>
          <w:tcPr>
            <w:tcW w:w="2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left="679"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sz w:val="18"/>
                <w:szCs w:val="18"/>
              </w:rPr>
              <w:t>少数股东持股比例</w:t>
            </w:r>
          </w:p>
        </w:tc>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75"/>
              <w:ind w:left="647" w:right="105" w:hanging="540"/>
              <w:jc w:val="left"/>
              <w:rPr>
                <w:rFonts w:ascii="宋体" w:hAnsi="宋体" w:cs="宋体" w:eastAsia="宋体" w:hint="default"/>
                <w:sz w:val="18"/>
                <w:szCs w:val="18"/>
              </w:rPr>
            </w:pPr>
            <w:r>
              <w:rPr>
                <w:rFonts w:ascii="宋体" w:hAnsi="宋体" w:cs="宋体" w:eastAsia="宋体" w:hint="default"/>
                <w:sz w:val="18"/>
                <w:szCs w:val="18"/>
              </w:rPr>
              <w:t>本期归属于少数股东 的损益</w:t>
            </w:r>
          </w:p>
        </w:tc>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75"/>
              <w:ind w:left="396" w:right="35" w:hanging="360"/>
              <w:jc w:val="left"/>
              <w:rPr>
                <w:rFonts w:ascii="宋体" w:hAnsi="宋体" w:cs="宋体" w:eastAsia="宋体" w:hint="default"/>
                <w:sz w:val="18"/>
                <w:szCs w:val="18"/>
              </w:rPr>
            </w:pPr>
            <w:r>
              <w:rPr>
                <w:rFonts w:ascii="宋体" w:hAnsi="宋体" w:cs="宋体" w:eastAsia="宋体" w:hint="default"/>
                <w:sz w:val="18"/>
                <w:szCs w:val="18"/>
              </w:rPr>
              <w:t>本期向少数股东宣告 分派的股利</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50"/>
              <w:jc w:val="right"/>
              <w:rPr>
                <w:rFonts w:ascii="宋体" w:hAnsi="宋体" w:cs="宋体" w:eastAsia="宋体" w:hint="default"/>
                <w:sz w:val="18"/>
                <w:szCs w:val="18"/>
              </w:rPr>
            </w:pPr>
            <w:r>
              <w:rPr>
                <w:rFonts w:ascii="宋体" w:hAnsi="宋体" w:cs="宋体" w:eastAsia="宋体" w:hint="default"/>
                <w:sz w:val="18"/>
                <w:szCs w:val="18"/>
              </w:rPr>
              <w:t>期末少数股东权益余额</w:t>
            </w:r>
          </w:p>
        </w:tc>
      </w:tr>
      <w:tr>
        <w:trPr>
          <w:trHeight w:val="713"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4" w:right="72"/>
              <w:jc w:val="left"/>
              <w:rPr>
                <w:rFonts w:ascii="宋体" w:hAnsi="宋体" w:cs="宋体" w:eastAsia="宋体" w:hint="default"/>
                <w:sz w:val="18"/>
                <w:szCs w:val="18"/>
              </w:rPr>
            </w:pPr>
            <w:r>
              <w:rPr>
                <w:rFonts w:ascii="宋体" w:hAnsi="宋体" w:cs="宋体" w:eastAsia="宋体" w:hint="default"/>
                <w:sz w:val="18"/>
                <w:szCs w:val="18"/>
              </w:rPr>
              <w:t>北京图新经纬导航系统有限 公司</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49.00%</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-158,640.80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4,590,000.00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10,371,068.75</w:t>
            </w:r>
          </w:p>
        </w:tc>
      </w:tr>
      <w:tr>
        <w:trPr>
          <w:trHeight w:val="403"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北京世纪高通科技有限公司</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10.00%</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7,903,791.96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5,907,058.14</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17,029,310.42</w:t>
            </w:r>
          </w:p>
        </w:tc>
      </w:tr>
      <w:tr>
        <w:trPr>
          <w:trHeight w:val="713"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4" w:right="72"/>
              <w:jc w:val="left"/>
              <w:rPr>
                <w:rFonts w:ascii="宋体" w:hAnsi="宋体" w:cs="宋体" w:eastAsia="宋体" w:hint="default"/>
                <w:sz w:val="18"/>
                <w:szCs w:val="18"/>
              </w:rPr>
            </w:pPr>
            <w:r>
              <w:rPr>
                <w:rFonts w:ascii="宋体" w:hAnsi="宋体" w:cs="宋体" w:eastAsia="宋体" w:hint="default"/>
                <w:sz w:val="18"/>
                <w:szCs w:val="18"/>
              </w:rPr>
              <w:t>中交宇科（北京）空间信息 技术有限公司</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48.02%</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-16,329,107.92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19,715,251.76</w:t>
            </w:r>
          </w:p>
        </w:tc>
      </w:tr>
      <w:tr>
        <w:trPr>
          <w:trHeight w:val="716"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72"/>
              <w:jc w:val="left"/>
              <w:rPr>
                <w:rFonts w:ascii="宋体" w:hAnsi="宋体" w:cs="宋体" w:eastAsia="宋体" w:hint="default"/>
                <w:sz w:val="18"/>
                <w:szCs w:val="18"/>
              </w:rPr>
            </w:pPr>
            <w:r>
              <w:rPr>
                <w:rFonts w:ascii="宋体" w:hAnsi="宋体" w:cs="宋体" w:eastAsia="宋体" w:hint="default"/>
                <w:sz w:val="18"/>
                <w:szCs w:val="18"/>
              </w:rPr>
              <w:t>北京图迅丰达信息技术有限 公司</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49.00%</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3,969,844.85</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22,685,617.67</w:t>
            </w:r>
          </w:p>
        </w:tc>
      </w:tr>
      <w:tr>
        <w:trPr>
          <w:trHeight w:val="401"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中寰卫星导航通信有限公司</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52.12%</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-28,326,159.36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2,155,778.78</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131,867,669.39</w:t>
            </w:r>
          </w:p>
        </w:tc>
      </w:tr>
      <w:tr>
        <w:trPr>
          <w:trHeight w:val="403"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长沙市海图科技有限公司</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14.97%</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-8,772,345.08</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-121,587.58</w:t>
            </w:r>
          </w:p>
        </w:tc>
      </w:tr>
    </w:tbl>
    <w:p>
      <w:pPr>
        <w:pStyle w:val="BodyText"/>
        <w:spacing w:line="240" w:lineRule="auto" w:before="49"/>
        <w:ind w:right="982"/>
        <w:jc w:val="left"/>
      </w:pPr>
      <w:r>
        <w:rPr/>
        <w:t>子公司少数股东的持股比例不同于表决权比例的说明：</w:t>
      </w:r>
    </w:p>
    <w:p>
      <w:pPr>
        <w:spacing w:line="240" w:lineRule="auto" w:before="0"/>
        <w:rPr>
          <w:rFonts w:ascii="宋体" w:hAnsi="宋体" w:cs="宋体" w:eastAsia="宋体" w:hint="default"/>
          <w:sz w:val="15"/>
          <w:szCs w:val="15"/>
        </w:rPr>
      </w:pPr>
    </w:p>
    <w:p>
      <w:pPr>
        <w:pStyle w:val="BodyText"/>
        <w:spacing w:line="300" w:lineRule="auto"/>
        <w:ind w:right="1131" w:firstLine="360"/>
        <w:jc w:val="both"/>
      </w:pPr>
      <w:r>
        <w:rPr>
          <w:spacing w:val="-2"/>
        </w:rPr>
        <w:t>注</w:t>
      </w:r>
      <w:r>
        <w:rPr>
          <w:rFonts w:ascii="Times New Roman" w:hAnsi="Times New Roman" w:cs="Times New Roman" w:eastAsia="Times New Roman" w:hint="default"/>
          <w:spacing w:val="-2"/>
        </w:rPr>
        <w:t>1</w:t>
      </w:r>
      <w:r>
        <w:rPr>
          <w:spacing w:val="-2"/>
        </w:rPr>
        <w:t>：中寰卫星增资时点为</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8</w:t>
      </w:r>
      <w:r>
        <w:rPr>
          <w:spacing w:val="-2"/>
        </w:rPr>
        <w:t>月末，因此本年归属于少数股东的损益按照增资前后的不同比例分段计算，年末少数</w:t>
      </w:r>
      <w:r>
        <w:rPr/>
        <w:t> 股东权益按照增资后少数股东股权比例</w:t>
      </w:r>
      <w:r>
        <w:rPr>
          <w:rFonts w:ascii="Times New Roman" w:hAnsi="Times New Roman" w:cs="Times New Roman" w:eastAsia="Times New Roman" w:hint="default"/>
        </w:rPr>
        <w:t>52.12%</w:t>
      </w:r>
      <w:r>
        <w:rPr/>
        <w:t>计算。本公司对中寰卫星的持股比例由</w:t>
      </w:r>
      <w:r>
        <w:rPr>
          <w:rFonts w:ascii="Times New Roman" w:hAnsi="Times New Roman" w:cs="Times New Roman" w:eastAsia="Times New Roman" w:hint="default"/>
        </w:rPr>
        <w:t>76.32%</w:t>
      </w:r>
      <w:r>
        <w:rPr/>
        <w:t>被稀释至</w:t>
      </w:r>
      <w:r>
        <w:rPr>
          <w:rFonts w:ascii="Times New Roman" w:hAnsi="Times New Roman" w:cs="Times New Roman" w:eastAsia="Times New Roman" w:hint="default"/>
        </w:rPr>
        <w:t>47.88%</w:t>
      </w:r>
      <w:r>
        <w:rPr/>
        <w:t>，但未丧失控</w:t>
      </w:r>
      <w:r>
        <w:rPr>
          <w:spacing w:val="-45"/>
        </w:rPr>
        <w:t> </w:t>
      </w:r>
      <w:r>
        <w:rPr>
          <w:spacing w:val="-45"/>
        </w:rPr>
      </w:r>
      <w:r>
        <w:rPr/>
        <w:t>制权原因见本附注</w:t>
      </w:r>
      <w:r>
        <w:rPr>
          <w:rFonts w:ascii="Times New Roman" w:hAnsi="Times New Roman" w:cs="Times New Roman" w:eastAsia="Times New Roman" w:hint="default"/>
        </w:rPr>
        <w:t>“</w:t>
      </w:r>
      <w:r>
        <w:rPr/>
        <w:t>九、</w:t>
      </w:r>
      <w:r>
        <w:rPr>
          <w:rFonts w:ascii="Times New Roman" w:hAnsi="Times New Roman" w:cs="Times New Roman" w:eastAsia="Times New Roman" w:hint="default"/>
        </w:rPr>
        <w:t>2</w:t>
      </w:r>
      <w:r>
        <w:rPr/>
        <w:t>、（</w:t>
      </w:r>
      <w:r>
        <w:rPr>
          <w:rFonts w:ascii="Times New Roman" w:hAnsi="Times New Roman" w:cs="Times New Roman" w:eastAsia="Times New Roman" w:hint="default"/>
        </w:rPr>
        <w:t>1</w:t>
      </w:r>
      <w:r>
        <w:rPr/>
        <w:t>）在子公司所有权份额发生变化的情况</w:t>
      </w:r>
      <w:r>
        <w:rPr>
          <w:rFonts w:ascii="Times New Roman" w:hAnsi="Times New Roman" w:cs="Times New Roman" w:eastAsia="Times New Roman" w:hint="default"/>
        </w:rPr>
        <w:t>”</w:t>
      </w:r>
      <w:r>
        <w:rPr>
          <w:rFonts w:ascii="Times New Roman" w:hAnsi="Times New Roman" w:cs="Times New Roman" w:eastAsia="Times New Roman" w:hint="default"/>
          <w:spacing w:val="25"/>
        </w:rPr>
        <w:t> </w:t>
      </w:r>
      <w:r>
        <w:rPr/>
        <w:t>所述。</w:t>
      </w:r>
    </w:p>
    <w:p>
      <w:pPr>
        <w:pStyle w:val="BodyText"/>
        <w:spacing w:line="300" w:lineRule="auto" w:before="133"/>
        <w:ind w:right="1128" w:firstLine="360"/>
        <w:jc w:val="both"/>
      </w:pPr>
      <w:r>
        <w:rPr/>
        <w:t>注</w:t>
      </w:r>
      <w:r>
        <w:rPr>
          <w:rFonts w:ascii="Times New Roman" w:hAnsi="Times New Roman" w:cs="Times New Roman" w:eastAsia="Times New Roman" w:hint="default"/>
        </w:rPr>
        <w:t>2</w:t>
      </w:r>
      <w:r>
        <w:rPr/>
        <w:t>：本公司下属子公司北京世纪高通科技有限公司（以下简称</w:t>
      </w:r>
      <w:r>
        <w:rPr>
          <w:spacing w:val="-1"/>
        </w:rPr>
        <w:t> </w:t>
      </w:r>
      <w:r>
        <w:rPr/>
        <w:t>世纪高通）于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9</w:t>
      </w:r>
      <w:r>
        <w:rPr/>
        <w:t>月收购了另一子公司长沙市海图 科技有限公司（以下简称</w:t>
      </w:r>
      <w:r>
        <w:rPr>
          <w:spacing w:val="-23"/>
        </w:rPr>
        <w:t> </w:t>
      </w:r>
      <w:r>
        <w:rPr/>
        <w:t>长沙海图）之</w:t>
      </w:r>
      <w:r>
        <w:rPr>
          <w:rFonts w:ascii="Times New Roman" w:hAnsi="Times New Roman" w:cs="Times New Roman" w:eastAsia="Times New Roman" w:hint="default"/>
        </w:rPr>
        <w:t>37.81%</w:t>
      </w:r>
      <w:r>
        <w:rPr/>
        <w:t>少数股东持有的股权，由于本公司持有世纪高通</w:t>
      </w:r>
      <w:r>
        <w:rPr>
          <w:rFonts w:ascii="Times New Roman" w:hAnsi="Times New Roman" w:cs="Times New Roman" w:eastAsia="Times New Roman" w:hint="default"/>
        </w:rPr>
        <w:t>90.00%</w:t>
      </w:r>
      <w:r>
        <w:rPr/>
        <w:t>股权，长沙海图少数 </w:t>
      </w:r>
      <w:r>
        <w:rPr>
          <w:spacing w:val="-1"/>
        </w:rPr>
        <w:t>股东持股比例在合并层面自</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9</w:t>
      </w:r>
      <w:r>
        <w:rPr>
          <w:spacing w:val="-1"/>
        </w:rPr>
        <w:t>月起由</w:t>
      </w:r>
      <w:r>
        <w:rPr>
          <w:rFonts w:ascii="Times New Roman" w:hAnsi="Times New Roman" w:cs="Times New Roman" w:eastAsia="Times New Roman" w:hint="default"/>
          <w:spacing w:val="-1"/>
        </w:rPr>
        <w:t>49.00%</w:t>
      </w:r>
      <w:r>
        <w:rPr>
          <w:spacing w:val="-1"/>
        </w:rPr>
        <w:t>变更为</w:t>
      </w:r>
      <w:r>
        <w:rPr>
          <w:rFonts w:ascii="Times New Roman" w:hAnsi="Times New Roman" w:cs="Times New Roman" w:eastAsia="Times New Roman" w:hint="default"/>
          <w:spacing w:val="-1"/>
        </w:rPr>
        <w:t>14.97%</w:t>
      </w:r>
      <w:r>
        <w:rPr>
          <w:spacing w:val="-1"/>
        </w:rPr>
        <w:t>，本年归属于少数股东的损益按照收购前后不同比例分段计</w:t>
      </w:r>
      <w:r>
        <w:rPr>
          <w:spacing w:val="-56"/>
        </w:rPr>
        <w:t> </w:t>
      </w:r>
      <w:r>
        <w:rPr>
          <w:spacing w:val="-56"/>
        </w:rPr>
      </w:r>
      <w:r>
        <w:rPr/>
        <w:t>算，年末少数股东权益按照收购后少数股东股权比例</w:t>
      </w:r>
      <w:r>
        <w:rPr>
          <w:rFonts w:ascii="Times New Roman" w:hAnsi="Times New Roman" w:cs="Times New Roman" w:eastAsia="Times New Roman" w:hint="default"/>
        </w:rPr>
        <w:t>14.97%</w:t>
      </w:r>
      <w:r>
        <w:rPr/>
        <w:t>计算。</w:t>
      </w:r>
    </w:p>
    <w:p>
      <w:pPr>
        <w:pStyle w:val="BodyText"/>
        <w:spacing w:line="360" w:lineRule="auto" w:before="53"/>
        <w:ind w:right="9854"/>
        <w:jc w:val="left"/>
      </w:pPr>
      <w:r>
        <w:rPr/>
        <w:t>其他说明： 无</w:t>
      </w:r>
    </w:p>
    <w:p>
      <w:pPr>
        <w:spacing w:line="240" w:lineRule="auto" w:before="4"/>
        <w:rPr>
          <w:rFonts w:ascii="宋体" w:hAnsi="宋体" w:cs="宋体" w:eastAsia="宋体" w:hint="default"/>
          <w:sz w:val="20"/>
          <w:szCs w:val="20"/>
        </w:rPr>
      </w:pPr>
    </w:p>
    <w:p>
      <w:pPr>
        <w:pStyle w:val="Heading4"/>
        <w:spacing w:line="240" w:lineRule="auto"/>
        <w:ind w:right="982"/>
        <w:jc w:val="left"/>
        <w:rPr>
          <w:b w:val="0"/>
          <w:bCs w:val="0"/>
        </w:rPr>
      </w:pPr>
      <w:r>
        <w:rPr/>
        <w:t>（</w:t>
      </w:r>
      <w:r>
        <w:rPr>
          <w:rFonts w:ascii="Times New Roman" w:hAnsi="Times New Roman" w:cs="Times New Roman" w:eastAsia="Times New Roman" w:hint="default"/>
        </w:rPr>
        <w:t>3</w:t>
      </w:r>
      <w:r>
        <w:rPr/>
        <w:t>）重要非全资子公司的主要财务信息</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737"/>
        <w:gridCol w:w="734"/>
        <w:gridCol w:w="737"/>
        <w:gridCol w:w="737"/>
        <w:gridCol w:w="734"/>
        <w:gridCol w:w="737"/>
        <w:gridCol w:w="734"/>
        <w:gridCol w:w="735"/>
        <w:gridCol w:w="734"/>
        <w:gridCol w:w="737"/>
        <w:gridCol w:w="737"/>
        <w:gridCol w:w="734"/>
        <w:gridCol w:w="737"/>
      </w:tblGrid>
      <w:tr>
        <w:trPr>
          <w:trHeight w:val="401" w:hRule="exact"/>
        </w:trPr>
        <w:tc>
          <w:tcPr>
            <w:tcW w:w="73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314" w:lineRule="auto"/>
              <w:ind w:left="182" w:right="92" w:hanging="90"/>
              <w:jc w:val="left"/>
              <w:rPr>
                <w:rFonts w:ascii="宋体" w:hAnsi="宋体" w:cs="宋体" w:eastAsia="宋体" w:hint="default"/>
                <w:sz w:val="18"/>
                <w:szCs w:val="18"/>
              </w:rPr>
            </w:pPr>
            <w:r>
              <w:rPr>
                <w:rFonts w:ascii="宋体" w:hAnsi="宋体" w:cs="宋体" w:eastAsia="宋体" w:hint="default"/>
                <w:sz w:val="18"/>
                <w:szCs w:val="18"/>
              </w:rPr>
              <w:t>子公司 名称</w:t>
            </w:r>
          </w:p>
        </w:tc>
        <w:tc>
          <w:tcPr>
            <w:tcW w:w="4414"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415"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716" w:hRule="exact"/>
        </w:trPr>
        <w:tc>
          <w:tcPr>
            <w:tcW w:w="737" w:type="dxa"/>
            <w:vMerge/>
            <w:tcBorders>
              <w:left w:val="single" w:sz="4" w:space="0" w:color="000000"/>
              <w:bottom w:val="single" w:sz="4" w:space="0" w:color="000000"/>
              <w:right w:val="single" w:sz="4" w:space="0" w:color="000000"/>
            </w:tcBorders>
            <w:shd w:val="clear" w:color="auto" w:fill="D2D2D2"/>
          </w:tcPr>
          <w:p>
            <w:pP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73" w:right="89" w:hanging="180"/>
              <w:jc w:val="left"/>
              <w:rPr>
                <w:rFonts w:ascii="宋体" w:hAnsi="宋体" w:cs="宋体" w:eastAsia="宋体" w:hint="default"/>
                <w:sz w:val="18"/>
                <w:szCs w:val="18"/>
              </w:rPr>
            </w:pPr>
            <w:r>
              <w:rPr>
                <w:rFonts w:ascii="宋体" w:hAnsi="宋体" w:cs="宋体" w:eastAsia="宋体" w:hint="default"/>
                <w:sz w:val="18"/>
                <w:szCs w:val="18"/>
              </w:rPr>
              <w:t>流动资 产</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82" w:right="91" w:hanging="89"/>
              <w:jc w:val="left"/>
              <w:rPr>
                <w:rFonts w:ascii="宋体" w:hAnsi="宋体" w:cs="宋体" w:eastAsia="宋体" w:hint="default"/>
                <w:sz w:val="18"/>
                <w:szCs w:val="18"/>
              </w:rPr>
            </w:pPr>
            <w:r>
              <w:rPr>
                <w:rFonts w:ascii="宋体" w:hAnsi="宋体" w:cs="宋体" w:eastAsia="宋体" w:hint="default"/>
                <w:sz w:val="18"/>
                <w:szCs w:val="18"/>
              </w:rPr>
              <w:t>非流动 资产</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73" w:right="92" w:hanging="180"/>
              <w:jc w:val="left"/>
              <w:rPr>
                <w:rFonts w:ascii="宋体" w:hAnsi="宋体" w:cs="宋体" w:eastAsia="宋体" w:hint="default"/>
                <w:sz w:val="18"/>
                <w:szCs w:val="18"/>
              </w:rPr>
            </w:pPr>
            <w:r>
              <w:rPr>
                <w:rFonts w:ascii="宋体" w:hAnsi="宋体" w:cs="宋体" w:eastAsia="宋体" w:hint="default"/>
                <w:sz w:val="18"/>
                <w:szCs w:val="18"/>
              </w:rPr>
              <w:t>资产合 计</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73" w:right="89" w:hanging="180"/>
              <w:jc w:val="left"/>
              <w:rPr>
                <w:rFonts w:ascii="宋体" w:hAnsi="宋体" w:cs="宋体" w:eastAsia="宋体" w:hint="default"/>
                <w:sz w:val="18"/>
                <w:szCs w:val="18"/>
              </w:rPr>
            </w:pPr>
            <w:r>
              <w:rPr>
                <w:rFonts w:ascii="宋体" w:hAnsi="宋体" w:cs="宋体" w:eastAsia="宋体" w:hint="default"/>
                <w:sz w:val="18"/>
                <w:szCs w:val="18"/>
              </w:rPr>
              <w:t>流动负 债</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82" w:right="91" w:hanging="89"/>
              <w:jc w:val="left"/>
              <w:rPr>
                <w:rFonts w:ascii="宋体" w:hAnsi="宋体" w:cs="宋体" w:eastAsia="宋体" w:hint="default"/>
                <w:sz w:val="18"/>
                <w:szCs w:val="18"/>
              </w:rPr>
            </w:pPr>
            <w:r>
              <w:rPr>
                <w:rFonts w:ascii="宋体" w:hAnsi="宋体" w:cs="宋体" w:eastAsia="宋体" w:hint="default"/>
                <w:sz w:val="18"/>
                <w:szCs w:val="18"/>
              </w:rPr>
              <w:t>非流动 负债</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73" w:right="89" w:hanging="180"/>
              <w:jc w:val="left"/>
              <w:rPr>
                <w:rFonts w:ascii="宋体" w:hAnsi="宋体" w:cs="宋体" w:eastAsia="宋体" w:hint="default"/>
                <w:sz w:val="18"/>
                <w:szCs w:val="18"/>
              </w:rPr>
            </w:pPr>
            <w:r>
              <w:rPr>
                <w:rFonts w:ascii="宋体" w:hAnsi="宋体" w:cs="宋体" w:eastAsia="宋体" w:hint="default"/>
                <w:sz w:val="18"/>
                <w:szCs w:val="18"/>
              </w:rPr>
              <w:t>负债合 计</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74" w:right="89" w:hanging="181"/>
              <w:jc w:val="left"/>
              <w:rPr>
                <w:rFonts w:ascii="宋体" w:hAnsi="宋体" w:cs="宋体" w:eastAsia="宋体" w:hint="default"/>
                <w:sz w:val="18"/>
                <w:szCs w:val="18"/>
              </w:rPr>
            </w:pPr>
            <w:r>
              <w:rPr>
                <w:rFonts w:ascii="宋体" w:hAnsi="宋体" w:cs="宋体" w:eastAsia="宋体" w:hint="default"/>
                <w:sz w:val="18"/>
                <w:szCs w:val="18"/>
              </w:rPr>
              <w:t>流动资 产</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82" w:right="89" w:hanging="89"/>
              <w:jc w:val="left"/>
              <w:rPr>
                <w:rFonts w:ascii="宋体" w:hAnsi="宋体" w:cs="宋体" w:eastAsia="宋体" w:hint="default"/>
                <w:sz w:val="18"/>
                <w:szCs w:val="18"/>
              </w:rPr>
            </w:pPr>
            <w:r>
              <w:rPr>
                <w:rFonts w:ascii="宋体" w:hAnsi="宋体" w:cs="宋体" w:eastAsia="宋体" w:hint="default"/>
                <w:sz w:val="18"/>
                <w:szCs w:val="18"/>
              </w:rPr>
              <w:t>非流动 资产</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73" w:right="91" w:hanging="180"/>
              <w:jc w:val="left"/>
              <w:rPr>
                <w:rFonts w:ascii="宋体" w:hAnsi="宋体" w:cs="宋体" w:eastAsia="宋体" w:hint="default"/>
                <w:sz w:val="18"/>
                <w:szCs w:val="18"/>
              </w:rPr>
            </w:pPr>
            <w:r>
              <w:rPr>
                <w:rFonts w:ascii="宋体" w:hAnsi="宋体" w:cs="宋体" w:eastAsia="宋体" w:hint="default"/>
                <w:sz w:val="18"/>
                <w:szCs w:val="18"/>
              </w:rPr>
              <w:t>资产合 计</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73" w:right="92" w:hanging="180"/>
              <w:jc w:val="left"/>
              <w:rPr>
                <w:rFonts w:ascii="宋体" w:hAnsi="宋体" w:cs="宋体" w:eastAsia="宋体" w:hint="default"/>
                <w:sz w:val="18"/>
                <w:szCs w:val="18"/>
              </w:rPr>
            </w:pPr>
            <w:r>
              <w:rPr>
                <w:rFonts w:ascii="宋体" w:hAnsi="宋体" w:cs="宋体" w:eastAsia="宋体" w:hint="default"/>
                <w:sz w:val="18"/>
                <w:szCs w:val="18"/>
              </w:rPr>
              <w:t>流动负 债</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82" w:right="89" w:hanging="89"/>
              <w:jc w:val="left"/>
              <w:rPr>
                <w:rFonts w:ascii="宋体" w:hAnsi="宋体" w:cs="宋体" w:eastAsia="宋体" w:hint="default"/>
                <w:sz w:val="18"/>
                <w:szCs w:val="18"/>
              </w:rPr>
            </w:pPr>
            <w:r>
              <w:rPr>
                <w:rFonts w:ascii="宋体" w:hAnsi="宋体" w:cs="宋体" w:eastAsia="宋体" w:hint="default"/>
                <w:sz w:val="18"/>
                <w:szCs w:val="18"/>
              </w:rPr>
              <w:t>非流动 负债</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73" w:right="91" w:hanging="180"/>
              <w:jc w:val="left"/>
              <w:rPr>
                <w:rFonts w:ascii="宋体" w:hAnsi="宋体" w:cs="宋体" w:eastAsia="宋体" w:hint="default"/>
                <w:sz w:val="18"/>
                <w:szCs w:val="18"/>
              </w:rPr>
            </w:pPr>
            <w:r>
              <w:rPr>
                <w:rFonts w:ascii="宋体" w:hAnsi="宋体" w:cs="宋体" w:eastAsia="宋体" w:hint="default"/>
                <w:sz w:val="18"/>
                <w:szCs w:val="18"/>
              </w:rPr>
              <w:t>负债合 计</w:t>
            </w:r>
          </w:p>
        </w:tc>
      </w:tr>
      <w:tr>
        <w:trPr>
          <w:trHeight w:val="1649" w:hRule="exact"/>
        </w:trPr>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61"/>
              <w:jc w:val="both"/>
              <w:rPr>
                <w:rFonts w:ascii="宋体" w:hAnsi="宋体" w:cs="宋体" w:eastAsia="宋体" w:hint="default"/>
                <w:sz w:val="18"/>
                <w:szCs w:val="18"/>
              </w:rPr>
            </w:pPr>
            <w:r>
              <w:rPr>
                <w:rFonts w:ascii="宋体" w:hAnsi="宋体" w:cs="宋体" w:eastAsia="宋体" w:hint="default"/>
                <w:sz w:val="18"/>
                <w:szCs w:val="18"/>
              </w:rPr>
              <w:t>北京图 新经纬 导航系 统有限 公司</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52,338,1</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01.29</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1,268,99</w:t>
            </w:r>
          </w:p>
          <w:p>
            <w:pPr>
              <w:pStyle w:val="TableParagraph"/>
              <w:spacing w:line="240" w:lineRule="auto" w:before="105"/>
              <w:ind w:left="388" w:right="0"/>
              <w:jc w:val="left"/>
              <w:rPr>
                <w:rFonts w:ascii="Times New Roman" w:hAnsi="Times New Roman" w:cs="Times New Roman" w:eastAsia="Times New Roman" w:hint="default"/>
                <w:sz w:val="18"/>
                <w:szCs w:val="18"/>
              </w:rPr>
            </w:pPr>
            <w:r>
              <w:rPr>
                <w:rFonts w:ascii="Times New Roman"/>
                <w:sz w:val="18"/>
              </w:rPr>
              <w:t>9.25</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53,607,1</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00.54</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32,441,6</w:t>
            </w:r>
          </w:p>
          <w:p>
            <w:pPr>
              <w:pStyle w:val="TableParagraph"/>
              <w:spacing w:line="240" w:lineRule="auto" w:before="105"/>
              <w:ind w:left="304" w:right="0"/>
              <w:jc w:val="left"/>
              <w:rPr>
                <w:rFonts w:ascii="Times New Roman" w:hAnsi="Times New Roman" w:cs="Times New Roman" w:eastAsia="Times New Roman" w:hint="default"/>
                <w:sz w:val="18"/>
                <w:szCs w:val="18"/>
              </w:rPr>
            </w:pPr>
            <w:r>
              <w:rPr>
                <w:rFonts w:ascii="Times New Roman"/>
                <w:sz w:val="18"/>
              </w:rPr>
              <w:t>54.11</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388" w:right="0"/>
              <w:jc w:val="left"/>
              <w:rPr>
                <w:rFonts w:ascii="Times New Roman" w:hAnsi="Times New Roman" w:cs="Times New Roman" w:eastAsia="Times New Roman" w:hint="default"/>
                <w:sz w:val="18"/>
                <w:szCs w:val="18"/>
              </w:rPr>
            </w:pPr>
            <w:r>
              <w:rPr>
                <w:rFonts w:ascii="Times New Roman"/>
                <w:sz w:val="18"/>
              </w:rPr>
              <w:t>0.00</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72" w:right="0"/>
              <w:jc w:val="left"/>
              <w:rPr>
                <w:rFonts w:ascii="Times New Roman" w:hAnsi="Times New Roman" w:cs="Times New Roman" w:eastAsia="Times New Roman" w:hint="default"/>
                <w:sz w:val="18"/>
                <w:szCs w:val="18"/>
              </w:rPr>
            </w:pPr>
            <w:r>
              <w:rPr>
                <w:rFonts w:ascii="Times New Roman"/>
                <w:sz w:val="18"/>
              </w:rPr>
              <w:t>32,441,6</w:t>
            </w:r>
          </w:p>
          <w:p>
            <w:pPr>
              <w:pStyle w:val="TableParagraph"/>
              <w:spacing w:line="240" w:lineRule="auto" w:before="105"/>
              <w:ind w:left="304" w:right="0"/>
              <w:jc w:val="left"/>
              <w:rPr>
                <w:rFonts w:ascii="Times New Roman" w:hAnsi="Times New Roman" w:cs="Times New Roman" w:eastAsia="Times New Roman" w:hint="default"/>
                <w:sz w:val="18"/>
                <w:szCs w:val="18"/>
              </w:rPr>
            </w:pPr>
            <w:r>
              <w:rPr>
                <w:rFonts w:ascii="Times New Roman"/>
                <w:sz w:val="18"/>
              </w:rPr>
              <w:t>54.11</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50" w:right="0"/>
              <w:jc w:val="center"/>
              <w:rPr>
                <w:rFonts w:ascii="Times New Roman" w:hAnsi="Times New Roman" w:cs="Times New Roman" w:eastAsia="Times New Roman" w:hint="default"/>
                <w:sz w:val="18"/>
                <w:szCs w:val="18"/>
              </w:rPr>
            </w:pPr>
            <w:r>
              <w:rPr>
                <w:rFonts w:ascii="Times New Roman"/>
                <w:sz w:val="18"/>
              </w:rPr>
              <w:t>105,161,</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713.34</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1,167,15</w:t>
            </w:r>
          </w:p>
          <w:p>
            <w:pPr>
              <w:pStyle w:val="TableParagraph"/>
              <w:spacing w:line="240" w:lineRule="auto" w:before="105"/>
              <w:ind w:left="388" w:right="0"/>
              <w:jc w:val="left"/>
              <w:rPr>
                <w:rFonts w:ascii="Times New Roman" w:hAnsi="Times New Roman" w:cs="Times New Roman" w:eastAsia="Times New Roman" w:hint="default"/>
                <w:sz w:val="18"/>
                <w:szCs w:val="18"/>
              </w:rPr>
            </w:pPr>
            <w:r>
              <w:rPr>
                <w:rFonts w:ascii="Times New Roman"/>
                <w:sz w:val="18"/>
              </w:rPr>
              <w:t>5.60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48" w:right="0"/>
              <w:jc w:val="center"/>
              <w:rPr>
                <w:rFonts w:ascii="Times New Roman" w:hAnsi="Times New Roman" w:cs="Times New Roman" w:eastAsia="Times New Roman" w:hint="default"/>
                <w:sz w:val="18"/>
                <w:szCs w:val="18"/>
              </w:rPr>
            </w:pPr>
            <w:r>
              <w:rPr>
                <w:rFonts w:ascii="Times New Roman"/>
                <w:sz w:val="18"/>
              </w:rPr>
              <w:t>106,328,</w:t>
            </w:r>
          </w:p>
          <w:p>
            <w:pPr>
              <w:pStyle w:val="TableParagraph"/>
              <w:spacing w:line="240" w:lineRule="auto" w:before="105"/>
              <w:ind w:left="185" w:right="0"/>
              <w:jc w:val="center"/>
              <w:rPr>
                <w:rFonts w:ascii="Times New Roman" w:hAnsi="Times New Roman" w:cs="Times New Roman" w:eastAsia="Times New Roman" w:hint="default"/>
                <w:sz w:val="18"/>
                <w:szCs w:val="18"/>
              </w:rPr>
            </w:pPr>
            <w:r>
              <w:rPr>
                <w:rFonts w:ascii="Times New Roman"/>
                <w:sz w:val="18"/>
              </w:rPr>
              <w:t>868.94</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74" w:right="0"/>
              <w:jc w:val="left"/>
              <w:rPr>
                <w:rFonts w:ascii="Times New Roman" w:hAnsi="Times New Roman" w:cs="Times New Roman" w:eastAsia="Times New Roman" w:hint="default"/>
                <w:sz w:val="18"/>
                <w:szCs w:val="18"/>
              </w:rPr>
            </w:pPr>
            <w:r>
              <w:rPr>
                <w:rFonts w:ascii="Times New Roman"/>
                <w:sz w:val="18"/>
              </w:rPr>
              <w:t>75,472,3</w:t>
            </w:r>
          </w:p>
          <w:p>
            <w:pPr>
              <w:pStyle w:val="TableParagraph"/>
              <w:spacing w:line="240" w:lineRule="auto" w:before="105"/>
              <w:ind w:left="299" w:right="0"/>
              <w:jc w:val="left"/>
              <w:rPr>
                <w:rFonts w:ascii="Times New Roman" w:hAnsi="Times New Roman" w:cs="Times New Roman" w:eastAsia="Times New Roman" w:hint="default"/>
                <w:sz w:val="18"/>
                <w:szCs w:val="18"/>
              </w:rPr>
            </w:pPr>
            <w:r>
              <w:rPr>
                <w:rFonts w:ascii="Times New Roman"/>
                <w:sz w:val="18"/>
              </w:rPr>
              <w:t>18.83</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388" w:right="0"/>
              <w:jc w:val="left"/>
              <w:rPr>
                <w:rFonts w:ascii="Times New Roman" w:hAnsi="Times New Roman" w:cs="Times New Roman" w:eastAsia="Times New Roman" w:hint="default"/>
                <w:sz w:val="18"/>
                <w:szCs w:val="18"/>
              </w:rPr>
            </w:pPr>
            <w:r>
              <w:rPr>
                <w:rFonts w:ascii="Times New Roman"/>
                <w:sz w:val="18"/>
              </w:rPr>
              <w:t>0.00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72" w:right="0"/>
              <w:jc w:val="left"/>
              <w:rPr>
                <w:rFonts w:ascii="Times New Roman" w:hAnsi="Times New Roman" w:cs="Times New Roman" w:eastAsia="Times New Roman" w:hint="default"/>
                <w:sz w:val="18"/>
                <w:szCs w:val="18"/>
              </w:rPr>
            </w:pPr>
            <w:r>
              <w:rPr>
                <w:rFonts w:ascii="Times New Roman"/>
                <w:sz w:val="18"/>
              </w:rPr>
              <w:t>75,472,3</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18.83</w:t>
            </w:r>
          </w:p>
        </w:tc>
      </w:tr>
      <w:tr>
        <w:trPr>
          <w:trHeight w:val="1339" w:hRule="exact"/>
        </w:trPr>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161"/>
              <w:jc w:val="both"/>
              <w:rPr>
                <w:rFonts w:ascii="宋体" w:hAnsi="宋体" w:cs="宋体" w:eastAsia="宋体" w:hint="default"/>
                <w:sz w:val="18"/>
                <w:szCs w:val="18"/>
              </w:rPr>
            </w:pPr>
            <w:r>
              <w:rPr>
                <w:rFonts w:ascii="宋体" w:hAnsi="宋体" w:cs="宋体" w:eastAsia="宋体" w:hint="default"/>
                <w:sz w:val="18"/>
                <w:szCs w:val="18"/>
              </w:rPr>
              <w:t>北京世 纪高通 科技有 限公司</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51" w:right="0"/>
              <w:jc w:val="center"/>
              <w:rPr>
                <w:rFonts w:ascii="Times New Roman" w:hAnsi="Times New Roman" w:cs="Times New Roman" w:eastAsia="Times New Roman" w:hint="default"/>
                <w:sz w:val="18"/>
                <w:szCs w:val="18"/>
              </w:rPr>
            </w:pPr>
            <w:r>
              <w:rPr>
                <w:rFonts w:ascii="Times New Roman"/>
                <w:sz w:val="18"/>
              </w:rPr>
              <w:t>177,564,</w:t>
            </w:r>
          </w:p>
          <w:p>
            <w:pPr>
              <w:pStyle w:val="TableParagraph"/>
              <w:spacing w:line="240" w:lineRule="auto" w:before="102"/>
              <w:ind w:left="187" w:right="0"/>
              <w:jc w:val="center"/>
              <w:rPr>
                <w:rFonts w:ascii="Times New Roman" w:hAnsi="Times New Roman" w:cs="Times New Roman" w:eastAsia="Times New Roman" w:hint="default"/>
                <w:sz w:val="18"/>
                <w:szCs w:val="18"/>
              </w:rPr>
            </w:pPr>
            <w:r>
              <w:rPr>
                <w:rFonts w:ascii="Times New Roman"/>
                <w:sz w:val="18"/>
              </w:rPr>
              <w:t>260.31</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54,464,5</w:t>
            </w:r>
          </w:p>
          <w:p>
            <w:pPr>
              <w:pStyle w:val="TableParagraph"/>
              <w:spacing w:line="240" w:lineRule="auto" w:before="102"/>
              <w:ind w:left="297" w:right="0"/>
              <w:jc w:val="left"/>
              <w:rPr>
                <w:rFonts w:ascii="Times New Roman" w:hAnsi="Times New Roman" w:cs="Times New Roman" w:eastAsia="Times New Roman" w:hint="default"/>
                <w:sz w:val="18"/>
                <w:szCs w:val="18"/>
              </w:rPr>
            </w:pPr>
            <w:r>
              <w:rPr>
                <w:rFonts w:ascii="Times New Roman"/>
                <w:sz w:val="18"/>
              </w:rPr>
              <w:t>87.84</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48" w:right="0"/>
              <w:jc w:val="center"/>
              <w:rPr>
                <w:rFonts w:ascii="Times New Roman" w:hAnsi="Times New Roman" w:cs="Times New Roman" w:eastAsia="Times New Roman" w:hint="default"/>
                <w:sz w:val="18"/>
                <w:szCs w:val="18"/>
              </w:rPr>
            </w:pPr>
            <w:r>
              <w:rPr>
                <w:rFonts w:ascii="Times New Roman"/>
                <w:sz w:val="18"/>
              </w:rPr>
              <w:t>232,028,</w:t>
            </w:r>
          </w:p>
          <w:p>
            <w:pPr>
              <w:pStyle w:val="TableParagraph"/>
              <w:spacing w:line="240" w:lineRule="auto" w:before="102"/>
              <w:ind w:left="184" w:right="0"/>
              <w:jc w:val="center"/>
              <w:rPr>
                <w:rFonts w:ascii="Times New Roman" w:hAnsi="Times New Roman" w:cs="Times New Roman" w:eastAsia="Times New Roman" w:hint="default"/>
                <w:sz w:val="18"/>
                <w:szCs w:val="18"/>
              </w:rPr>
            </w:pPr>
            <w:r>
              <w:rPr>
                <w:rFonts w:ascii="Times New Roman"/>
                <w:sz w:val="18"/>
              </w:rPr>
              <w:t>848.15</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60,785,7</w:t>
            </w:r>
          </w:p>
          <w:p>
            <w:pPr>
              <w:pStyle w:val="TableParagraph"/>
              <w:spacing w:line="240" w:lineRule="auto" w:before="102"/>
              <w:ind w:left="297" w:right="0"/>
              <w:jc w:val="left"/>
              <w:rPr>
                <w:rFonts w:ascii="Times New Roman" w:hAnsi="Times New Roman" w:cs="Times New Roman" w:eastAsia="Times New Roman" w:hint="default"/>
                <w:sz w:val="18"/>
                <w:szCs w:val="18"/>
              </w:rPr>
            </w:pPr>
            <w:r>
              <w:rPr>
                <w:rFonts w:ascii="Times New Roman"/>
                <w:sz w:val="18"/>
              </w:rPr>
              <w:t>43.92</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950,000.</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00</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72" w:right="0"/>
              <w:jc w:val="left"/>
              <w:rPr>
                <w:rFonts w:ascii="Times New Roman" w:hAnsi="Times New Roman" w:cs="Times New Roman" w:eastAsia="Times New Roman" w:hint="default"/>
                <w:sz w:val="18"/>
                <w:szCs w:val="18"/>
              </w:rPr>
            </w:pPr>
            <w:r>
              <w:rPr>
                <w:rFonts w:ascii="Times New Roman"/>
                <w:sz w:val="18"/>
              </w:rPr>
              <w:t>61,735,7</w:t>
            </w:r>
          </w:p>
          <w:p>
            <w:pPr>
              <w:pStyle w:val="TableParagraph"/>
              <w:spacing w:line="240" w:lineRule="auto" w:before="102"/>
              <w:ind w:left="297" w:right="0"/>
              <w:jc w:val="left"/>
              <w:rPr>
                <w:rFonts w:ascii="Times New Roman" w:hAnsi="Times New Roman" w:cs="Times New Roman" w:eastAsia="Times New Roman" w:hint="default"/>
                <w:sz w:val="18"/>
                <w:szCs w:val="18"/>
              </w:rPr>
            </w:pPr>
            <w:r>
              <w:rPr>
                <w:rFonts w:ascii="Times New Roman"/>
                <w:sz w:val="18"/>
              </w:rPr>
              <w:t>43.92</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50" w:right="0"/>
              <w:jc w:val="center"/>
              <w:rPr>
                <w:rFonts w:ascii="Times New Roman" w:hAnsi="Times New Roman" w:cs="Times New Roman" w:eastAsia="Times New Roman" w:hint="default"/>
                <w:sz w:val="18"/>
                <w:szCs w:val="18"/>
              </w:rPr>
            </w:pPr>
            <w:r>
              <w:rPr>
                <w:rFonts w:ascii="Times New Roman"/>
                <w:sz w:val="18"/>
              </w:rPr>
              <w:t>152,722,</w:t>
            </w:r>
          </w:p>
          <w:p>
            <w:pPr>
              <w:pStyle w:val="TableParagraph"/>
              <w:spacing w:line="240" w:lineRule="auto" w:before="102"/>
              <w:ind w:left="194" w:right="0"/>
              <w:jc w:val="center"/>
              <w:rPr>
                <w:rFonts w:ascii="Times New Roman" w:hAnsi="Times New Roman" w:cs="Times New Roman" w:eastAsia="Times New Roman" w:hint="default"/>
                <w:sz w:val="18"/>
                <w:szCs w:val="18"/>
              </w:rPr>
            </w:pPr>
            <w:r>
              <w:rPr>
                <w:rFonts w:ascii="Times New Roman"/>
                <w:sz w:val="18"/>
              </w:rPr>
              <w:t>411.18</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60,185,6</w:t>
            </w:r>
          </w:p>
          <w:p>
            <w:pPr>
              <w:pStyle w:val="TableParagraph"/>
              <w:spacing w:line="240" w:lineRule="auto" w:before="102"/>
              <w:ind w:left="297" w:right="0"/>
              <w:jc w:val="left"/>
              <w:rPr>
                <w:rFonts w:ascii="Times New Roman" w:hAnsi="Times New Roman" w:cs="Times New Roman" w:eastAsia="Times New Roman" w:hint="default"/>
                <w:sz w:val="18"/>
                <w:szCs w:val="18"/>
              </w:rPr>
            </w:pPr>
            <w:r>
              <w:rPr>
                <w:rFonts w:ascii="Times New Roman"/>
                <w:sz w:val="18"/>
              </w:rPr>
              <w:t>03.09</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48" w:right="0"/>
              <w:jc w:val="center"/>
              <w:rPr>
                <w:rFonts w:ascii="Times New Roman" w:hAnsi="Times New Roman" w:cs="Times New Roman" w:eastAsia="Times New Roman" w:hint="default"/>
                <w:sz w:val="18"/>
                <w:szCs w:val="18"/>
              </w:rPr>
            </w:pPr>
            <w:r>
              <w:rPr>
                <w:rFonts w:ascii="Times New Roman"/>
                <w:sz w:val="18"/>
              </w:rPr>
              <w:t>212,908,</w:t>
            </w:r>
          </w:p>
          <w:p>
            <w:pPr>
              <w:pStyle w:val="TableParagraph"/>
              <w:spacing w:line="240" w:lineRule="auto" w:before="102"/>
              <w:ind w:left="185" w:right="0"/>
              <w:jc w:val="center"/>
              <w:rPr>
                <w:rFonts w:ascii="Times New Roman" w:hAnsi="Times New Roman" w:cs="Times New Roman" w:eastAsia="Times New Roman" w:hint="default"/>
                <w:sz w:val="18"/>
                <w:szCs w:val="18"/>
              </w:rPr>
            </w:pPr>
            <w:r>
              <w:rPr>
                <w:rFonts w:ascii="Times New Roman"/>
                <w:sz w:val="18"/>
              </w:rPr>
              <w:t>014.27</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74" w:right="0"/>
              <w:jc w:val="left"/>
              <w:rPr>
                <w:rFonts w:ascii="Times New Roman" w:hAnsi="Times New Roman" w:cs="Times New Roman" w:eastAsia="Times New Roman" w:hint="default"/>
                <w:sz w:val="18"/>
                <w:szCs w:val="18"/>
              </w:rPr>
            </w:pPr>
            <w:r>
              <w:rPr>
                <w:rFonts w:ascii="Times New Roman"/>
                <w:sz w:val="18"/>
              </w:rPr>
              <w:t>57,719,9</w:t>
            </w:r>
          </w:p>
          <w:p>
            <w:pPr>
              <w:pStyle w:val="TableParagraph"/>
              <w:spacing w:line="240" w:lineRule="auto" w:before="102"/>
              <w:ind w:left="299" w:right="0"/>
              <w:jc w:val="left"/>
              <w:rPr>
                <w:rFonts w:ascii="Times New Roman" w:hAnsi="Times New Roman" w:cs="Times New Roman" w:eastAsia="Times New Roman" w:hint="default"/>
                <w:sz w:val="18"/>
                <w:szCs w:val="18"/>
              </w:rPr>
            </w:pPr>
            <w:r>
              <w:rPr>
                <w:rFonts w:ascii="Times New Roman"/>
                <w:sz w:val="18"/>
              </w:rPr>
              <w:t>83.77</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72" w:right="0"/>
              <w:jc w:val="left"/>
              <w:rPr>
                <w:rFonts w:ascii="Times New Roman" w:hAnsi="Times New Roman" w:cs="Times New Roman" w:eastAsia="Times New Roman" w:hint="default"/>
                <w:sz w:val="18"/>
                <w:szCs w:val="18"/>
              </w:rPr>
            </w:pPr>
            <w:r>
              <w:rPr>
                <w:rFonts w:ascii="Times New Roman"/>
                <w:sz w:val="18"/>
              </w:rPr>
              <w:t>4,862,26</w:t>
            </w:r>
          </w:p>
          <w:p>
            <w:pPr>
              <w:pStyle w:val="TableParagraph"/>
              <w:spacing w:line="240" w:lineRule="auto" w:before="102"/>
              <w:ind w:left="388" w:right="0"/>
              <w:jc w:val="left"/>
              <w:rPr>
                <w:rFonts w:ascii="Times New Roman" w:hAnsi="Times New Roman" w:cs="Times New Roman" w:eastAsia="Times New Roman" w:hint="default"/>
                <w:sz w:val="18"/>
                <w:szCs w:val="18"/>
              </w:rPr>
            </w:pPr>
            <w:r>
              <w:rPr>
                <w:rFonts w:ascii="Times New Roman"/>
                <w:sz w:val="18"/>
              </w:rPr>
              <w:t>4.04</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72" w:right="0"/>
              <w:jc w:val="left"/>
              <w:rPr>
                <w:rFonts w:ascii="Times New Roman" w:hAnsi="Times New Roman" w:cs="Times New Roman" w:eastAsia="Times New Roman" w:hint="default"/>
                <w:sz w:val="18"/>
                <w:szCs w:val="18"/>
              </w:rPr>
            </w:pPr>
            <w:r>
              <w:rPr>
                <w:rFonts w:ascii="Times New Roman"/>
                <w:sz w:val="18"/>
              </w:rPr>
              <w:t>62,582,2</w:t>
            </w:r>
          </w:p>
          <w:p>
            <w:pPr>
              <w:pStyle w:val="TableParagraph"/>
              <w:spacing w:line="240" w:lineRule="auto" w:before="102"/>
              <w:ind w:left="297" w:right="0"/>
              <w:jc w:val="left"/>
              <w:rPr>
                <w:rFonts w:ascii="Times New Roman" w:hAnsi="Times New Roman" w:cs="Times New Roman" w:eastAsia="Times New Roman" w:hint="default"/>
                <w:sz w:val="18"/>
                <w:szCs w:val="18"/>
              </w:rPr>
            </w:pPr>
            <w:r>
              <w:rPr>
                <w:rFonts w:ascii="Times New Roman"/>
                <w:sz w:val="18"/>
              </w:rPr>
              <w:t>47.81</w:t>
            </w:r>
          </w:p>
        </w:tc>
      </w:tr>
    </w:tbl>
    <w:p>
      <w:pPr>
        <w:spacing w:after="0" w:line="240" w:lineRule="auto"/>
        <w:jc w:val="lef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737"/>
        <w:gridCol w:w="734"/>
        <w:gridCol w:w="737"/>
        <w:gridCol w:w="737"/>
        <w:gridCol w:w="734"/>
        <w:gridCol w:w="737"/>
        <w:gridCol w:w="734"/>
        <w:gridCol w:w="735"/>
        <w:gridCol w:w="734"/>
        <w:gridCol w:w="737"/>
        <w:gridCol w:w="737"/>
        <w:gridCol w:w="734"/>
        <w:gridCol w:w="737"/>
      </w:tblGrid>
      <w:tr>
        <w:trPr>
          <w:trHeight w:val="1961" w:hRule="exact"/>
        </w:trPr>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22"/>
              <w:jc w:val="left"/>
              <w:rPr>
                <w:rFonts w:ascii="宋体" w:hAnsi="宋体" w:cs="宋体" w:eastAsia="宋体" w:hint="default"/>
                <w:sz w:val="18"/>
                <w:szCs w:val="18"/>
              </w:rPr>
            </w:pPr>
            <w:r>
              <w:rPr>
                <w:rFonts w:ascii="宋体" w:hAnsi="宋体" w:cs="宋体" w:eastAsia="宋体" w:hint="default"/>
                <w:sz w:val="18"/>
                <w:szCs w:val="18"/>
              </w:rPr>
              <w:t>中交宇 科（北 </w:t>
            </w:r>
            <w:r>
              <w:rPr>
                <w:rFonts w:ascii="宋体" w:hAnsi="宋体" w:cs="宋体" w:eastAsia="宋体" w:hint="default"/>
                <w:spacing w:val="-11"/>
                <w:sz w:val="18"/>
                <w:szCs w:val="18"/>
              </w:rPr>
              <w:t>京）空间</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信息技 术有限 公司</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71,407,5</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21.38</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2,455,87</w:t>
            </w:r>
          </w:p>
          <w:p>
            <w:pPr>
              <w:pStyle w:val="TableParagraph"/>
              <w:spacing w:line="240" w:lineRule="auto" w:before="105"/>
              <w:ind w:left="388" w:right="0"/>
              <w:jc w:val="left"/>
              <w:rPr>
                <w:rFonts w:ascii="Times New Roman" w:hAnsi="Times New Roman" w:cs="Times New Roman" w:eastAsia="Times New Roman" w:hint="default"/>
                <w:sz w:val="18"/>
                <w:szCs w:val="18"/>
              </w:rPr>
            </w:pPr>
            <w:r>
              <w:rPr>
                <w:rFonts w:ascii="Times New Roman"/>
                <w:sz w:val="18"/>
              </w:rPr>
              <w:t>3.93</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73,863,3</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95.31</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33,182,7</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48.85</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72" w:right="0"/>
              <w:jc w:val="left"/>
              <w:rPr>
                <w:rFonts w:ascii="Times New Roman" w:hAnsi="Times New Roman" w:cs="Times New Roman" w:eastAsia="Times New Roman" w:hint="default"/>
                <w:sz w:val="18"/>
                <w:szCs w:val="18"/>
              </w:rPr>
            </w:pPr>
            <w:r>
              <w:rPr>
                <w:rFonts w:ascii="Times New Roman"/>
                <w:sz w:val="18"/>
              </w:rPr>
              <w:t>33,182,7</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48.85</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58" w:right="0"/>
              <w:jc w:val="center"/>
              <w:rPr>
                <w:rFonts w:ascii="Times New Roman" w:hAnsi="Times New Roman" w:cs="Times New Roman" w:eastAsia="Times New Roman" w:hint="default"/>
                <w:sz w:val="18"/>
                <w:szCs w:val="18"/>
              </w:rPr>
            </w:pPr>
            <w:r>
              <w:rPr>
                <w:rFonts w:ascii="Times New Roman"/>
                <w:sz w:val="18"/>
              </w:rPr>
              <w:t>117,868,</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006.42</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2,203,77</w:t>
            </w:r>
          </w:p>
          <w:p>
            <w:pPr>
              <w:pStyle w:val="TableParagraph"/>
              <w:spacing w:line="240" w:lineRule="auto" w:before="105"/>
              <w:ind w:left="388" w:right="0"/>
              <w:jc w:val="left"/>
              <w:rPr>
                <w:rFonts w:ascii="Times New Roman" w:hAnsi="Times New Roman" w:cs="Times New Roman" w:eastAsia="Times New Roman" w:hint="default"/>
                <w:sz w:val="18"/>
                <w:szCs w:val="18"/>
              </w:rPr>
            </w:pPr>
            <w:r>
              <w:rPr>
                <w:rFonts w:ascii="Times New Roman"/>
                <w:sz w:val="18"/>
              </w:rPr>
              <w:t>8.59</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48" w:right="0"/>
              <w:jc w:val="center"/>
              <w:rPr>
                <w:rFonts w:ascii="Times New Roman" w:hAnsi="Times New Roman" w:cs="Times New Roman" w:eastAsia="Times New Roman" w:hint="default"/>
                <w:sz w:val="18"/>
                <w:szCs w:val="18"/>
              </w:rPr>
            </w:pPr>
            <w:r>
              <w:rPr>
                <w:rFonts w:ascii="Times New Roman"/>
                <w:sz w:val="18"/>
              </w:rPr>
              <w:t>120,071,</w:t>
            </w:r>
          </w:p>
          <w:p>
            <w:pPr>
              <w:pStyle w:val="TableParagraph"/>
              <w:spacing w:line="240" w:lineRule="auto" w:before="105"/>
              <w:ind w:left="185" w:right="0"/>
              <w:jc w:val="center"/>
              <w:rPr>
                <w:rFonts w:ascii="Times New Roman" w:hAnsi="Times New Roman" w:cs="Times New Roman" w:eastAsia="Times New Roman" w:hint="default"/>
                <w:sz w:val="18"/>
                <w:szCs w:val="18"/>
              </w:rPr>
            </w:pPr>
            <w:r>
              <w:rPr>
                <w:rFonts w:ascii="Times New Roman"/>
                <w:sz w:val="18"/>
              </w:rPr>
              <w:t>785.01</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74" w:right="0"/>
              <w:jc w:val="left"/>
              <w:rPr>
                <w:rFonts w:ascii="Times New Roman" w:hAnsi="Times New Roman" w:cs="Times New Roman" w:eastAsia="Times New Roman" w:hint="default"/>
                <w:sz w:val="18"/>
                <w:szCs w:val="18"/>
              </w:rPr>
            </w:pPr>
            <w:r>
              <w:rPr>
                <w:rFonts w:ascii="Times New Roman"/>
                <w:sz w:val="18"/>
              </w:rPr>
              <w:t>36,649,8</w:t>
            </w:r>
          </w:p>
          <w:p>
            <w:pPr>
              <w:pStyle w:val="TableParagraph"/>
              <w:spacing w:line="240" w:lineRule="auto" w:before="105"/>
              <w:ind w:left="299" w:right="0"/>
              <w:jc w:val="left"/>
              <w:rPr>
                <w:rFonts w:ascii="Times New Roman" w:hAnsi="Times New Roman" w:cs="Times New Roman" w:eastAsia="Times New Roman" w:hint="default"/>
                <w:sz w:val="18"/>
                <w:szCs w:val="18"/>
              </w:rPr>
            </w:pPr>
            <w:r>
              <w:rPr>
                <w:rFonts w:ascii="Times New Roman"/>
                <w:sz w:val="18"/>
              </w:rPr>
              <w:t>16.54</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72" w:right="0"/>
              <w:jc w:val="left"/>
              <w:rPr>
                <w:rFonts w:ascii="Times New Roman" w:hAnsi="Times New Roman" w:cs="Times New Roman" w:eastAsia="Times New Roman" w:hint="default"/>
                <w:sz w:val="18"/>
                <w:szCs w:val="18"/>
              </w:rPr>
            </w:pPr>
            <w:r>
              <w:rPr>
                <w:rFonts w:ascii="Times New Roman"/>
                <w:sz w:val="18"/>
              </w:rPr>
              <w:t>36,649,8</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16.54</w:t>
            </w:r>
          </w:p>
        </w:tc>
      </w:tr>
      <w:tr>
        <w:trPr>
          <w:trHeight w:val="1651" w:hRule="exact"/>
        </w:trPr>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161"/>
              <w:jc w:val="both"/>
              <w:rPr>
                <w:rFonts w:ascii="宋体" w:hAnsi="宋体" w:cs="宋体" w:eastAsia="宋体" w:hint="default"/>
                <w:sz w:val="18"/>
                <w:szCs w:val="18"/>
              </w:rPr>
            </w:pPr>
            <w:r>
              <w:rPr>
                <w:rFonts w:ascii="宋体" w:hAnsi="宋体" w:cs="宋体" w:eastAsia="宋体" w:hint="default"/>
                <w:sz w:val="18"/>
                <w:szCs w:val="18"/>
              </w:rPr>
              <w:t>北京图 迅丰达 信息技 术有限 公司</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73,670,3</w:t>
            </w:r>
          </w:p>
          <w:p>
            <w:pPr>
              <w:pStyle w:val="TableParagraph"/>
              <w:spacing w:line="240" w:lineRule="auto" w:before="102"/>
              <w:ind w:left="297" w:right="0"/>
              <w:jc w:val="left"/>
              <w:rPr>
                <w:rFonts w:ascii="Times New Roman" w:hAnsi="Times New Roman" w:cs="Times New Roman" w:eastAsia="Times New Roman" w:hint="default"/>
                <w:sz w:val="18"/>
                <w:szCs w:val="18"/>
              </w:rPr>
            </w:pPr>
            <w:r>
              <w:rPr>
                <w:rFonts w:ascii="Times New Roman"/>
                <w:sz w:val="18"/>
              </w:rPr>
              <w:t>74.14</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3,760,08</w:t>
            </w:r>
          </w:p>
          <w:p>
            <w:pPr>
              <w:pStyle w:val="TableParagraph"/>
              <w:spacing w:line="240" w:lineRule="auto" w:before="102"/>
              <w:ind w:left="388" w:right="0"/>
              <w:jc w:val="left"/>
              <w:rPr>
                <w:rFonts w:ascii="Times New Roman" w:hAnsi="Times New Roman" w:cs="Times New Roman" w:eastAsia="Times New Roman" w:hint="default"/>
                <w:sz w:val="18"/>
                <w:szCs w:val="18"/>
              </w:rPr>
            </w:pPr>
            <w:r>
              <w:rPr>
                <w:rFonts w:ascii="Times New Roman"/>
                <w:sz w:val="18"/>
              </w:rPr>
              <w:t>7.76</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77,430,4</w:t>
            </w:r>
          </w:p>
          <w:p>
            <w:pPr>
              <w:pStyle w:val="TableParagraph"/>
              <w:spacing w:line="240" w:lineRule="auto" w:before="102"/>
              <w:ind w:left="297" w:right="0"/>
              <w:jc w:val="left"/>
              <w:rPr>
                <w:rFonts w:ascii="Times New Roman" w:hAnsi="Times New Roman" w:cs="Times New Roman" w:eastAsia="Times New Roman" w:hint="default"/>
                <w:sz w:val="18"/>
                <w:szCs w:val="18"/>
              </w:rPr>
            </w:pPr>
            <w:r>
              <w:rPr>
                <w:rFonts w:ascii="Times New Roman"/>
                <w:sz w:val="18"/>
              </w:rPr>
              <w:t>61.90</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31,133,2</w:t>
            </w:r>
          </w:p>
          <w:p>
            <w:pPr>
              <w:pStyle w:val="TableParagraph"/>
              <w:spacing w:line="240" w:lineRule="auto" w:before="102"/>
              <w:ind w:left="297" w:right="0"/>
              <w:jc w:val="left"/>
              <w:rPr>
                <w:rFonts w:ascii="Times New Roman" w:hAnsi="Times New Roman" w:cs="Times New Roman" w:eastAsia="Times New Roman" w:hint="default"/>
                <w:sz w:val="18"/>
                <w:szCs w:val="18"/>
              </w:rPr>
            </w:pPr>
            <w:r>
              <w:rPr>
                <w:rFonts w:ascii="Times New Roman"/>
                <w:sz w:val="18"/>
              </w:rPr>
              <w:t>82.98</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72" w:right="0"/>
              <w:jc w:val="left"/>
              <w:rPr>
                <w:rFonts w:ascii="Times New Roman" w:hAnsi="Times New Roman" w:cs="Times New Roman" w:eastAsia="Times New Roman" w:hint="default"/>
                <w:sz w:val="18"/>
                <w:szCs w:val="18"/>
              </w:rPr>
            </w:pPr>
            <w:r>
              <w:rPr>
                <w:rFonts w:ascii="Times New Roman"/>
                <w:sz w:val="18"/>
              </w:rPr>
              <w:t>31,133,2</w:t>
            </w:r>
          </w:p>
          <w:p>
            <w:pPr>
              <w:pStyle w:val="TableParagraph"/>
              <w:spacing w:line="240" w:lineRule="auto" w:before="102"/>
              <w:ind w:left="297" w:right="0"/>
              <w:jc w:val="left"/>
              <w:rPr>
                <w:rFonts w:ascii="Times New Roman" w:hAnsi="Times New Roman" w:cs="Times New Roman" w:eastAsia="Times New Roman" w:hint="default"/>
                <w:sz w:val="18"/>
                <w:szCs w:val="18"/>
              </w:rPr>
            </w:pPr>
            <w:r>
              <w:rPr>
                <w:rFonts w:ascii="Times New Roman"/>
                <w:sz w:val="18"/>
              </w:rPr>
              <w:t>82.98</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72" w:right="0"/>
              <w:jc w:val="left"/>
              <w:rPr>
                <w:rFonts w:ascii="Times New Roman" w:hAnsi="Times New Roman" w:cs="Times New Roman" w:eastAsia="Times New Roman" w:hint="default"/>
                <w:sz w:val="18"/>
                <w:szCs w:val="18"/>
              </w:rPr>
            </w:pPr>
            <w:r>
              <w:rPr>
                <w:rFonts w:ascii="Times New Roman"/>
                <w:sz w:val="18"/>
              </w:rPr>
              <w:t>52,684,7</w:t>
            </w:r>
          </w:p>
          <w:p>
            <w:pPr>
              <w:pStyle w:val="TableParagraph"/>
              <w:spacing w:line="240" w:lineRule="auto" w:before="102"/>
              <w:ind w:left="298" w:right="0"/>
              <w:jc w:val="left"/>
              <w:rPr>
                <w:rFonts w:ascii="Times New Roman" w:hAnsi="Times New Roman" w:cs="Times New Roman" w:eastAsia="Times New Roman" w:hint="default"/>
                <w:sz w:val="18"/>
                <w:szCs w:val="18"/>
              </w:rPr>
            </w:pPr>
            <w:r>
              <w:rPr>
                <w:rFonts w:ascii="Times New Roman"/>
                <w:sz w:val="18"/>
              </w:rPr>
              <w:t>87.73</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4,775,30</w:t>
            </w:r>
          </w:p>
          <w:p>
            <w:pPr>
              <w:pStyle w:val="TableParagraph"/>
              <w:spacing w:line="240" w:lineRule="auto" w:before="102"/>
              <w:ind w:left="388" w:right="0"/>
              <w:jc w:val="left"/>
              <w:rPr>
                <w:rFonts w:ascii="Times New Roman" w:hAnsi="Times New Roman" w:cs="Times New Roman" w:eastAsia="Times New Roman" w:hint="default"/>
                <w:sz w:val="18"/>
                <w:szCs w:val="18"/>
              </w:rPr>
            </w:pPr>
            <w:r>
              <w:rPr>
                <w:rFonts w:ascii="Times New Roman"/>
                <w:sz w:val="18"/>
              </w:rPr>
              <w:t>6.09</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57,460,0</w:t>
            </w:r>
          </w:p>
          <w:p>
            <w:pPr>
              <w:pStyle w:val="TableParagraph"/>
              <w:spacing w:line="240" w:lineRule="auto" w:before="102"/>
              <w:ind w:left="297" w:right="0"/>
              <w:jc w:val="left"/>
              <w:rPr>
                <w:rFonts w:ascii="Times New Roman" w:hAnsi="Times New Roman" w:cs="Times New Roman" w:eastAsia="Times New Roman" w:hint="default"/>
                <w:sz w:val="18"/>
                <w:szCs w:val="18"/>
              </w:rPr>
            </w:pPr>
            <w:r>
              <w:rPr>
                <w:rFonts w:ascii="Times New Roman"/>
                <w:sz w:val="18"/>
              </w:rPr>
              <w:t>93.82</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74" w:right="0"/>
              <w:jc w:val="left"/>
              <w:rPr>
                <w:rFonts w:ascii="Times New Roman" w:hAnsi="Times New Roman" w:cs="Times New Roman" w:eastAsia="Times New Roman" w:hint="default"/>
                <w:sz w:val="18"/>
                <w:szCs w:val="18"/>
              </w:rPr>
            </w:pPr>
            <w:r>
              <w:rPr>
                <w:rFonts w:ascii="Times New Roman"/>
                <w:sz w:val="18"/>
              </w:rPr>
              <w:t>19,264,6</w:t>
            </w:r>
          </w:p>
          <w:p>
            <w:pPr>
              <w:pStyle w:val="TableParagraph"/>
              <w:spacing w:line="240" w:lineRule="auto" w:before="102"/>
              <w:ind w:left="299" w:right="0"/>
              <w:jc w:val="left"/>
              <w:rPr>
                <w:rFonts w:ascii="Times New Roman" w:hAnsi="Times New Roman" w:cs="Times New Roman" w:eastAsia="Times New Roman" w:hint="default"/>
                <w:sz w:val="18"/>
                <w:szCs w:val="18"/>
              </w:rPr>
            </w:pPr>
            <w:r>
              <w:rPr>
                <w:rFonts w:ascii="Times New Roman"/>
                <w:sz w:val="18"/>
              </w:rPr>
              <w:t>39.09</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72" w:right="0"/>
              <w:jc w:val="left"/>
              <w:rPr>
                <w:rFonts w:ascii="Times New Roman" w:hAnsi="Times New Roman" w:cs="Times New Roman" w:eastAsia="Times New Roman" w:hint="default"/>
                <w:sz w:val="18"/>
                <w:szCs w:val="18"/>
              </w:rPr>
            </w:pPr>
            <w:r>
              <w:rPr>
                <w:rFonts w:ascii="Times New Roman"/>
                <w:sz w:val="18"/>
              </w:rPr>
              <w:t>19,264,6</w:t>
            </w:r>
          </w:p>
          <w:p>
            <w:pPr>
              <w:pStyle w:val="TableParagraph"/>
              <w:spacing w:line="240" w:lineRule="auto" w:before="102"/>
              <w:ind w:left="297" w:right="0"/>
              <w:jc w:val="left"/>
              <w:rPr>
                <w:rFonts w:ascii="Times New Roman" w:hAnsi="Times New Roman" w:cs="Times New Roman" w:eastAsia="Times New Roman" w:hint="default"/>
                <w:sz w:val="18"/>
                <w:szCs w:val="18"/>
              </w:rPr>
            </w:pPr>
            <w:r>
              <w:rPr>
                <w:rFonts w:ascii="Times New Roman"/>
                <w:sz w:val="18"/>
              </w:rPr>
              <w:t>39.09</w:t>
            </w:r>
          </w:p>
        </w:tc>
      </w:tr>
      <w:tr>
        <w:trPr>
          <w:trHeight w:val="1337" w:hRule="exact"/>
        </w:trPr>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61"/>
              <w:jc w:val="both"/>
              <w:rPr>
                <w:rFonts w:ascii="宋体" w:hAnsi="宋体" w:cs="宋体" w:eastAsia="宋体" w:hint="default"/>
                <w:sz w:val="18"/>
                <w:szCs w:val="18"/>
              </w:rPr>
            </w:pPr>
            <w:r>
              <w:rPr>
                <w:rFonts w:ascii="宋体" w:hAnsi="宋体" w:cs="宋体" w:eastAsia="宋体" w:hint="default"/>
                <w:sz w:val="18"/>
                <w:szCs w:val="18"/>
              </w:rPr>
              <w:t>中寰卫 星导航 通信有 限公司</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51" w:right="0"/>
              <w:jc w:val="center"/>
              <w:rPr>
                <w:rFonts w:ascii="Times New Roman" w:hAnsi="Times New Roman" w:cs="Times New Roman" w:eastAsia="Times New Roman" w:hint="default"/>
                <w:sz w:val="18"/>
                <w:szCs w:val="18"/>
              </w:rPr>
            </w:pPr>
            <w:r>
              <w:rPr>
                <w:rFonts w:ascii="Times New Roman"/>
                <w:sz w:val="18"/>
              </w:rPr>
              <w:t>265,497,</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102.06</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54,491,7</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32.07</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8" w:right="0"/>
              <w:jc w:val="center"/>
              <w:rPr>
                <w:rFonts w:ascii="Times New Roman" w:hAnsi="Times New Roman" w:cs="Times New Roman" w:eastAsia="Times New Roman" w:hint="default"/>
                <w:sz w:val="18"/>
                <w:szCs w:val="18"/>
              </w:rPr>
            </w:pPr>
            <w:r>
              <w:rPr>
                <w:rFonts w:ascii="Times New Roman"/>
                <w:sz w:val="18"/>
              </w:rPr>
              <w:t>319,988,</w:t>
            </w:r>
          </w:p>
          <w:p>
            <w:pPr>
              <w:pStyle w:val="TableParagraph"/>
              <w:spacing w:line="240" w:lineRule="auto" w:before="105"/>
              <w:ind w:left="184" w:right="0"/>
              <w:jc w:val="center"/>
              <w:rPr>
                <w:rFonts w:ascii="Times New Roman" w:hAnsi="Times New Roman" w:cs="Times New Roman" w:eastAsia="Times New Roman" w:hint="default"/>
                <w:sz w:val="18"/>
                <w:szCs w:val="18"/>
              </w:rPr>
            </w:pPr>
            <w:r>
              <w:rPr>
                <w:rFonts w:ascii="Times New Roman"/>
                <w:sz w:val="18"/>
              </w:rPr>
              <w:t>834.13</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85,515,8</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02.86</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72" w:right="0"/>
              <w:jc w:val="left"/>
              <w:rPr>
                <w:rFonts w:ascii="Times New Roman" w:hAnsi="Times New Roman" w:cs="Times New Roman" w:eastAsia="Times New Roman" w:hint="default"/>
                <w:sz w:val="18"/>
                <w:szCs w:val="18"/>
              </w:rPr>
            </w:pPr>
            <w:r>
              <w:rPr>
                <w:rFonts w:ascii="Times New Roman"/>
                <w:sz w:val="18"/>
              </w:rPr>
              <w:t>4,147,37</w:t>
            </w:r>
          </w:p>
          <w:p>
            <w:pPr>
              <w:pStyle w:val="TableParagraph"/>
              <w:spacing w:line="240" w:lineRule="auto" w:before="105"/>
              <w:ind w:left="388" w:right="0"/>
              <w:jc w:val="left"/>
              <w:rPr>
                <w:rFonts w:ascii="Times New Roman" w:hAnsi="Times New Roman" w:cs="Times New Roman" w:eastAsia="Times New Roman" w:hint="default"/>
                <w:sz w:val="18"/>
                <w:szCs w:val="18"/>
              </w:rPr>
            </w:pPr>
            <w:r>
              <w:rPr>
                <w:rFonts w:ascii="Times New Roman"/>
                <w:sz w:val="18"/>
              </w:rPr>
              <w:t>7.49</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72" w:right="0"/>
              <w:jc w:val="left"/>
              <w:rPr>
                <w:rFonts w:ascii="Times New Roman" w:hAnsi="Times New Roman" w:cs="Times New Roman" w:eastAsia="Times New Roman" w:hint="default"/>
                <w:sz w:val="18"/>
                <w:szCs w:val="18"/>
              </w:rPr>
            </w:pPr>
            <w:r>
              <w:rPr>
                <w:rFonts w:ascii="Times New Roman"/>
                <w:sz w:val="18"/>
              </w:rPr>
              <w:t>89,663,1</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80.35</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50" w:right="0"/>
              <w:jc w:val="center"/>
              <w:rPr>
                <w:rFonts w:ascii="Times New Roman" w:hAnsi="Times New Roman" w:cs="Times New Roman" w:eastAsia="Times New Roman" w:hint="default"/>
                <w:sz w:val="18"/>
                <w:szCs w:val="18"/>
              </w:rPr>
            </w:pPr>
            <w:r>
              <w:rPr>
                <w:rFonts w:ascii="Times New Roman"/>
                <w:sz w:val="18"/>
              </w:rPr>
              <w:t>171,099,</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728.09</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58,341,0</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79.29</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8" w:right="0"/>
              <w:jc w:val="center"/>
              <w:rPr>
                <w:rFonts w:ascii="Times New Roman" w:hAnsi="Times New Roman" w:cs="Times New Roman" w:eastAsia="Times New Roman" w:hint="default"/>
                <w:sz w:val="18"/>
                <w:szCs w:val="18"/>
              </w:rPr>
            </w:pPr>
            <w:r>
              <w:rPr>
                <w:rFonts w:ascii="Times New Roman"/>
                <w:sz w:val="18"/>
              </w:rPr>
              <w:t>229,440,</w:t>
            </w:r>
          </w:p>
          <w:p>
            <w:pPr>
              <w:pStyle w:val="TableParagraph"/>
              <w:spacing w:line="240" w:lineRule="auto" w:before="105"/>
              <w:ind w:left="185" w:right="0"/>
              <w:jc w:val="center"/>
              <w:rPr>
                <w:rFonts w:ascii="Times New Roman" w:hAnsi="Times New Roman" w:cs="Times New Roman" w:eastAsia="Times New Roman" w:hint="default"/>
                <w:sz w:val="18"/>
                <w:szCs w:val="18"/>
              </w:rPr>
            </w:pPr>
            <w:r>
              <w:rPr>
                <w:rFonts w:ascii="Times New Roman"/>
                <w:sz w:val="18"/>
              </w:rPr>
              <w:t>807.38</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74" w:right="0"/>
              <w:jc w:val="left"/>
              <w:rPr>
                <w:rFonts w:ascii="Times New Roman" w:hAnsi="Times New Roman" w:cs="Times New Roman" w:eastAsia="Times New Roman" w:hint="default"/>
                <w:sz w:val="18"/>
                <w:szCs w:val="18"/>
              </w:rPr>
            </w:pPr>
            <w:r>
              <w:rPr>
                <w:rFonts w:ascii="Times New Roman"/>
                <w:sz w:val="18"/>
              </w:rPr>
              <w:t>40,906,6</w:t>
            </w:r>
          </w:p>
          <w:p>
            <w:pPr>
              <w:pStyle w:val="TableParagraph"/>
              <w:spacing w:line="240" w:lineRule="auto" w:before="105"/>
              <w:ind w:left="299" w:right="0"/>
              <w:jc w:val="left"/>
              <w:rPr>
                <w:rFonts w:ascii="Times New Roman" w:hAnsi="Times New Roman" w:cs="Times New Roman" w:eastAsia="Times New Roman" w:hint="default"/>
                <w:sz w:val="18"/>
                <w:szCs w:val="18"/>
              </w:rPr>
            </w:pPr>
            <w:r>
              <w:rPr>
                <w:rFonts w:ascii="Times New Roman"/>
                <w:sz w:val="18"/>
              </w:rPr>
              <w:t>77.22</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72" w:right="0"/>
              <w:jc w:val="left"/>
              <w:rPr>
                <w:rFonts w:ascii="Times New Roman" w:hAnsi="Times New Roman" w:cs="Times New Roman" w:eastAsia="Times New Roman" w:hint="default"/>
                <w:sz w:val="18"/>
                <w:szCs w:val="18"/>
              </w:rPr>
            </w:pPr>
            <w:r>
              <w:rPr>
                <w:rFonts w:ascii="Times New Roman"/>
                <w:sz w:val="18"/>
              </w:rPr>
              <w:t>8,033,54</w:t>
            </w:r>
          </w:p>
          <w:p>
            <w:pPr>
              <w:pStyle w:val="TableParagraph"/>
              <w:spacing w:line="240" w:lineRule="auto" w:before="105"/>
              <w:ind w:left="388" w:right="0"/>
              <w:jc w:val="left"/>
              <w:rPr>
                <w:rFonts w:ascii="Times New Roman" w:hAnsi="Times New Roman" w:cs="Times New Roman" w:eastAsia="Times New Roman" w:hint="default"/>
                <w:sz w:val="18"/>
                <w:szCs w:val="18"/>
              </w:rPr>
            </w:pPr>
            <w:r>
              <w:rPr>
                <w:rFonts w:ascii="Times New Roman"/>
                <w:sz w:val="18"/>
              </w:rPr>
              <w:t>4.16</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72" w:right="0"/>
              <w:jc w:val="left"/>
              <w:rPr>
                <w:rFonts w:ascii="Times New Roman" w:hAnsi="Times New Roman" w:cs="Times New Roman" w:eastAsia="Times New Roman" w:hint="default"/>
                <w:sz w:val="18"/>
                <w:szCs w:val="18"/>
              </w:rPr>
            </w:pPr>
            <w:r>
              <w:rPr>
                <w:rFonts w:ascii="Times New Roman"/>
                <w:sz w:val="18"/>
              </w:rPr>
              <w:t>48,940,2</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21.38</w:t>
            </w:r>
          </w:p>
        </w:tc>
      </w:tr>
      <w:tr>
        <w:trPr>
          <w:trHeight w:val="1339" w:hRule="exact"/>
        </w:trPr>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161"/>
              <w:jc w:val="both"/>
              <w:rPr>
                <w:rFonts w:ascii="宋体" w:hAnsi="宋体" w:cs="宋体" w:eastAsia="宋体" w:hint="default"/>
                <w:sz w:val="18"/>
                <w:szCs w:val="18"/>
              </w:rPr>
            </w:pPr>
            <w:r>
              <w:rPr>
                <w:rFonts w:ascii="宋体" w:hAnsi="宋体" w:cs="宋体" w:eastAsia="宋体" w:hint="default"/>
                <w:sz w:val="18"/>
                <w:szCs w:val="18"/>
              </w:rPr>
              <w:t>长沙市 海图科 技有限 公司</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5,787,98</w:t>
            </w:r>
          </w:p>
          <w:p>
            <w:pPr>
              <w:pStyle w:val="TableParagraph"/>
              <w:spacing w:line="240" w:lineRule="auto" w:before="102"/>
              <w:ind w:left="388" w:right="0"/>
              <w:jc w:val="left"/>
              <w:rPr>
                <w:rFonts w:ascii="Times New Roman" w:hAnsi="Times New Roman" w:cs="Times New Roman" w:eastAsia="Times New Roman" w:hint="default"/>
                <w:sz w:val="18"/>
                <w:szCs w:val="18"/>
              </w:rPr>
            </w:pPr>
            <w:r>
              <w:rPr>
                <w:rFonts w:ascii="Times New Roman"/>
                <w:sz w:val="18"/>
              </w:rPr>
              <w:t>1.09</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79" w:right="0"/>
              <w:jc w:val="left"/>
              <w:rPr>
                <w:rFonts w:ascii="Times New Roman" w:hAnsi="Times New Roman" w:cs="Times New Roman" w:eastAsia="Times New Roman" w:hint="default"/>
                <w:sz w:val="18"/>
                <w:szCs w:val="18"/>
              </w:rPr>
            </w:pPr>
            <w:r>
              <w:rPr>
                <w:rFonts w:ascii="Times New Roman"/>
                <w:sz w:val="18"/>
              </w:rPr>
              <w:t>2,115,09</w:t>
            </w:r>
          </w:p>
          <w:p>
            <w:pPr>
              <w:pStyle w:val="TableParagraph"/>
              <w:spacing w:line="240" w:lineRule="auto" w:before="102"/>
              <w:ind w:left="388" w:right="0"/>
              <w:jc w:val="left"/>
              <w:rPr>
                <w:rFonts w:ascii="Times New Roman" w:hAnsi="Times New Roman" w:cs="Times New Roman" w:eastAsia="Times New Roman" w:hint="default"/>
                <w:sz w:val="18"/>
                <w:szCs w:val="18"/>
              </w:rPr>
            </w:pPr>
            <w:r>
              <w:rPr>
                <w:rFonts w:ascii="Times New Roman"/>
                <w:sz w:val="18"/>
              </w:rPr>
              <w:t>5.73</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7,903,07</w:t>
            </w:r>
          </w:p>
          <w:p>
            <w:pPr>
              <w:pStyle w:val="TableParagraph"/>
              <w:spacing w:line="240" w:lineRule="auto" w:before="102"/>
              <w:ind w:left="388" w:right="0"/>
              <w:jc w:val="left"/>
              <w:rPr>
                <w:rFonts w:ascii="Times New Roman" w:hAnsi="Times New Roman" w:cs="Times New Roman" w:eastAsia="Times New Roman" w:hint="default"/>
                <w:sz w:val="18"/>
                <w:szCs w:val="18"/>
              </w:rPr>
            </w:pPr>
            <w:r>
              <w:rPr>
                <w:rFonts w:ascii="Times New Roman"/>
                <w:sz w:val="18"/>
              </w:rPr>
              <w:t>6.82</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8,715,28</w:t>
            </w:r>
          </w:p>
          <w:p>
            <w:pPr>
              <w:pStyle w:val="TableParagraph"/>
              <w:spacing w:line="240" w:lineRule="auto" w:before="102"/>
              <w:ind w:left="395" w:right="0"/>
              <w:jc w:val="left"/>
              <w:rPr>
                <w:rFonts w:ascii="Times New Roman" w:hAnsi="Times New Roman" w:cs="Times New Roman" w:eastAsia="Times New Roman" w:hint="default"/>
                <w:sz w:val="18"/>
                <w:szCs w:val="18"/>
              </w:rPr>
            </w:pPr>
            <w:r>
              <w:rPr>
                <w:rFonts w:ascii="Times New Roman"/>
                <w:sz w:val="18"/>
              </w:rPr>
              <w:t>5.11</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72" w:right="0"/>
              <w:jc w:val="left"/>
              <w:rPr>
                <w:rFonts w:ascii="Times New Roman" w:hAnsi="Times New Roman" w:cs="Times New Roman" w:eastAsia="Times New Roman" w:hint="default"/>
                <w:sz w:val="18"/>
                <w:szCs w:val="18"/>
              </w:rPr>
            </w:pPr>
            <w:r>
              <w:rPr>
                <w:rFonts w:ascii="Times New Roman"/>
                <w:sz w:val="18"/>
              </w:rPr>
              <w:t>8,715,28</w:t>
            </w:r>
          </w:p>
          <w:p>
            <w:pPr>
              <w:pStyle w:val="TableParagraph"/>
              <w:spacing w:line="240" w:lineRule="auto" w:before="102"/>
              <w:ind w:left="396" w:right="0"/>
              <w:jc w:val="left"/>
              <w:rPr>
                <w:rFonts w:ascii="Times New Roman" w:hAnsi="Times New Roman" w:cs="Times New Roman" w:eastAsia="Times New Roman" w:hint="default"/>
                <w:sz w:val="18"/>
                <w:szCs w:val="18"/>
              </w:rPr>
            </w:pPr>
            <w:r>
              <w:rPr>
                <w:rFonts w:ascii="Times New Roman"/>
                <w:sz w:val="18"/>
              </w:rPr>
              <w:t>5.11</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72" w:right="0"/>
              <w:jc w:val="left"/>
              <w:rPr>
                <w:rFonts w:ascii="Times New Roman" w:hAnsi="Times New Roman" w:cs="Times New Roman" w:eastAsia="Times New Roman" w:hint="default"/>
                <w:sz w:val="18"/>
                <w:szCs w:val="18"/>
              </w:rPr>
            </w:pPr>
            <w:r>
              <w:rPr>
                <w:rFonts w:ascii="Times New Roman"/>
                <w:sz w:val="18"/>
              </w:rPr>
              <w:t>17,306,4</w:t>
            </w:r>
          </w:p>
          <w:p>
            <w:pPr>
              <w:pStyle w:val="TableParagraph"/>
              <w:spacing w:line="240" w:lineRule="auto" w:before="102"/>
              <w:ind w:left="298" w:right="0"/>
              <w:jc w:val="left"/>
              <w:rPr>
                <w:rFonts w:ascii="Times New Roman" w:hAnsi="Times New Roman" w:cs="Times New Roman" w:eastAsia="Times New Roman" w:hint="default"/>
                <w:sz w:val="18"/>
                <w:szCs w:val="18"/>
              </w:rPr>
            </w:pPr>
            <w:r>
              <w:rPr>
                <w:rFonts w:ascii="Times New Roman"/>
                <w:sz w:val="18"/>
              </w:rPr>
              <w:t>23.06</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3,266,24</w:t>
            </w:r>
          </w:p>
          <w:p>
            <w:pPr>
              <w:pStyle w:val="TableParagraph"/>
              <w:spacing w:line="240" w:lineRule="auto" w:before="102"/>
              <w:ind w:left="388" w:right="0"/>
              <w:jc w:val="left"/>
              <w:rPr>
                <w:rFonts w:ascii="Times New Roman" w:hAnsi="Times New Roman" w:cs="Times New Roman" w:eastAsia="Times New Roman" w:hint="default"/>
                <w:sz w:val="18"/>
                <w:szCs w:val="18"/>
              </w:rPr>
            </w:pPr>
            <w:r>
              <w:rPr>
                <w:rFonts w:ascii="Times New Roman"/>
                <w:sz w:val="18"/>
              </w:rPr>
              <w:t>9.02</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20,572,6</w:t>
            </w:r>
          </w:p>
          <w:p>
            <w:pPr>
              <w:pStyle w:val="TableParagraph"/>
              <w:spacing w:line="240" w:lineRule="auto" w:before="102"/>
              <w:ind w:left="297" w:right="0"/>
              <w:jc w:val="left"/>
              <w:rPr>
                <w:rFonts w:ascii="Times New Roman" w:hAnsi="Times New Roman" w:cs="Times New Roman" w:eastAsia="Times New Roman" w:hint="default"/>
                <w:sz w:val="18"/>
                <w:szCs w:val="18"/>
              </w:rPr>
            </w:pPr>
            <w:r>
              <w:rPr>
                <w:rFonts w:ascii="Times New Roman"/>
                <w:sz w:val="18"/>
              </w:rPr>
              <w:t>72.08</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74" w:right="0"/>
              <w:jc w:val="left"/>
              <w:rPr>
                <w:rFonts w:ascii="Times New Roman" w:hAnsi="Times New Roman" w:cs="Times New Roman" w:eastAsia="Times New Roman" w:hint="default"/>
                <w:sz w:val="18"/>
                <w:szCs w:val="18"/>
              </w:rPr>
            </w:pPr>
            <w:r>
              <w:rPr>
                <w:rFonts w:ascii="Times New Roman"/>
                <w:sz w:val="18"/>
              </w:rPr>
              <w:t>7,132,26</w:t>
            </w:r>
          </w:p>
          <w:p>
            <w:pPr>
              <w:pStyle w:val="TableParagraph"/>
              <w:spacing w:line="240" w:lineRule="auto" w:before="102"/>
              <w:ind w:left="391" w:right="0"/>
              <w:jc w:val="left"/>
              <w:rPr>
                <w:rFonts w:ascii="Times New Roman" w:hAnsi="Times New Roman" w:cs="Times New Roman" w:eastAsia="Times New Roman" w:hint="default"/>
                <w:sz w:val="18"/>
                <w:szCs w:val="18"/>
              </w:rPr>
            </w:pPr>
            <w:r>
              <w:rPr>
                <w:rFonts w:ascii="Times New Roman"/>
                <w:sz w:val="18"/>
              </w:rPr>
              <w:t>6.28</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72" w:right="0"/>
              <w:jc w:val="left"/>
              <w:rPr>
                <w:rFonts w:ascii="Times New Roman" w:hAnsi="Times New Roman" w:cs="Times New Roman" w:eastAsia="Times New Roman" w:hint="default"/>
                <w:sz w:val="18"/>
                <w:szCs w:val="18"/>
              </w:rPr>
            </w:pPr>
            <w:r>
              <w:rPr>
                <w:rFonts w:ascii="Times New Roman"/>
                <w:sz w:val="18"/>
              </w:rPr>
              <w:t>7,132,26</w:t>
            </w:r>
          </w:p>
          <w:p>
            <w:pPr>
              <w:pStyle w:val="TableParagraph"/>
              <w:spacing w:line="240" w:lineRule="auto" w:before="102"/>
              <w:ind w:left="388" w:right="0"/>
              <w:jc w:val="left"/>
              <w:rPr>
                <w:rFonts w:ascii="Times New Roman" w:hAnsi="Times New Roman" w:cs="Times New Roman" w:eastAsia="Times New Roman" w:hint="default"/>
                <w:sz w:val="18"/>
                <w:szCs w:val="18"/>
              </w:rPr>
            </w:pPr>
            <w:r>
              <w:rPr>
                <w:rFonts w:ascii="Times New Roman"/>
                <w:sz w:val="18"/>
              </w:rPr>
              <w:t>6.28</w:t>
            </w:r>
          </w:p>
        </w:tc>
      </w:tr>
    </w:tbl>
    <w:p>
      <w:pPr>
        <w:pStyle w:val="BodyText"/>
        <w:spacing w:line="240" w:lineRule="auto" w:before="49"/>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061"/>
        <w:gridCol w:w="1061"/>
        <w:gridCol w:w="1064"/>
        <w:gridCol w:w="1063"/>
        <w:gridCol w:w="1066"/>
        <w:gridCol w:w="1064"/>
        <w:gridCol w:w="1063"/>
        <w:gridCol w:w="1064"/>
        <w:gridCol w:w="1066"/>
      </w:tblGrid>
      <w:tr>
        <w:trPr>
          <w:trHeight w:val="402" w:hRule="exact"/>
        </w:trPr>
        <w:tc>
          <w:tcPr>
            <w:tcW w:w="106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3"/>
                <w:szCs w:val="13"/>
              </w:rPr>
            </w:pPr>
          </w:p>
          <w:p>
            <w:pPr>
              <w:pStyle w:val="TableParagraph"/>
              <w:spacing w:line="240" w:lineRule="auto"/>
              <w:ind w:left="76"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4253"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425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3" w:hRule="exact"/>
        </w:trPr>
        <w:tc>
          <w:tcPr>
            <w:tcW w:w="1061" w:type="dxa"/>
            <w:vMerge/>
            <w:tcBorders>
              <w:left w:val="single" w:sz="4" w:space="0" w:color="000000"/>
              <w:bottom w:val="single" w:sz="4" w:space="0" w:color="000000"/>
              <w:right w:val="single" w:sz="4" w:space="0" w:color="000000"/>
            </w:tcBorders>
            <w:shd w:val="clear" w:color="auto" w:fill="D2D2D2"/>
          </w:tcPr>
          <w:p>
            <w:pP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56"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436" w:right="74" w:hanging="360"/>
              <w:jc w:val="left"/>
              <w:rPr>
                <w:rFonts w:ascii="宋体" w:hAnsi="宋体" w:cs="宋体" w:eastAsia="宋体" w:hint="default"/>
                <w:sz w:val="18"/>
                <w:szCs w:val="18"/>
              </w:rPr>
            </w:pPr>
            <w:r>
              <w:rPr>
                <w:rFonts w:ascii="宋体" w:hAnsi="宋体" w:cs="宋体" w:eastAsia="宋体" w:hint="default"/>
                <w:sz w:val="18"/>
                <w:szCs w:val="18"/>
              </w:rPr>
              <w:t>综合收益总 额</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59" w:right="74" w:hanging="180"/>
              <w:jc w:val="left"/>
              <w:rPr>
                <w:rFonts w:ascii="宋体" w:hAnsi="宋体" w:cs="宋体" w:eastAsia="宋体" w:hint="default"/>
                <w:sz w:val="18"/>
                <w:szCs w:val="18"/>
              </w:rPr>
            </w:pPr>
            <w:r>
              <w:rPr>
                <w:rFonts w:ascii="宋体" w:hAnsi="宋体" w:cs="宋体" w:eastAsia="宋体" w:hint="default"/>
                <w:sz w:val="18"/>
                <w:szCs w:val="18"/>
              </w:rPr>
              <w:t>经营活动现 金流量</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净利润</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436" w:right="75" w:hanging="360"/>
              <w:jc w:val="left"/>
              <w:rPr>
                <w:rFonts w:ascii="宋体" w:hAnsi="宋体" w:cs="宋体" w:eastAsia="宋体" w:hint="default"/>
                <w:sz w:val="18"/>
                <w:szCs w:val="18"/>
              </w:rPr>
            </w:pPr>
            <w:r>
              <w:rPr>
                <w:rFonts w:ascii="宋体" w:hAnsi="宋体" w:cs="宋体" w:eastAsia="宋体" w:hint="default"/>
                <w:sz w:val="18"/>
                <w:szCs w:val="18"/>
              </w:rPr>
              <w:t>综合收益总 额</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59" w:right="74" w:hanging="180"/>
              <w:jc w:val="left"/>
              <w:rPr>
                <w:rFonts w:ascii="宋体" w:hAnsi="宋体" w:cs="宋体" w:eastAsia="宋体" w:hint="default"/>
                <w:sz w:val="18"/>
                <w:szCs w:val="18"/>
              </w:rPr>
            </w:pPr>
            <w:r>
              <w:rPr>
                <w:rFonts w:ascii="宋体" w:hAnsi="宋体" w:cs="宋体" w:eastAsia="宋体" w:hint="default"/>
                <w:sz w:val="18"/>
                <w:szCs w:val="18"/>
              </w:rPr>
              <w:t>经营活动现 金流量</w:t>
            </w:r>
          </w:p>
        </w:tc>
      </w:tr>
      <w:tr>
        <w:trPr>
          <w:trHeight w:val="1027" w:hRule="exact"/>
        </w:trPr>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125"/>
              <w:jc w:val="both"/>
              <w:rPr>
                <w:rFonts w:ascii="宋体" w:hAnsi="宋体" w:cs="宋体" w:eastAsia="宋体" w:hint="default"/>
                <w:sz w:val="18"/>
                <w:szCs w:val="18"/>
              </w:rPr>
            </w:pPr>
            <w:r>
              <w:rPr>
                <w:rFonts w:ascii="宋体" w:hAnsi="宋体" w:cs="宋体" w:eastAsia="宋体" w:hint="default"/>
                <w:sz w:val="18"/>
                <w:szCs w:val="18"/>
              </w:rPr>
              <w:t>北京图新经 纬导航系统 有限公司</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57,556,129.5</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1</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-323,756.74</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139" w:right="0"/>
              <w:jc w:val="center"/>
              <w:rPr>
                <w:rFonts w:ascii="Times New Roman" w:hAnsi="Times New Roman" w:cs="Times New Roman" w:eastAsia="Times New Roman" w:hint="default"/>
                <w:sz w:val="18"/>
                <w:szCs w:val="18"/>
              </w:rPr>
            </w:pPr>
            <w:r>
              <w:rPr>
                <w:rFonts w:ascii="Times New Roman"/>
                <w:sz w:val="18"/>
              </w:rPr>
              <w:t>-323,756.74</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-47,877,494.8</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3</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122,884,429.</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83</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64" w:right="0"/>
              <w:jc w:val="center"/>
              <w:rPr>
                <w:rFonts w:ascii="Times New Roman" w:hAnsi="Times New Roman" w:cs="Times New Roman" w:eastAsia="Times New Roman" w:hint="default"/>
                <w:sz w:val="18"/>
                <w:szCs w:val="18"/>
              </w:rPr>
            </w:pPr>
            <w:r>
              <w:rPr>
                <w:rFonts w:ascii="Times New Roman"/>
                <w:sz w:val="18"/>
              </w:rPr>
              <w:t>8,233,887.98</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8,233,887.98</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13,525,076.4</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3</w:t>
            </w:r>
          </w:p>
        </w:tc>
      </w:tr>
      <w:tr>
        <w:trPr>
          <w:trHeight w:val="1025" w:hRule="exact"/>
        </w:trPr>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25"/>
              <w:jc w:val="both"/>
              <w:rPr>
                <w:rFonts w:ascii="宋体" w:hAnsi="宋体" w:cs="宋体" w:eastAsia="宋体" w:hint="default"/>
                <w:sz w:val="18"/>
                <w:szCs w:val="18"/>
              </w:rPr>
            </w:pPr>
            <w:r>
              <w:rPr>
                <w:rFonts w:ascii="宋体" w:hAnsi="宋体" w:cs="宋体" w:eastAsia="宋体" w:hint="default"/>
                <w:sz w:val="18"/>
                <w:szCs w:val="18"/>
              </w:rPr>
              <w:t>北京世纪高 通科技有限 公司</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247,560,634.</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82</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79,037,919.5</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79,037,919.5</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66,414,996.5</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210,793,120.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74</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65,633,979.3</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8</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65,633,979.3</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8</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73,358,036.7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6</w:t>
            </w:r>
          </w:p>
        </w:tc>
      </w:tr>
      <w:tr>
        <w:trPr>
          <w:trHeight w:val="1340" w:hRule="exact"/>
        </w:trPr>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19"/>
              <w:jc w:val="left"/>
              <w:rPr>
                <w:rFonts w:ascii="宋体" w:hAnsi="宋体" w:cs="宋体" w:eastAsia="宋体" w:hint="default"/>
                <w:sz w:val="18"/>
                <w:szCs w:val="18"/>
              </w:rPr>
            </w:pPr>
            <w:r>
              <w:rPr>
                <w:rFonts w:ascii="宋体" w:hAnsi="宋体" w:cs="宋体" w:eastAsia="宋体" w:hint="default"/>
                <w:spacing w:val="-13"/>
                <w:sz w:val="18"/>
                <w:szCs w:val="18"/>
              </w:rPr>
              <w:t>中交宇科（北</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13"/>
                <w:sz w:val="18"/>
                <w:szCs w:val="18"/>
              </w:rPr>
              <w:t>京）空间信息</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技术有限公 司</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25,404,638.1</w:t>
            </w:r>
          </w:p>
          <w:p>
            <w:pPr>
              <w:pStyle w:val="TableParagraph"/>
              <w:spacing w:line="240" w:lineRule="auto" w:before="103"/>
              <w:ind w:right="20"/>
              <w:jc w:val="right"/>
              <w:rPr>
                <w:rFonts w:ascii="Times New Roman" w:hAnsi="Times New Roman" w:cs="Times New Roman" w:eastAsia="Times New Roman" w:hint="default"/>
                <w:sz w:val="18"/>
                <w:szCs w:val="18"/>
              </w:rPr>
            </w:pPr>
            <w:r>
              <w:rPr>
                <w:rFonts w:ascii="Times New Roman"/>
                <w:sz w:val="18"/>
              </w:rPr>
              <w:t>8</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-37,875,303.6</w:t>
            </w:r>
          </w:p>
          <w:p>
            <w:pPr>
              <w:pStyle w:val="TableParagraph"/>
              <w:spacing w:line="240" w:lineRule="auto" w:before="103"/>
              <w:ind w:right="23"/>
              <w:jc w:val="right"/>
              <w:rPr>
                <w:rFonts w:ascii="Times New Roman" w:hAnsi="Times New Roman" w:cs="Times New Roman" w:eastAsia="Times New Roman" w:hint="default"/>
                <w:sz w:val="18"/>
                <w:szCs w:val="18"/>
              </w:rPr>
            </w:pPr>
            <w:r>
              <w:rPr>
                <w:rFonts w:ascii="Times New Roman"/>
                <w:sz w:val="18"/>
              </w:rPr>
              <w:t>2</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-37,875,303.6</w:t>
            </w:r>
          </w:p>
          <w:p>
            <w:pPr>
              <w:pStyle w:val="TableParagraph"/>
              <w:spacing w:line="240" w:lineRule="auto" w:before="103"/>
              <w:ind w:right="20"/>
              <w:jc w:val="right"/>
              <w:rPr>
                <w:rFonts w:ascii="Times New Roman" w:hAnsi="Times New Roman" w:cs="Times New Roman" w:eastAsia="Times New Roman" w:hint="default"/>
                <w:sz w:val="18"/>
                <w:szCs w:val="18"/>
              </w:rPr>
            </w:pPr>
            <w:r>
              <w:rPr>
                <w:rFonts w:ascii="Times New Roman"/>
                <w:sz w:val="18"/>
              </w:rPr>
              <w:t>2</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-6,243,633.48</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54,433,325.1</w:t>
            </w:r>
          </w:p>
          <w:p>
            <w:pPr>
              <w:pStyle w:val="TableParagraph"/>
              <w:spacing w:line="240" w:lineRule="auto" w:before="103"/>
              <w:ind w:right="20"/>
              <w:jc w:val="right"/>
              <w:rPr>
                <w:rFonts w:ascii="Times New Roman" w:hAnsi="Times New Roman" w:cs="Times New Roman" w:eastAsia="Times New Roman" w:hint="default"/>
                <w:sz w:val="18"/>
                <w:szCs w:val="18"/>
              </w:rPr>
            </w:pPr>
            <w:r>
              <w:rPr>
                <w:rFonts w:ascii="Times New Roman"/>
                <w:sz w:val="18"/>
              </w:rPr>
              <w:t>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64" w:right="0"/>
              <w:jc w:val="center"/>
              <w:rPr>
                <w:rFonts w:ascii="Times New Roman" w:hAnsi="Times New Roman" w:cs="Times New Roman" w:eastAsia="Times New Roman" w:hint="default"/>
                <w:sz w:val="18"/>
                <w:szCs w:val="18"/>
              </w:rPr>
            </w:pPr>
            <w:r>
              <w:rPr>
                <w:rFonts w:ascii="Times New Roman"/>
                <w:sz w:val="18"/>
              </w:rPr>
              <w:t>7,285,009.71</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7,285,009.71</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-18,660,052.8</w:t>
            </w:r>
          </w:p>
          <w:p>
            <w:pPr>
              <w:pStyle w:val="TableParagraph"/>
              <w:spacing w:line="240" w:lineRule="auto" w:before="103"/>
              <w:ind w:right="20"/>
              <w:jc w:val="right"/>
              <w:rPr>
                <w:rFonts w:ascii="Times New Roman" w:hAnsi="Times New Roman" w:cs="Times New Roman" w:eastAsia="Times New Roman" w:hint="default"/>
                <w:sz w:val="18"/>
                <w:szCs w:val="18"/>
              </w:rPr>
            </w:pPr>
            <w:r>
              <w:rPr>
                <w:rFonts w:ascii="Times New Roman"/>
                <w:sz w:val="18"/>
              </w:rPr>
              <w:t>5</w:t>
            </w:r>
          </w:p>
        </w:tc>
      </w:tr>
      <w:tr>
        <w:trPr>
          <w:trHeight w:val="1025" w:hRule="exact"/>
        </w:trPr>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25"/>
              <w:jc w:val="both"/>
              <w:rPr>
                <w:rFonts w:ascii="宋体" w:hAnsi="宋体" w:cs="宋体" w:eastAsia="宋体" w:hint="default"/>
                <w:sz w:val="18"/>
                <w:szCs w:val="18"/>
              </w:rPr>
            </w:pPr>
            <w:r>
              <w:rPr>
                <w:rFonts w:ascii="宋体" w:hAnsi="宋体" w:cs="宋体" w:eastAsia="宋体" w:hint="default"/>
                <w:sz w:val="18"/>
                <w:szCs w:val="18"/>
              </w:rPr>
              <w:t>北京图迅丰 达信息技术 有限公司</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141,213,933.</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99</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8,101,724.19</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4" w:right="0"/>
              <w:jc w:val="center"/>
              <w:rPr>
                <w:rFonts w:ascii="Times New Roman" w:hAnsi="Times New Roman" w:cs="Times New Roman" w:eastAsia="Times New Roman" w:hint="default"/>
                <w:sz w:val="18"/>
                <w:szCs w:val="18"/>
              </w:rPr>
            </w:pPr>
            <w:r>
              <w:rPr>
                <w:rFonts w:ascii="Times New Roman"/>
                <w:sz w:val="18"/>
              </w:rPr>
              <w:t>8,101,724.19</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13,059,131.1</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3</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109,744,045.</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41</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4" w:right="0"/>
              <w:jc w:val="center"/>
              <w:rPr>
                <w:rFonts w:ascii="Times New Roman" w:hAnsi="Times New Roman" w:cs="Times New Roman" w:eastAsia="Times New Roman" w:hint="default"/>
                <w:sz w:val="18"/>
                <w:szCs w:val="18"/>
              </w:rPr>
            </w:pPr>
            <w:r>
              <w:rPr>
                <w:rFonts w:ascii="Times New Roman"/>
                <w:sz w:val="18"/>
              </w:rPr>
              <w:t>6,263,914.24</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6,263,914.24</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7" w:right="0"/>
              <w:jc w:val="center"/>
              <w:rPr>
                <w:rFonts w:ascii="Times New Roman" w:hAnsi="Times New Roman" w:cs="Times New Roman" w:eastAsia="Times New Roman" w:hint="default"/>
                <w:sz w:val="18"/>
                <w:szCs w:val="18"/>
              </w:rPr>
            </w:pPr>
            <w:r>
              <w:rPr>
                <w:rFonts w:ascii="Times New Roman"/>
                <w:sz w:val="18"/>
              </w:rPr>
              <w:t>8,849,942.60</w:t>
            </w:r>
          </w:p>
        </w:tc>
      </w:tr>
      <w:tr>
        <w:trPr>
          <w:trHeight w:val="1027" w:hRule="exact"/>
        </w:trPr>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125"/>
              <w:jc w:val="both"/>
              <w:rPr>
                <w:rFonts w:ascii="宋体" w:hAnsi="宋体" w:cs="宋体" w:eastAsia="宋体" w:hint="default"/>
                <w:sz w:val="18"/>
                <w:szCs w:val="18"/>
              </w:rPr>
            </w:pPr>
            <w:r>
              <w:rPr>
                <w:rFonts w:ascii="宋体" w:hAnsi="宋体" w:cs="宋体" w:eastAsia="宋体" w:hint="default"/>
                <w:sz w:val="18"/>
                <w:szCs w:val="18"/>
              </w:rPr>
              <w:t>中寰卫星导 航通信有限 公司</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229,806,355.</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94</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-63,796,253.4</w:t>
            </w:r>
          </w:p>
          <w:p>
            <w:pPr>
              <w:pStyle w:val="TableParagraph"/>
              <w:spacing w:line="240" w:lineRule="auto" w:before="102"/>
              <w:ind w:right="23"/>
              <w:jc w:val="right"/>
              <w:rPr>
                <w:rFonts w:ascii="Times New Roman" w:hAnsi="Times New Roman" w:cs="Times New Roman" w:eastAsia="Times New Roman" w:hint="default"/>
                <w:sz w:val="18"/>
                <w:szCs w:val="18"/>
              </w:rPr>
            </w:pPr>
            <w:r>
              <w:rPr>
                <w:rFonts w:ascii="Times New Roman"/>
                <w:sz w:val="18"/>
              </w:rPr>
              <w:t>4</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-63,796,253.4</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4</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-10,151,283.8</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5</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179,286,028.</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01</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-1,827,862.09</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-1,827,862.09</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67" w:right="0"/>
              <w:jc w:val="center"/>
              <w:rPr>
                <w:rFonts w:ascii="Times New Roman" w:hAnsi="Times New Roman" w:cs="Times New Roman" w:eastAsia="Times New Roman" w:hint="default"/>
                <w:sz w:val="18"/>
                <w:szCs w:val="18"/>
              </w:rPr>
            </w:pPr>
            <w:r>
              <w:rPr>
                <w:rFonts w:ascii="Times New Roman"/>
                <w:sz w:val="18"/>
              </w:rPr>
              <w:t>1,519,294.32</w:t>
            </w:r>
          </w:p>
        </w:tc>
      </w:tr>
      <w:tr>
        <w:trPr>
          <w:trHeight w:val="674" w:hRule="exact"/>
        </w:trPr>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25"/>
              <w:jc w:val="left"/>
              <w:rPr>
                <w:rFonts w:ascii="宋体" w:hAnsi="宋体" w:cs="宋体" w:eastAsia="宋体" w:hint="default"/>
                <w:sz w:val="18"/>
                <w:szCs w:val="18"/>
              </w:rPr>
            </w:pPr>
            <w:r>
              <w:rPr>
                <w:rFonts w:ascii="宋体" w:hAnsi="宋体" w:cs="宋体" w:eastAsia="宋体" w:hint="default"/>
                <w:sz w:val="18"/>
                <w:szCs w:val="18"/>
              </w:rPr>
              <w:t>长沙市海图 科技有限公</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62" w:right="0"/>
              <w:jc w:val="center"/>
              <w:rPr>
                <w:rFonts w:ascii="Times New Roman" w:hAnsi="Times New Roman" w:cs="Times New Roman" w:eastAsia="Times New Roman" w:hint="default"/>
                <w:sz w:val="18"/>
                <w:szCs w:val="18"/>
              </w:rPr>
            </w:pPr>
            <w:r>
              <w:rPr>
                <w:rFonts w:ascii="Times New Roman"/>
                <w:sz w:val="18"/>
              </w:rPr>
              <w:t>6,813,192.91</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-18,035,572.5</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-18,035,572.5</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-1,869,429.89</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4" w:right="0"/>
              <w:jc w:val="center"/>
              <w:rPr>
                <w:rFonts w:ascii="Times New Roman" w:hAnsi="Times New Roman" w:cs="Times New Roman" w:eastAsia="Times New Roman" w:hint="default"/>
                <w:sz w:val="18"/>
                <w:szCs w:val="18"/>
              </w:rPr>
            </w:pPr>
            <w:r>
              <w:rPr>
                <w:rFonts w:ascii="Times New Roman"/>
                <w:sz w:val="18"/>
              </w:rPr>
              <w:t>10,263,097.7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-21,384,470.4</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-21,384,470.4</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-4,966,988.47</w:t>
            </w:r>
          </w:p>
        </w:tc>
      </w:tr>
    </w:tbl>
    <w:p>
      <w:pPr>
        <w:spacing w:after="0" w:line="240" w:lineRule="auto"/>
        <w:jc w:val="center"/>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5" w:type="dxa"/>
        <w:tblLayout w:type="fixed"/>
        <w:tblCellMar>
          <w:top w:w="0" w:type="dxa"/>
          <w:left w:w="0" w:type="dxa"/>
          <w:bottom w:w="0" w:type="dxa"/>
          <w:right w:w="0" w:type="dxa"/>
        </w:tblCellMar>
        <w:tblLook w:val="01E0"/>
      </w:tblPr>
      <w:tblGrid>
        <w:gridCol w:w="1064"/>
        <w:gridCol w:w="1061"/>
        <w:gridCol w:w="1064"/>
        <w:gridCol w:w="1063"/>
        <w:gridCol w:w="1066"/>
        <w:gridCol w:w="1064"/>
        <w:gridCol w:w="1063"/>
        <w:gridCol w:w="1064"/>
        <w:gridCol w:w="1066"/>
      </w:tblGrid>
      <w:tr>
        <w:trPr>
          <w:trHeight w:val="363"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司</w:t>
            </w:r>
          </w:p>
        </w:tc>
        <w:tc>
          <w:tcPr>
            <w:tcW w:w="1061"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3"/>
              <w:jc w:val="right"/>
              <w:rPr>
                <w:rFonts w:ascii="Times New Roman" w:hAnsi="Times New Roman" w:cs="Times New Roman" w:eastAsia="Times New Roman" w:hint="default"/>
                <w:sz w:val="18"/>
                <w:szCs w:val="18"/>
              </w:rPr>
            </w:pPr>
            <w:r>
              <w:rPr>
                <w:rFonts w:ascii="Times New Roman"/>
                <w:sz w:val="18"/>
              </w:rPr>
              <w:t>5</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5</w:t>
            </w:r>
          </w:p>
        </w:tc>
        <w:tc>
          <w:tcPr>
            <w:tcW w:w="1066"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3</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5</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5</w:t>
            </w:r>
          </w:p>
        </w:tc>
        <w:tc>
          <w:tcPr>
            <w:tcW w:w="1066"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t>（</w:t>
      </w:r>
      <w:r>
        <w:rPr>
          <w:rFonts w:ascii="Times New Roman" w:hAnsi="Times New Roman" w:cs="Times New Roman" w:eastAsia="Times New Roman" w:hint="default"/>
        </w:rPr>
        <w:t>4</w:t>
      </w:r>
      <w:r>
        <w:rPr/>
        <w:t>）使用企业集团资产和清偿企业集团债务的重大限制</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t>（</w:t>
      </w:r>
      <w:r>
        <w:rPr>
          <w:rFonts w:ascii="Times New Roman" w:hAnsi="Times New Roman" w:cs="Times New Roman" w:eastAsia="Times New Roman" w:hint="default"/>
        </w:rPr>
        <w:t>5</w:t>
      </w:r>
      <w:r>
        <w:rPr/>
        <w:t>）向纳入合并财务报表范围的结构化主体提供的财务支持或其他支持</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rFonts w:ascii="Times New Roman" w:hAnsi="Times New Roman" w:cs="Times New Roman" w:eastAsia="Times New Roman" w:hint="default"/>
        </w:rPr>
        <w:t>2</w:t>
      </w:r>
      <w:r>
        <w:rPr/>
        <w:t>、在子公司的所有者权益份额发生变化且仍控制子公司的交易</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2"/>
        <w:jc w:val="left"/>
        <w:rPr>
          <w:b w:val="0"/>
          <w:bCs w:val="0"/>
        </w:rPr>
      </w:pPr>
      <w:r>
        <w:rPr/>
        <w:t>（</w:t>
      </w:r>
      <w:r>
        <w:rPr>
          <w:rFonts w:ascii="Times New Roman" w:hAnsi="Times New Roman" w:cs="Times New Roman" w:eastAsia="Times New Roman" w:hint="default"/>
        </w:rPr>
        <w:t>1</w:t>
      </w:r>
      <w:r>
        <w:rPr/>
        <w:t>）在子公司所有者权益份额发生变化的情况说明</w:t>
      </w:r>
      <w:r>
        <w:rPr>
          <w:b w:val="0"/>
          <w:bCs w:val="0"/>
        </w:rPr>
      </w:r>
    </w:p>
    <w:p>
      <w:pPr>
        <w:spacing w:line="240" w:lineRule="auto" w:before="2"/>
        <w:rPr>
          <w:rFonts w:ascii="宋体" w:hAnsi="宋体" w:cs="宋体" w:eastAsia="宋体" w:hint="default"/>
          <w:b/>
          <w:bCs/>
          <w:sz w:val="26"/>
          <w:szCs w:val="26"/>
        </w:rPr>
      </w:pPr>
    </w:p>
    <w:p>
      <w:pPr>
        <w:pStyle w:val="BodyText"/>
        <w:spacing w:line="304" w:lineRule="auto"/>
        <w:ind w:right="1130" w:firstLine="360"/>
        <w:jc w:val="both"/>
      </w:pPr>
      <w:r>
        <w:rPr/>
        <w:t>本公司之子公司中寰卫星导航通信有限公司（以下简称 中寰卫星</w:t>
      </w:r>
      <w:r>
        <w:rPr>
          <w:spacing w:val="-2"/>
        </w:rPr>
        <w:t> </w:t>
      </w:r>
      <w:r>
        <w:rPr/>
        <w:t>）分别于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8</w:t>
      </w:r>
      <w:r>
        <w:rPr/>
        <w:t>月末前收到新股东孙玉国、北京华 泰产业成长投资基金（有限公司）以及广东好帮手电子科技股份有限公司出资款共计</w:t>
      </w:r>
      <w:r>
        <w:rPr>
          <w:rFonts w:ascii="Times New Roman" w:hAnsi="Times New Roman" w:cs="Times New Roman" w:eastAsia="Times New Roman" w:hint="default"/>
        </w:rPr>
        <w:t>115,000,000.00</w:t>
      </w:r>
      <w:r>
        <w:rPr/>
        <w:t>元；增资完成后，本公</w:t>
      </w:r>
      <w:r>
        <w:rPr>
          <w:spacing w:val="-45"/>
        </w:rPr>
        <w:t> </w:t>
      </w:r>
      <w:r>
        <w:rPr>
          <w:spacing w:val="-45"/>
        </w:rPr>
      </w:r>
      <w:r>
        <w:rPr/>
        <w:t>司在中寰卫星的持股比例由原</w:t>
      </w:r>
      <w:r>
        <w:rPr>
          <w:rFonts w:ascii="Times New Roman" w:hAnsi="Times New Roman" w:cs="Times New Roman" w:eastAsia="Times New Roman" w:hint="default"/>
        </w:rPr>
        <w:t>76.32%</w:t>
      </w:r>
      <w:r>
        <w:rPr/>
        <w:t>下降为</w:t>
      </w:r>
      <w:r>
        <w:rPr>
          <w:rFonts w:ascii="Times New Roman" w:hAnsi="Times New Roman" w:cs="Times New Roman" w:eastAsia="Times New Roman" w:hint="default"/>
        </w:rPr>
        <w:t>47.88%</w:t>
      </w:r>
      <w:r>
        <w:rPr/>
        <w:t>。根据股权变更后最新公司章程规定，中寰卫星设董事会由五名董事组</w:t>
      </w:r>
      <w:r>
        <w:rPr>
          <w:spacing w:val="-35"/>
        </w:rPr>
        <w:t> </w:t>
      </w:r>
      <w:r>
        <w:rPr>
          <w:spacing w:val="-35"/>
        </w:rPr>
      </w:r>
      <w:r>
        <w:rPr>
          <w:spacing w:val="-2"/>
        </w:rPr>
        <w:t>成，其中本公司有权提名三名董事候选人。日常经营事项需由超过董事会二分之一董事赞成方可通过执行。因此判断中寰卫</w:t>
      </w:r>
      <w:r>
        <w:rPr>
          <w:spacing w:val="-63"/>
        </w:rPr>
        <w:t> </w:t>
      </w:r>
      <w:r>
        <w:rPr>
          <w:spacing w:val="-63"/>
        </w:rPr>
      </w:r>
      <w:r>
        <w:rPr/>
        <w:t>星仍为本公司之子公司，纳入合并报表范围。</w:t>
      </w:r>
    </w:p>
    <w:p>
      <w:pPr>
        <w:pStyle w:val="BodyText"/>
        <w:spacing w:line="300" w:lineRule="auto" w:before="148"/>
        <w:ind w:right="1128" w:firstLine="360"/>
        <w:jc w:val="both"/>
      </w:pPr>
      <w:r>
        <w:rPr>
          <w:spacing w:val="-2"/>
        </w:rPr>
        <w:t>本公司之子公司北京世纪高通科技有限公司（以下简称</w:t>
      </w:r>
      <w:r>
        <w:rPr>
          <w:spacing w:val="14"/>
        </w:rPr>
        <w:t> </w:t>
      </w:r>
      <w:r>
        <w:rPr>
          <w:spacing w:val="-2"/>
        </w:rPr>
        <w:t>世纪高通）于</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9</w:t>
      </w:r>
      <w:r>
        <w:rPr>
          <w:spacing w:val="-2"/>
        </w:rPr>
        <w:t>月末零对价收购了本公司另一子公司长沙</w:t>
      </w:r>
      <w:r>
        <w:rPr/>
        <w:t> 市海图科技有限公司（以下简称</w:t>
      </w:r>
      <w:r>
        <w:rPr>
          <w:spacing w:val="-22"/>
        </w:rPr>
        <w:t> </w:t>
      </w:r>
      <w:r>
        <w:rPr/>
        <w:t>长沙海图）少数股东持有的</w:t>
      </w:r>
      <w:r>
        <w:rPr>
          <w:rFonts w:ascii="Times New Roman" w:hAnsi="Times New Roman" w:cs="Times New Roman" w:eastAsia="Times New Roman" w:hint="default"/>
        </w:rPr>
        <w:t>37.81%</w:t>
      </w:r>
      <w:r>
        <w:rPr/>
        <w:t>股权，由于本公司持有世纪高通</w:t>
      </w:r>
      <w:r>
        <w:rPr>
          <w:rFonts w:ascii="Times New Roman" w:hAnsi="Times New Roman" w:cs="Times New Roman" w:eastAsia="Times New Roman" w:hint="default"/>
        </w:rPr>
        <w:t>90.00%</w:t>
      </w:r>
      <w:r>
        <w:rPr/>
        <w:t>股权，本公司对 长沙海图在合并层面持股比例自</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9</w:t>
      </w:r>
      <w:r>
        <w:rPr/>
        <w:t>月起由</w:t>
      </w:r>
      <w:r>
        <w:rPr>
          <w:rFonts w:ascii="Times New Roman" w:hAnsi="Times New Roman" w:cs="Times New Roman" w:eastAsia="Times New Roman" w:hint="default"/>
        </w:rPr>
        <w:t>51.00%</w:t>
      </w:r>
      <w:r>
        <w:rPr/>
        <w:t>上升为</w:t>
      </w:r>
      <w:r>
        <w:rPr>
          <w:rFonts w:ascii="Times New Roman" w:hAnsi="Times New Roman" w:cs="Times New Roman" w:eastAsia="Times New Roman" w:hint="default"/>
        </w:rPr>
        <w:t>85.03%</w:t>
      </w:r>
      <w:r>
        <w:rPr/>
        <w:t>，该公司仍为本公司之子公司，纳入合并报表范围。</w:t>
      </w:r>
    </w:p>
    <w:p>
      <w:pPr>
        <w:spacing w:line="240" w:lineRule="auto" w:before="5"/>
        <w:rPr>
          <w:rFonts w:ascii="宋体" w:hAnsi="宋体" w:cs="宋体" w:eastAsia="宋体" w:hint="default"/>
          <w:sz w:val="22"/>
          <w:szCs w:val="22"/>
        </w:rPr>
      </w:pPr>
    </w:p>
    <w:p>
      <w:pPr>
        <w:pStyle w:val="Heading4"/>
        <w:spacing w:line="240" w:lineRule="auto"/>
        <w:ind w:right="982"/>
        <w:jc w:val="left"/>
        <w:rPr>
          <w:b w:val="0"/>
          <w:bCs w:val="0"/>
        </w:rPr>
      </w:pPr>
      <w:r>
        <w:rPr/>
        <w:t>（</w:t>
      </w:r>
      <w:r>
        <w:rPr>
          <w:rFonts w:ascii="Times New Roman" w:hAnsi="Times New Roman" w:cs="Times New Roman" w:eastAsia="Times New Roman" w:hint="default"/>
        </w:rPr>
        <w:t>2</w:t>
      </w:r>
      <w:r>
        <w:rPr/>
        <w:t>）交易对于少数股东权益及归属于母公司所有者权益的影响</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394"/>
        <w:gridCol w:w="2588"/>
        <w:gridCol w:w="2590"/>
      </w:tblGrid>
      <w:tr>
        <w:trPr>
          <w:trHeight w:val="403" w:hRule="exact"/>
        </w:trPr>
        <w:tc>
          <w:tcPr>
            <w:tcW w:w="4394" w:type="dxa"/>
            <w:tcBorders>
              <w:top w:val="single" w:sz="4" w:space="0" w:color="000000"/>
              <w:left w:val="single" w:sz="4" w:space="0" w:color="000000"/>
              <w:bottom w:val="single" w:sz="4" w:space="0" w:color="000000"/>
              <w:right w:val="single" w:sz="13" w:space="0" w:color="D9D9D9"/>
            </w:tcBorders>
            <w:shd w:val="clear" w:color="auto" w:fill="D2D2D2"/>
          </w:tcPr>
          <w:p>
            <w:pPr/>
          </w:p>
        </w:tc>
        <w:tc>
          <w:tcPr>
            <w:tcW w:w="25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08" w:right="0"/>
              <w:jc w:val="left"/>
              <w:rPr>
                <w:rFonts w:ascii="宋体" w:hAnsi="宋体" w:cs="宋体" w:eastAsia="宋体" w:hint="default"/>
                <w:sz w:val="18"/>
                <w:szCs w:val="18"/>
              </w:rPr>
            </w:pPr>
            <w:r>
              <w:rPr>
                <w:rFonts w:ascii="宋体" w:hAnsi="宋体" w:cs="宋体" w:eastAsia="宋体" w:hint="default"/>
                <w:sz w:val="18"/>
                <w:szCs w:val="18"/>
              </w:rPr>
              <w:t>中寰卫星导航通信有限公司</w:t>
            </w:r>
          </w:p>
        </w:tc>
        <w:tc>
          <w:tcPr>
            <w:tcW w:w="25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99" w:right="0"/>
              <w:jc w:val="left"/>
              <w:rPr>
                <w:rFonts w:ascii="宋体" w:hAnsi="宋体" w:cs="宋体" w:eastAsia="宋体" w:hint="default"/>
                <w:sz w:val="18"/>
                <w:szCs w:val="18"/>
              </w:rPr>
            </w:pPr>
            <w:r>
              <w:rPr>
                <w:rFonts w:ascii="宋体" w:hAnsi="宋体" w:cs="宋体" w:eastAsia="宋体" w:hint="default"/>
                <w:sz w:val="18"/>
                <w:szCs w:val="18"/>
              </w:rPr>
              <w:t>长沙市海图科技有限公司</w:t>
            </w:r>
          </w:p>
        </w:tc>
      </w:tr>
      <w:tr>
        <w:trPr>
          <w:trHeight w:val="402"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购买成本</w:t>
            </w:r>
            <w:r>
              <w:rPr>
                <w:rFonts w:ascii="Times New Roman" w:hAnsi="Times New Roman" w:cs="Times New Roman" w:eastAsia="Times New Roman" w:hint="default"/>
                <w:sz w:val="18"/>
                <w:szCs w:val="18"/>
              </w:rPr>
              <w:t>/</w:t>
            </w:r>
            <w:r>
              <w:rPr>
                <w:rFonts w:ascii="宋体" w:hAnsi="宋体" w:cs="宋体" w:eastAsia="宋体" w:hint="default"/>
                <w:sz w:val="18"/>
                <w:szCs w:val="18"/>
              </w:rPr>
              <w:t>处置对价</w:t>
            </w:r>
          </w:p>
        </w:tc>
        <w:tc>
          <w:tcPr>
            <w:tcW w:w="2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115,000,000.00</w:t>
            </w:r>
          </w:p>
        </w:tc>
        <w:tc>
          <w:tcPr>
            <w:tcW w:w="2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2"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现金</w:t>
            </w:r>
          </w:p>
        </w:tc>
        <w:tc>
          <w:tcPr>
            <w:tcW w:w="2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115,000,000.00</w:t>
            </w:r>
          </w:p>
        </w:tc>
        <w:tc>
          <w:tcPr>
            <w:tcW w:w="2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2"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非现金资产的公允价值</w:t>
            </w:r>
          </w:p>
        </w:tc>
        <w:tc>
          <w:tcPr>
            <w:tcW w:w="2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2"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购买成本</w:t>
            </w:r>
            <w:r>
              <w:rPr>
                <w:rFonts w:ascii="Times New Roman" w:hAnsi="Times New Roman" w:cs="Times New Roman" w:eastAsia="Times New Roman" w:hint="default"/>
                <w:sz w:val="18"/>
                <w:szCs w:val="18"/>
              </w:rPr>
              <w:t>/</w:t>
            </w:r>
            <w:r>
              <w:rPr>
                <w:rFonts w:ascii="宋体" w:hAnsi="宋体" w:cs="宋体" w:eastAsia="宋体" w:hint="default"/>
                <w:sz w:val="18"/>
                <w:szCs w:val="18"/>
              </w:rPr>
              <w:t>处置对价合计</w:t>
            </w:r>
          </w:p>
        </w:tc>
        <w:tc>
          <w:tcPr>
            <w:tcW w:w="2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115,000,000.00</w:t>
            </w:r>
          </w:p>
        </w:tc>
        <w:tc>
          <w:tcPr>
            <w:tcW w:w="2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减：按取得</w:t>
            </w:r>
            <w:r>
              <w:rPr>
                <w:rFonts w:ascii="Times New Roman" w:hAnsi="Times New Roman" w:cs="Times New Roman" w:eastAsia="Times New Roman" w:hint="default"/>
                <w:sz w:val="18"/>
                <w:szCs w:val="18"/>
              </w:rPr>
              <w:t>/</w:t>
            </w:r>
            <w:r>
              <w:rPr>
                <w:rFonts w:ascii="宋体" w:hAnsi="宋体" w:cs="宋体" w:eastAsia="宋体" w:hint="default"/>
                <w:sz w:val="18"/>
                <w:szCs w:val="18"/>
              </w:rPr>
              <w:t>处置的股权比例计算的子公司净资产份额</w:t>
            </w:r>
          </w:p>
        </w:tc>
        <w:tc>
          <w:tcPr>
            <w:tcW w:w="2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101,655,237.97</w:t>
            </w:r>
          </w:p>
        </w:tc>
        <w:tc>
          <w:tcPr>
            <w:tcW w:w="2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211,309.01</w:t>
            </w:r>
          </w:p>
        </w:tc>
      </w:tr>
      <w:tr>
        <w:trPr>
          <w:trHeight w:val="402"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差额</w:t>
            </w:r>
          </w:p>
        </w:tc>
        <w:tc>
          <w:tcPr>
            <w:tcW w:w="2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13,344,762.03</w:t>
            </w:r>
          </w:p>
        </w:tc>
        <w:tc>
          <w:tcPr>
            <w:tcW w:w="2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-211,309.01</w:t>
            </w:r>
          </w:p>
        </w:tc>
      </w:tr>
      <w:tr>
        <w:trPr>
          <w:trHeight w:val="403"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其中：调整资本公积</w:t>
            </w:r>
          </w:p>
        </w:tc>
        <w:tc>
          <w:tcPr>
            <w:tcW w:w="2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13,344,762.03</w:t>
            </w:r>
          </w:p>
        </w:tc>
        <w:tc>
          <w:tcPr>
            <w:tcW w:w="2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-211,309.01</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rFonts w:ascii="Times New Roman" w:hAnsi="Times New Roman" w:cs="Times New Roman" w:eastAsia="Times New Roman" w:hint="default"/>
        </w:rPr>
        <w:t>3</w:t>
      </w:r>
      <w:r>
        <w:rPr/>
        <w:t>、在合营安排或联营企业中的权益</w:t>
      </w:r>
      <w:r>
        <w:rPr>
          <w:b w:val="0"/>
          <w:bCs w:val="0"/>
        </w:rPr>
      </w:r>
    </w:p>
    <w:p>
      <w:pPr>
        <w:spacing w:line="240" w:lineRule="auto" w:before="7"/>
        <w:rPr>
          <w:rFonts w:ascii="宋体" w:hAnsi="宋体" w:cs="宋体" w:eastAsia="宋体" w:hint="default"/>
          <w:b/>
          <w:bCs/>
          <w:sz w:val="24"/>
          <w:szCs w:val="24"/>
        </w:rPr>
      </w:pPr>
    </w:p>
    <w:p>
      <w:pPr>
        <w:pStyle w:val="Heading4"/>
        <w:spacing w:line="240" w:lineRule="auto"/>
        <w:ind w:right="982"/>
        <w:jc w:val="left"/>
        <w:rPr>
          <w:b w:val="0"/>
          <w:bCs w:val="0"/>
        </w:rPr>
      </w:pPr>
      <w:r>
        <w:rPr/>
        <w:t>（</w:t>
      </w:r>
      <w:r>
        <w:rPr>
          <w:rFonts w:ascii="Times New Roman" w:hAnsi="Times New Roman" w:cs="Times New Roman" w:eastAsia="Times New Roman" w:hint="default"/>
        </w:rPr>
        <w:t>1</w:t>
      </w:r>
      <w:r>
        <w:rPr/>
        <w:t>）重要的合营企业或联营企业</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2126"/>
        <w:gridCol w:w="1136"/>
        <w:gridCol w:w="1133"/>
        <w:gridCol w:w="1702"/>
        <w:gridCol w:w="1135"/>
        <w:gridCol w:w="975"/>
        <w:gridCol w:w="1366"/>
      </w:tblGrid>
      <w:tr>
        <w:trPr>
          <w:trHeight w:val="401" w:hRule="exact"/>
        </w:trPr>
        <w:tc>
          <w:tcPr>
            <w:tcW w:w="212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68" w:right="0"/>
              <w:jc w:val="left"/>
              <w:rPr>
                <w:rFonts w:ascii="宋体" w:hAnsi="宋体" w:cs="宋体" w:eastAsia="宋体" w:hint="default"/>
                <w:sz w:val="18"/>
                <w:szCs w:val="18"/>
              </w:rPr>
            </w:pPr>
            <w:r>
              <w:rPr>
                <w:rFonts w:ascii="宋体" w:hAnsi="宋体" w:cs="宋体" w:eastAsia="宋体" w:hint="default"/>
                <w:sz w:val="18"/>
                <w:szCs w:val="18"/>
              </w:rPr>
              <w:t>合营企业或联营企业名称</w:t>
            </w:r>
          </w:p>
        </w:tc>
        <w:tc>
          <w:tcPr>
            <w:tcW w:w="113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112"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13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292"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70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484"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211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88" w:right="0"/>
              <w:jc w:val="left"/>
              <w:rPr>
                <w:rFonts w:ascii="宋体" w:hAnsi="宋体" w:cs="宋体" w:eastAsia="宋体" w:hint="default"/>
                <w:sz w:val="18"/>
                <w:szCs w:val="18"/>
              </w:rPr>
            </w:pPr>
            <w:r>
              <w:rPr>
                <w:rFonts w:ascii="宋体" w:hAnsi="宋体" w:cs="宋体" w:eastAsia="宋体" w:hint="default"/>
                <w:sz w:val="18"/>
                <w:szCs w:val="18"/>
              </w:rPr>
              <w:t>持股比例</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113"/>
              <w:ind w:left="47" w:right="47"/>
              <w:jc w:val="left"/>
              <w:rPr>
                <w:rFonts w:ascii="宋体" w:hAnsi="宋体" w:cs="宋体" w:eastAsia="宋体" w:hint="default"/>
                <w:sz w:val="18"/>
                <w:szCs w:val="18"/>
              </w:rPr>
            </w:pPr>
            <w:r>
              <w:rPr>
                <w:rFonts w:ascii="宋体" w:hAnsi="宋体" w:cs="宋体" w:eastAsia="宋体" w:hint="default"/>
                <w:sz w:val="18"/>
                <w:szCs w:val="18"/>
              </w:rPr>
              <w:t>对合营企业或联 营企业投资的会</w:t>
            </w:r>
          </w:p>
        </w:tc>
      </w:tr>
      <w:tr>
        <w:trPr>
          <w:trHeight w:val="403" w:hRule="exact"/>
        </w:trPr>
        <w:tc>
          <w:tcPr>
            <w:tcW w:w="2126" w:type="dxa"/>
            <w:vMerge/>
            <w:tcBorders>
              <w:left w:val="single" w:sz="4" w:space="0" w:color="000000"/>
              <w:bottom w:val="single" w:sz="4" w:space="0" w:color="000000"/>
              <w:right w:val="single" w:sz="4" w:space="0" w:color="000000"/>
            </w:tcBorders>
            <w:shd w:val="clear" w:color="auto" w:fill="D2D2D2"/>
          </w:tcPr>
          <w:p>
            <w:pPr/>
          </w:p>
        </w:tc>
        <w:tc>
          <w:tcPr>
            <w:tcW w:w="1136" w:type="dxa"/>
            <w:vMerge/>
            <w:tcBorders>
              <w:left w:val="single" w:sz="4" w:space="0" w:color="000000"/>
              <w:bottom w:val="single" w:sz="4" w:space="0" w:color="000000"/>
              <w:right w:val="single" w:sz="4" w:space="0" w:color="000000"/>
            </w:tcBorders>
            <w:shd w:val="clear" w:color="auto" w:fill="D2D2D2"/>
          </w:tcPr>
          <w:p>
            <w:pPr/>
          </w:p>
        </w:tc>
        <w:tc>
          <w:tcPr>
            <w:tcW w:w="1133" w:type="dxa"/>
            <w:vMerge/>
            <w:tcBorders>
              <w:left w:val="single" w:sz="4" w:space="0" w:color="000000"/>
              <w:bottom w:val="single" w:sz="4" w:space="0" w:color="000000"/>
              <w:right w:val="single" w:sz="4" w:space="0" w:color="000000"/>
            </w:tcBorders>
            <w:shd w:val="clear" w:color="auto" w:fill="D2D2D2"/>
          </w:tcPr>
          <w:p>
            <w:pPr/>
          </w:p>
        </w:tc>
        <w:tc>
          <w:tcPr>
            <w:tcW w:w="1702" w:type="dxa"/>
            <w:vMerge/>
            <w:tcBorders>
              <w:left w:val="single" w:sz="4" w:space="0" w:color="000000"/>
              <w:bottom w:val="single" w:sz="4" w:space="0" w:color="000000"/>
              <w:right w:val="single" w:sz="4" w:space="0" w:color="000000"/>
            </w:tcBorders>
            <w:shd w:val="clear" w:color="auto" w:fill="D2D2D2"/>
          </w:tcPr>
          <w:p>
            <w:pPr/>
          </w:p>
        </w:tc>
        <w:tc>
          <w:tcPr>
            <w:tcW w:w="11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直接</w:t>
            </w:r>
          </w:p>
        </w:tc>
        <w:tc>
          <w:tcPr>
            <w:tcW w:w="9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02" w:right="0"/>
              <w:jc w:val="left"/>
              <w:rPr>
                <w:rFonts w:ascii="宋体" w:hAnsi="宋体" w:cs="宋体" w:eastAsia="宋体" w:hint="default"/>
                <w:sz w:val="18"/>
                <w:szCs w:val="18"/>
              </w:rPr>
            </w:pPr>
            <w:r>
              <w:rPr>
                <w:rFonts w:ascii="宋体" w:hAnsi="宋体" w:cs="宋体" w:eastAsia="宋体" w:hint="default"/>
                <w:sz w:val="18"/>
                <w:szCs w:val="18"/>
              </w:rPr>
              <w:t>间接</w:t>
            </w:r>
          </w:p>
        </w:tc>
        <w:tc>
          <w:tcPr>
            <w:tcW w:w="1366" w:type="dxa"/>
            <w:vMerge/>
            <w:tcBorders>
              <w:left w:val="single" w:sz="4" w:space="0" w:color="000000"/>
              <w:bottom w:val="single" w:sz="4" w:space="0" w:color="000000"/>
              <w:right w:val="single" w:sz="4" w:space="0" w:color="000000"/>
            </w:tcBorders>
            <w:shd w:val="clear" w:color="auto" w:fill="D2D2D2"/>
          </w:tcPr>
          <w:p>
            <w:pPr/>
          </w:p>
        </w:tc>
      </w:tr>
    </w:tbl>
    <w:p>
      <w:pPr>
        <w:spacing w:after="0"/>
        <w:sectPr>
          <w:pgSz w:w="11910" w:h="16840"/>
          <w:pgMar w:header="745" w:footer="979" w:top="1060" w:bottom="1160" w:left="980" w:right="0"/>
        </w:sectPr>
      </w:pPr>
    </w:p>
    <w:p>
      <w:pPr>
        <w:spacing w:line="240" w:lineRule="auto" w:before="6"/>
        <w:rPr>
          <w:rFonts w:ascii="宋体" w:hAnsi="宋体" w:cs="宋体" w:eastAsia="宋体" w:hint="default"/>
          <w:b/>
          <w:bCs/>
          <w:sz w:val="28"/>
          <w:szCs w:val="28"/>
        </w:rPr>
      </w:pPr>
    </w:p>
    <w:tbl>
      <w:tblPr>
        <w:tblW w:w="0" w:type="auto"/>
        <w:jc w:val="left"/>
        <w:tblInd w:w="148" w:type="dxa"/>
        <w:tblLayout w:type="fixed"/>
        <w:tblCellMar>
          <w:top w:w="0" w:type="dxa"/>
          <w:left w:w="0" w:type="dxa"/>
          <w:bottom w:w="0" w:type="dxa"/>
          <w:right w:w="0" w:type="dxa"/>
        </w:tblCellMar>
        <w:tblLook w:val="01E0"/>
      </w:tblPr>
      <w:tblGrid>
        <w:gridCol w:w="2127"/>
        <w:gridCol w:w="1136"/>
        <w:gridCol w:w="1133"/>
        <w:gridCol w:w="1702"/>
        <w:gridCol w:w="1135"/>
        <w:gridCol w:w="975"/>
        <w:gridCol w:w="1366"/>
      </w:tblGrid>
      <w:tr>
        <w:trPr>
          <w:trHeight w:val="363" w:hRule="exact"/>
        </w:trPr>
        <w:tc>
          <w:tcPr>
            <w:tcW w:w="212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3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3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35"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975"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计处理方法</w:t>
            </w:r>
          </w:p>
        </w:tc>
      </w:tr>
      <w:tr>
        <w:trPr>
          <w:trHeight w:val="713" w:hRule="exact"/>
        </w:trPr>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11"/>
              <w:jc w:val="left"/>
              <w:rPr>
                <w:rFonts w:ascii="宋体" w:hAnsi="宋体" w:cs="宋体" w:eastAsia="宋体" w:hint="default"/>
                <w:sz w:val="18"/>
                <w:szCs w:val="18"/>
              </w:rPr>
            </w:pPr>
            <w:r>
              <w:rPr>
                <w:rFonts w:ascii="宋体" w:hAnsi="宋体" w:cs="宋体" w:eastAsia="宋体" w:hint="default"/>
                <w:sz w:val="18"/>
                <w:szCs w:val="18"/>
              </w:rPr>
              <w:t>上海安吉四维信息技术有 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46"/>
              <w:jc w:val="left"/>
              <w:rPr>
                <w:rFonts w:ascii="宋体" w:hAnsi="宋体" w:cs="宋体" w:eastAsia="宋体" w:hint="default"/>
                <w:sz w:val="18"/>
                <w:szCs w:val="18"/>
              </w:rPr>
            </w:pPr>
            <w:r>
              <w:rPr>
                <w:rFonts w:ascii="宋体" w:hAnsi="宋体" w:cs="宋体" w:eastAsia="宋体" w:hint="default"/>
                <w:sz w:val="18"/>
                <w:szCs w:val="18"/>
              </w:rPr>
              <w:t>导航电子地图销售及 服务</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547" w:right="0"/>
              <w:jc w:val="left"/>
              <w:rPr>
                <w:rFonts w:ascii="Times New Roman" w:hAnsi="Times New Roman" w:cs="Times New Roman" w:eastAsia="Times New Roman" w:hint="default"/>
                <w:sz w:val="18"/>
                <w:szCs w:val="18"/>
              </w:rPr>
            </w:pPr>
            <w:r>
              <w:rPr>
                <w:rFonts w:ascii="Times New Roman"/>
                <w:sz w:val="18"/>
              </w:rPr>
              <w:t>49.00%</w:t>
            </w:r>
          </w:p>
        </w:tc>
        <w:tc>
          <w:tcPr>
            <w:tcW w:w="975"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权益法</w:t>
            </w:r>
          </w:p>
        </w:tc>
      </w:tr>
    </w:tbl>
    <w:p>
      <w:pPr>
        <w:pStyle w:val="BodyText"/>
        <w:spacing w:line="360" w:lineRule="auto" w:before="49"/>
        <w:ind w:right="5894"/>
        <w:jc w:val="left"/>
      </w:pPr>
      <w:r>
        <w:rPr/>
        <w:t>在合营企业或联营企业的持股比例不同于表决权比例的说明： 无</w:t>
      </w:r>
    </w:p>
    <w:p>
      <w:pPr>
        <w:pStyle w:val="BodyText"/>
        <w:spacing w:line="338" w:lineRule="auto" w:before="27"/>
        <w:ind w:right="3348"/>
        <w:jc w:val="left"/>
      </w:pPr>
      <w:r>
        <w:rPr/>
        <w:t>持有</w:t>
      </w:r>
      <w:r>
        <w:rPr>
          <w:spacing w:val="-47"/>
        </w:rPr>
        <w:t> </w:t>
      </w:r>
      <w:r>
        <w:rPr>
          <w:rFonts w:ascii="Times New Roman" w:hAnsi="Times New Roman" w:cs="Times New Roman" w:eastAsia="Times New Roman" w:hint="default"/>
        </w:rPr>
        <w:t>20%</w:t>
      </w:r>
      <w:r>
        <w:rPr/>
        <w:t>以下表决权但具有重大影响，或者持有</w:t>
      </w:r>
      <w:r>
        <w:rPr>
          <w:spacing w:val="-47"/>
        </w:rPr>
        <w:t> </w:t>
      </w:r>
      <w:r>
        <w:rPr>
          <w:rFonts w:ascii="Times New Roman" w:hAnsi="Times New Roman" w:cs="Times New Roman" w:eastAsia="Times New Roman" w:hint="default"/>
        </w:rPr>
        <w:t>20%</w:t>
      </w:r>
      <w:r>
        <w:rPr/>
        <w:t>或以上表决权但不具有重大影响的依据： 无</w:t>
      </w:r>
    </w:p>
    <w:p>
      <w:pPr>
        <w:spacing w:line="240" w:lineRule="auto" w:before="7"/>
        <w:rPr>
          <w:rFonts w:ascii="宋体" w:hAnsi="宋体" w:cs="宋体" w:eastAsia="宋体" w:hint="default"/>
          <w:sz w:val="21"/>
          <w:szCs w:val="21"/>
        </w:rPr>
      </w:pPr>
    </w:p>
    <w:p>
      <w:pPr>
        <w:pStyle w:val="Heading4"/>
        <w:spacing w:line="240" w:lineRule="auto"/>
        <w:ind w:right="982"/>
        <w:jc w:val="left"/>
        <w:rPr>
          <w:b w:val="0"/>
          <w:bCs w:val="0"/>
        </w:rPr>
      </w:pPr>
      <w:r>
        <w:rPr/>
        <w:t>（</w:t>
      </w:r>
      <w:r>
        <w:rPr>
          <w:rFonts w:ascii="Times New Roman" w:hAnsi="Times New Roman" w:cs="Times New Roman" w:eastAsia="Times New Roman" w:hint="default"/>
        </w:rPr>
        <w:t>2</w:t>
      </w:r>
      <w:r>
        <w:rPr/>
        <w:t>）重要合营企业的主要财务信息</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18"/>
        <w:ind w:right="982"/>
        <w:jc w:val="left"/>
        <w:rPr>
          <w:b w:val="0"/>
          <w:bCs w:val="0"/>
        </w:rPr>
      </w:pPr>
      <w:r>
        <w:rPr/>
        <w:t>（</w:t>
      </w:r>
      <w:r>
        <w:rPr>
          <w:rFonts w:ascii="Times New Roman" w:hAnsi="Times New Roman" w:cs="Times New Roman" w:eastAsia="Times New Roman" w:hint="default"/>
        </w:rPr>
        <w:t>3</w:t>
      </w:r>
      <w:r>
        <w:rPr/>
        <w:t>）重要联营企业的主要财务信息</w:t>
      </w:r>
      <w:r>
        <w:rPr>
          <w:b w:val="0"/>
          <w:bCs w:val="0"/>
        </w:rPr>
      </w:r>
    </w:p>
    <w:p>
      <w:pPr>
        <w:spacing w:line="240" w:lineRule="auto" w:before="9"/>
        <w:rPr>
          <w:rFonts w:ascii="宋体" w:hAnsi="宋体" w:cs="宋体" w:eastAsia="宋体" w:hint="default"/>
          <w:b/>
          <w:bCs/>
          <w:sz w:val="25"/>
          <w:szCs w:val="25"/>
        </w:rPr>
      </w:pPr>
    </w:p>
    <w:tbl>
      <w:tblPr>
        <w:tblW w:w="0" w:type="auto"/>
        <w:jc w:val="left"/>
        <w:tblInd w:w="160" w:type="dxa"/>
        <w:tblLayout w:type="fixed"/>
        <w:tblCellMar>
          <w:top w:w="0" w:type="dxa"/>
          <w:left w:w="0" w:type="dxa"/>
          <w:bottom w:w="0" w:type="dxa"/>
          <w:right w:w="0" w:type="dxa"/>
        </w:tblCellMar>
        <w:tblLook w:val="01E0"/>
      </w:tblPr>
      <w:tblGrid>
        <w:gridCol w:w="3806"/>
        <w:gridCol w:w="2704"/>
        <w:gridCol w:w="3051"/>
      </w:tblGrid>
      <w:tr>
        <w:trPr>
          <w:trHeight w:val="403" w:hRule="exact"/>
        </w:trPr>
        <w:tc>
          <w:tcPr>
            <w:tcW w:w="380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7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17"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0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83"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401" w:hRule="exact"/>
        </w:trPr>
        <w:tc>
          <w:tcPr>
            <w:tcW w:w="380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704" w:type="dxa"/>
            <w:tcBorders>
              <w:top w:val="single" w:sz="4" w:space="0" w:color="000000"/>
              <w:left w:val="single" w:sz="9" w:space="0" w:color="D2D2D2"/>
              <w:bottom w:val="single" w:sz="4" w:space="0" w:color="000000"/>
              <w:right w:val="single" w:sz="4" w:space="0" w:color="000000"/>
            </w:tcBorders>
            <w:shd w:val="clear" w:color="auto" w:fill="D9D9D9"/>
          </w:tcPr>
          <w:p>
            <w:pPr>
              <w:pStyle w:val="TableParagraph"/>
              <w:spacing w:line="240" w:lineRule="auto" w:before="49"/>
              <w:ind w:right="81"/>
              <w:jc w:val="right"/>
              <w:rPr>
                <w:rFonts w:ascii="宋体" w:hAnsi="宋体" w:cs="宋体" w:eastAsia="宋体" w:hint="default"/>
                <w:sz w:val="18"/>
                <w:szCs w:val="18"/>
              </w:rPr>
            </w:pPr>
            <w:r>
              <w:rPr>
                <w:rFonts w:ascii="宋体" w:hAnsi="宋体" w:cs="宋体" w:eastAsia="宋体" w:hint="default"/>
                <w:sz w:val="18"/>
                <w:szCs w:val="18"/>
              </w:rPr>
              <w:t>上海安吉四维信息技术有限公司</w:t>
            </w:r>
          </w:p>
        </w:tc>
        <w:tc>
          <w:tcPr>
            <w:tcW w:w="30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59" w:right="0"/>
              <w:jc w:val="left"/>
              <w:rPr>
                <w:rFonts w:ascii="宋体" w:hAnsi="宋体" w:cs="宋体" w:eastAsia="宋体" w:hint="default"/>
                <w:sz w:val="18"/>
                <w:szCs w:val="18"/>
              </w:rPr>
            </w:pPr>
            <w:r>
              <w:rPr>
                <w:rFonts w:ascii="宋体" w:hAnsi="宋体" w:cs="宋体" w:eastAsia="宋体" w:hint="default"/>
                <w:sz w:val="18"/>
                <w:szCs w:val="18"/>
              </w:rPr>
              <w:t>上海安吉四维信息技术有限公司</w:t>
            </w:r>
          </w:p>
        </w:tc>
      </w:tr>
      <w:tr>
        <w:trPr>
          <w:trHeight w:val="403" w:hRule="exact"/>
        </w:trPr>
        <w:tc>
          <w:tcPr>
            <w:tcW w:w="38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270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108,455,430.82</w:t>
            </w:r>
          </w:p>
        </w:tc>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160,960,020.07</w:t>
            </w:r>
          </w:p>
        </w:tc>
      </w:tr>
      <w:tr>
        <w:trPr>
          <w:trHeight w:val="401" w:hRule="exact"/>
        </w:trPr>
        <w:tc>
          <w:tcPr>
            <w:tcW w:w="38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270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1,913,323.66</w:t>
            </w:r>
          </w:p>
        </w:tc>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1,785,009.27</w:t>
            </w:r>
          </w:p>
        </w:tc>
      </w:tr>
      <w:tr>
        <w:trPr>
          <w:trHeight w:val="403" w:hRule="exact"/>
        </w:trPr>
        <w:tc>
          <w:tcPr>
            <w:tcW w:w="38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资产合计</w:t>
            </w:r>
          </w:p>
        </w:tc>
        <w:tc>
          <w:tcPr>
            <w:tcW w:w="270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110,368,754.48</w:t>
            </w:r>
          </w:p>
        </w:tc>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162,745,029.34</w:t>
            </w:r>
          </w:p>
        </w:tc>
      </w:tr>
      <w:tr>
        <w:trPr>
          <w:trHeight w:val="401" w:hRule="exact"/>
        </w:trPr>
        <w:tc>
          <w:tcPr>
            <w:tcW w:w="38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270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50,380,110.23</w:t>
            </w:r>
          </w:p>
        </w:tc>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115,327,494.59</w:t>
            </w:r>
          </w:p>
        </w:tc>
      </w:tr>
      <w:tr>
        <w:trPr>
          <w:trHeight w:val="404" w:hRule="exact"/>
        </w:trPr>
        <w:tc>
          <w:tcPr>
            <w:tcW w:w="38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270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500,000.00</w:t>
            </w:r>
          </w:p>
        </w:tc>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3,500,000.00</w:t>
            </w:r>
          </w:p>
        </w:tc>
      </w:tr>
      <w:tr>
        <w:trPr>
          <w:trHeight w:val="401" w:hRule="exact"/>
        </w:trPr>
        <w:tc>
          <w:tcPr>
            <w:tcW w:w="38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270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50,880,110.23</w:t>
            </w:r>
          </w:p>
        </w:tc>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118,827,494.59</w:t>
            </w:r>
          </w:p>
        </w:tc>
      </w:tr>
      <w:tr>
        <w:trPr>
          <w:trHeight w:val="403" w:hRule="exact"/>
        </w:trPr>
        <w:tc>
          <w:tcPr>
            <w:tcW w:w="38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270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8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归属于母公司股东权益</w:t>
            </w:r>
          </w:p>
        </w:tc>
        <w:tc>
          <w:tcPr>
            <w:tcW w:w="270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59,488,644.25</w:t>
            </w:r>
          </w:p>
        </w:tc>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43,917,534.75</w:t>
            </w:r>
          </w:p>
        </w:tc>
      </w:tr>
      <w:tr>
        <w:trPr>
          <w:trHeight w:val="403" w:hRule="exact"/>
        </w:trPr>
        <w:tc>
          <w:tcPr>
            <w:tcW w:w="38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按持股比例计算的净资产份额</w:t>
            </w:r>
          </w:p>
        </w:tc>
        <w:tc>
          <w:tcPr>
            <w:tcW w:w="270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29,149,435.69</w:t>
            </w:r>
          </w:p>
        </w:tc>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21,519,592.03</w:t>
            </w:r>
          </w:p>
        </w:tc>
      </w:tr>
      <w:tr>
        <w:trPr>
          <w:trHeight w:val="401" w:hRule="exact"/>
        </w:trPr>
        <w:tc>
          <w:tcPr>
            <w:tcW w:w="38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商誉</w:t>
            </w:r>
          </w:p>
        </w:tc>
        <w:tc>
          <w:tcPr>
            <w:tcW w:w="270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8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内部交易未实现利润</w:t>
            </w:r>
          </w:p>
        </w:tc>
        <w:tc>
          <w:tcPr>
            <w:tcW w:w="270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8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其他</w:t>
            </w:r>
          </w:p>
        </w:tc>
        <w:tc>
          <w:tcPr>
            <w:tcW w:w="270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4" w:hRule="exact"/>
        </w:trPr>
        <w:tc>
          <w:tcPr>
            <w:tcW w:w="38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对联营企业权益投资的账面价值</w:t>
            </w:r>
          </w:p>
        </w:tc>
        <w:tc>
          <w:tcPr>
            <w:tcW w:w="270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29,149,435.69</w:t>
            </w:r>
          </w:p>
        </w:tc>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21,519,592.03</w:t>
            </w:r>
          </w:p>
        </w:tc>
      </w:tr>
      <w:tr>
        <w:trPr>
          <w:trHeight w:val="401" w:hRule="exact"/>
        </w:trPr>
        <w:tc>
          <w:tcPr>
            <w:tcW w:w="38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存在公开报价的合营企业权益投资的公允价值</w:t>
            </w:r>
          </w:p>
        </w:tc>
        <w:tc>
          <w:tcPr>
            <w:tcW w:w="270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8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270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230,547,239.33</w:t>
            </w:r>
          </w:p>
        </w:tc>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212,016,448.80</w:t>
            </w:r>
          </w:p>
        </w:tc>
      </w:tr>
      <w:tr>
        <w:trPr>
          <w:trHeight w:val="401" w:hRule="exact"/>
        </w:trPr>
        <w:tc>
          <w:tcPr>
            <w:tcW w:w="38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270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20,564,049.50</w:t>
            </w:r>
          </w:p>
        </w:tc>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18,492,379.86</w:t>
            </w:r>
          </w:p>
        </w:tc>
      </w:tr>
      <w:tr>
        <w:trPr>
          <w:trHeight w:val="403" w:hRule="exact"/>
        </w:trPr>
        <w:tc>
          <w:tcPr>
            <w:tcW w:w="38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终止经营的净利润</w:t>
            </w:r>
          </w:p>
        </w:tc>
        <w:tc>
          <w:tcPr>
            <w:tcW w:w="270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8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270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8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综合收益总额</w:t>
            </w:r>
          </w:p>
        </w:tc>
        <w:tc>
          <w:tcPr>
            <w:tcW w:w="270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20,564,049.50</w:t>
            </w:r>
          </w:p>
        </w:tc>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18,492,379.86</w:t>
            </w:r>
          </w:p>
        </w:tc>
      </w:tr>
      <w:tr>
        <w:trPr>
          <w:trHeight w:val="401" w:hRule="exact"/>
        </w:trPr>
        <w:tc>
          <w:tcPr>
            <w:tcW w:w="38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本年度收到的来自联营企业的股利</w:t>
            </w:r>
          </w:p>
        </w:tc>
        <w:tc>
          <w:tcPr>
            <w:tcW w:w="270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26,371,473.66</w:t>
            </w:r>
          </w:p>
        </w:tc>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10"/>
        <w:rPr>
          <w:rFonts w:ascii="宋体" w:hAnsi="宋体" w:cs="宋体" w:eastAsia="宋体" w:hint="default"/>
          <w:b/>
          <w:bCs/>
          <w:sz w:val="24"/>
          <w:szCs w:val="24"/>
        </w:rPr>
      </w:pPr>
    </w:p>
    <w:p>
      <w:pPr>
        <w:pStyle w:val="Heading4"/>
        <w:spacing w:line="240" w:lineRule="auto" w:before="36"/>
        <w:ind w:right="982"/>
        <w:jc w:val="left"/>
        <w:rPr>
          <w:b w:val="0"/>
          <w:bCs w:val="0"/>
        </w:rPr>
      </w:pPr>
      <w:r>
        <w:rPr/>
        <w:t>（</w:t>
      </w:r>
      <w:r>
        <w:rPr>
          <w:rFonts w:ascii="Times New Roman" w:hAnsi="Times New Roman" w:cs="Times New Roman" w:eastAsia="Times New Roman" w:hint="default"/>
        </w:rPr>
        <w:t>4</w:t>
      </w:r>
      <w:r>
        <w:rPr/>
        <w:t>）不重要的合营企业和联营企业的汇总财务信息</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297"/>
        <w:gridCol w:w="3076"/>
        <w:gridCol w:w="3185"/>
      </w:tblGrid>
      <w:tr>
        <w:trPr>
          <w:trHeight w:val="403"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0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04"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53"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401"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合营企业：</w:t>
            </w:r>
          </w:p>
        </w:tc>
        <w:tc>
          <w:tcPr>
            <w:tcW w:w="30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2" w:right="0"/>
              <w:jc w:val="center"/>
              <w:rPr>
                <w:rFonts w:ascii="Times New Roman" w:hAnsi="Times New Roman" w:cs="Times New Roman" w:eastAsia="Times New Roman" w:hint="default"/>
                <w:sz w:val="18"/>
                <w:szCs w:val="18"/>
              </w:rPr>
            </w:pPr>
            <w:r>
              <w:rPr>
                <w:rFonts w:ascii="Times New Roman"/>
                <w:sz w:val="18"/>
              </w:rPr>
              <w:t>--</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r>
      <w:tr>
        <w:trPr>
          <w:trHeight w:val="403"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投资账面价值合计</w:t>
            </w:r>
          </w:p>
        </w:tc>
        <w:tc>
          <w:tcPr>
            <w:tcW w:w="307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6,139,539.35</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13,581,326.82</w:t>
            </w:r>
          </w:p>
        </w:tc>
      </w:tr>
      <w:tr>
        <w:trPr>
          <w:trHeight w:val="401"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下列各项按持股比例计算的合计数</w:t>
            </w:r>
          </w:p>
        </w:tc>
        <w:tc>
          <w:tcPr>
            <w:tcW w:w="30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2" w:right="0"/>
              <w:jc w:val="center"/>
              <w:rPr>
                <w:rFonts w:ascii="Times New Roman" w:hAnsi="Times New Roman" w:cs="Times New Roman" w:eastAsia="Times New Roman" w:hint="default"/>
                <w:sz w:val="18"/>
                <w:szCs w:val="18"/>
              </w:rPr>
            </w:pPr>
            <w:r>
              <w:rPr>
                <w:rFonts w:ascii="Times New Roman"/>
                <w:sz w:val="18"/>
              </w:rPr>
              <w:t>--</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r>
      <w:tr>
        <w:trPr>
          <w:trHeight w:val="403"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净利润</w:t>
            </w:r>
          </w:p>
        </w:tc>
        <w:tc>
          <w:tcPr>
            <w:tcW w:w="307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-7,441,787.46</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-2,814,583.18</w:t>
            </w:r>
          </w:p>
        </w:tc>
      </w:tr>
      <w:tr>
        <w:trPr>
          <w:trHeight w:val="401"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其他综合收益</w:t>
            </w:r>
          </w:p>
        </w:tc>
        <w:tc>
          <w:tcPr>
            <w:tcW w:w="307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4"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综合收益总额</w:t>
            </w:r>
          </w:p>
        </w:tc>
        <w:tc>
          <w:tcPr>
            <w:tcW w:w="307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-7,441,787.46</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-2,814,583.18</w:t>
            </w:r>
          </w:p>
        </w:tc>
      </w:tr>
      <w:tr>
        <w:trPr>
          <w:trHeight w:val="401"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联营企业：</w:t>
            </w:r>
          </w:p>
        </w:tc>
        <w:tc>
          <w:tcPr>
            <w:tcW w:w="30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2" w:right="0"/>
              <w:jc w:val="center"/>
              <w:rPr>
                <w:rFonts w:ascii="Times New Roman" w:hAnsi="Times New Roman" w:cs="Times New Roman" w:eastAsia="Times New Roman" w:hint="default"/>
                <w:sz w:val="18"/>
                <w:szCs w:val="18"/>
              </w:rPr>
            </w:pPr>
            <w:r>
              <w:rPr>
                <w:rFonts w:ascii="Times New Roman"/>
                <w:sz w:val="18"/>
              </w:rPr>
              <w:t>--</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r>
      <w:tr>
        <w:trPr>
          <w:trHeight w:val="403"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投资账面价值合计</w:t>
            </w:r>
          </w:p>
        </w:tc>
        <w:tc>
          <w:tcPr>
            <w:tcW w:w="307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1,262,989,081.76</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47,665,181.59</w:t>
            </w:r>
          </w:p>
        </w:tc>
      </w:tr>
      <w:tr>
        <w:trPr>
          <w:trHeight w:val="401"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下列各项按持股比例计算的合计数</w:t>
            </w:r>
          </w:p>
        </w:tc>
        <w:tc>
          <w:tcPr>
            <w:tcW w:w="30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2" w:right="0"/>
              <w:jc w:val="center"/>
              <w:rPr>
                <w:rFonts w:ascii="Times New Roman" w:hAnsi="Times New Roman" w:cs="Times New Roman" w:eastAsia="Times New Roman" w:hint="default"/>
                <w:sz w:val="18"/>
                <w:szCs w:val="18"/>
              </w:rPr>
            </w:pPr>
            <w:r>
              <w:rPr>
                <w:rFonts w:ascii="Times New Roman"/>
                <w:sz w:val="18"/>
              </w:rPr>
              <w:t>--</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r>
      <w:tr>
        <w:trPr>
          <w:trHeight w:val="403"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净利润</w:t>
            </w:r>
          </w:p>
        </w:tc>
        <w:tc>
          <w:tcPr>
            <w:tcW w:w="307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-18,220,428.34</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-1,740,056.87</w:t>
            </w:r>
          </w:p>
        </w:tc>
      </w:tr>
      <w:tr>
        <w:trPr>
          <w:trHeight w:val="401"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其他综合收益</w:t>
            </w:r>
          </w:p>
        </w:tc>
        <w:tc>
          <w:tcPr>
            <w:tcW w:w="307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-2,847,128.72</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综合收益总额</w:t>
            </w:r>
          </w:p>
        </w:tc>
        <w:tc>
          <w:tcPr>
            <w:tcW w:w="307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-21,067,557.05</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-1,740,056.87</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t>（</w:t>
      </w:r>
      <w:r>
        <w:rPr>
          <w:rFonts w:ascii="Times New Roman" w:hAnsi="Times New Roman" w:cs="Times New Roman" w:eastAsia="Times New Roman" w:hint="default"/>
        </w:rPr>
        <w:t>5</w:t>
      </w:r>
      <w:r>
        <w:rPr/>
        <w:t>）合营企业或联营企业向本公司转移资金的能力存在重大限制的说明</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t>（</w:t>
      </w:r>
      <w:r>
        <w:rPr>
          <w:rFonts w:ascii="Times New Roman" w:hAnsi="Times New Roman" w:cs="Times New Roman" w:eastAsia="Times New Roman" w:hint="default"/>
        </w:rPr>
        <w:t>6</w:t>
      </w:r>
      <w:r>
        <w:rPr/>
        <w:t>）合营企业或联营企业发生的超额亏损</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t>（</w:t>
      </w:r>
      <w:r>
        <w:rPr>
          <w:rFonts w:ascii="Times New Roman" w:hAnsi="Times New Roman" w:cs="Times New Roman" w:eastAsia="Times New Roman" w:hint="default"/>
        </w:rPr>
        <w:t>7</w:t>
      </w:r>
      <w:r>
        <w:rPr/>
        <w:t>）与合营企业投资相关的未确认承诺</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t>（</w:t>
      </w:r>
      <w:r>
        <w:rPr>
          <w:rFonts w:ascii="Times New Roman" w:hAnsi="Times New Roman" w:cs="Times New Roman" w:eastAsia="Times New Roman" w:hint="default"/>
        </w:rPr>
        <w:t>8</w:t>
      </w:r>
      <w:r>
        <w:rPr/>
        <w:t>）与合营企业或联营企业投资相关的或有负债</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rFonts w:ascii="Times New Roman" w:hAnsi="Times New Roman" w:cs="Times New Roman" w:eastAsia="Times New Roman" w:hint="default"/>
        </w:rPr>
        <w:t>4</w:t>
      </w:r>
      <w:r>
        <w:rPr/>
        <w:t>、重要的共同经营</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18"/>
        <w:ind w:right="982"/>
        <w:jc w:val="left"/>
        <w:rPr>
          <w:b w:val="0"/>
          <w:bCs w:val="0"/>
        </w:rPr>
      </w:pPr>
      <w:r>
        <w:rPr>
          <w:rFonts w:ascii="Times New Roman" w:hAnsi="Times New Roman" w:cs="Times New Roman" w:eastAsia="Times New Roman" w:hint="default"/>
        </w:rPr>
        <w:t>5</w:t>
      </w:r>
      <w:r>
        <w:rPr/>
        <w:t>、在未纳入合并财务报表范围的结构化主体中的权益</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t>无</w:t>
      </w:r>
    </w:p>
    <w:p>
      <w:pPr>
        <w:spacing w:after="0" w:line="240" w:lineRule="auto"/>
        <w:jc w:val="left"/>
        <w:sectPr>
          <w:pgSz w:w="11910" w:h="16840"/>
          <w:pgMar w:header="745" w:footer="979"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2"/>
        <w:jc w:val="left"/>
        <w:rPr>
          <w:b w:val="0"/>
          <w:bCs w:val="0"/>
        </w:rPr>
      </w:pPr>
      <w:r>
        <w:rPr>
          <w:rFonts w:ascii="Times New Roman" w:hAnsi="Times New Roman" w:cs="Times New Roman" w:eastAsia="Times New Roman" w:hint="default"/>
        </w:rPr>
        <w:t>6</w:t>
      </w:r>
      <w:r>
        <w:rPr/>
        <w:t>、其他</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1"/>
        <w:rPr>
          <w:rFonts w:ascii="宋体" w:hAnsi="宋体" w:cs="宋体" w:eastAsia="宋体" w:hint="default"/>
          <w:sz w:val="25"/>
          <w:szCs w:val="25"/>
        </w:rPr>
      </w:pPr>
    </w:p>
    <w:p>
      <w:pPr>
        <w:pStyle w:val="Heading2"/>
        <w:spacing w:line="240" w:lineRule="auto"/>
        <w:ind w:right="982"/>
        <w:jc w:val="left"/>
        <w:rPr>
          <w:b w:val="0"/>
          <w:bCs w:val="0"/>
        </w:rPr>
      </w:pPr>
      <w:r>
        <w:rPr/>
        <w:t>十、与金融工具相关的风险</w:t>
      </w:r>
      <w:r>
        <w:rPr>
          <w:b w:val="0"/>
          <w:bCs w:val="0"/>
        </w:rPr>
      </w:r>
    </w:p>
    <w:p>
      <w:pPr>
        <w:spacing w:line="240" w:lineRule="auto" w:before="6"/>
        <w:rPr>
          <w:rFonts w:ascii="宋体" w:hAnsi="宋体" w:cs="宋体" w:eastAsia="宋体" w:hint="default"/>
          <w:b/>
          <w:bCs/>
          <w:sz w:val="26"/>
          <w:szCs w:val="26"/>
        </w:rPr>
      </w:pPr>
    </w:p>
    <w:p>
      <w:pPr>
        <w:pStyle w:val="BodyText"/>
        <w:spacing w:line="316" w:lineRule="auto"/>
        <w:ind w:right="1133" w:firstLine="439"/>
        <w:jc w:val="both"/>
      </w:pPr>
      <w:r>
        <w:rPr/>
        <w:t>本集团的主要金融工具包括应收款项、应付款项、应付债券等，各项金融工具的详细情况说明见本附注七相关项目。 </w:t>
      </w:r>
      <w:r>
        <w:rPr>
          <w:spacing w:val="-2"/>
        </w:rPr>
        <w:t>与这些金融工具有关的风险，以及本集团为降低这些风险所采取的风险管理政策如下所述。本集团管理层对这些风险敞口进</w:t>
      </w:r>
      <w:r>
        <w:rPr>
          <w:spacing w:val="-64"/>
        </w:rPr>
        <w:t> </w:t>
      </w:r>
      <w:r>
        <w:rPr>
          <w:spacing w:val="-64"/>
        </w:rPr>
      </w:r>
      <w:r>
        <w:rPr/>
        <w:t>行管理和监控以确保将上述风险控制在限定的范围之内。</w:t>
      </w:r>
    </w:p>
    <w:p>
      <w:pPr>
        <w:pStyle w:val="BodyText"/>
        <w:spacing w:line="432" w:lineRule="exact" w:before="3"/>
        <w:ind w:left="592" w:right="1134" w:hanging="168"/>
        <w:jc w:val="left"/>
      </w:pPr>
      <w:r>
        <w:rPr>
          <w:rFonts w:ascii="Times New Roman" w:hAnsi="Times New Roman" w:cs="Times New Roman" w:eastAsia="Times New Roman" w:hint="default"/>
        </w:rPr>
        <w:t>1.</w:t>
      </w:r>
      <w:r>
        <w:rPr/>
        <w:t>各类风险管理目标和政策 本集团从事风险管理的目标是在风险和收益之间取得适当的平衡，将风险对本集团经营业绩的负面影响降低到最低水</w:t>
      </w:r>
    </w:p>
    <w:p>
      <w:pPr>
        <w:pStyle w:val="BodyText"/>
        <w:spacing w:line="316" w:lineRule="auto" w:before="16"/>
        <w:ind w:right="1129"/>
        <w:jc w:val="left"/>
      </w:pPr>
      <w:r>
        <w:rPr>
          <w:spacing w:val="-2"/>
        </w:rPr>
        <w:t>平，使股东及其它权益投资者的利益最大化。基于该风险管理目标，本集团风险管理的基本策略是确定和分析本集团所面临</w:t>
      </w:r>
      <w:r>
        <w:rPr>
          <w:spacing w:val="-63"/>
        </w:rPr>
        <w:t> </w:t>
      </w:r>
      <w:r>
        <w:rPr>
          <w:spacing w:val="-63"/>
        </w:rPr>
      </w:r>
      <w:r>
        <w:rPr>
          <w:spacing w:val="-5"/>
        </w:rPr>
        <w:t>的各种风险，建立适当的风险承受底线并进行风险管理，并及时可靠地对各种风险进行监督，将风险控制在限定的范围之内。</w:t>
      </w:r>
    </w:p>
    <w:p>
      <w:pPr>
        <w:pStyle w:val="BodyText"/>
        <w:spacing w:line="240" w:lineRule="auto" w:before="139"/>
        <w:ind w:left="592" w:right="982"/>
        <w:jc w:val="left"/>
      </w:pPr>
      <w:r>
        <w:rPr/>
        <w:t>（</w:t>
      </w:r>
      <w:r>
        <w:rPr>
          <w:rFonts w:ascii="Times New Roman" w:hAnsi="Times New Roman" w:cs="Times New Roman" w:eastAsia="Times New Roman" w:hint="default"/>
        </w:rPr>
        <w:t>1</w:t>
      </w:r>
      <w:r>
        <w:rPr/>
        <w:t>）市场风险</w:t>
      </w:r>
    </w:p>
    <w:p>
      <w:pPr>
        <w:pStyle w:val="BodyText"/>
        <w:spacing w:line="420" w:lineRule="atLeast" w:before="12"/>
        <w:ind w:left="592" w:right="1134"/>
        <w:jc w:val="left"/>
      </w:pPr>
      <w:r>
        <w:rPr>
          <w:rFonts w:ascii="Times New Roman" w:hAnsi="Times New Roman" w:cs="Times New Roman" w:eastAsia="Times New Roman" w:hint="default"/>
        </w:rPr>
        <w:t>1</w:t>
      </w:r>
      <w:r>
        <w:rPr/>
        <w:t>）汇率风险 汇率风险，是指金融工具的公允价值或未来现金流量因外汇汇率变动而发生波动的风险。本集团承受汇率风险主要与</w:t>
      </w:r>
    </w:p>
    <w:p>
      <w:pPr>
        <w:pStyle w:val="BodyText"/>
        <w:spacing w:line="316" w:lineRule="auto" w:before="76"/>
        <w:ind w:right="982"/>
        <w:jc w:val="left"/>
      </w:pPr>
      <w:r>
        <w:rPr>
          <w:spacing w:val="-2"/>
        </w:rPr>
        <w:t>欧元和美元有关，除本集团的境外子公司以欧元进行采购和销售外，本集团的其他境外业务主要以美元计价结算。外币余额</w:t>
      </w:r>
      <w:r>
        <w:rPr>
          <w:spacing w:val="-63"/>
        </w:rPr>
        <w:t> </w:t>
      </w:r>
      <w:r>
        <w:rPr>
          <w:spacing w:val="-63"/>
        </w:rPr>
      </w:r>
      <w:r>
        <w:rPr/>
        <w:t>的资产和负债产生的汇率风险可能对本集团的经营业绩产生影响。</w:t>
      </w:r>
    </w:p>
    <w:tbl>
      <w:tblPr>
        <w:tblW w:w="0" w:type="auto"/>
        <w:jc w:val="left"/>
        <w:tblInd w:w="145" w:type="dxa"/>
        <w:tblLayout w:type="fixed"/>
        <w:tblCellMar>
          <w:top w:w="0" w:type="dxa"/>
          <w:left w:w="0" w:type="dxa"/>
          <w:bottom w:w="0" w:type="dxa"/>
          <w:right w:w="0" w:type="dxa"/>
        </w:tblCellMar>
        <w:tblLook w:val="01E0"/>
      </w:tblPr>
      <w:tblGrid>
        <w:gridCol w:w="3745"/>
        <w:gridCol w:w="2525"/>
        <w:gridCol w:w="3231"/>
      </w:tblGrid>
      <w:tr>
        <w:trPr>
          <w:trHeight w:val="430" w:hRule="exact"/>
        </w:trPr>
        <w:tc>
          <w:tcPr>
            <w:tcW w:w="3745" w:type="dxa"/>
            <w:tcBorders>
              <w:top w:val="single" w:sz="6" w:space="0" w:color="000000"/>
              <w:left w:val="single" w:sz="6" w:space="0" w:color="000000"/>
              <w:bottom w:val="single" w:sz="8" w:space="0" w:color="000000"/>
              <w:right w:val="single" w:sz="6" w:space="0" w:color="000000"/>
            </w:tcBorders>
            <w:shd w:val="clear" w:color="auto" w:fill="D9D9D9"/>
          </w:tcPr>
          <w:p>
            <w:pPr>
              <w:pStyle w:val="TableParagraph"/>
              <w:spacing w:line="240" w:lineRule="auto" w:before="58"/>
              <w:ind w:left="4"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2525" w:type="dxa"/>
            <w:tcBorders>
              <w:top w:val="single" w:sz="6" w:space="0" w:color="000000"/>
              <w:left w:val="single" w:sz="6" w:space="0" w:color="000000"/>
              <w:bottom w:val="single" w:sz="8" w:space="0" w:color="000000"/>
              <w:right w:val="single" w:sz="4" w:space="0" w:color="000000"/>
            </w:tcBorders>
            <w:shd w:val="clear" w:color="auto" w:fill="D9D9D9"/>
          </w:tcPr>
          <w:p>
            <w:pPr>
              <w:pStyle w:val="TableParagraph"/>
              <w:spacing w:line="240" w:lineRule="auto" w:before="58"/>
              <w:ind w:left="51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23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1"/>
              <w:ind w:left="86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r>
      <w:tr>
        <w:trPr>
          <w:trHeight w:val="427" w:hRule="exact"/>
        </w:trPr>
        <w:tc>
          <w:tcPr>
            <w:tcW w:w="3745"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53"/>
              <w:ind w:left="4" w:right="0"/>
              <w:jc w:val="left"/>
              <w:rPr>
                <w:rFonts w:ascii="宋体" w:hAnsi="宋体" w:cs="宋体" w:eastAsia="宋体" w:hint="default"/>
                <w:sz w:val="18"/>
                <w:szCs w:val="18"/>
              </w:rPr>
            </w:pPr>
            <w:r>
              <w:rPr>
                <w:rFonts w:ascii="宋体" w:hAnsi="宋体" w:cs="宋体" w:eastAsia="宋体" w:hint="default"/>
                <w:sz w:val="18"/>
                <w:szCs w:val="18"/>
              </w:rPr>
              <w:t>货币资金</w:t>
            </w:r>
            <w:r>
              <w:rPr>
                <w:rFonts w:ascii="Times New Roman" w:hAnsi="Times New Roman" w:cs="Times New Roman" w:eastAsia="Times New Roman" w:hint="default"/>
                <w:sz w:val="18"/>
                <w:szCs w:val="18"/>
              </w:rPr>
              <w:t>-</w:t>
            </w:r>
            <w:r>
              <w:rPr>
                <w:rFonts w:ascii="宋体" w:hAnsi="宋体" w:cs="宋体" w:eastAsia="宋体" w:hint="default"/>
                <w:sz w:val="18"/>
                <w:szCs w:val="18"/>
              </w:rPr>
              <w:t>美元</w:t>
            </w:r>
          </w:p>
        </w:tc>
        <w:tc>
          <w:tcPr>
            <w:tcW w:w="2525" w:type="dxa"/>
            <w:tcBorders>
              <w:top w:val="single" w:sz="8" w:space="0" w:color="000000"/>
              <w:left w:val="single" w:sz="6" w:space="0" w:color="000000"/>
              <w:bottom w:val="single" w:sz="8" w:space="0" w:color="000000"/>
              <w:right w:val="single" w:sz="4" w:space="0" w:color="000000"/>
            </w:tcBorders>
          </w:tcPr>
          <w:p>
            <w:pPr>
              <w:pStyle w:val="TableParagraph"/>
              <w:spacing w:line="240" w:lineRule="auto" w:before="96"/>
              <w:ind w:right="3"/>
              <w:jc w:val="right"/>
              <w:rPr>
                <w:rFonts w:ascii="Times New Roman" w:hAnsi="Times New Roman" w:cs="Times New Roman" w:eastAsia="Times New Roman" w:hint="default"/>
                <w:sz w:val="18"/>
                <w:szCs w:val="18"/>
              </w:rPr>
            </w:pPr>
            <w:r>
              <w:rPr>
                <w:rFonts w:ascii="Times New Roman"/>
                <w:spacing w:val="-1"/>
                <w:sz w:val="18"/>
              </w:rPr>
              <w:t>21,129,926.84</w:t>
            </w:r>
          </w:p>
        </w:tc>
        <w:tc>
          <w:tcPr>
            <w:tcW w:w="32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
              <w:jc w:val="right"/>
              <w:rPr>
                <w:rFonts w:ascii="Times New Roman" w:hAnsi="Times New Roman" w:cs="Times New Roman" w:eastAsia="Times New Roman" w:hint="default"/>
                <w:sz w:val="18"/>
                <w:szCs w:val="18"/>
              </w:rPr>
            </w:pPr>
            <w:r>
              <w:rPr>
                <w:rFonts w:ascii="Times New Roman"/>
                <w:spacing w:val="-1"/>
                <w:sz w:val="18"/>
              </w:rPr>
              <w:t>3,292,231.74</w:t>
            </w:r>
          </w:p>
        </w:tc>
      </w:tr>
      <w:tr>
        <w:trPr>
          <w:trHeight w:val="428" w:hRule="exact"/>
        </w:trPr>
        <w:tc>
          <w:tcPr>
            <w:tcW w:w="3745"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54"/>
              <w:ind w:left="4" w:right="0"/>
              <w:jc w:val="left"/>
              <w:rPr>
                <w:rFonts w:ascii="宋体" w:hAnsi="宋体" w:cs="宋体" w:eastAsia="宋体" w:hint="default"/>
                <w:sz w:val="18"/>
                <w:szCs w:val="18"/>
              </w:rPr>
            </w:pPr>
            <w:r>
              <w:rPr>
                <w:rFonts w:ascii="宋体" w:hAnsi="宋体" w:cs="宋体" w:eastAsia="宋体" w:hint="default"/>
                <w:sz w:val="18"/>
                <w:szCs w:val="18"/>
              </w:rPr>
              <w:t>货币资金</w:t>
            </w:r>
            <w:r>
              <w:rPr>
                <w:rFonts w:ascii="Times New Roman" w:hAnsi="Times New Roman" w:cs="Times New Roman" w:eastAsia="Times New Roman" w:hint="default"/>
                <w:sz w:val="18"/>
                <w:szCs w:val="18"/>
              </w:rPr>
              <w:t>-</w:t>
            </w:r>
            <w:r>
              <w:rPr>
                <w:rFonts w:ascii="宋体" w:hAnsi="宋体" w:cs="宋体" w:eastAsia="宋体" w:hint="default"/>
                <w:sz w:val="18"/>
                <w:szCs w:val="18"/>
              </w:rPr>
              <w:t>日元</w:t>
            </w:r>
          </w:p>
        </w:tc>
        <w:tc>
          <w:tcPr>
            <w:tcW w:w="2525" w:type="dxa"/>
            <w:tcBorders>
              <w:top w:val="single" w:sz="8" w:space="0" w:color="000000"/>
              <w:left w:val="single" w:sz="6" w:space="0" w:color="000000"/>
              <w:bottom w:val="single" w:sz="8" w:space="0" w:color="000000"/>
              <w:right w:val="single" w:sz="4" w:space="0" w:color="000000"/>
            </w:tcBorders>
          </w:tcPr>
          <w:p>
            <w:pPr>
              <w:pStyle w:val="TableParagraph"/>
              <w:spacing w:line="240" w:lineRule="auto" w:before="96"/>
              <w:ind w:right="3"/>
              <w:jc w:val="right"/>
              <w:rPr>
                <w:rFonts w:ascii="Times New Roman" w:hAnsi="Times New Roman" w:cs="Times New Roman" w:eastAsia="Times New Roman" w:hint="default"/>
                <w:sz w:val="18"/>
                <w:szCs w:val="18"/>
              </w:rPr>
            </w:pPr>
            <w:r>
              <w:rPr>
                <w:rFonts w:ascii="Times New Roman"/>
                <w:spacing w:val="-1"/>
                <w:sz w:val="18"/>
              </w:rPr>
              <w:t>6,074,038.00</w:t>
            </w:r>
          </w:p>
        </w:tc>
        <w:tc>
          <w:tcPr>
            <w:tcW w:w="32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pacing w:val="-1"/>
                <w:sz w:val="18"/>
              </w:rPr>
              <w:t>8,922,852.00</w:t>
            </w:r>
          </w:p>
        </w:tc>
      </w:tr>
      <w:tr>
        <w:trPr>
          <w:trHeight w:val="427" w:hRule="exact"/>
        </w:trPr>
        <w:tc>
          <w:tcPr>
            <w:tcW w:w="3745"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53"/>
              <w:ind w:left="4" w:right="0"/>
              <w:jc w:val="left"/>
              <w:rPr>
                <w:rFonts w:ascii="宋体" w:hAnsi="宋体" w:cs="宋体" w:eastAsia="宋体" w:hint="default"/>
                <w:sz w:val="18"/>
                <w:szCs w:val="18"/>
              </w:rPr>
            </w:pPr>
            <w:r>
              <w:rPr>
                <w:rFonts w:ascii="宋体" w:hAnsi="宋体" w:cs="宋体" w:eastAsia="宋体" w:hint="default"/>
                <w:sz w:val="18"/>
                <w:szCs w:val="18"/>
              </w:rPr>
              <w:t>货币资金</w:t>
            </w:r>
            <w:r>
              <w:rPr>
                <w:rFonts w:ascii="Times New Roman" w:hAnsi="Times New Roman" w:cs="Times New Roman" w:eastAsia="Times New Roman" w:hint="default"/>
                <w:sz w:val="18"/>
                <w:szCs w:val="18"/>
              </w:rPr>
              <w:t>-</w:t>
            </w:r>
            <w:r>
              <w:rPr>
                <w:rFonts w:ascii="宋体" w:hAnsi="宋体" w:cs="宋体" w:eastAsia="宋体" w:hint="default"/>
                <w:sz w:val="18"/>
                <w:szCs w:val="18"/>
              </w:rPr>
              <w:t>欧元</w:t>
            </w:r>
          </w:p>
        </w:tc>
        <w:tc>
          <w:tcPr>
            <w:tcW w:w="2525" w:type="dxa"/>
            <w:tcBorders>
              <w:top w:val="single" w:sz="8" w:space="0" w:color="000000"/>
              <w:left w:val="single" w:sz="6" w:space="0" w:color="000000"/>
              <w:bottom w:val="single" w:sz="8" w:space="0" w:color="000000"/>
              <w:right w:val="single" w:sz="4" w:space="0" w:color="000000"/>
            </w:tcBorders>
          </w:tcPr>
          <w:p>
            <w:pPr>
              <w:pStyle w:val="TableParagraph"/>
              <w:spacing w:line="240" w:lineRule="auto" w:before="96"/>
              <w:ind w:right="1"/>
              <w:jc w:val="right"/>
              <w:rPr>
                <w:rFonts w:ascii="Times New Roman" w:hAnsi="Times New Roman" w:cs="Times New Roman" w:eastAsia="Times New Roman" w:hint="default"/>
                <w:sz w:val="18"/>
                <w:szCs w:val="18"/>
              </w:rPr>
            </w:pPr>
            <w:r>
              <w:rPr>
                <w:rFonts w:ascii="Times New Roman"/>
                <w:spacing w:val="-2"/>
                <w:sz w:val="18"/>
              </w:rPr>
              <w:t>11.62</w:t>
            </w:r>
          </w:p>
        </w:tc>
        <w:tc>
          <w:tcPr>
            <w:tcW w:w="32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sz w:val="18"/>
              </w:rPr>
              <w:t>41.73</w:t>
            </w:r>
          </w:p>
        </w:tc>
      </w:tr>
      <w:tr>
        <w:trPr>
          <w:trHeight w:val="427" w:hRule="exact"/>
        </w:trPr>
        <w:tc>
          <w:tcPr>
            <w:tcW w:w="3745"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53"/>
              <w:ind w:left="4" w:right="0"/>
              <w:jc w:val="left"/>
              <w:rPr>
                <w:rFonts w:ascii="宋体" w:hAnsi="宋体" w:cs="宋体" w:eastAsia="宋体" w:hint="default"/>
                <w:sz w:val="18"/>
                <w:szCs w:val="18"/>
              </w:rPr>
            </w:pPr>
            <w:r>
              <w:rPr>
                <w:rFonts w:ascii="宋体" w:hAnsi="宋体" w:cs="宋体" w:eastAsia="宋体" w:hint="default"/>
                <w:sz w:val="18"/>
                <w:szCs w:val="18"/>
              </w:rPr>
              <w:t>货币资金</w:t>
            </w:r>
            <w:r>
              <w:rPr>
                <w:rFonts w:ascii="Times New Roman" w:hAnsi="Times New Roman" w:cs="Times New Roman" w:eastAsia="Times New Roman" w:hint="default"/>
                <w:sz w:val="18"/>
                <w:szCs w:val="18"/>
              </w:rPr>
              <w:t>-</w:t>
            </w:r>
            <w:r>
              <w:rPr>
                <w:rFonts w:ascii="宋体" w:hAnsi="宋体" w:cs="宋体" w:eastAsia="宋体" w:hint="default"/>
                <w:sz w:val="18"/>
                <w:szCs w:val="18"/>
              </w:rPr>
              <w:t>港币</w:t>
            </w:r>
          </w:p>
        </w:tc>
        <w:tc>
          <w:tcPr>
            <w:tcW w:w="2525" w:type="dxa"/>
            <w:tcBorders>
              <w:top w:val="single" w:sz="8" w:space="0" w:color="000000"/>
              <w:left w:val="single" w:sz="6" w:space="0" w:color="000000"/>
              <w:bottom w:val="single" w:sz="8" w:space="0" w:color="000000"/>
              <w:right w:val="single" w:sz="4" w:space="0" w:color="000000"/>
            </w:tcBorders>
          </w:tcPr>
          <w:p>
            <w:pPr>
              <w:pStyle w:val="TableParagraph"/>
              <w:spacing w:line="240" w:lineRule="auto" w:before="96"/>
              <w:ind w:right="2"/>
              <w:jc w:val="right"/>
              <w:rPr>
                <w:rFonts w:ascii="Times New Roman" w:hAnsi="Times New Roman" w:cs="Times New Roman" w:eastAsia="Times New Roman" w:hint="default"/>
                <w:sz w:val="18"/>
                <w:szCs w:val="18"/>
              </w:rPr>
            </w:pPr>
            <w:r>
              <w:rPr>
                <w:rFonts w:ascii="Times New Roman"/>
                <w:spacing w:val="-1"/>
                <w:sz w:val="18"/>
              </w:rPr>
              <w:t>203,238.03</w:t>
            </w:r>
          </w:p>
        </w:tc>
        <w:tc>
          <w:tcPr>
            <w:tcW w:w="32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
              <w:jc w:val="right"/>
              <w:rPr>
                <w:rFonts w:ascii="Times New Roman" w:hAnsi="Times New Roman" w:cs="Times New Roman" w:eastAsia="Times New Roman" w:hint="default"/>
                <w:sz w:val="18"/>
                <w:szCs w:val="18"/>
              </w:rPr>
            </w:pPr>
            <w:r>
              <w:rPr>
                <w:rFonts w:ascii="Times New Roman"/>
                <w:spacing w:val="-1"/>
                <w:sz w:val="18"/>
              </w:rPr>
              <w:t>284,603.46</w:t>
            </w:r>
          </w:p>
        </w:tc>
      </w:tr>
      <w:tr>
        <w:trPr>
          <w:trHeight w:val="427" w:hRule="exact"/>
        </w:trPr>
        <w:tc>
          <w:tcPr>
            <w:tcW w:w="3745"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53"/>
              <w:ind w:left="4" w:right="0"/>
              <w:jc w:val="left"/>
              <w:rPr>
                <w:rFonts w:ascii="宋体" w:hAnsi="宋体" w:cs="宋体" w:eastAsia="宋体" w:hint="default"/>
                <w:sz w:val="18"/>
                <w:szCs w:val="18"/>
              </w:rPr>
            </w:pPr>
            <w:r>
              <w:rPr>
                <w:rFonts w:ascii="宋体" w:hAnsi="宋体" w:cs="宋体" w:eastAsia="宋体" w:hint="default"/>
                <w:sz w:val="18"/>
                <w:szCs w:val="18"/>
              </w:rPr>
              <w:t>货币资金</w:t>
            </w:r>
            <w:r>
              <w:rPr>
                <w:rFonts w:ascii="Times New Roman" w:hAnsi="Times New Roman" w:cs="Times New Roman" w:eastAsia="Times New Roman" w:hint="default"/>
                <w:sz w:val="18"/>
                <w:szCs w:val="18"/>
              </w:rPr>
              <w:t>-</w:t>
            </w:r>
            <w:r>
              <w:rPr>
                <w:rFonts w:ascii="宋体" w:hAnsi="宋体" w:cs="宋体" w:eastAsia="宋体" w:hint="default"/>
                <w:sz w:val="18"/>
                <w:szCs w:val="18"/>
              </w:rPr>
              <w:t>新加坡元</w:t>
            </w:r>
          </w:p>
        </w:tc>
        <w:tc>
          <w:tcPr>
            <w:tcW w:w="2525" w:type="dxa"/>
            <w:tcBorders>
              <w:top w:val="single" w:sz="8" w:space="0" w:color="000000"/>
              <w:left w:val="single" w:sz="6" w:space="0" w:color="000000"/>
              <w:bottom w:val="single" w:sz="8" w:space="0" w:color="000000"/>
              <w:right w:val="single" w:sz="4" w:space="0" w:color="000000"/>
            </w:tcBorders>
          </w:tcPr>
          <w:p>
            <w:pPr>
              <w:pStyle w:val="TableParagraph"/>
              <w:spacing w:line="240" w:lineRule="auto" w:before="96"/>
              <w:ind w:right="2"/>
              <w:jc w:val="right"/>
              <w:rPr>
                <w:rFonts w:ascii="Times New Roman" w:hAnsi="Times New Roman" w:cs="Times New Roman" w:eastAsia="Times New Roman" w:hint="default"/>
                <w:sz w:val="18"/>
                <w:szCs w:val="18"/>
              </w:rPr>
            </w:pPr>
            <w:r>
              <w:rPr>
                <w:rFonts w:ascii="Times New Roman"/>
                <w:spacing w:val="-1"/>
                <w:sz w:val="18"/>
              </w:rPr>
              <w:t>0.00</w:t>
            </w:r>
          </w:p>
        </w:tc>
        <w:tc>
          <w:tcPr>
            <w:tcW w:w="32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
              <w:jc w:val="right"/>
              <w:rPr>
                <w:rFonts w:ascii="Times New Roman" w:hAnsi="Times New Roman" w:cs="Times New Roman" w:eastAsia="Times New Roman" w:hint="default"/>
                <w:sz w:val="18"/>
                <w:szCs w:val="18"/>
              </w:rPr>
            </w:pPr>
            <w:r>
              <w:rPr>
                <w:rFonts w:ascii="Times New Roman"/>
                <w:w w:val="95"/>
                <w:sz w:val="18"/>
              </w:rPr>
              <w:t>3,962.25</w:t>
            </w:r>
          </w:p>
        </w:tc>
      </w:tr>
      <w:tr>
        <w:trPr>
          <w:trHeight w:val="425" w:hRule="exact"/>
        </w:trPr>
        <w:tc>
          <w:tcPr>
            <w:tcW w:w="3745"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53"/>
              <w:ind w:left="4" w:right="0"/>
              <w:jc w:val="left"/>
              <w:rPr>
                <w:rFonts w:ascii="宋体" w:hAnsi="宋体" w:cs="宋体" w:eastAsia="宋体" w:hint="default"/>
                <w:sz w:val="18"/>
                <w:szCs w:val="18"/>
              </w:rPr>
            </w:pPr>
            <w:r>
              <w:rPr>
                <w:rFonts w:ascii="宋体" w:hAnsi="宋体" w:cs="宋体" w:eastAsia="宋体" w:hint="default"/>
                <w:sz w:val="18"/>
                <w:szCs w:val="18"/>
              </w:rPr>
              <w:t>应收账款</w:t>
            </w:r>
            <w:r>
              <w:rPr>
                <w:rFonts w:ascii="Times New Roman" w:hAnsi="Times New Roman" w:cs="Times New Roman" w:eastAsia="Times New Roman" w:hint="default"/>
                <w:sz w:val="18"/>
                <w:szCs w:val="18"/>
              </w:rPr>
              <w:t>-</w:t>
            </w:r>
            <w:r>
              <w:rPr>
                <w:rFonts w:ascii="宋体" w:hAnsi="宋体" w:cs="宋体" w:eastAsia="宋体" w:hint="default"/>
                <w:sz w:val="18"/>
                <w:szCs w:val="18"/>
              </w:rPr>
              <w:t>美元</w:t>
            </w:r>
          </w:p>
        </w:tc>
        <w:tc>
          <w:tcPr>
            <w:tcW w:w="2525" w:type="dxa"/>
            <w:tcBorders>
              <w:top w:val="single" w:sz="8" w:space="0" w:color="000000"/>
              <w:left w:val="single" w:sz="6" w:space="0" w:color="000000"/>
              <w:bottom w:val="single" w:sz="8" w:space="0" w:color="000000"/>
              <w:right w:val="single" w:sz="4" w:space="0" w:color="000000"/>
            </w:tcBorders>
          </w:tcPr>
          <w:p>
            <w:pPr>
              <w:pStyle w:val="TableParagraph"/>
              <w:spacing w:line="240" w:lineRule="auto" w:before="96"/>
              <w:ind w:right="3"/>
              <w:jc w:val="right"/>
              <w:rPr>
                <w:rFonts w:ascii="Times New Roman" w:hAnsi="Times New Roman" w:cs="Times New Roman" w:eastAsia="Times New Roman" w:hint="default"/>
                <w:sz w:val="18"/>
                <w:szCs w:val="18"/>
              </w:rPr>
            </w:pPr>
            <w:r>
              <w:rPr>
                <w:rFonts w:ascii="Times New Roman"/>
                <w:spacing w:val="-1"/>
                <w:sz w:val="18"/>
              </w:rPr>
              <w:t>22,731,838.25</w:t>
            </w:r>
          </w:p>
        </w:tc>
        <w:tc>
          <w:tcPr>
            <w:tcW w:w="32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
              <w:jc w:val="right"/>
              <w:rPr>
                <w:rFonts w:ascii="Times New Roman" w:hAnsi="Times New Roman" w:cs="Times New Roman" w:eastAsia="Times New Roman" w:hint="default"/>
                <w:sz w:val="18"/>
                <w:szCs w:val="18"/>
              </w:rPr>
            </w:pPr>
            <w:r>
              <w:rPr>
                <w:rFonts w:ascii="Times New Roman"/>
                <w:spacing w:val="-1"/>
                <w:sz w:val="18"/>
              </w:rPr>
              <w:t>26,515,283.75</w:t>
            </w:r>
          </w:p>
        </w:tc>
      </w:tr>
      <w:tr>
        <w:trPr>
          <w:trHeight w:val="427" w:hRule="exact"/>
        </w:trPr>
        <w:tc>
          <w:tcPr>
            <w:tcW w:w="3745"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56"/>
              <w:ind w:left="4" w:right="0"/>
              <w:jc w:val="left"/>
              <w:rPr>
                <w:rFonts w:ascii="宋体" w:hAnsi="宋体" w:cs="宋体" w:eastAsia="宋体" w:hint="default"/>
                <w:sz w:val="18"/>
                <w:szCs w:val="18"/>
              </w:rPr>
            </w:pPr>
            <w:r>
              <w:rPr>
                <w:rFonts w:ascii="宋体" w:hAnsi="宋体" w:cs="宋体" w:eastAsia="宋体" w:hint="default"/>
                <w:sz w:val="18"/>
                <w:szCs w:val="18"/>
              </w:rPr>
              <w:t>应收账款</w:t>
            </w:r>
            <w:r>
              <w:rPr>
                <w:rFonts w:ascii="Times New Roman" w:hAnsi="Times New Roman" w:cs="Times New Roman" w:eastAsia="Times New Roman" w:hint="default"/>
                <w:sz w:val="18"/>
                <w:szCs w:val="18"/>
              </w:rPr>
              <w:t>-</w:t>
            </w:r>
            <w:r>
              <w:rPr>
                <w:rFonts w:ascii="宋体" w:hAnsi="宋体" w:cs="宋体" w:eastAsia="宋体" w:hint="default"/>
                <w:sz w:val="18"/>
                <w:szCs w:val="18"/>
              </w:rPr>
              <w:t>欧元</w:t>
            </w:r>
          </w:p>
        </w:tc>
        <w:tc>
          <w:tcPr>
            <w:tcW w:w="2525" w:type="dxa"/>
            <w:tcBorders>
              <w:top w:val="single" w:sz="8" w:space="0" w:color="000000"/>
              <w:left w:val="single" w:sz="6" w:space="0" w:color="000000"/>
              <w:bottom w:val="single" w:sz="8" w:space="0" w:color="000000"/>
              <w:right w:val="single" w:sz="4" w:space="0" w:color="000000"/>
            </w:tcBorders>
          </w:tcPr>
          <w:p>
            <w:pPr>
              <w:pStyle w:val="TableParagraph"/>
              <w:spacing w:line="240" w:lineRule="auto" w:before="98"/>
              <w:ind w:right="2"/>
              <w:jc w:val="right"/>
              <w:rPr>
                <w:rFonts w:ascii="Times New Roman" w:hAnsi="Times New Roman" w:cs="Times New Roman" w:eastAsia="Times New Roman" w:hint="default"/>
                <w:sz w:val="18"/>
                <w:szCs w:val="18"/>
              </w:rPr>
            </w:pPr>
            <w:r>
              <w:rPr>
                <w:rFonts w:ascii="Times New Roman"/>
                <w:w w:val="95"/>
                <w:sz w:val="18"/>
              </w:rPr>
              <w:t>6,127.66</w:t>
            </w:r>
          </w:p>
        </w:tc>
        <w:tc>
          <w:tcPr>
            <w:tcW w:w="32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2"/>
              <w:jc w:val="right"/>
              <w:rPr>
                <w:rFonts w:ascii="Times New Roman" w:hAnsi="Times New Roman" w:cs="Times New Roman" w:eastAsia="Times New Roman" w:hint="default"/>
                <w:sz w:val="18"/>
                <w:szCs w:val="18"/>
              </w:rPr>
            </w:pPr>
            <w:r>
              <w:rPr>
                <w:rFonts w:ascii="Times New Roman"/>
                <w:spacing w:val="-1"/>
                <w:sz w:val="18"/>
              </w:rPr>
              <w:t>0.00</w:t>
            </w:r>
          </w:p>
        </w:tc>
      </w:tr>
      <w:tr>
        <w:trPr>
          <w:trHeight w:val="427" w:hRule="exact"/>
        </w:trPr>
        <w:tc>
          <w:tcPr>
            <w:tcW w:w="3745"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56"/>
              <w:ind w:left="4" w:right="0"/>
              <w:jc w:val="left"/>
              <w:rPr>
                <w:rFonts w:ascii="宋体" w:hAnsi="宋体" w:cs="宋体" w:eastAsia="宋体" w:hint="default"/>
                <w:sz w:val="18"/>
                <w:szCs w:val="18"/>
              </w:rPr>
            </w:pPr>
            <w:r>
              <w:rPr>
                <w:rFonts w:ascii="宋体" w:hAnsi="宋体" w:cs="宋体" w:eastAsia="宋体" w:hint="default"/>
                <w:sz w:val="18"/>
                <w:szCs w:val="18"/>
              </w:rPr>
              <w:t>应付账款</w:t>
            </w:r>
            <w:r>
              <w:rPr>
                <w:rFonts w:ascii="Times New Roman" w:hAnsi="Times New Roman" w:cs="Times New Roman" w:eastAsia="Times New Roman" w:hint="default"/>
                <w:sz w:val="18"/>
                <w:szCs w:val="18"/>
              </w:rPr>
              <w:t>-</w:t>
            </w:r>
            <w:r>
              <w:rPr>
                <w:rFonts w:ascii="宋体" w:hAnsi="宋体" w:cs="宋体" w:eastAsia="宋体" w:hint="default"/>
                <w:sz w:val="18"/>
                <w:szCs w:val="18"/>
              </w:rPr>
              <w:t>美元</w:t>
            </w:r>
          </w:p>
        </w:tc>
        <w:tc>
          <w:tcPr>
            <w:tcW w:w="2525" w:type="dxa"/>
            <w:tcBorders>
              <w:top w:val="single" w:sz="8" w:space="0" w:color="000000"/>
              <w:left w:val="single" w:sz="6" w:space="0" w:color="000000"/>
              <w:bottom w:val="single" w:sz="8" w:space="0" w:color="000000"/>
              <w:right w:val="single" w:sz="4" w:space="0" w:color="000000"/>
            </w:tcBorders>
          </w:tcPr>
          <w:p>
            <w:pPr>
              <w:pStyle w:val="TableParagraph"/>
              <w:spacing w:line="240" w:lineRule="auto" w:before="98"/>
              <w:ind w:right="3"/>
              <w:jc w:val="right"/>
              <w:rPr>
                <w:rFonts w:ascii="Times New Roman" w:hAnsi="Times New Roman" w:cs="Times New Roman" w:eastAsia="Times New Roman" w:hint="default"/>
                <w:sz w:val="18"/>
                <w:szCs w:val="18"/>
              </w:rPr>
            </w:pPr>
            <w:r>
              <w:rPr>
                <w:rFonts w:ascii="Times New Roman"/>
                <w:spacing w:val="-1"/>
                <w:sz w:val="18"/>
              </w:rPr>
              <w:t>8,384,510.51</w:t>
            </w:r>
          </w:p>
        </w:tc>
        <w:tc>
          <w:tcPr>
            <w:tcW w:w="32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2"/>
              <w:jc w:val="right"/>
              <w:rPr>
                <w:rFonts w:ascii="Times New Roman" w:hAnsi="Times New Roman" w:cs="Times New Roman" w:eastAsia="Times New Roman" w:hint="default"/>
                <w:sz w:val="18"/>
                <w:szCs w:val="18"/>
              </w:rPr>
            </w:pPr>
            <w:r>
              <w:rPr>
                <w:rFonts w:ascii="Times New Roman"/>
                <w:spacing w:val="-1"/>
                <w:sz w:val="18"/>
              </w:rPr>
              <w:t>6,968,528.97</w:t>
            </w:r>
          </w:p>
        </w:tc>
      </w:tr>
      <w:tr>
        <w:trPr>
          <w:trHeight w:val="430" w:hRule="exact"/>
        </w:trPr>
        <w:tc>
          <w:tcPr>
            <w:tcW w:w="3745"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56"/>
              <w:ind w:left="4" w:right="0"/>
              <w:jc w:val="left"/>
              <w:rPr>
                <w:rFonts w:ascii="宋体" w:hAnsi="宋体" w:cs="宋体" w:eastAsia="宋体" w:hint="default"/>
                <w:sz w:val="18"/>
                <w:szCs w:val="18"/>
              </w:rPr>
            </w:pPr>
            <w:r>
              <w:rPr>
                <w:rFonts w:ascii="宋体" w:hAnsi="宋体" w:cs="宋体" w:eastAsia="宋体" w:hint="default"/>
                <w:sz w:val="18"/>
                <w:szCs w:val="18"/>
              </w:rPr>
              <w:t>其他应付款</w:t>
            </w:r>
            <w:r>
              <w:rPr>
                <w:rFonts w:ascii="Times New Roman" w:hAnsi="Times New Roman" w:cs="Times New Roman" w:eastAsia="Times New Roman" w:hint="default"/>
                <w:sz w:val="18"/>
                <w:szCs w:val="18"/>
              </w:rPr>
              <w:t>-</w:t>
            </w:r>
            <w:r>
              <w:rPr>
                <w:rFonts w:ascii="宋体" w:hAnsi="宋体" w:cs="宋体" w:eastAsia="宋体" w:hint="default"/>
                <w:sz w:val="18"/>
                <w:szCs w:val="18"/>
              </w:rPr>
              <w:t>美元</w:t>
            </w:r>
          </w:p>
        </w:tc>
        <w:tc>
          <w:tcPr>
            <w:tcW w:w="2525" w:type="dxa"/>
            <w:tcBorders>
              <w:top w:val="single" w:sz="8" w:space="0" w:color="000000"/>
              <w:left w:val="single" w:sz="6" w:space="0" w:color="000000"/>
              <w:bottom w:val="single" w:sz="8" w:space="0" w:color="000000"/>
              <w:right w:val="single" w:sz="4" w:space="0" w:color="000000"/>
            </w:tcBorders>
          </w:tcPr>
          <w:p>
            <w:pPr>
              <w:pStyle w:val="TableParagraph"/>
              <w:spacing w:line="240" w:lineRule="auto" w:before="98"/>
              <w:ind w:right="2"/>
              <w:jc w:val="right"/>
              <w:rPr>
                <w:rFonts w:ascii="Times New Roman" w:hAnsi="Times New Roman" w:cs="Times New Roman" w:eastAsia="Times New Roman" w:hint="default"/>
                <w:sz w:val="18"/>
                <w:szCs w:val="18"/>
              </w:rPr>
            </w:pPr>
            <w:r>
              <w:rPr>
                <w:rFonts w:ascii="Times New Roman"/>
                <w:spacing w:val="-1"/>
                <w:sz w:val="18"/>
              </w:rPr>
              <w:t>580,469.17</w:t>
            </w:r>
          </w:p>
        </w:tc>
        <w:tc>
          <w:tcPr>
            <w:tcW w:w="32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2"/>
              <w:jc w:val="right"/>
              <w:rPr>
                <w:rFonts w:ascii="Times New Roman" w:hAnsi="Times New Roman" w:cs="Times New Roman" w:eastAsia="Times New Roman" w:hint="default"/>
                <w:sz w:val="18"/>
                <w:szCs w:val="18"/>
              </w:rPr>
            </w:pPr>
            <w:r>
              <w:rPr>
                <w:rFonts w:ascii="Times New Roman"/>
                <w:spacing w:val="-1"/>
                <w:sz w:val="18"/>
              </w:rPr>
              <w:t>1,527,810.19</w:t>
            </w:r>
          </w:p>
        </w:tc>
      </w:tr>
    </w:tbl>
    <w:p>
      <w:pPr>
        <w:spacing w:line="240" w:lineRule="auto" w:before="3"/>
        <w:rPr>
          <w:rFonts w:ascii="宋体" w:hAnsi="宋体" w:cs="宋体" w:eastAsia="宋体" w:hint="default"/>
          <w:sz w:val="7"/>
          <w:szCs w:val="7"/>
        </w:rPr>
      </w:pPr>
    </w:p>
    <w:p>
      <w:pPr>
        <w:pStyle w:val="BodyText"/>
        <w:spacing w:line="240" w:lineRule="auto" w:before="44"/>
        <w:ind w:left="592" w:right="982"/>
        <w:jc w:val="left"/>
      </w:pPr>
      <w:r>
        <w:rPr/>
        <w:t>本集团密切关注汇率变动对本集团的影响。</w:t>
      </w:r>
    </w:p>
    <w:p>
      <w:pPr>
        <w:pStyle w:val="BodyText"/>
        <w:spacing w:line="420" w:lineRule="atLeast" w:before="25"/>
        <w:ind w:left="592" w:right="1134"/>
        <w:jc w:val="left"/>
      </w:pPr>
      <w:r>
        <w:rPr>
          <w:rFonts w:ascii="Times New Roman" w:hAnsi="Times New Roman" w:cs="Times New Roman" w:eastAsia="Times New Roman" w:hint="default"/>
        </w:rPr>
        <w:t>2</w:t>
      </w:r>
      <w:r>
        <w:rPr/>
        <w:t>）价格风险 本集团以市场价格提供导航、车联网、芯片、高级辅助驾驶及自动驾驶、企业及行业应用等产品及服务，因此受到此</w:t>
      </w:r>
    </w:p>
    <w:p>
      <w:pPr>
        <w:pStyle w:val="BodyText"/>
        <w:spacing w:line="240" w:lineRule="auto" w:before="76"/>
        <w:ind w:right="982"/>
        <w:jc w:val="left"/>
      </w:pPr>
      <w:r>
        <w:rPr/>
        <w:t>种价格波动的影响。</w:t>
      </w:r>
    </w:p>
    <w:p>
      <w:pPr>
        <w:pStyle w:val="BodyText"/>
        <w:spacing w:line="430" w:lineRule="atLeast" w:before="15"/>
        <w:ind w:left="592" w:right="982"/>
        <w:jc w:val="left"/>
      </w:pPr>
      <w:r>
        <w:rPr/>
        <w:t>（</w:t>
      </w:r>
      <w:r>
        <w:rPr>
          <w:rFonts w:ascii="Times New Roman" w:hAnsi="Times New Roman" w:cs="Times New Roman" w:eastAsia="Times New Roman" w:hint="default"/>
        </w:rPr>
        <w:t>2</w:t>
      </w:r>
      <w:r>
        <w:rPr/>
        <w:t>）信用风险 信用风险是指金融工具的一方不履行义务，造成另一方发生财务损失的风险。于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日，可能引起本集团财</w:t>
      </w:r>
    </w:p>
    <w:p>
      <w:pPr>
        <w:pStyle w:val="BodyText"/>
        <w:spacing w:line="316" w:lineRule="auto" w:before="63"/>
        <w:ind w:right="982"/>
        <w:jc w:val="left"/>
      </w:pPr>
      <w:r>
        <w:rPr/>
        <w:t>务损失的最大信用风险敞口主要来自于合同另一方未能履行义务而导致本集团金融资产产生的损失以及本集团承担的财务</w:t>
      </w:r>
      <w:r>
        <w:rPr>
          <w:spacing w:val="-11"/>
        </w:rPr>
        <w:t> </w:t>
      </w:r>
      <w:r>
        <w:rPr>
          <w:spacing w:val="-11"/>
        </w:rPr>
      </w:r>
      <w:r>
        <w:rPr/>
        <w:t>担保，具体包括：</w:t>
      </w:r>
    </w:p>
    <w:p>
      <w:pPr>
        <w:spacing w:after="0" w:line="316" w:lineRule="auto"/>
        <w:jc w:val="left"/>
        <w:sectPr>
          <w:pgSz w:w="11910" w:h="16840"/>
          <w:pgMar w:header="745" w:footer="979" w:top="1060" w:bottom="1160" w:left="980" w:right="0"/>
        </w:sectPr>
      </w:pPr>
    </w:p>
    <w:p>
      <w:pPr>
        <w:spacing w:line="240" w:lineRule="auto" w:before="9"/>
        <w:rPr>
          <w:rFonts w:ascii="宋体" w:hAnsi="宋体" w:cs="宋体" w:eastAsia="宋体" w:hint="default"/>
          <w:sz w:val="25"/>
          <w:szCs w:val="25"/>
        </w:rPr>
      </w:pPr>
    </w:p>
    <w:p>
      <w:pPr>
        <w:pStyle w:val="BodyText"/>
        <w:spacing w:line="319" w:lineRule="auto" w:before="44"/>
        <w:ind w:right="1136" w:firstLine="439"/>
        <w:jc w:val="both"/>
      </w:pPr>
      <w:r>
        <w:rPr>
          <w:spacing w:val="-4"/>
        </w:rPr>
        <w:t>合并资产负债表中已确认的金融资产的账面金额；对于以公允价值计量的金融工具而言，账面价值反映了其风险敞口，</w:t>
      </w:r>
      <w:r>
        <w:rPr/>
        <w:t> 但并非最大风险敞口，其最大风险敞口将随着未来公允价值的变化而改变。</w:t>
      </w:r>
    </w:p>
    <w:p>
      <w:pPr>
        <w:pStyle w:val="BodyText"/>
        <w:spacing w:line="316" w:lineRule="auto" w:before="137"/>
        <w:ind w:right="1133" w:firstLine="439"/>
        <w:jc w:val="both"/>
      </w:pPr>
      <w:r>
        <w:rPr/>
        <w:t>为降低信用风险，本集团成立专门部门确定信用额度、进行信用审批，并执行其它监控程序以确保采取必要的措施回 </w:t>
      </w:r>
      <w:r>
        <w:rPr>
          <w:spacing w:val="-2"/>
        </w:rPr>
        <w:t>收过期债权。此外，本集团于每个资产负债表日审核每一单项应收款的回收情况，以确保就无法回收的款项计提充分的坏账</w:t>
      </w:r>
      <w:r>
        <w:rPr>
          <w:spacing w:val="-66"/>
        </w:rPr>
        <w:t> </w:t>
      </w:r>
      <w:r>
        <w:rPr>
          <w:spacing w:val="-66"/>
        </w:rPr>
      </w:r>
      <w:r>
        <w:rPr/>
        <w:t>准备。因此，本集团管理层认为本集团所承担的信用风险已经大为降低。</w:t>
      </w:r>
    </w:p>
    <w:p>
      <w:pPr>
        <w:pStyle w:val="BodyText"/>
        <w:spacing w:line="432" w:lineRule="exact" w:before="3"/>
        <w:ind w:left="592" w:right="1134"/>
        <w:jc w:val="left"/>
      </w:pPr>
      <w:r>
        <w:rPr/>
        <w:t>本集团的流动资金存放在信用评级较高的银行，故流动资金的信用风险较低。 本集团采用了必要的政策确保所有销售客户均具有良好的信用记录。除应收账款金额前五名外，本集团无其他重大信</w:t>
      </w:r>
    </w:p>
    <w:p>
      <w:pPr>
        <w:pStyle w:val="BodyText"/>
        <w:spacing w:line="240" w:lineRule="auto" w:before="15"/>
        <w:ind w:right="982"/>
        <w:jc w:val="left"/>
      </w:pPr>
      <w:r>
        <w:rPr/>
        <w:t>用集中风险。</w:t>
      </w:r>
    </w:p>
    <w:p>
      <w:pPr>
        <w:spacing w:line="240" w:lineRule="auto" w:before="0"/>
        <w:rPr>
          <w:rFonts w:ascii="宋体" w:hAnsi="宋体" w:cs="宋体" w:eastAsia="宋体" w:hint="default"/>
          <w:sz w:val="15"/>
          <w:szCs w:val="15"/>
        </w:rPr>
      </w:pPr>
    </w:p>
    <w:p>
      <w:pPr>
        <w:pStyle w:val="BodyText"/>
        <w:spacing w:line="240" w:lineRule="auto"/>
        <w:ind w:left="592" w:right="982"/>
        <w:jc w:val="left"/>
      </w:pPr>
      <w:r>
        <w:rPr/>
        <w:t>应收账款前五名金额合计：</w:t>
      </w:r>
      <w:r>
        <w:rPr>
          <w:rFonts w:ascii="Times New Roman" w:hAnsi="Times New Roman" w:cs="Times New Roman" w:eastAsia="Times New Roman" w:hint="default"/>
        </w:rPr>
        <w:t>183,332,666.92</w:t>
      </w:r>
      <w:r>
        <w:rPr>
          <w:rFonts w:ascii="Times New Roman" w:hAnsi="Times New Roman" w:cs="Times New Roman" w:eastAsia="Times New Roman" w:hint="default"/>
          <w:spacing w:val="24"/>
        </w:rPr>
        <w:t> </w:t>
      </w:r>
      <w:r>
        <w:rPr/>
        <w:t>元。</w:t>
      </w:r>
    </w:p>
    <w:p>
      <w:pPr>
        <w:pStyle w:val="BodyText"/>
        <w:spacing w:line="420" w:lineRule="atLeast" w:before="12"/>
        <w:ind w:left="592" w:right="1134"/>
        <w:jc w:val="left"/>
      </w:pPr>
      <w:r>
        <w:rPr/>
        <w:t>（</w:t>
      </w:r>
      <w:r>
        <w:rPr>
          <w:rFonts w:ascii="Times New Roman" w:hAnsi="Times New Roman" w:cs="Times New Roman" w:eastAsia="Times New Roman" w:hint="default"/>
        </w:rPr>
        <w:t>3</w:t>
      </w:r>
      <w:r>
        <w:rPr/>
        <w:t>）流动风险 流动风险，是指公司在履行以交付现金或其他金融资产的方式结算的义务时发生资金短缺的风险。本公司的政策是确</w:t>
      </w:r>
    </w:p>
    <w:p>
      <w:pPr>
        <w:pStyle w:val="BodyText"/>
        <w:spacing w:line="316" w:lineRule="auto" w:before="76"/>
        <w:ind w:right="982"/>
        <w:jc w:val="left"/>
      </w:pPr>
      <w:r>
        <w:rPr>
          <w:spacing w:val="-2"/>
        </w:rPr>
        <w:t>保拥有充足的现金以偿还到期债务。流动性风险由本公司的财务部门集中控制。财务部门通过监控现金余额、可随时变现的</w:t>
      </w:r>
      <w:r>
        <w:rPr>
          <w:spacing w:val="-63"/>
        </w:rPr>
        <w:t> </w:t>
      </w:r>
      <w:r>
        <w:rPr>
          <w:spacing w:val="-63"/>
        </w:rPr>
      </w:r>
      <w:r>
        <w:rPr/>
        <w:t>有价证券以及对未来</w:t>
      </w:r>
      <w:r>
        <w:rPr>
          <w:rFonts w:ascii="Times New Roman" w:hAnsi="Times New Roman" w:cs="Times New Roman" w:eastAsia="Times New Roman" w:hint="default"/>
        </w:rPr>
        <w:t>12</w:t>
      </w:r>
      <w:r>
        <w:rPr/>
        <w:t>个月现金流量的滚动预测，确保公司在所有合理预测的情况下拥有充足的资金偿还债务。</w:t>
      </w:r>
    </w:p>
    <w:p>
      <w:pPr>
        <w:pStyle w:val="BodyText"/>
        <w:spacing w:line="316" w:lineRule="auto" w:before="119"/>
        <w:ind w:right="1136" w:firstLine="439"/>
        <w:jc w:val="both"/>
      </w:pPr>
      <w:r>
        <w:rPr/>
        <w:t>本集团管理流动性风险的方法是确保有足够的资金流动性来履行到期债务，而不至于造成不可接受的损失或对企业信 誉造成损害。本集团定期分析负债结构和期限，以确保有充裕的资金。</w:t>
      </w:r>
    </w:p>
    <w:p>
      <w:pPr>
        <w:pStyle w:val="BodyText"/>
        <w:spacing w:line="240" w:lineRule="auto" w:before="139"/>
        <w:ind w:left="592" w:right="982"/>
        <w:jc w:val="left"/>
      </w:pPr>
      <w:r>
        <w:rPr/>
        <w:t>本集团持有的金融资产和金融负债按未折现剩余合同义务的到期期限分析如下：</w:t>
      </w:r>
    </w:p>
    <w:p>
      <w:pPr>
        <w:spacing w:line="240" w:lineRule="auto" w:before="7"/>
        <w:rPr>
          <w:rFonts w:ascii="宋体" w:hAnsi="宋体" w:cs="宋体" w:eastAsia="宋体" w:hint="default"/>
          <w:sz w:val="13"/>
          <w:szCs w:val="13"/>
        </w:rPr>
      </w:pPr>
    </w:p>
    <w:p>
      <w:pPr>
        <w:pStyle w:val="BodyText"/>
        <w:spacing w:line="240" w:lineRule="auto"/>
        <w:ind w:right="982"/>
        <w:jc w:val="left"/>
      </w:pP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日金额：</w:t>
      </w:r>
    </w:p>
    <w:p>
      <w:pPr>
        <w:spacing w:line="240" w:lineRule="auto" w:before="8"/>
        <w:rPr>
          <w:rFonts w:ascii="宋体" w:hAnsi="宋体" w:cs="宋体" w:eastAsia="宋体" w:hint="default"/>
          <w:sz w:val="14"/>
          <w:szCs w:val="14"/>
        </w:rPr>
      </w:pPr>
    </w:p>
    <w:tbl>
      <w:tblPr>
        <w:tblW w:w="0" w:type="auto"/>
        <w:jc w:val="left"/>
        <w:tblInd w:w="145" w:type="dxa"/>
        <w:tblLayout w:type="fixed"/>
        <w:tblCellMar>
          <w:top w:w="0" w:type="dxa"/>
          <w:left w:w="0" w:type="dxa"/>
          <w:bottom w:w="0" w:type="dxa"/>
          <w:right w:w="0" w:type="dxa"/>
        </w:tblCellMar>
        <w:tblLook w:val="01E0"/>
      </w:tblPr>
      <w:tblGrid>
        <w:gridCol w:w="2410"/>
        <w:gridCol w:w="1445"/>
        <w:gridCol w:w="1447"/>
        <w:gridCol w:w="1445"/>
        <w:gridCol w:w="1448"/>
        <w:gridCol w:w="1445"/>
      </w:tblGrid>
      <w:tr>
        <w:trPr>
          <w:trHeight w:val="412" w:hRule="exact"/>
        </w:trPr>
        <w:tc>
          <w:tcPr>
            <w:tcW w:w="2410" w:type="dxa"/>
            <w:tcBorders>
              <w:top w:val="single" w:sz="6" w:space="0" w:color="000000"/>
              <w:left w:val="single" w:sz="6" w:space="0" w:color="000000"/>
              <w:bottom w:val="single" w:sz="8" w:space="0" w:color="000000"/>
              <w:right w:val="single" w:sz="6" w:space="0" w:color="000000"/>
            </w:tcBorders>
            <w:shd w:val="clear" w:color="auto" w:fill="D9D9D9"/>
          </w:tcPr>
          <w:p>
            <w:pPr>
              <w:pStyle w:val="TableParagraph"/>
              <w:spacing w:line="240" w:lineRule="auto" w:before="41"/>
              <w:ind w:left="5"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445" w:type="dxa"/>
            <w:tcBorders>
              <w:top w:val="single" w:sz="6" w:space="0" w:color="000000"/>
              <w:left w:val="single" w:sz="6" w:space="0" w:color="000000"/>
              <w:bottom w:val="single" w:sz="8" w:space="0" w:color="000000"/>
              <w:right w:val="single" w:sz="6" w:space="0" w:color="000000"/>
            </w:tcBorders>
            <w:shd w:val="clear" w:color="auto" w:fill="D9D9D9"/>
          </w:tcPr>
          <w:p>
            <w:pPr>
              <w:pStyle w:val="TableParagraph"/>
              <w:spacing w:line="240" w:lineRule="auto" w:before="41"/>
              <w:ind w:left="357" w:right="0"/>
              <w:jc w:val="left"/>
              <w:rPr>
                <w:rFonts w:ascii="宋体" w:hAnsi="宋体" w:cs="宋体" w:eastAsia="宋体" w:hint="default"/>
                <w:sz w:val="18"/>
                <w:szCs w:val="18"/>
              </w:rPr>
            </w:pPr>
            <w:r>
              <w:rPr>
                <w:rFonts w:ascii="宋体" w:hAnsi="宋体" w:cs="宋体" w:eastAsia="宋体" w:hint="default"/>
                <w:sz w:val="18"/>
                <w:szCs w:val="18"/>
              </w:rPr>
              <w:t>一年以内</w:t>
            </w:r>
          </w:p>
        </w:tc>
        <w:tc>
          <w:tcPr>
            <w:tcW w:w="1447" w:type="dxa"/>
            <w:tcBorders>
              <w:top w:val="single" w:sz="6" w:space="0" w:color="000000"/>
              <w:left w:val="single" w:sz="6" w:space="0" w:color="000000"/>
              <w:bottom w:val="single" w:sz="8" w:space="0" w:color="000000"/>
              <w:right w:val="single" w:sz="6" w:space="0" w:color="000000"/>
            </w:tcBorders>
            <w:shd w:val="clear" w:color="auto" w:fill="D9D9D9"/>
          </w:tcPr>
          <w:p>
            <w:pPr>
              <w:pStyle w:val="TableParagraph"/>
              <w:spacing w:line="240" w:lineRule="auto" w:before="41"/>
              <w:ind w:left="357" w:right="0"/>
              <w:jc w:val="left"/>
              <w:rPr>
                <w:rFonts w:ascii="宋体" w:hAnsi="宋体" w:cs="宋体" w:eastAsia="宋体" w:hint="default"/>
                <w:sz w:val="18"/>
                <w:szCs w:val="18"/>
              </w:rPr>
            </w:pPr>
            <w:r>
              <w:rPr>
                <w:rFonts w:ascii="宋体" w:hAnsi="宋体" w:cs="宋体" w:eastAsia="宋体" w:hint="default"/>
                <w:sz w:val="18"/>
                <w:szCs w:val="18"/>
              </w:rPr>
              <w:t>一到二年</w:t>
            </w:r>
          </w:p>
        </w:tc>
        <w:tc>
          <w:tcPr>
            <w:tcW w:w="1445" w:type="dxa"/>
            <w:tcBorders>
              <w:top w:val="single" w:sz="6" w:space="0" w:color="000000"/>
              <w:left w:val="single" w:sz="6" w:space="0" w:color="000000"/>
              <w:bottom w:val="single" w:sz="8" w:space="0" w:color="000000"/>
              <w:right w:val="single" w:sz="6" w:space="0" w:color="000000"/>
            </w:tcBorders>
            <w:shd w:val="clear" w:color="auto" w:fill="D9D9D9"/>
          </w:tcPr>
          <w:p>
            <w:pPr>
              <w:pStyle w:val="TableParagraph"/>
              <w:spacing w:line="240" w:lineRule="auto" w:before="41"/>
              <w:ind w:left="355" w:right="0"/>
              <w:jc w:val="left"/>
              <w:rPr>
                <w:rFonts w:ascii="宋体" w:hAnsi="宋体" w:cs="宋体" w:eastAsia="宋体" w:hint="default"/>
                <w:sz w:val="18"/>
                <w:szCs w:val="18"/>
              </w:rPr>
            </w:pPr>
            <w:r>
              <w:rPr>
                <w:rFonts w:ascii="宋体" w:hAnsi="宋体" w:cs="宋体" w:eastAsia="宋体" w:hint="default"/>
                <w:sz w:val="18"/>
                <w:szCs w:val="18"/>
              </w:rPr>
              <w:t>二到五年</w:t>
            </w:r>
          </w:p>
        </w:tc>
        <w:tc>
          <w:tcPr>
            <w:tcW w:w="1448" w:type="dxa"/>
            <w:tcBorders>
              <w:top w:val="single" w:sz="6" w:space="0" w:color="000000"/>
              <w:left w:val="single" w:sz="6" w:space="0" w:color="000000"/>
              <w:bottom w:val="single" w:sz="8" w:space="0" w:color="000000"/>
              <w:right w:val="single" w:sz="4" w:space="0" w:color="000000"/>
            </w:tcBorders>
            <w:shd w:val="clear" w:color="auto" w:fill="D9D9D9"/>
          </w:tcPr>
          <w:p>
            <w:pPr>
              <w:pStyle w:val="TableParagraph"/>
              <w:spacing w:line="240" w:lineRule="auto" w:before="41"/>
              <w:ind w:left="357" w:right="0"/>
              <w:jc w:val="left"/>
              <w:rPr>
                <w:rFonts w:ascii="宋体" w:hAnsi="宋体" w:cs="宋体" w:eastAsia="宋体" w:hint="default"/>
                <w:sz w:val="18"/>
                <w:szCs w:val="18"/>
              </w:rPr>
            </w:pPr>
            <w:r>
              <w:rPr>
                <w:rFonts w:ascii="宋体" w:hAnsi="宋体" w:cs="宋体" w:eastAsia="宋体" w:hint="default"/>
                <w:sz w:val="18"/>
                <w:szCs w:val="18"/>
              </w:rPr>
              <w:t>五年以上</w:t>
            </w:r>
          </w:p>
        </w:tc>
        <w:tc>
          <w:tcPr>
            <w:tcW w:w="144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26" w:hRule="exact"/>
        </w:trPr>
        <w:tc>
          <w:tcPr>
            <w:tcW w:w="2410" w:type="dxa"/>
            <w:tcBorders>
              <w:top w:val="single" w:sz="12" w:space="0" w:color="000000"/>
              <w:left w:val="single" w:sz="6" w:space="0" w:color="000000"/>
              <w:bottom w:val="single" w:sz="8" w:space="0" w:color="000000"/>
              <w:right w:val="single" w:sz="6" w:space="0" w:color="000000"/>
            </w:tcBorders>
          </w:tcPr>
          <w:p>
            <w:pPr>
              <w:pStyle w:val="TableParagraph"/>
              <w:spacing w:line="240" w:lineRule="auto" w:before="49"/>
              <w:ind w:left="4" w:right="0"/>
              <w:jc w:val="left"/>
              <w:rPr>
                <w:rFonts w:ascii="宋体" w:hAnsi="宋体" w:cs="宋体" w:eastAsia="宋体" w:hint="default"/>
                <w:sz w:val="18"/>
                <w:szCs w:val="18"/>
              </w:rPr>
            </w:pPr>
            <w:r>
              <w:rPr>
                <w:rFonts w:ascii="宋体" w:hAnsi="宋体" w:cs="宋体" w:eastAsia="宋体" w:hint="default"/>
                <w:sz w:val="18"/>
                <w:szCs w:val="18"/>
              </w:rPr>
              <w:t>金融资产</w:t>
            </w:r>
          </w:p>
        </w:tc>
        <w:tc>
          <w:tcPr>
            <w:tcW w:w="1445" w:type="dxa"/>
            <w:tcBorders>
              <w:top w:val="single" w:sz="8" w:space="0" w:color="000000"/>
              <w:left w:val="single" w:sz="6" w:space="0" w:color="000000"/>
              <w:bottom w:val="single" w:sz="8" w:space="0" w:color="000000"/>
              <w:right w:val="single" w:sz="6" w:space="0" w:color="000000"/>
            </w:tcBorders>
          </w:tcPr>
          <w:p>
            <w:pPr/>
          </w:p>
        </w:tc>
        <w:tc>
          <w:tcPr>
            <w:tcW w:w="1447" w:type="dxa"/>
            <w:tcBorders>
              <w:top w:val="single" w:sz="8" w:space="0" w:color="000000"/>
              <w:left w:val="single" w:sz="6" w:space="0" w:color="000000"/>
              <w:bottom w:val="single" w:sz="8" w:space="0" w:color="000000"/>
              <w:right w:val="single" w:sz="6" w:space="0" w:color="000000"/>
            </w:tcBorders>
          </w:tcPr>
          <w:p>
            <w:pPr/>
          </w:p>
        </w:tc>
        <w:tc>
          <w:tcPr>
            <w:tcW w:w="1445" w:type="dxa"/>
            <w:tcBorders>
              <w:top w:val="single" w:sz="8" w:space="0" w:color="000000"/>
              <w:left w:val="single" w:sz="6" w:space="0" w:color="000000"/>
              <w:bottom w:val="single" w:sz="8" w:space="0" w:color="000000"/>
              <w:right w:val="single" w:sz="6" w:space="0" w:color="000000"/>
            </w:tcBorders>
          </w:tcPr>
          <w:p>
            <w:pPr/>
          </w:p>
        </w:tc>
        <w:tc>
          <w:tcPr>
            <w:tcW w:w="1448" w:type="dxa"/>
            <w:tcBorders>
              <w:top w:val="single" w:sz="8" w:space="0" w:color="000000"/>
              <w:left w:val="single" w:sz="6" w:space="0" w:color="000000"/>
              <w:bottom w:val="single" w:sz="8" w:space="0" w:color="000000"/>
              <w:right w:val="single" w:sz="4" w:space="0" w:color="000000"/>
            </w:tcBorders>
          </w:tcPr>
          <w:p>
            <w:pPr/>
          </w:p>
        </w:tc>
        <w:tc>
          <w:tcPr>
            <w:tcW w:w="1445" w:type="dxa"/>
            <w:tcBorders>
              <w:top w:val="single" w:sz="4" w:space="0" w:color="000000"/>
              <w:left w:val="single" w:sz="4" w:space="0" w:color="000000"/>
              <w:bottom w:val="single" w:sz="4" w:space="0" w:color="000000"/>
              <w:right w:val="single" w:sz="4" w:space="0" w:color="000000"/>
            </w:tcBorders>
          </w:tcPr>
          <w:p>
            <w:pPr/>
          </w:p>
        </w:tc>
      </w:tr>
      <w:tr>
        <w:trPr>
          <w:trHeight w:val="427" w:hRule="exact"/>
        </w:trPr>
        <w:tc>
          <w:tcPr>
            <w:tcW w:w="2410"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56"/>
              <w:ind w:left="4"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445"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98"/>
              <w:ind w:right="0"/>
              <w:jc w:val="right"/>
              <w:rPr>
                <w:rFonts w:ascii="Times New Roman" w:hAnsi="Times New Roman" w:cs="Times New Roman" w:eastAsia="Times New Roman" w:hint="default"/>
                <w:sz w:val="18"/>
                <w:szCs w:val="18"/>
              </w:rPr>
            </w:pPr>
            <w:r>
              <w:rPr>
                <w:rFonts w:ascii="Times New Roman"/>
                <w:spacing w:val="-1"/>
                <w:sz w:val="18"/>
              </w:rPr>
              <w:t>2,304,457,914.01</w:t>
            </w:r>
          </w:p>
        </w:tc>
        <w:tc>
          <w:tcPr>
            <w:tcW w:w="1447"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98"/>
              <w:ind w:right="1"/>
              <w:jc w:val="right"/>
              <w:rPr>
                <w:rFonts w:ascii="Times New Roman" w:hAnsi="Times New Roman" w:cs="Times New Roman" w:eastAsia="Times New Roman" w:hint="default"/>
                <w:sz w:val="18"/>
                <w:szCs w:val="18"/>
              </w:rPr>
            </w:pPr>
            <w:r>
              <w:rPr>
                <w:rFonts w:ascii="Times New Roman"/>
                <w:spacing w:val="-1"/>
                <w:sz w:val="18"/>
              </w:rPr>
              <w:t>0.00</w:t>
            </w:r>
          </w:p>
        </w:tc>
        <w:tc>
          <w:tcPr>
            <w:tcW w:w="1445"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98"/>
              <w:ind w:right="1"/>
              <w:jc w:val="right"/>
              <w:rPr>
                <w:rFonts w:ascii="Times New Roman" w:hAnsi="Times New Roman" w:cs="Times New Roman" w:eastAsia="Times New Roman" w:hint="default"/>
                <w:sz w:val="18"/>
                <w:szCs w:val="18"/>
              </w:rPr>
            </w:pPr>
            <w:r>
              <w:rPr>
                <w:rFonts w:ascii="Times New Roman"/>
                <w:spacing w:val="-1"/>
                <w:sz w:val="18"/>
              </w:rPr>
              <w:t>0.00</w:t>
            </w:r>
          </w:p>
        </w:tc>
        <w:tc>
          <w:tcPr>
            <w:tcW w:w="1448" w:type="dxa"/>
            <w:tcBorders>
              <w:top w:val="single" w:sz="8" w:space="0" w:color="000000"/>
              <w:left w:val="single" w:sz="6" w:space="0" w:color="000000"/>
              <w:bottom w:val="single" w:sz="8" w:space="0" w:color="000000"/>
              <w:right w:val="single" w:sz="4" w:space="0" w:color="000000"/>
            </w:tcBorders>
          </w:tcPr>
          <w:p>
            <w:pPr>
              <w:pStyle w:val="TableParagraph"/>
              <w:spacing w:line="240" w:lineRule="auto" w:before="98"/>
              <w:ind w:right="2"/>
              <w:jc w:val="right"/>
              <w:rPr>
                <w:rFonts w:ascii="Times New Roman" w:hAnsi="Times New Roman" w:cs="Times New Roman" w:eastAsia="Times New Roman" w:hint="default"/>
                <w:sz w:val="18"/>
                <w:szCs w:val="18"/>
              </w:rPr>
            </w:pPr>
            <w:r>
              <w:rPr>
                <w:rFonts w:ascii="Times New Roman"/>
                <w:spacing w:val="-1"/>
                <w:sz w:val="18"/>
              </w:rPr>
              <w:t>0.00</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3"/>
              <w:jc w:val="right"/>
              <w:rPr>
                <w:rFonts w:ascii="Times New Roman" w:hAnsi="Times New Roman" w:cs="Times New Roman" w:eastAsia="Times New Roman" w:hint="default"/>
                <w:sz w:val="18"/>
                <w:szCs w:val="18"/>
              </w:rPr>
            </w:pPr>
            <w:r>
              <w:rPr>
                <w:rFonts w:ascii="Times New Roman"/>
                <w:spacing w:val="-1"/>
                <w:sz w:val="18"/>
              </w:rPr>
              <w:t>2,304,457,914.01</w:t>
            </w:r>
          </w:p>
        </w:tc>
      </w:tr>
      <w:tr>
        <w:trPr>
          <w:trHeight w:val="427" w:hRule="exact"/>
        </w:trPr>
        <w:tc>
          <w:tcPr>
            <w:tcW w:w="2410"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56"/>
              <w:ind w:left="4" w:right="0"/>
              <w:jc w:val="left"/>
              <w:rPr>
                <w:rFonts w:ascii="宋体" w:hAnsi="宋体" w:cs="宋体" w:eastAsia="宋体" w:hint="default"/>
                <w:sz w:val="18"/>
                <w:szCs w:val="18"/>
              </w:rPr>
            </w:pPr>
            <w:r>
              <w:rPr>
                <w:rFonts w:ascii="宋体" w:hAnsi="宋体" w:cs="宋体" w:eastAsia="宋体" w:hint="default"/>
                <w:sz w:val="18"/>
                <w:szCs w:val="18"/>
              </w:rPr>
              <w:t>应收票据及应收账款</w:t>
            </w:r>
          </w:p>
        </w:tc>
        <w:tc>
          <w:tcPr>
            <w:tcW w:w="1445"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98"/>
              <w:ind w:right="0"/>
              <w:jc w:val="right"/>
              <w:rPr>
                <w:rFonts w:ascii="Times New Roman" w:hAnsi="Times New Roman" w:cs="Times New Roman" w:eastAsia="Times New Roman" w:hint="default"/>
                <w:sz w:val="18"/>
                <w:szCs w:val="18"/>
              </w:rPr>
            </w:pPr>
            <w:r>
              <w:rPr>
                <w:rFonts w:ascii="Times New Roman"/>
                <w:spacing w:val="-1"/>
                <w:sz w:val="18"/>
              </w:rPr>
              <w:t>566,906,233.98</w:t>
            </w:r>
          </w:p>
        </w:tc>
        <w:tc>
          <w:tcPr>
            <w:tcW w:w="1447"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98"/>
              <w:ind w:right="1"/>
              <w:jc w:val="right"/>
              <w:rPr>
                <w:rFonts w:ascii="Times New Roman" w:hAnsi="Times New Roman" w:cs="Times New Roman" w:eastAsia="Times New Roman" w:hint="default"/>
                <w:sz w:val="18"/>
                <w:szCs w:val="18"/>
              </w:rPr>
            </w:pPr>
            <w:r>
              <w:rPr>
                <w:rFonts w:ascii="Times New Roman"/>
                <w:spacing w:val="-1"/>
                <w:sz w:val="18"/>
              </w:rPr>
              <w:t>0.00</w:t>
            </w:r>
          </w:p>
        </w:tc>
        <w:tc>
          <w:tcPr>
            <w:tcW w:w="1445"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98"/>
              <w:ind w:right="1"/>
              <w:jc w:val="right"/>
              <w:rPr>
                <w:rFonts w:ascii="Times New Roman" w:hAnsi="Times New Roman" w:cs="Times New Roman" w:eastAsia="Times New Roman" w:hint="default"/>
                <w:sz w:val="18"/>
                <w:szCs w:val="18"/>
              </w:rPr>
            </w:pPr>
            <w:r>
              <w:rPr>
                <w:rFonts w:ascii="Times New Roman"/>
                <w:spacing w:val="-1"/>
                <w:sz w:val="18"/>
              </w:rPr>
              <w:t>0.00</w:t>
            </w:r>
          </w:p>
        </w:tc>
        <w:tc>
          <w:tcPr>
            <w:tcW w:w="1448" w:type="dxa"/>
            <w:tcBorders>
              <w:top w:val="single" w:sz="8" w:space="0" w:color="000000"/>
              <w:left w:val="single" w:sz="6" w:space="0" w:color="000000"/>
              <w:bottom w:val="single" w:sz="8" w:space="0" w:color="000000"/>
              <w:right w:val="single" w:sz="4" w:space="0" w:color="000000"/>
            </w:tcBorders>
          </w:tcPr>
          <w:p>
            <w:pPr>
              <w:pStyle w:val="TableParagraph"/>
              <w:spacing w:line="240" w:lineRule="auto" w:before="98"/>
              <w:ind w:right="2"/>
              <w:jc w:val="right"/>
              <w:rPr>
                <w:rFonts w:ascii="Times New Roman" w:hAnsi="Times New Roman" w:cs="Times New Roman" w:eastAsia="Times New Roman" w:hint="default"/>
                <w:sz w:val="18"/>
                <w:szCs w:val="18"/>
              </w:rPr>
            </w:pPr>
            <w:r>
              <w:rPr>
                <w:rFonts w:ascii="Times New Roman"/>
                <w:spacing w:val="-1"/>
                <w:sz w:val="18"/>
              </w:rPr>
              <w:t>0.00</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2"/>
              <w:jc w:val="right"/>
              <w:rPr>
                <w:rFonts w:ascii="Times New Roman" w:hAnsi="Times New Roman" w:cs="Times New Roman" w:eastAsia="Times New Roman" w:hint="default"/>
                <w:sz w:val="18"/>
                <w:szCs w:val="18"/>
              </w:rPr>
            </w:pPr>
            <w:r>
              <w:rPr>
                <w:rFonts w:ascii="Times New Roman"/>
                <w:spacing w:val="-1"/>
                <w:sz w:val="18"/>
              </w:rPr>
              <w:t>566,906,233.98</w:t>
            </w:r>
          </w:p>
        </w:tc>
      </w:tr>
      <w:tr>
        <w:trPr>
          <w:trHeight w:val="427" w:hRule="exact"/>
        </w:trPr>
        <w:tc>
          <w:tcPr>
            <w:tcW w:w="2410"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56"/>
              <w:ind w:left="4"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445"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98"/>
              <w:ind w:right="-1"/>
              <w:jc w:val="right"/>
              <w:rPr>
                <w:rFonts w:ascii="Times New Roman" w:hAnsi="Times New Roman" w:cs="Times New Roman" w:eastAsia="Times New Roman" w:hint="default"/>
                <w:sz w:val="18"/>
                <w:szCs w:val="18"/>
              </w:rPr>
            </w:pPr>
            <w:r>
              <w:rPr>
                <w:rFonts w:ascii="Times New Roman"/>
                <w:spacing w:val="-1"/>
                <w:sz w:val="18"/>
              </w:rPr>
              <w:t>36,115,853.71</w:t>
            </w:r>
          </w:p>
        </w:tc>
        <w:tc>
          <w:tcPr>
            <w:tcW w:w="1447"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98"/>
              <w:ind w:right="1"/>
              <w:jc w:val="right"/>
              <w:rPr>
                <w:rFonts w:ascii="Times New Roman" w:hAnsi="Times New Roman" w:cs="Times New Roman" w:eastAsia="Times New Roman" w:hint="default"/>
                <w:sz w:val="18"/>
                <w:szCs w:val="18"/>
              </w:rPr>
            </w:pPr>
            <w:r>
              <w:rPr>
                <w:rFonts w:ascii="Times New Roman"/>
                <w:spacing w:val="-1"/>
                <w:sz w:val="18"/>
              </w:rPr>
              <w:t>0.00</w:t>
            </w:r>
          </w:p>
        </w:tc>
        <w:tc>
          <w:tcPr>
            <w:tcW w:w="1445"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98"/>
              <w:ind w:right="1"/>
              <w:jc w:val="right"/>
              <w:rPr>
                <w:rFonts w:ascii="Times New Roman" w:hAnsi="Times New Roman" w:cs="Times New Roman" w:eastAsia="Times New Roman" w:hint="default"/>
                <w:sz w:val="18"/>
                <w:szCs w:val="18"/>
              </w:rPr>
            </w:pPr>
            <w:r>
              <w:rPr>
                <w:rFonts w:ascii="Times New Roman"/>
                <w:spacing w:val="-1"/>
                <w:sz w:val="18"/>
              </w:rPr>
              <w:t>0.00</w:t>
            </w:r>
          </w:p>
        </w:tc>
        <w:tc>
          <w:tcPr>
            <w:tcW w:w="1448" w:type="dxa"/>
            <w:tcBorders>
              <w:top w:val="single" w:sz="8" w:space="0" w:color="000000"/>
              <w:left w:val="single" w:sz="6" w:space="0" w:color="000000"/>
              <w:bottom w:val="single" w:sz="8" w:space="0" w:color="000000"/>
              <w:right w:val="single" w:sz="4" w:space="0" w:color="000000"/>
            </w:tcBorders>
          </w:tcPr>
          <w:p>
            <w:pPr>
              <w:pStyle w:val="TableParagraph"/>
              <w:spacing w:line="240" w:lineRule="auto" w:before="98"/>
              <w:ind w:right="2"/>
              <w:jc w:val="right"/>
              <w:rPr>
                <w:rFonts w:ascii="Times New Roman" w:hAnsi="Times New Roman" w:cs="Times New Roman" w:eastAsia="Times New Roman" w:hint="default"/>
                <w:sz w:val="18"/>
                <w:szCs w:val="18"/>
              </w:rPr>
            </w:pPr>
            <w:r>
              <w:rPr>
                <w:rFonts w:ascii="Times New Roman"/>
                <w:spacing w:val="-1"/>
                <w:sz w:val="18"/>
              </w:rPr>
              <w:t>0.00</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2"/>
              <w:jc w:val="right"/>
              <w:rPr>
                <w:rFonts w:ascii="Times New Roman" w:hAnsi="Times New Roman" w:cs="Times New Roman" w:eastAsia="Times New Roman" w:hint="default"/>
                <w:sz w:val="18"/>
                <w:szCs w:val="18"/>
              </w:rPr>
            </w:pPr>
            <w:r>
              <w:rPr>
                <w:rFonts w:ascii="Times New Roman"/>
                <w:spacing w:val="-1"/>
                <w:sz w:val="18"/>
              </w:rPr>
              <w:t>36,115,853.71</w:t>
            </w:r>
          </w:p>
        </w:tc>
      </w:tr>
      <w:tr>
        <w:trPr>
          <w:trHeight w:val="427" w:hRule="exact"/>
        </w:trPr>
        <w:tc>
          <w:tcPr>
            <w:tcW w:w="2410"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56"/>
              <w:ind w:left="4" w:right="0"/>
              <w:jc w:val="left"/>
              <w:rPr>
                <w:rFonts w:ascii="宋体" w:hAnsi="宋体" w:cs="宋体" w:eastAsia="宋体" w:hint="default"/>
                <w:sz w:val="18"/>
                <w:szCs w:val="18"/>
              </w:rPr>
            </w:pPr>
            <w:r>
              <w:rPr>
                <w:rFonts w:ascii="宋体" w:hAnsi="宋体" w:cs="宋体" w:eastAsia="宋体" w:hint="default"/>
                <w:sz w:val="18"/>
                <w:szCs w:val="18"/>
              </w:rPr>
              <w:t>金融负债</w:t>
            </w:r>
          </w:p>
        </w:tc>
        <w:tc>
          <w:tcPr>
            <w:tcW w:w="1445" w:type="dxa"/>
            <w:tcBorders>
              <w:top w:val="single" w:sz="8" w:space="0" w:color="000000"/>
              <w:left w:val="single" w:sz="6" w:space="0" w:color="000000"/>
              <w:bottom w:val="single" w:sz="8" w:space="0" w:color="000000"/>
              <w:right w:val="single" w:sz="6" w:space="0" w:color="000000"/>
            </w:tcBorders>
          </w:tcPr>
          <w:p>
            <w:pPr/>
          </w:p>
        </w:tc>
        <w:tc>
          <w:tcPr>
            <w:tcW w:w="1447" w:type="dxa"/>
            <w:tcBorders>
              <w:top w:val="single" w:sz="8" w:space="0" w:color="000000"/>
              <w:left w:val="single" w:sz="6" w:space="0" w:color="000000"/>
              <w:bottom w:val="single" w:sz="8" w:space="0" w:color="000000"/>
              <w:right w:val="single" w:sz="6" w:space="0" w:color="000000"/>
            </w:tcBorders>
          </w:tcPr>
          <w:p>
            <w:pPr/>
          </w:p>
        </w:tc>
        <w:tc>
          <w:tcPr>
            <w:tcW w:w="1445" w:type="dxa"/>
            <w:tcBorders>
              <w:top w:val="single" w:sz="8" w:space="0" w:color="000000"/>
              <w:left w:val="single" w:sz="6" w:space="0" w:color="000000"/>
              <w:bottom w:val="single" w:sz="8" w:space="0" w:color="000000"/>
              <w:right w:val="single" w:sz="6" w:space="0" w:color="000000"/>
            </w:tcBorders>
          </w:tcPr>
          <w:p>
            <w:pPr/>
          </w:p>
        </w:tc>
        <w:tc>
          <w:tcPr>
            <w:tcW w:w="1448" w:type="dxa"/>
            <w:tcBorders>
              <w:top w:val="single" w:sz="8" w:space="0" w:color="000000"/>
              <w:left w:val="single" w:sz="6" w:space="0" w:color="000000"/>
              <w:bottom w:val="single" w:sz="8" w:space="0" w:color="000000"/>
              <w:right w:val="single" w:sz="4" w:space="0" w:color="000000"/>
            </w:tcBorders>
          </w:tcPr>
          <w:p>
            <w:pPr/>
          </w:p>
        </w:tc>
        <w:tc>
          <w:tcPr>
            <w:tcW w:w="1445" w:type="dxa"/>
            <w:tcBorders>
              <w:top w:val="single" w:sz="4" w:space="0" w:color="000000"/>
              <w:left w:val="single" w:sz="4" w:space="0" w:color="000000"/>
              <w:bottom w:val="single" w:sz="4" w:space="0" w:color="000000"/>
              <w:right w:val="single" w:sz="4" w:space="0" w:color="000000"/>
            </w:tcBorders>
          </w:tcPr>
          <w:p>
            <w:pPr/>
          </w:p>
        </w:tc>
      </w:tr>
      <w:tr>
        <w:trPr>
          <w:trHeight w:val="739" w:hRule="exact"/>
        </w:trPr>
        <w:tc>
          <w:tcPr>
            <w:tcW w:w="2410" w:type="dxa"/>
            <w:tcBorders>
              <w:top w:val="single" w:sz="8" w:space="0" w:color="000000"/>
              <w:left w:val="single" w:sz="6" w:space="0" w:color="000000"/>
              <w:bottom w:val="single" w:sz="8" w:space="0" w:color="000000"/>
              <w:right w:val="single" w:sz="6" w:space="0" w:color="000000"/>
            </w:tcBorders>
          </w:tcPr>
          <w:p>
            <w:pPr>
              <w:pStyle w:val="TableParagraph"/>
              <w:spacing w:line="314" w:lineRule="auto" w:before="56"/>
              <w:ind w:left="4" w:right="48"/>
              <w:jc w:val="left"/>
              <w:rPr>
                <w:rFonts w:ascii="宋体" w:hAnsi="宋体" w:cs="宋体" w:eastAsia="宋体" w:hint="default"/>
                <w:sz w:val="18"/>
                <w:szCs w:val="18"/>
              </w:rPr>
            </w:pPr>
            <w:r>
              <w:rPr>
                <w:rFonts w:ascii="宋体" w:hAnsi="宋体" w:cs="宋体" w:eastAsia="宋体" w:hint="default"/>
                <w:sz w:val="18"/>
                <w:szCs w:val="18"/>
              </w:rPr>
              <w:t>以公允价值计量且其变动计入 当期损益的金融负债</w:t>
            </w:r>
          </w:p>
        </w:tc>
        <w:tc>
          <w:tcPr>
            <w:tcW w:w="1445"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29,928,239.11</w:t>
            </w:r>
          </w:p>
        </w:tc>
        <w:tc>
          <w:tcPr>
            <w:tcW w:w="1447"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0.00</w:t>
            </w:r>
          </w:p>
        </w:tc>
        <w:tc>
          <w:tcPr>
            <w:tcW w:w="1445"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0.00</w:t>
            </w:r>
          </w:p>
        </w:tc>
        <w:tc>
          <w:tcPr>
            <w:tcW w:w="1448" w:type="dxa"/>
            <w:tcBorders>
              <w:top w:val="single" w:sz="8" w:space="0" w:color="000000"/>
              <w:left w:val="single" w:sz="6" w:space="0" w:color="000000"/>
              <w:bottom w:val="single" w:sz="8"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2"/>
              <w:jc w:val="right"/>
              <w:rPr>
                <w:rFonts w:ascii="Times New Roman" w:hAnsi="Times New Roman" w:cs="Times New Roman" w:eastAsia="Times New Roman" w:hint="default"/>
                <w:sz w:val="18"/>
                <w:szCs w:val="18"/>
              </w:rPr>
            </w:pPr>
            <w:r>
              <w:rPr>
                <w:rFonts w:ascii="Times New Roman"/>
                <w:spacing w:val="-1"/>
                <w:sz w:val="18"/>
              </w:rPr>
              <w:t>0.00</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2"/>
              <w:jc w:val="right"/>
              <w:rPr>
                <w:rFonts w:ascii="Times New Roman" w:hAnsi="Times New Roman" w:cs="Times New Roman" w:eastAsia="Times New Roman" w:hint="default"/>
                <w:sz w:val="18"/>
                <w:szCs w:val="18"/>
              </w:rPr>
            </w:pPr>
            <w:r>
              <w:rPr>
                <w:rFonts w:ascii="Times New Roman"/>
                <w:spacing w:val="-1"/>
                <w:sz w:val="18"/>
              </w:rPr>
              <w:t>29,928,239.11</w:t>
            </w:r>
          </w:p>
        </w:tc>
      </w:tr>
      <w:tr>
        <w:trPr>
          <w:trHeight w:val="427" w:hRule="exact"/>
        </w:trPr>
        <w:tc>
          <w:tcPr>
            <w:tcW w:w="2410"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53"/>
              <w:ind w:left="4" w:right="0"/>
              <w:jc w:val="left"/>
              <w:rPr>
                <w:rFonts w:ascii="宋体" w:hAnsi="宋体" w:cs="宋体" w:eastAsia="宋体" w:hint="default"/>
                <w:sz w:val="18"/>
                <w:szCs w:val="18"/>
              </w:rPr>
            </w:pPr>
            <w:r>
              <w:rPr>
                <w:rFonts w:ascii="宋体" w:hAnsi="宋体" w:cs="宋体" w:eastAsia="宋体" w:hint="default"/>
                <w:sz w:val="18"/>
                <w:szCs w:val="18"/>
              </w:rPr>
              <w:t>应付票据及应付账款</w:t>
            </w:r>
          </w:p>
        </w:tc>
        <w:tc>
          <w:tcPr>
            <w:tcW w:w="1445"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96"/>
              <w:ind w:right="0"/>
              <w:jc w:val="right"/>
              <w:rPr>
                <w:rFonts w:ascii="Times New Roman" w:hAnsi="Times New Roman" w:cs="Times New Roman" w:eastAsia="Times New Roman" w:hint="default"/>
                <w:sz w:val="18"/>
                <w:szCs w:val="18"/>
              </w:rPr>
            </w:pPr>
            <w:r>
              <w:rPr>
                <w:rFonts w:ascii="Times New Roman"/>
                <w:spacing w:val="-1"/>
                <w:sz w:val="18"/>
              </w:rPr>
              <w:t>156,012,955.30</w:t>
            </w:r>
          </w:p>
        </w:tc>
        <w:tc>
          <w:tcPr>
            <w:tcW w:w="1447"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96"/>
              <w:ind w:right="1"/>
              <w:jc w:val="right"/>
              <w:rPr>
                <w:rFonts w:ascii="Times New Roman" w:hAnsi="Times New Roman" w:cs="Times New Roman" w:eastAsia="Times New Roman" w:hint="default"/>
                <w:sz w:val="18"/>
                <w:szCs w:val="18"/>
              </w:rPr>
            </w:pPr>
            <w:r>
              <w:rPr>
                <w:rFonts w:ascii="Times New Roman"/>
                <w:spacing w:val="-1"/>
                <w:sz w:val="18"/>
              </w:rPr>
              <w:t>0.00</w:t>
            </w:r>
          </w:p>
        </w:tc>
        <w:tc>
          <w:tcPr>
            <w:tcW w:w="1445"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96"/>
              <w:ind w:right="1"/>
              <w:jc w:val="right"/>
              <w:rPr>
                <w:rFonts w:ascii="Times New Roman" w:hAnsi="Times New Roman" w:cs="Times New Roman" w:eastAsia="Times New Roman" w:hint="default"/>
                <w:sz w:val="18"/>
                <w:szCs w:val="18"/>
              </w:rPr>
            </w:pPr>
            <w:r>
              <w:rPr>
                <w:rFonts w:ascii="Times New Roman"/>
                <w:spacing w:val="-1"/>
                <w:sz w:val="18"/>
              </w:rPr>
              <w:t>0.00</w:t>
            </w:r>
          </w:p>
        </w:tc>
        <w:tc>
          <w:tcPr>
            <w:tcW w:w="1448" w:type="dxa"/>
            <w:tcBorders>
              <w:top w:val="single" w:sz="8" w:space="0" w:color="000000"/>
              <w:left w:val="single" w:sz="6" w:space="0" w:color="000000"/>
              <w:bottom w:val="single" w:sz="8" w:space="0" w:color="000000"/>
              <w:right w:val="single" w:sz="4" w:space="0" w:color="000000"/>
            </w:tcBorders>
          </w:tcPr>
          <w:p>
            <w:pPr>
              <w:pStyle w:val="TableParagraph"/>
              <w:spacing w:line="240" w:lineRule="auto" w:before="96"/>
              <w:ind w:right="2"/>
              <w:jc w:val="right"/>
              <w:rPr>
                <w:rFonts w:ascii="Times New Roman" w:hAnsi="Times New Roman" w:cs="Times New Roman" w:eastAsia="Times New Roman" w:hint="default"/>
                <w:sz w:val="18"/>
                <w:szCs w:val="18"/>
              </w:rPr>
            </w:pPr>
            <w:r>
              <w:rPr>
                <w:rFonts w:ascii="Times New Roman"/>
                <w:spacing w:val="-1"/>
                <w:sz w:val="18"/>
              </w:rPr>
              <w:t>0.00</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
              <w:jc w:val="right"/>
              <w:rPr>
                <w:rFonts w:ascii="Times New Roman" w:hAnsi="Times New Roman" w:cs="Times New Roman" w:eastAsia="Times New Roman" w:hint="default"/>
                <w:sz w:val="18"/>
                <w:szCs w:val="18"/>
              </w:rPr>
            </w:pPr>
            <w:r>
              <w:rPr>
                <w:rFonts w:ascii="Times New Roman"/>
                <w:spacing w:val="-1"/>
                <w:sz w:val="18"/>
              </w:rPr>
              <w:t>156,012,955.30</w:t>
            </w:r>
          </w:p>
        </w:tc>
      </w:tr>
      <w:tr>
        <w:trPr>
          <w:trHeight w:val="428" w:hRule="exact"/>
        </w:trPr>
        <w:tc>
          <w:tcPr>
            <w:tcW w:w="2410"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53"/>
              <w:ind w:left="4"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445"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96"/>
              <w:ind w:right="0"/>
              <w:jc w:val="right"/>
              <w:rPr>
                <w:rFonts w:ascii="Times New Roman" w:hAnsi="Times New Roman" w:cs="Times New Roman" w:eastAsia="Times New Roman" w:hint="default"/>
                <w:sz w:val="18"/>
                <w:szCs w:val="18"/>
              </w:rPr>
            </w:pPr>
            <w:r>
              <w:rPr>
                <w:rFonts w:ascii="Times New Roman"/>
                <w:spacing w:val="-1"/>
                <w:sz w:val="18"/>
              </w:rPr>
              <w:t>316,394,709.88</w:t>
            </w:r>
          </w:p>
        </w:tc>
        <w:tc>
          <w:tcPr>
            <w:tcW w:w="1447"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96"/>
              <w:ind w:right="1"/>
              <w:jc w:val="right"/>
              <w:rPr>
                <w:rFonts w:ascii="Times New Roman" w:hAnsi="Times New Roman" w:cs="Times New Roman" w:eastAsia="Times New Roman" w:hint="default"/>
                <w:sz w:val="18"/>
                <w:szCs w:val="18"/>
              </w:rPr>
            </w:pPr>
            <w:r>
              <w:rPr>
                <w:rFonts w:ascii="Times New Roman"/>
                <w:spacing w:val="-1"/>
                <w:sz w:val="18"/>
              </w:rPr>
              <w:t>0.00</w:t>
            </w:r>
          </w:p>
        </w:tc>
        <w:tc>
          <w:tcPr>
            <w:tcW w:w="1445"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96"/>
              <w:ind w:right="1"/>
              <w:jc w:val="right"/>
              <w:rPr>
                <w:rFonts w:ascii="Times New Roman" w:hAnsi="Times New Roman" w:cs="Times New Roman" w:eastAsia="Times New Roman" w:hint="default"/>
                <w:sz w:val="18"/>
                <w:szCs w:val="18"/>
              </w:rPr>
            </w:pPr>
            <w:r>
              <w:rPr>
                <w:rFonts w:ascii="Times New Roman"/>
                <w:spacing w:val="-1"/>
                <w:sz w:val="18"/>
              </w:rPr>
              <w:t>0.00</w:t>
            </w:r>
          </w:p>
        </w:tc>
        <w:tc>
          <w:tcPr>
            <w:tcW w:w="1448" w:type="dxa"/>
            <w:tcBorders>
              <w:top w:val="single" w:sz="8" w:space="0" w:color="000000"/>
              <w:left w:val="single" w:sz="6" w:space="0" w:color="000000"/>
              <w:bottom w:val="single" w:sz="8" w:space="0" w:color="000000"/>
              <w:right w:val="single" w:sz="4" w:space="0" w:color="000000"/>
            </w:tcBorders>
          </w:tcPr>
          <w:p>
            <w:pPr>
              <w:pStyle w:val="TableParagraph"/>
              <w:spacing w:line="240" w:lineRule="auto" w:before="96"/>
              <w:ind w:right="2"/>
              <w:jc w:val="right"/>
              <w:rPr>
                <w:rFonts w:ascii="Times New Roman" w:hAnsi="Times New Roman" w:cs="Times New Roman" w:eastAsia="Times New Roman" w:hint="default"/>
                <w:sz w:val="18"/>
                <w:szCs w:val="18"/>
              </w:rPr>
            </w:pPr>
            <w:r>
              <w:rPr>
                <w:rFonts w:ascii="Times New Roman"/>
                <w:spacing w:val="-1"/>
                <w:sz w:val="18"/>
              </w:rPr>
              <w:t>0.00</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
              <w:jc w:val="right"/>
              <w:rPr>
                <w:rFonts w:ascii="Times New Roman" w:hAnsi="Times New Roman" w:cs="Times New Roman" w:eastAsia="Times New Roman" w:hint="default"/>
                <w:sz w:val="18"/>
                <w:szCs w:val="18"/>
              </w:rPr>
            </w:pPr>
            <w:r>
              <w:rPr>
                <w:rFonts w:ascii="Times New Roman"/>
                <w:spacing w:val="-1"/>
                <w:sz w:val="18"/>
              </w:rPr>
              <w:t>316,394,709.88</w:t>
            </w:r>
          </w:p>
        </w:tc>
      </w:tr>
      <w:tr>
        <w:trPr>
          <w:trHeight w:val="427" w:hRule="exact"/>
        </w:trPr>
        <w:tc>
          <w:tcPr>
            <w:tcW w:w="2410"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53"/>
              <w:ind w:left="4"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445"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96"/>
              <w:ind w:right="0"/>
              <w:jc w:val="right"/>
              <w:rPr>
                <w:rFonts w:ascii="Times New Roman" w:hAnsi="Times New Roman" w:cs="Times New Roman" w:eastAsia="Times New Roman" w:hint="default"/>
                <w:sz w:val="18"/>
                <w:szCs w:val="18"/>
              </w:rPr>
            </w:pPr>
            <w:r>
              <w:rPr>
                <w:rFonts w:ascii="Times New Roman"/>
                <w:spacing w:val="-1"/>
                <w:sz w:val="18"/>
              </w:rPr>
              <w:t>1,014,734,213.72</w:t>
            </w:r>
          </w:p>
        </w:tc>
        <w:tc>
          <w:tcPr>
            <w:tcW w:w="1447"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96"/>
              <w:ind w:right="1"/>
              <w:jc w:val="right"/>
              <w:rPr>
                <w:rFonts w:ascii="Times New Roman" w:hAnsi="Times New Roman" w:cs="Times New Roman" w:eastAsia="Times New Roman" w:hint="default"/>
                <w:sz w:val="18"/>
                <w:szCs w:val="18"/>
              </w:rPr>
            </w:pPr>
            <w:r>
              <w:rPr>
                <w:rFonts w:ascii="Times New Roman"/>
                <w:spacing w:val="-1"/>
                <w:sz w:val="18"/>
              </w:rPr>
              <w:t>0.00</w:t>
            </w:r>
          </w:p>
        </w:tc>
        <w:tc>
          <w:tcPr>
            <w:tcW w:w="1445"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96"/>
              <w:ind w:right="1"/>
              <w:jc w:val="right"/>
              <w:rPr>
                <w:rFonts w:ascii="Times New Roman" w:hAnsi="Times New Roman" w:cs="Times New Roman" w:eastAsia="Times New Roman" w:hint="default"/>
                <w:sz w:val="18"/>
                <w:szCs w:val="18"/>
              </w:rPr>
            </w:pPr>
            <w:r>
              <w:rPr>
                <w:rFonts w:ascii="Times New Roman"/>
                <w:spacing w:val="-1"/>
                <w:sz w:val="18"/>
              </w:rPr>
              <w:t>0.00</w:t>
            </w:r>
          </w:p>
        </w:tc>
        <w:tc>
          <w:tcPr>
            <w:tcW w:w="1448" w:type="dxa"/>
            <w:tcBorders>
              <w:top w:val="single" w:sz="8" w:space="0" w:color="000000"/>
              <w:left w:val="single" w:sz="6" w:space="0" w:color="000000"/>
              <w:bottom w:val="single" w:sz="8" w:space="0" w:color="000000"/>
              <w:right w:val="single" w:sz="4" w:space="0" w:color="000000"/>
            </w:tcBorders>
          </w:tcPr>
          <w:p>
            <w:pPr>
              <w:pStyle w:val="TableParagraph"/>
              <w:spacing w:line="240" w:lineRule="auto" w:before="96"/>
              <w:ind w:right="2"/>
              <w:jc w:val="right"/>
              <w:rPr>
                <w:rFonts w:ascii="Times New Roman" w:hAnsi="Times New Roman" w:cs="Times New Roman" w:eastAsia="Times New Roman" w:hint="default"/>
                <w:sz w:val="18"/>
                <w:szCs w:val="18"/>
              </w:rPr>
            </w:pPr>
            <w:r>
              <w:rPr>
                <w:rFonts w:ascii="Times New Roman"/>
                <w:spacing w:val="-1"/>
                <w:sz w:val="18"/>
              </w:rPr>
              <w:t>0.00</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3"/>
              <w:jc w:val="right"/>
              <w:rPr>
                <w:rFonts w:ascii="Times New Roman" w:hAnsi="Times New Roman" w:cs="Times New Roman" w:eastAsia="Times New Roman" w:hint="default"/>
                <w:sz w:val="18"/>
                <w:szCs w:val="18"/>
              </w:rPr>
            </w:pPr>
            <w:r>
              <w:rPr>
                <w:rFonts w:ascii="Times New Roman"/>
                <w:spacing w:val="-1"/>
                <w:sz w:val="18"/>
              </w:rPr>
              <w:t>1,014,734,213.72</w:t>
            </w:r>
          </w:p>
        </w:tc>
      </w:tr>
      <w:tr>
        <w:trPr>
          <w:trHeight w:val="427" w:hRule="exact"/>
        </w:trPr>
        <w:tc>
          <w:tcPr>
            <w:tcW w:w="2410"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53"/>
              <w:ind w:left="4"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1445"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96"/>
              <w:ind w:right="-1"/>
              <w:jc w:val="right"/>
              <w:rPr>
                <w:rFonts w:ascii="Times New Roman" w:hAnsi="Times New Roman" w:cs="Times New Roman" w:eastAsia="Times New Roman" w:hint="default"/>
                <w:sz w:val="18"/>
                <w:szCs w:val="18"/>
              </w:rPr>
            </w:pPr>
            <w:r>
              <w:rPr>
                <w:rFonts w:ascii="Times New Roman"/>
                <w:spacing w:val="-1"/>
                <w:sz w:val="18"/>
              </w:rPr>
              <w:t>0.00</w:t>
            </w:r>
          </w:p>
        </w:tc>
        <w:tc>
          <w:tcPr>
            <w:tcW w:w="1447"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96"/>
              <w:ind w:right="0"/>
              <w:jc w:val="right"/>
              <w:rPr>
                <w:rFonts w:ascii="Times New Roman" w:hAnsi="Times New Roman" w:cs="Times New Roman" w:eastAsia="Times New Roman" w:hint="default"/>
                <w:sz w:val="18"/>
                <w:szCs w:val="18"/>
              </w:rPr>
            </w:pPr>
            <w:r>
              <w:rPr>
                <w:rFonts w:ascii="Times New Roman"/>
                <w:spacing w:val="-1"/>
                <w:sz w:val="18"/>
              </w:rPr>
              <w:t>50,000,000.00</w:t>
            </w:r>
          </w:p>
        </w:tc>
        <w:tc>
          <w:tcPr>
            <w:tcW w:w="1445"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96"/>
              <w:ind w:right="1"/>
              <w:jc w:val="right"/>
              <w:rPr>
                <w:rFonts w:ascii="Times New Roman" w:hAnsi="Times New Roman" w:cs="Times New Roman" w:eastAsia="Times New Roman" w:hint="default"/>
                <w:sz w:val="18"/>
                <w:szCs w:val="18"/>
              </w:rPr>
            </w:pPr>
            <w:r>
              <w:rPr>
                <w:rFonts w:ascii="Times New Roman"/>
                <w:spacing w:val="-1"/>
                <w:sz w:val="18"/>
              </w:rPr>
              <w:t>0.00</w:t>
            </w:r>
          </w:p>
        </w:tc>
        <w:tc>
          <w:tcPr>
            <w:tcW w:w="1448" w:type="dxa"/>
            <w:tcBorders>
              <w:top w:val="single" w:sz="8" w:space="0" w:color="000000"/>
              <w:left w:val="single" w:sz="6" w:space="0" w:color="000000"/>
              <w:bottom w:val="single" w:sz="8" w:space="0" w:color="000000"/>
              <w:right w:val="single" w:sz="4" w:space="0" w:color="000000"/>
            </w:tcBorders>
          </w:tcPr>
          <w:p>
            <w:pPr>
              <w:pStyle w:val="TableParagraph"/>
              <w:spacing w:line="240" w:lineRule="auto" w:before="96"/>
              <w:ind w:right="2"/>
              <w:jc w:val="right"/>
              <w:rPr>
                <w:rFonts w:ascii="Times New Roman" w:hAnsi="Times New Roman" w:cs="Times New Roman" w:eastAsia="Times New Roman" w:hint="default"/>
                <w:sz w:val="18"/>
                <w:szCs w:val="18"/>
              </w:rPr>
            </w:pPr>
            <w:r>
              <w:rPr>
                <w:rFonts w:ascii="Times New Roman"/>
                <w:spacing w:val="-1"/>
                <w:sz w:val="18"/>
              </w:rPr>
              <w:t>0.00</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
              <w:jc w:val="right"/>
              <w:rPr>
                <w:rFonts w:ascii="Times New Roman" w:hAnsi="Times New Roman" w:cs="Times New Roman" w:eastAsia="Times New Roman" w:hint="default"/>
                <w:sz w:val="18"/>
                <w:szCs w:val="18"/>
              </w:rPr>
            </w:pPr>
            <w:r>
              <w:rPr>
                <w:rFonts w:ascii="Times New Roman"/>
                <w:spacing w:val="-1"/>
                <w:sz w:val="18"/>
              </w:rPr>
              <w:t>50,000,000.00</w:t>
            </w:r>
          </w:p>
        </w:tc>
      </w:tr>
    </w:tbl>
    <w:p>
      <w:pPr>
        <w:spacing w:line="240" w:lineRule="auto" w:before="5"/>
        <w:rPr>
          <w:rFonts w:ascii="宋体" w:hAnsi="宋体" w:cs="宋体" w:eastAsia="宋体" w:hint="default"/>
          <w:sz w:val="6"/>
          <w:szCs w:val="6"/>
        </w:rPr>
      </w:pPr>
    </w:p>
    <w:p>
      <w:pPr>
        <w:pStyle w:val="BodyText"/>
        <w:spacing w:line="240" w:lineRule="auto" w:before="44"/>
        <w:ind w:left="513" w:right="982"/>
        <w:jc w:val="left"/>
      </w:pPr>
      <w:r>
        <w:rPr>
          <w:rFonts w:ascii="Times New Roman" w:hAnsi="Times New Roman" w:cs="Times New Roman" w:eastAsia="Times New Roman" w:hint="default"/>
        </w:rPr>
        <w:t>2.</w:t>
      </w:r>
      <w:r>
        <w:rPr/>
        <w:t>敏感性分析</w:t>
      </w:r>
    </w:p>
    <w:p>
      <w:pPr>
        <w:spacing w:line="240" w:lineRule="auto" w:before="13"/>
        <w:rPr>
          <w:rFonts w:ascii="宋体" w:hAnsi="宋体" w:cs="宋体" w:eastAsia="宋体" w:hint="default"/>
          <w:sz w:val="13"/>
          <w:szCs w:val="13"/>
        </w:rPr>
      </w:pPr>
    </w:p>
    <w:p>
      <w:pPr>
        <w:pStyle w:val="BodyText"/>
        <w:spacing w:line="316" w:lineRule="auto"/>
        <w:ind w:right="1133" w:firstLine="439"/>
        <w:jc w:val="both"/>
      </w:pPr>
      <w:r>
        <w:rPr/>
        <w:t>本集团采用敏感性分析技术分析风险变量的合理、可能变化对当期损益或所有者权益可能产生的影响。由于任何风险 </w:t>
      </w:r>
      <w:r>
        <w:rPr>
          <w:spacing w:val="-2"/>
        </w:rPr>
        <w:t>变量很少孤立的发生变化，而变量之间存在的相关性对某一风险变量变化的最终影响金额将产生重大作用，因此下述内容是</w:t>
      </w:r>
      <w:r>
        <w:rPr>
          <w:spacing w:val="-64"/>
        </w:rPr>
        <w:t> </w:t>
      </w:r>
      <w:r>
        <w:rPr>
          <w:spacing w:val="-64"/>
        </w:rPr>
      </w:r>
      <w:r>
        <w:rPr/>
        <w:t>在假设每一变量的变化是独立的情况下进行的。</w:t>
      </w:r>
    </w:p>
    <w:p>
      <w:pPr>
        <w:pStyle w:val="BodyText"/>
        <w:spacing w:line="415" w:lineRule="auto" w:before="139"/>
        <w:ind w:left="592" w:right="3294" w:hanging="224"/>
        <w:jc w:val="left"/>
      </w:pPr>
      <w:r>
        <w:rPr/>
        <w:t>（</w:t>
      </w:r>
      <w:r>
        <w:rPr>
          <w:rFonts w:ascii="Times New Roman" w:hAnsi="Times New Roman" w:cs="Times New Roman" w:eastAsia="Times New Roman" w:hint="default"/>
        </w:rPr>
        <w:t>1</w:t>
      </w:r>
      <w:r>
        <w:rPr/>
        <w:t>）外汇风险敏感性分析 在其它变量不变的情况下，汇率可能发生的合理变动对当期损益和权益的税后影响如下：</w:t>
      </w:r>
    </w:p>
    <w:p>
      <w:pPr>
        <w:spacing w:after="0" w:line="415" w:lineRule="auto"/>
        <w:jc w:val="left"/>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5" w:type="dxa"/>
        <w:tblLayout w:type="fixed"/>
        <w:tblCellMar>
          <w:top w:w="0" w:type="dxa"/>
          <w:left w:w="0" w:type="dxa"/>
          <w:bottom w:w="0" w:type="dxa"/>
          <w:right w:w="0" w:type="dxa"/>
        </w:tblCellMar>
        <w:tblLook w:val="01E0"/>
      </w:tblPr>
      <w:tblGrid>
        <w:gridCol w:w="960"/>
        <w:gridCol w:w="1558"/>
        <w:gridCol w:w="1736"/>
        <w:gridCol w:w="1702"/>
        <w:gridCol w:w="1702"/>
        <w:gridCol w:w="1983"/>
      </w:tblGrid>
      <w:tr>
        <w:trPr>
          <w:trHeight w:val="351" w:hRule="exact"/>
        </w:trPr>
        <w:tc>
          <w:tcPr>
            <w:tcW w:w="960" w:type="dxa"/>
            <w:vMerge w:val="restart"/>
            <w:tcBorders>
              <w:top w:val="single" w:sz="6" w:space="0" w:color="000000"/>
              <w:left w:val="single" w:sz="6" w:space="0" w:color="000000"/>
              <w:right w:val="single" w:sz="6" w:space="0" w:color="000000"/>
            </w:tcBorders>
            <w:shd w:val="clear" w:color="auto" w:fill="D9D9D9"/>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293"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1558" w:type="dxa"/>
            <w:vMerge w:val="restart"/>
            <w:tcBorders>
              <w:top w:val="single" w:sz="6" w:space="0" w:color="000000"/>
              <w:left w:val="single" w:sz="6" w:space="0" w:color="000000"/>
              <w:right w:val="single" w:sz="6" w:space="0" w:color="000000"/>
            </w:tcBorders>
            <w:shd w:val="clear" w:color="auto" w:fill="D9D9D9"/>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410" w:right="0"/>
              <w:jc w:val="left"/>
              <w:rPr>
                <w:rFonts w:ascii="宋体" w:hAnsi="宋体" w:cs="宋体" w:eastAsia="宋体" w:hint="default"/>
                <w:sz w:val="18"/>
                <w:szCs w:val="18"/>
              </w:rPr>
            </w:pPr>
            <w:r>
              <w:rPr>
                <w:rFonts w:ascii="宋体" w:hAnsi="宋体" w:cs="宋体" w:eastAsia="宋体" w:hint="default"/>
                <w:sz w:val="18"/>
                <w:szCs w:val="18"/>
              </w:rPr>
              <w:t>汇率变动</w:t>
            </w:r>
          </w:p>
        </w:tc>
        <w:tc>
          <w:tcPr>
            <w:tcW w:w="3438" w:type="dxa"/>
            <w:gridSpan w:val="2"/>
            <w:tcBorders>
              <w:top w:val="single" w:sz="6" w:space="0" w:color="000000"/>
              <w:left w:val="single" w:sz="6" w:space="0" w:color="000000"/>
              <w:bottom w:val="single" w:sz="8" w:space="0" w:color="000000"/>
              <w:right w:val="single" w:sz="4" w:space="0" w:color="000000"/>
            </w:tcBorders>
            <w:shd w:val="clear" w:color="auto" w:fill="D9D9D9"/>
          </w:tcPr>
          <w:p>
            <w:pPr>
              <w:pStyle w:val="TableParagraph"/>
              <w:spacing w:line="240" w:lineRule="auto" w:before="1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年度</w:t>
            </w:r>
          </w:p>
        </w:tc>
        <w:tc>
          <w:tcPr>
            <w:tcW w:w="3685" w:type="dxa"/>
            <w:gridSpan w:val="2"/>
            <w:tcBorders>
              <w:top w:val="single" w:sz="4" w:space="0" w:color="000000"/>
              <w:left w:val="single" w:sz="4" w:space="0" w:color="000000"/>
              <w:bottom w:val="single" w:sz="6" w:space="0" w:color="000000"/>
              <w:right w:val="single" w:sz="4" w:space="0" w:color="000000"/>
            </w:tcBorders>
            <w:shd w:val="clear" w:color="auto" w:fill="D9D9D9"/>
          </w:tcPr>
          <w:p>
            <w:pPr>
              <w:pStyle w:val="TableParagraph"/>
              <w:spacing w:line="240" w:lineRule="auto" w:before="2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年度</w:t>
            </w:r>
          </w:p>
        </w:tc>
      </w:tr>
      <w:tr>
        <w:trPr>
          <w:trHeight w:val="346" w:hRule="exact"/>
        </w:trPr>
        <w:tc>
          <w:tcPr>
            <w:tcW w:w="960" w:type="dxa"/>
            <w:vMerge/>
            <w:tcBorders>
              <w:left w:val="single" w:sz="6" w:space="0" w:color="000000"/>
              <w:bottom w:val="single" w:sz="8" w:space="0" w:color="000000"/>
              <w:right w:val="single" w:sz="6" w:space="0" w:color="000000"/>
            </w:tcBorders>
            <w:shd w:val="clear" w:color="auto" w:fill="D9D9D9"/>
          </w:tcPr>
          <w:p>
            <w:pPr/>
          </w:p>
        </w:tc>
        <w:tc>
          <w:tcPr>
            <w:tcW w:w="1558" w:type="dxa"/>
            <w:vMerge/>
            <w:tcBorders>
              <w:left w:val="single" w:sz="6" w:space="0" w:color="000000"/>
              <w:bottom w:val="single" w:sz="8" w:space="0" w:color="000000"/>
              <w:right w:val="single" w:sz="6" w:space="0" w:color="000000"/>
            </w:tcBorders>
            <w:shd w:val="clear" w:color="auto" w:fill="D9D9D9"/>
          </w:tcPr>
          <w:p>
            <w:pPr/>
          </w:p>
        </w:tc>
        <w:tc>
          <w:tcPr>
            <w:tcW w:w="1736" w:type="dxa"/>
            <w:tcBorders>
              <w:top w:val="single" w:sz="8" w:space="0" w:color="000000"/>
              <w:left w:val="single" w:sz="6" w:space="0" w:color="000000"/>
              <w:bottom w:val="single" w:sz="8" w:space="0" w:color="000000"/>
              <w:right w:val="single" w:sz="6" w:space="0" w:color="000000"/>
            </w:tcBorders>
            <w:shd w:val="clear" w:color="auto" w:fill="D9D9D9"/>
          </w:tcPr>
          <w:p>
            <w:pPr>
              <w:pStyle w:val="TableParagraph"/>
              <w:spacing w:line="240" w:lineRule="auto" w:before="13"/>
              <w:ind w:left="232" w:right="0"/>
              <w:jc w:val="left"/>
              <w:rPr>
                <w:rFonts w:ascii="宋体" w:hAnsi="宋体" w:cs="宋体" w:eastAsia="宋体" w:hint="default"/>
                <w:sz w:val="18"/>
                <w:szCs w:val="18"/>
              </w:rPr>
            </w:pPr>
            <w:r>
              <w:rPr>
                <w:rFonts w:ascii="宋体" w:hAnsi="宋体" w:cs="宋体" w:eastAsia="宋体" w:hint="default"/>
                <w:sz w:val="18"/>
                <w:szCs w:val="18"/>
              </w:rPr>
              <w:t>对净利润的影响</w:t>
            </w:r>
          </w:p>
        </w:tc>
        <w:tc>
          <w:tcPr>
            <w:tcW w:w="1702" w:type="dxa"/>
            <w:tcBorders>
              <w:top w:val="single" w:sz="8" w:space="0" w:color="000000"/>
              <w:left w:val="single" w:sz="6" w:space="0" w:color="000000"/>
              <w:bottom w:val="single" w:sz="8" w:space="0" w:color="000000"/>
              <w:right w:val="single" w:sz="6" w:space="0" w:color="000000"/>
            </w:tcBorders>
            <w:shd w:val="clear" w:color="auto" w:fill="D9D9D9"/>
          </w:tcPr>
          <w:p>
            <w:pPr>
              <w:pStyle w:val="TableParagraph"/>
              <w:spacing w:line="240" w:lineRule="auto" w:before="13"/>
              <w:ind w:right="33"/>
              <w:jc w:val="right"/>
              <w:rPr>
                <w:rFonts w:ascii="宋体" w:hAnsi="宋体" w:cs="宋体" w:eastAsia="宋体" w:hint="default"/>
                <w:sz w:val="18"/>
                <w:szCs w:val="18"/>
              </w:rPr>
            </w:pPr>
            <w:r>
              <w:rPr>
                <w:rFonts w:ascii="宋体" w:hAnsi="宋体" w:cs="宋体" w:eastAsia="宋体" w:hint="default"/>
                <w:sz w:val="18"/>
                <w:szCs w:val="18"/>
              </w:rPr>
              <w:t>对所有者权益的影响</w:t>
            </w:r>
          </w:p>
        </w:tc>
        <w:tc>
          <w:tcPr>
            <w:tcW w:w="1702" w:type="dxa"/>
            <w:tcBorders>
              <w:top w:val="single" w:sz="6" w:space="0" w:color="000000"/>
              <w:left w:val="single" w:sz="6" w:space="0" w:color="000000"/>
              <w:bottom w:val="single" w:sz="8" w:space="0" w:color="000000"/>
              <w:right w:val="single" w:sz="4" w:space="0" w:color="000000"/>
            </w:tcBorders>
            <w:shd w:val="clear" w:color="auto" w:fill="D9D9D9"/>
          </w:tcPr>
          <w:p>
            <w:pPr>
              <w:pStyle w:val="TableParagraph"/>
              <w:spacing w:line="240" w:lineRule="auto" w:before="15"/>
              <w:ind w:left="211" w:right="0"/>
              <w:jc w:val="left"/>
              <w:rPr>
                <w:rFonts w:ascii="宋体" w:hAnsi="宋体" w:cs="宋体" w:eastAsia="宋体" w:hint="default"/>
                <w:sz w:val="18"/>
                <w:szCs w:val="18"/>
              </w:rPr>
            </w:pPr>
            <w:r>
              <w:rPr>
                <w:rFonts w:ascii="宋体" w:hAnsi="宋体" w:cs="宋体" w:eastAsia="宋体" w:hint="default"/>
                <w:sz w:val="18"/>
                <w:szCs w:val="18"/>
              </w:rPr>
              <w:t>对净利润的影响</w:t>
            </w:r>
          </w:p>
        </w:tc>
        <w:tc>
          <w:tcPr>
            <w:tcW w:w="19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7"/>
              <w:ind w:left="175" w:right="0"/>
              <w:jc w:val="left"/>
              <w:rPr>
                <w:rFonts w:ascii="宋体" w:hAnsi="宋体" w:cs="宋体" w:eastAsia="宋体" w:hint="default"/>
                <w:sz w:val="18"/>
                <w:szCs w:val="18"/>
              </w:rPr>
            </w:pPr>
            <w:r>
              <w:rPr>
                <w:rFonts w:ascii="宋体" w:hAnsi="宋体" w:cs="宋体" w:eastAsia="宋体" w:hint="default"/>
                <w:sz w:val="18"/>
                <w:szCs w:val="18"/>
              </w:rPr>
              <w:t>对所有者权益的影响</w:t>
            </w:r>
          </w:p>
        </w:tc>
      </w:tr>
      <w:tr>
        <w:trPr>
          <w:trHeight w:val="348" w:hRule="exact"/>
        </w:trPr>
        <w:tc>
          <w:tcPr>
            <w:tcW w:w="960"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15"/>
              <w:ind w:left="4" w:right="0"/>
              <w:jc w:val="left"/>
              <w:rPr>
                <w:rFonts w:ascii="宋体" w:hAnsi="宋体" w:cs="宋体" w:eastAsia="宋体" w:hint="default"/>
                <w:sz w:val="18"/>
                <w:szCs w:val="18"/>
              </w:rPr>
            </w:pPr>
            <w:r>
              <w:rPr>
                <w:rFonts w:ascii="宋体" w:hAnsi="宋体" w:cs="宋体" w:eastAsia="宋体" w:hint="default"/>
                <w:sz w:val="18"/>
                <w:szCs w:val="18"/>
              </w:rPr>
              <w:t>所有外币</w:t>
            </w:r>
          </w:p>
        </w:tc>
        <w:tc>
          <w:tcPr>
            <w:tcW w:w="1558"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15"/>
              <w:ind w:left="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对人民币升值</w:t>
            </w:r>
            <w:r>
              <w:rPr>
                <w:rFonts w:ascii="Times New Roman" w:hAnsi="Times New Roman" w:cs="Times New Roman" w:eastAsia="Times New Roman" w:hint="default"/>
                <w:sz w:val="18"/>
                <w:szCs w:val="18"/>
              </w:rPr>
              <w:t>5%</w:t>
            </w:r>
          </w:p>
        </w:tc>
        <w:tc>
          <w:tcPr>
            <w:tcW w:w="1736"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57"/>
              <w:ind w:right="0"/>
              <w:jc w:val="right"/>
              <w:rPr>
                <w:rFonts w:ascii="Times New Roman" w:hAnsi="Times New Roman" w:cs="Times New Roman" w:eastAsia="Times New Roman" w:hint="default"/>
                <w:sz w:val="18"/>
                <w:szCs w:val="18"/>
              </w:rPr>
            </w:pPr>
            <w:r>
              <w:rPr>
                <w:rFonts w:ascii="Times New Roman"/>
                <w:spacing w:val="-1"/>
                <w:sz w:val="18"/>
              </w:rPr>
              <w:t>14,882,517.40</w:t>
            </w:r>
          </w:p>
        </w:tc>
        <w:tc>
          <w:tcPr>
            <w:tcW w:w="1702"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57"/>
              <w:ind w:right="0"/>
              <w:jc w:val="right"/>
              <w:rPr>
                <w:rFonts w:ascii="Times New Roman" w:hAnsi="Times New Roman" w:cs="Times New Roman" w:eastAsia="Times New Roman" w:hint="default"/>
                <w:sz w:val="18"/>
                <w:szCs w:val="18"/>
              </w:rPr>
            </w:pPr>
            <w:r>
              <w:rPr>
                <w:rFonts w:ascii="Times New Roman"/>
                <w:spacing w:val="-1"/>
                <w:sz w:val="18"/>
              </w:rPr>
              <w:t>34,029,745.45</w:t>
            </w:r>
          </w:p>
        </w:tc>
        <w:tc>
          <w:tcPr>
            <w:tcW w:w="1702" w:type="dxa"/>
            <w:tcBorders>
              <w:top w:val="single" w:sz="8" w:space="0" w:color="000000"/>
              <w:left w:val="single" w:sz="6" w:space="0" w:color="000000"/>
              <w:bottom w:val="single" w:sz="8" w:space="0" w:color="000000"/>
              <w:right w:val="single" w:sz="4" w:space="0" w:color="000000"/>
            </w:tcBorders>
          </w:tcPr>
          <w:p>
            <w:pPr>
              <w:pStyle w:val="TableParagraph"/>
              <w:spacing w:line="240" w:lineRule="auto" w:before="57"/>
              <w:ind w:right="5"/>
              <w:jc w:val="right"/>
              <w:rPr>
                <w:rFonts w:ascii="Times New Roman" w:hAnsi="Times New Roman" w:cs="Times New Roman" w:eastAsia="Times New Roman" w:hint="default"/>
                <w:sz w:val="18"/>
                <w:szCs w:val="18"/>
              </w:rPr>
            </w:pPr>
            <w:r>
              <w:rPr>
                <w:rFonts w:ascii="Times New Roman"/>
                <w:spacing w:val="-1"/>
                <w:sz w:val="18"/>
              </w:rPr>
              <w:t>10,275,307.19</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spacing w:val="-1"/>
                <w:sz w:val="18"/>
              </w:rPr>
              <w:t>29,887,760.99</w:t>
            </w:r>
          </w:p>
        </w:tc>
      </w:tr>
      <w:tr>
        <w:trPr>
          <w:trHeight w:val="348" w:hRule="exact"/>
        </w:trPr>
        <w:tc>
          <w:tcPr>
            <w:tcW w:w="960"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13"/>
              <w:ind w:left="4" w:right="0"/>
              <w:jc w:val="left"/>
              <w:rPr>
                <w:rFonts w:ascii="宋体" w:hAnsi="宋体" w:cs="宋体" w:eastAsia="宋体" w:hint="default"/>
                <w:sz w:val="18"/>
                <w:szCs w:val="18"/>
              </w:rPr>
            </w:pPr>
            <w:r>
              <w:rPr>
                <w:rFonts w:ascii="宋体" w:hAnsi="宋体" w:cs="宋体" w:eastAsia="宋体" w:hint="default"/>
                <w:sz w:val="18"/>
                <w:szCs w:val="18"/>
              </w:rPr>
              <w:t>所有外币</w:t>
            </w:r>
          </w:p>
        </w:tc>
        <w:tc>
          <w:tcPr>
            <w:tcW w:w="1558"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13"/>
              <w:ind w:left="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对人民币贬值</w:t>
            </w:r>
            <w:r>
              <w:rPr>
                <w:rFonts w:ascii="Times New Roman" w:hAnsi="Times New Roman" w:cs="Times New Roman" w:eastAsia="Times New Roman" w:hint="default"/>
                <w:sz w:val="18"/>
                <w:szCs w:val="18"/>
              </w:rPr>
              <w:t>5%</w:t>
            </w:r>
          </w:p>
        </w:tc>
        <w:tc>
          <w:tcPr>
            <w:tcW w:w="1736"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55"/>
              <w:ind w:right="-1"/>
              <w:jc w:val="right"/>
              <w:rPr>
                <w:rFonts w:ascii="Times New Roman" w:hAnsi="Times New Roman" w:cs="Times New Roman" w:eastAsia="Times New Roman" w:hint="default"/>
                <w:sz w:val="18"/>
                <w:szCs w:val="18"/>
              </w:rPr>
            </w:pPr>
            <w:r>
              <w:rPr>
                <w:rFonts w:ascii="Times New Roman"/>
                <w:spacing w:val="-1"/>
                <w:sz w:val="18"/>
              </w:rPr>
              <w:t>-14,882,517.40</w:t>
            </w:r>
          </w:p>
        </w:tc>
        <w:tc>
          <w:tcPr>
            <w:tcW w:w="1702"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55"/>
              <w:ind w:right="0"/>
              <w:jc w:val="right"/>
              <w:rPr>
                <w:rFonts w:ascii="Times New Roman" w:hAnsi="Times New Roman" w:cs="Times New Roman" w:eastAsia="Times New Roman" w:hint="default"/>
                <w:sz w:val="18"/>
                <w:szCs w:val="18"/>
              </w:rPr>
            </w:pPr>
            <w:r>
              <w:rPr>
                <w:rFonts w:ascii="Times New Roman"/>
                <w:spacing w:val="-1"/>
                <w:sz w:val="18"/>
              </w:rPr>
              <w:t>-34,029,745.45</w:t>
            </w:r>
          </w:p>
        </w:tc>
        <w:tc>
          <w:tcPr>
            <w:tcW w:w="1702" w:type="dxa"/>
            <w:tcBorders>
              <w:top w:val="single" w:sz="8" w:space="0" w:color="000000"/>
              <w:left w:val="single" w:sz="6" w:space="0" w:color="000000"/>
              <w:bottom w:val="single" w:sz="8" w:space="0" w:color="000000"/>
              <w:right w:val="single" w:sz="4" w:space="0" w:color="000000"/>
            </w:tcBorders>
          </w:tcPr>
          <w:p>
            <w:pPr>
              <w:pStyle w:val="TableParagraph"/>
              <w:spacing w:line="240" w:lineRule="auto" w:before="55"/>
              <w:ind w:right="5"/>
              <w:jc w:val="right"/>
              <w:rPr>
                <w:rFonts w:ascii="Times New Roman" w:hAnsi="Times New Roman" w:cs="Times New Roman" w:eastAsia="Times New Roman" w:hint="default"/>
                <w:sz w:val="18"/>
                <w:szCs w:val="18"/>
              </w:rPr>
            </w:pPr>
            <w:r>
              <w:rPr>
                <w:rFonts w:ascii="Times New Roman"/>
                <w:spacing w:val="-1"/>
                <w:sz w:val="18"/>
              </w:rPr>
              <w:t>-10,275,307.19</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2"/>
              <w:jc w:val="right"/>
              <w:rPr>
                <w:rFonts w:ascii="Times New Roman" w:hAnsi="Times New Roman" w:cs="Times New Roman" w:eastAsia="Times New Roman" w:hint="default"/>
                <w:sz w:val="18"/>
                <w:szCs w:val="18"/>
              </w:rPr>
            </w:pPr>
            <w:r>
              <w:rPr>
                <w:rFonts w:ascii="Times New Roman"/>
                <w:spacing w:val="-1"/>
                <w:sz w:val="18"/>
              </w:rPr>
              <w:t>-29,887,760.99</w:t>
            </w:r>
          </w:p>
        </w:tc>
      </w:tr>
    </w:tbl>
    <w:p>
      <w:pPr>
        <w:spacing w:line="240" w:lineRule="auto" w:before="5"/>
        <w:rPr>
          <w:rFonts w:ascii="宋体" w:hAnsi="宋体" w:cs="宋体" w:eastAsia="宋体" w:hint="default"/>
          <w:sz w:val="6"/>
          <w:szCs w:val="6"/>
        </w:rPr>
      </w:pPr>
    </w:p>
    <w:p>
      <w:pPr>
        <w:pStyle w:val="BodyText"/>
        <w:spacing w:line="240" w:lineRule="auto" w:before="44"/>
        <w:ind w:left="513" w:right="982"/>
        <w:jc w:val="left"/>
      </w:pPr>
      <w:r>
        <w:rPr/>
        <w:t>（</w:t>
      </w:r>
      <w:r>
        <w:rPr>
          <w:rFonts w:ascii="Times New Roman" w:hAnsi="Times New Roman" w:cs="Times New Roman" w:eastAsia="Times New Roman" w:hint="default"/>
        </w:rPr>
        <w:t>2</w:t>
      </w:r>
      <w:r>
        <w:rPr/>
        <w:t>）利率风险敏感性分析</w:t>
      </w:r>
    </w:p>
    <w:p>
      <w:pPr>
        <w:spacing w:line="240" w:lineRule="auto" w:before="13"/>
        <w:rPr>
          <w:rFonts w:ascii="宋体" w:hAnsi="宋体" w:cs="宋体" w:eastAsia="宋体" w:hint="default"/>
          <w:sz w:val="13"/>
          <w:szCs w:val="13"/>
        </w:rPr>
      </w:pPr>
    </w:p>
    <w:p>
      <w:pPr>
        <w:pStyle w:val="BodyText"/>
        <w:spacing w:line="316" w:lineRule="auto"/>
        <w:ind w:right="1132" w:firstLine="360"/>
        <w:jc w:val="both"/>
      </w:pPr>
      <w:r>
        <w:rPr>
          <w:spacing w:val="-2"/>
        </w:rPr>
        <w:t>利率风险敏感性分析基于下述假设：市场利率变化影响可变利率金融工具的利息收入或费用；对于以公允价值计量的固</w:t>
      </w:r>
      <w:r>
        <w:rPr/>
        <w:t> </w:t>
      </w:r>
      <w:r>
        <w:rPr>
          <w:spacing w:val="-2"/>
        </w:rPr>
        <w:t>定利率金融工具，市场利率变化仅仅影响其利息收入或费用；以资产负债表日市场利率采用现金流量折现法计算衍生金融工</w:t>
      </w:r>
      <w:r>
        <w:rPr>
          <w:spacing w:val="-64"/>
        </w:rPr>
        <w:t> </w:t>
      </w:r>
      <w:r>
        <w:rPr>
          <w:spacing w:val="-64"/>
        </w:rPr>
      </w:r>
      <w:r>
        <w:rPr/>
        <w:t>具及其它金融资产和负债的公允价值变化。</w:t>
      </w:r>
    </w:p>
    <w:p>
      <w:pPr>
        <w:pStyle w:val="BodyText"/>
        <w:spacing w:line="300" w:lineRule="auto" w:before="139"/>
        <w:ind w:right="1129" w:firstLine="360"/>
        <w:jc w:val="both"/>
      </w:pPr>
      <w:r>
        <w:rPr>
          <w:spacing w:val="-2"/>
        </w:rPr>
        <w:t>在上述假设的基础上，在其它变量不变的情况下，由于本集团截至</w:t>
      </w:r>
      <w:r>
        <w:rPr>
          <w:rFonts w:ascii="Times New Roman" w:hAnsi="Times New Roman" w:cs="Times New Roman" w:eastAsia="Times New Roman" w:hint="default"/>
          <w:spacing w:val="-2"/>
        </w:rPr>
        <w:t>2018</w:t>
      </w:r>
      <w:r>
        <w:rPr>
          <w:spacing w:val="-2"/>
        </w:rPr>
        <w:t>年末已无浮动利率借款，因此利率的合理变动对</w:t>
      </w:r>
      <w:r>
        <w:rPr/>
        <w:t> 当期损益和权益不产生影响。</w:t>
      </w:r>
    </w:p>
    <w:p>
      <w:pPr>
        <w:spacing w:line="240" w:lineRule="auto" w:before="11"/>
        <w:rPr>
          <w:rFonts w:ascii="宋体" w:hAnsi="宋体" w:cs="宋体" w:eastAsia="宋体" w:hint="default"/>
          <w:sz w:val="21"/>
          <w:szCs w:val="21"/>
        </w:rPr>
      </w:pPr>
    </w:p>
    <w:p>
      <w:pPr>
        <w:pStyle w:val="Heading2"/>
        <w:spacing w:line="240" w:lineRule="auto"/>
        <w:ind w:right="982"/>
        <w:jc w:val="left"/>
        <w:rPr>
          <w:b w:val="0"/>
          <w:bCs w:val="0"/>
        </w:rPr>
      </w:pPr>
      <w:r>
        <w:rPr/>
        <w:t>十一、公允价值的披露</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right="982"/>
        <w:jc w:val="left"/>
        <w:rPr>
          <w:b w:val="0"/>
          <w:bCs w:val="0"/>
        </w:rPr>
      </w:pPr>
      <w:r>
        <w:rPr>
          <w:rFonts w:ascii="Times New Roman" w:hAnsi="Times New Roman" w:cs="Times New Roman" w:eastAsia="Times New Roman" w:hint="default"/>
        </w:rPr>
        <w:t>1</w:t>
      </w:r>
      <w:r>
        <w:rPr/>
        <w:t>、以公允价值计量的资产和负债的期末公允价值</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813"/>
        <w:gridCol w:w="1696"/>
        <w:gridCol w:w="1683"/>
        <w:gridCol w:w="1685"/>
        <w:gridCol w:w="1685"/>
      </w:tblGrid>
      <w:tr>
        <w:trPr>
          <w:trHeight w:val="397" w:hRule="exact"/>
        </w:trPr>
        <w:tc>
          <w:tcPr>
            <w:tcW w:w="2813" w:type="dxa"/>
            <w:tcBorders>
              <w:top w:val="single" w:sz="4" w:space="0" w:color="000000"/>
              <w:left w:val="single" w:sz="4" w:space="0" w:color="000000"/>
              <w:bottom w:val="nil" w:sz="6" w:space="0" w:color="auto"/>
              <w:right w:val="single" w:sz="4" w:space="0" w:color="000000"/>
            </w:tcBorders>
            <w:shd w:val="clear" w:color="auto" w:fill="D2D2D2"/>
          </w:tcPr>
          <w:p>
            <w:pPr/>
          </w:p>
        </w:tc>
        <w:tc>
          <w:tcPr>
            <w:tcW w:w="674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8" w:right="0"/>
              <w:jc w:val="center"/>
              <w:rPr>
                <w:rFonts w:ascii="宋体" w:hAnsi="宋体" w:cs="宋体" w:eastAsia="宋体" w:hint="default"/>
                <w:sz w:val="18"/>
                <w:szCs w:val="18"/>
              </w:rPr>
            </w:pPr>
            <w:r>
              <w:rPr>
                <w:rFonts w:ascii="宋体" w:hAnsi="宋体" w:cs="宋体" w:eastAsia="宋体" w:hint="default"/>
                <w:sz w:val="18"/>
                <w:szCs w:val="18"/>
              </w:rPr>
              <w:t>期末公允价值</w:t>
            </w:r>
          </w:p>
        </w:tc>
      </w:tr>
      <w:tr>
        <w:trPr>
          <w:trHeight w:val="166" w:hRule="exact"/>
        </w:trPr>
        <w:tc>
          <w:tcPr>
            <w:tcW w:w="281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3"/>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69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3"/>
              <w:ind w:left="757" w:right="26" w:hanging="720"/>
              <w:jc w:val="left"/>
              <w:rPr>
                <w:rFonts w:ascii="宋体" w:hAnsi="宋体" w:cs="宋体" w:eastAsia="宋体" w:hint="default"/>
                <w:sz w:val="18"/>
                <w:szCs w:val="18"/>
              </w:rPr>
            </w:pPr>
            <w:r>
              <w:rPr>
                <w:rFonts w:ascii="宋体" w:hAnsi="宋体" w:cs="宋体" w:eastAsia="宋体" w:hint="default"/>
                <w:sz w:val="18"/>
                <w:szCs w:val="18"/>
              </w:rPr>
              <w:t>第一层次公允价值计 量</w:t>
            </w:r>
          </w:p>
        </w:tc>
        <w:tc>
          <w:tcPr>
            <w:tcW w:w="1683"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3"/>
              <w:ind w:left="746" w:right="24" w:hanging="720"/>
              <w:jc w:val="left"/>
              <w:rPr>
                <w:rFonts w:ascii="宋体" w:hAnsi="宋体" w:cs="宋体" w:eastAsia="宋体" w:hint="default"/>
                <w:sz w:val="18"/>
                <w:szCs w:val="18"/>
              </w:rPr>
            </w:pPr>
            <w:r>
              <w:rPr>
                <w:rFonts w:ascii="宋体" w:hAnsi="宋体" w:cs="宋体" w:eastAsia="宋体" w:hint="default"/>
                <w:sz w:val="18"/>
                <w:szCs w:val="18"/>
              </w:rPr>
              <w:t>第二层次公允价值计 量</w:t>
            </w:r>
          </w:p>
        </w:tc>
        <w:tc>
          <w:tcPr>
            <w:tcW w:w="1685"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3"/>
              <w:ind w:left="746" w:right="26" w:hanging="720"/>
              <w:jc w:val="left"/>
              <w:rPr>
                <w:rFonts w:ascii="宋体" w:hAnsi="宋体" w:cs="宋体" w:eastAsia="宋体" w:hint="default"/>
                <w:sz w:val="18"/>
                <w:szCs w:val="18"/>
              </w:rPr>
            </w:pPr>
            <w:r>
              <w:rPr>
                <w:rFonts w:ascii="宋体" w:hAnsi="宋体" w:cs="宋体" w:eastAsia="宋体" w:hint="default"/>
                <w:sz w:val="18"/>
                <w:szCs w:val="18"/>
              </w:rPr>
              <w:t>第三层次公允价值计 量</w:t>
            </w:r>
          </w:p>
        </w:tc>
        <w:tc>
          <w:tcPr>
            <w:tcW w:w="1685"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2" w:hRule="exact"/>
        </w:trPr>
        <w:tc>
          <w:tcPr>
            <w:tcW w:w="2813" w:type="dxa"/>
            <w:vMerge/>
            <w:tcBorders>
              <w:left w:val="single" w:sz="4" w:space="0" w:color="000000"/>
              <w:bottom w:val="nil" w:sz="6" w:space="0" w:color="auto"/>
              <w:right w:val="single" w:sz="4" w:space="0" w:color="000000"/>
            </w:tcBorders>
            <w:shd w:val="clear" w:color="auto" w:fill="D2D2D2"/>
          </w:tcPr>
          <w:p>
            <w:pPr/>
          </w:p>
        </w:tc>
        <w:tc>
          <w:tcPr>
            <w:tcW w:w="1696" w:type="dxa"/>
            <w:vMerge/>
            <w:tcBorders>
              <w:left w:val="single" w:sz="4" w:space="0" w:color="000000"/>
              <w:right w:val="single" w:sz="4" w:space="0" w:color="000000"/>
            </w:tcBorders>
            <w:shd w:val="clear" w:color="auto" w:fill="D2D2D2"/>
          </w:tcPr>
          <w:p>
            <w:pPr/>
          </w:p>
        </w:tc>
        <w:tc>
          <w:tcPr>
            <w:tcW w:w="1683" w:type="dxa"/>
            <w:vMerge/>
            <w:tcBorders>
              <w:left w:val="single" w:sz="4" w:space="0" w:color="000000"/>
              <w:right w:val="single" w:sz="4" w:space="0" w:color="000000"/>
            </w:tcBorders>
            <w:shd w:val="clear" w:color="auto" w:fill="D2D2D2"/>
          </w:tcPr>
          <w:p>
            <w:pPr/>
          </w:p>
        </w:tc>
        <w:tc>
          <w:tcPr>
            <w:tcW w:w="1685" w:type="dxa"/>
            <w:vMerge/>
            <w:tcBorders>
              <w:left w:val="single" w:sz="4" w:space="0" w:color="000000"/>
              <w:right w:val="single" w:sz="4" w:space="0" w:color="000000"/>
            </w:tcBorders>
            <w:shd w:val="clear" w:color="auto" w:fill="D2D2D2"/>
          </w:tcPr>
          <w:p>
            <w:pPr/>
          </w:p>
        </w:tc>
        <w:tc>
          <w:tcPr>
            <w:tcW w:w="168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199" w:hRule="exact"/>
        </w:trPr>
        <w:tc>
          <w:tcPr>
            <w:tcW w:w="2813" w:type="dxa"/>
            <w:vMerge w:val="restart"/>
            <w:tcBorders>
              <w:top w:val="nil" w:sz="6" w:space="0" w:color="auto"/>
              <w:left w:val="single" w:sz="4" w:space="0" w:color="000000"/>
              <w:right w:val="single" w:sz="4" w:space="0" w:color="000000"/>
            </w:tcBorders>
            <w:shd w:val="clear" w:color="auto" w:fill="D2D2D2"/>
          </w:tcPr>
          <w:p>
            <w:pPr/>
          </w:p>
        </w:tc>
        <w:tc>
          <w:tcPr>
            <w:tcW w:w="1696" w:type="dxa"/>
            <w:vMerge/>
            <w:tcBorders>
              <w:left w:val="single" w:sz="4" w:space="0" w:color="000000"/>
              <w:right w:val="single" w:sz="4" w:space="0" w:color="000000"/>
            </w:tcBorders>
            <w:shd w:val="clear" w:color="auto" w:fill="D2D2D2"/>
          </w:tcPr>
          <w:p>
            <w:pPr/>
          </w:p>
        </w:tc>
        <w:tc>
          <w:tcPr>
            <w:tcW w:w="1683" w:type="dxa"/>
            <w:vMerge/>
            <w:tcBorders>
              <w:left w:val="single" w:sz="4" w:space="0" w:color="000000"/>
              <w:right w:val="single" w:sz="4" w:space="0" w:color="000000"/>
            </w:tcBorders>
            <w:shd w:val="clear" w:color="auto" w:fill="D2D2D2"/>
          </w:tcPr>
          <w:p>
            <w:pPr/>
          </w:p>
        </w:tc>
        <w:tc>
          <w:tcPr>
            <w:tcW w:w="1685" w:type="dxa"/>
            <w:vMerge/>
            <w:tcBorders>
              <w:left w:val="single" w:sz="4" w:space="0" w:color="000000"/>
              <w:right w:val="single" w:sz="4" w:space="0" w:color="000000"/>
            </w:tcBorders>
            <w:shd w:val="clear" w:color="auto" w:fill="D2D2D2"/>
          </w:tcPr>
          <w:p>
            <w:pPr/>
          </w:p>
        </w:tc>
        <w:tc>
          <w:tcPr>
            <w:tcW w:w="1685" w:type="dxa"/>
            <w:vMerge/>
            <w:tcBorders>
              <w:left w:val="single" w:sz="4" w:space="0" w:color="000000"/>
              <w:bottom w:val="nil" w:sz="6" w:space="0" w:color="auto"/>
              <w:right w:val="single" w:sz="4" w:space="0" w:color="000000"/>
            </w:tcBorders>
            <w:shd w:val="clear" w:color="auto" w:fill="D2D2D2"/>
          </w:tcPr>
          <w:p>
            <w:pPr/>
          </w:p>
        </w:tc>
      </w:tr>
      <w:tr>
        <w:trPr>
          <w:trHeight w:val="162" w:hRule="exact"/>
        </w:trPr>
        <w:tc>
          <w:tcPr>
            <w:tcW w:w="2813" w:type="dxa"/>
            <w:vMerge/>
            <w:tcBorders>
              <w:left w:val="single" w:sz="4" w:space="0" w:color="000000"/>
              <w:bottom w:val="single" w:sz="4" w:space="0" w:color="000000"/>
              <w:right w:val="single" w:sz="4" w:space="0" w:color="000000"/>
            </w:tcBorders>
            <w:shd w:val="clear" w:color="auto" w:fill="D2D2D2"/>
          </w:tcPr>
          <w:p>
            <w:pPr/>
          </w:p>
        </w:tc>
        <w:tc>
          <w:tcPr>
            <w:tcW w:w="1696" w:type="dxa"/>
            <w:vMerge/>
            <w:tcBorders>
              <w:left w:val="single" w:sz="4" w:space="0" w:color="000000"/>
              <w:bottom w:val="single" w:sz="4" w:space="0" w:color="000000"/>
              <w:right w:val="single" w:sz="4" w:space="0" w:color="000000"/>
            </w:tcBorders>
            <w:shd w:val="clear" w:color="auto" w:fill="D2D2D2"/>
          </w:tcPr>
          <w:p>
            <w:pPr/>
          </w:p>
        </w:tc>
        <w:tc>
          <w:tcPr>
            <w:tcW w:w="1683" w:type="dxa"/>
            <w:vMerge/>
            <w:tcBorders>
              <w:left w:val="single" w:sz="4" w:space="0" w:color="000000"/>
              <w:bottom w:val="single" w:sz="4" w:space="0" w:color="000000"/>
              <w:right w:val="single" w:sz="4" w:space="0" w:color="000000"/>
            </w:tcBorders>
            <w:shd w:val="clear" w:color="auto" w:fill="D2D2D2"/>
          </w:tcPr>
          <w:p>
            <w:pPr/>
          </w:p>
        </w:tc>
        <w:tc>
          <w:tcPr>
            <w:tcW w:w="1685" w:type="dxa"/>
            <w:vMerge/>
            <w:tcBorders>
              <w:left w:val="single" w:sz="4" w:space="0" w:color="000000"/>
              <w:bottom w:val="single" w:sz="4" w:space="0" w:color="000000"/>
              <w:right w:val="single" w:sz="4" w:space="0" w:color="000000"/>
            </w:tcBorders>
            <w:shd w:val="clear" w:color="auto" w:fill="D2D2D2"/>
          </w:tcPr>
          <w:p>
            <w:pPr/>
          </w:p>
        </w:tc>
        <w:tc>
          <w:tcPr>
            <w:tcW w:w="1685"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2" w:hRule="exact"/>
        </w:trPr>
        <w:tc>
          <w:tcPr>
            <w:tcW w:w="2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一、持续的公允价值计量</w:t>
            </w:r>
          </w:p>
        </w:tc>
        <w:tc>
          <w:tcPr>
            <w:tcW w:w="16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788" w:right="0"/>
              <w:jc w:val="left"/>
              <w:rPr>
                <w:rFonts w:ascii="Times New Roman" w:hAnsi="Times New Roman" w:cs="Times New Roman" w:eastAsia="Times New Roman" w:hint="default"/>
                <w:sz w:val="18"/>
                <w:szCs w:val="18"/>
              </w:rPr>
            </w:pPr>
            <w:r>
              <w:rPr>
                <w:rFonts w:ascii="Times New Roman"/>
                <w:sz w:val="18"/>
              </w:rPr>
              <w:t>--</w:t>
            </w:r>
          </w:p>
        </w:tc>
        <w:tc>
          <w:tcPr>
            <w:tcW w:w="16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777" w:right="0"/>
              <w:jc w:val="left"/>
              <w:rPr>
                <w:rFonts w:ascii="Times New Roman" w:hAnsi="Times New Roman" w:cs="Times New Roman" w:eastAsia="Times New Roman" w:hint="default"/>
                <w:sz w:val="18"/>
                <w:szCs w:val="18"/>
              </w:rPr>
            </w:pPr>
            <w:r>
              <w:rPr>
                <w:rFonts w:ascii="Times New Roman"/>
                <w:sz w:val="18"/>
              </w:rPr>
              <w:t>--</w:t>
            </w:r>
          </w:p>
        </w:tc>
        <w:tc>
          <w:tcPr>
            <w:tcW w:w="16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c>
          <w:tcPr>
            <w:tcW w:w="16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r>
      <w:tr>
        <w:trPr>
          <w:trHeight w:val="401" w:hRule="exact"/>
        </w:trPr>
        <w:tc>
          <w:tcPr>
            <w:tcW w:w="2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169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29,928,239.11</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29,928,239.11</w:t>
            </w:r>
          </w:p>
        </w:tc>
      </w:tr>
      <w:tr>
        <w:trPr>
          <w:trHeight w:val="403" w:hRule="exact"/>
        </w:trPr>
        <w:tc>
          <w:tcPr>
            <w:tcW w:w="2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其中：发行的交易性债券</w:t>
            </w:r>
          </w:p>
        </w:tc>
        <w:tc>
          <w:tcPr>
            <w:tcW w:w="169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2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衍生金融负债</w:t>
            </w:r>
          </w:p>
        </w:tc>
        <w:tc>
          <w:tcPr>
            <w:tcW w:w="169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其他</w:t>
            </w:r>
          </w:p>
        </w:tc>
        <w:tc>
          <w:tcPr>
            <w:tcW w:w="169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pacing w:val="-1"/>
                <w:sz w:val="18"/>
              </w:rPr>
              <w:t>29,928,239.11</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pacing w:val="-1"/>
                <w:sz w:val="18"/>
              </w:rPr>
              <w:t>29,928,239.11</w:t>
            </w:r>
          </w:p>
        </w:tc>
      </w:tr>
      <w:tr>
        <w:trPr>
          <w:trHeight w:val="401" w:hRule="exact"/>
        </w:trPr>
        <w:tc>
          <w:tcPr>
            <w:tcW w:w="2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持续以公允价值计量的负债总额</w:t>
            </w:r>
          </w:p>
        </w:tc>
        <w:tc>
          <w:tcPr>
            <w:tcW w:w="169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29,928,239.11</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29,928,239.11</w:t>
            </w:r>
          </w:p>
        </w:tc>
      </w:tr>
      <w:tr>
        <w:trPr>
          <w:trHeight w:val="403" w:hRule="exact"/>
        </w:trPr>
        <w:tc>
          <w:tcPr>
            <w:tcW w:w="2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二、非持续的公允价值计量</w:t>
            </w:r>
          </w:p>
        </w:tc>
        <w:tc>
          <w:tcPr>
            <w:tcW w:w="16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left="788" w:right="0"/>
              <w:jc w:val="left"/>
              <w:rPr>
                <w:rFonts w:ascii="Times New Roman" w:hAnsi="Times New Roman" w:cs="Times New Roman" w:eastAsia="Times New Roman" w:hint="default"/>
                <w:sz w:val="18"/>
                <w:szCs w:val="18"/>
              </w:rPr>
            </w:pPr>
            <w:r>
              <w:rPr>
                <w:rFonts w:ascii="Times New Roman"/>
                <w:sz w:val="18"/>
              </w:rPr>
              <w:t>--</w:t>
            </w:r>
          </w:p>
        </w:tc>
        <w:tc>
          <w:tcPr>
            <w:tcW w:w="16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left="777" w:right="0"/>
              <w:jc w:val="left"/>
              <w:rPr>
                <w:rFonts w:ascii="Times New Roman" w:hAnsi="Times New Roman" w:cs="Times New Roman" w:eastAsia="Times New Roman" w:hint="default"/>
                <w:sz w:val="18"/>
                <w:szCs w:val="18"/>
              </w:rPr>
            </w:pPr>
            <w:r>
              <w:rPr>
                <w:rFonts w:ascii="Times New Roman"/>
                <w:sz w:val="18"/>
              </w:rPr>
              <w:t>--</w:t>
            </w:r>
          </w:p>
        </w:tc>
        <w:tc>
          <w:tcPr>
            <w:tcW w:w="16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w:t>
            </w:r>
          </w:p>
        </w:tc>
        <w:tc>
          <w:tcPr>
            <w:tcW w:w="16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w:t>
            </w:r>
          </w:p>
        </w:tc>
      </w:tr>
    </w:tbl>
    <w:p>
      <w:pPr>
        <w:pStyle w:val="Heading4"/>
        <w:spacing w:line="240" w:lineRule="auto" w:before="64"/>
        <w:ind w:right="982"/>
        <w:jc w:val="left"/>
        <w:rPr>
          <w:b w:val="0"/>
          <w:bCs w:val="0"/>
        </w:rPr>
      </w:pPr>
      <w:r>
        <w:rPr>
          <w:rFonts w:ascii="Times New Roman" w:hAnsi="Times New Roman" w:cs="Times New Roman" w:eastAsia="Times New Roman" w:hint="default"/>
        </w:rPr>
        <w:t>2</w:t>
      </w:r>
      <w:r>
        <w:rPr/>
        <w:t>、持续和非持续第一层次公允价值计量项目市价的确定依据</w:t>
      </w:r>
      <w:r>
        <w:rPr>
          <w:b w:val="0"/>
          <w:bCs w:val="0"/>
        </w:rPr>
      </w:r>
    </w:p>
    <w:p>
      <w:pPr>
        <w:spacing w:line="240" w:lineRule="auto" w:before="4"/>
        <w:rPr>
          <w:rFonts w:ascii="宋体" w:hAnsi="宋体" w:cs="宋体" w:eastAsia="宋体" w:hint="default"/>
          <w:b/>
          <w:bCs/>
          <w:sz w:val="15"/>
          <w:szCs w:val="15"/>
        </w:rPr>
      </w:pPr>
    </w:p>
    <w:p>
      <w:pPr>
        <w:pStyle w:val="BodyText"/>
        <w:spacing w:line="240" w:lineRule="auto"/>
        <w:ind w:right="982"/>
        <w:jc w:val="left"/>
      </w:pPr>
      <w:r>
        <w:rPr/>
        <w:t>无</w:t>
      </w:r>
    </w:p>
    <w:p>
      <w:pPr>
        <w:spacing w:line="240" w:lineRule="auto" w:before="1"/>
        <w:rPr>
          <w:rFonts w:ascii="宋体" w:hAnsi="宋体" w:cs="宋体" w:eastAsia="宋体" w:hint="default"/>
          <w:sz w:val="16"/>
          <w:szCs w:val="16"/>
        </w:rPr>
      </w:pPr>
    </w:p>
    <w:p>
      <w:pPr>
        <w:pStyle w:val="Heading4"/>
        <w:spacing w:line="429" w:lineRule="auto"/>
        <w:ind w:right="2117"/>
        <w:jc w:val="left"/>
        <w:rPr>
          <w:b w:val="0"/>
          <w:bCs w:val="0"/>
        </w:rPr>
      </w:pPr>
      <w:r>
        <w:rPr>
          <w:rFonts w:ascii="Times New Roman" w:hAnsi="Times New Roman" w:cs="Times New Roman" w:eastAsia="Times New Roman" w:hint="default"/>
          <w:spacing w:val="-1"/>
        </w:rPr>
        <w:t>3</w:t>
      </w:r>
      <w:r>
        <w:rPr>
          <w:spacing w:val="-1"/>
        </w:rPr>
        <w:t>、持续和非持续第二层次公允价值计量项目，采用的估值技术和重要参数的定性及定量信息</w:t>
      </w:r>
      <w:r>
        <w:rPr>
          <w:spacing w:val="-67"/>
        </w:rPr>
        <w:t> </w:t>
      </w:r>
      <w:r>
        <w:rPr>
          <w:spacing w:val="-67"/>
        </w:rPr>
      </w:r>
      <w:r>
        <w:rPr>
          <w:rFonts w:ascii="宋体" w:hAnsi="宋体" w:cs="宋体" w:eastAsia="宋体" w:hint="default"/>
          <w:b w:val="0"/>
          <w:bCs w:val="0"/>
          <w:sz w:val="18"/>
          <w:szCs w:val="18"/>
        </w:rPr>
        <w:t>无 </w:t>
      </w:r>
      <w:r>
        <w:rPr>
          <w:rFonts w:ascii="Times New Roman" w:hAnsi="Times New Roman" w:cs="Times New Roman" w:eastAsia="Times New Roman" w:hint="default"/>
          <w:spacing w:val="-1"/>
        </w:rPr>
        <w:t>4</w:t>
      </w:r>
      <w:r>
        <w:rPr>
          <w:spacing w:val="-1"/>
        </w:rPr>
        <w:t>、持续和非持续第三层次公允价值计量项目，采用的估值技术和重要参数的定性及定量信息</w:t>
      </w:r>
      <w:r>
        <w:rPr>
          <w:b w:val="0"/>
          <w:bCs w:val="0"/>
          <w:spacing w:val="-1"/>
        </w:rPr>
      </w:r>
    </w:p>
    <w:p>
      <w:pPr>
        <w:spacing w:line="429" w:lineRule="auto" w:before="16"/>
        <w:ind w:left="152" w:right="1278" w:firstLine="0"/>
        <w:jc w:val="left"/>
        <w:rPr>
          <w:rFonts w:ascii="宋体" w:hAnsi="宋体" w:cs="宋体" w:eastAsia="宋体" w:hint="default"/>
          <w:sz w:val="18"/>
          <w:szCs w:val="18"/>
        </w:rPr>
      </w:pPr>
      <w:r>
        <w:rPr>
          <w:rFonts w:ascii="宋体" w:hAnsi="宋体" w:cs="宋体" w:eastAsia="宋体" w:hint="default"/>
          <w:sz w:val="18"/>
          <w:szCs w:val="18"/>
        </w:rPr>
        <w:t>根据合同相关条款计算确认 </w:t>
      </w:r>
      <w:r>
        <w:rPr>
          <w:rFonts w:ascii="Times New Roman" w:hAnsi="Times New Roman" w:cs="Times New Roman" w:eastAsia="Times New Roman" w:hint="default"/>
          <w:b/>
          <w:bCs/>
          <w:spacing w:val="-1"/>
          <w:sz w:val="21"/>
          <w:szCs w:val="21"/>
        </w:rPr>
        <w:t>5</w:t>
      </w:r>
      <w:r>
        <w:rPr>
          <w:rFonts w:ascii="宋体" w:hAnsi="宋体" w:cs="宋体" w:eastAsia="宋体" w:hint="default"/>
          <w:b/>
          <w:bCs/>
          <w:spacing w:val="-1"/>
          <w:sz w:val="21"/>
          <w:szCs w:val="21"/>
        </w:rPr>
        <w:t>、持续的第三层次公允价值计量项目，期初与期末账面价值间的调节信息及不可观察参数敏感性分析</w:t>
      </w:r>
      <w:r>
        <w:rPr>
          <w:rFonts w:ascii="宋体" w:hAnsi="宋体" w:cs="宋体" w:eastAsia="宋体" w:hint="default"/>
          <w:b/>
          <w:bCs/>
          <w:spacing w:val="-65"/>
          <w:sz w:val="21"/>
          <w:szCs w:val="21"/>
        </w:rPr>
        <w:t> </w:t>
      </w:r>
      <w:r>
        <w:rPr>
          <w:rFonts w:ascii="宋体" w:hAnsi="宋体" w:cs="宋体" w:eastAsia="宋体" w:hint="default"/>
          <w:b/>
          <w:bCs/>
          <w:spacing w:val="-65"/>
          <w:sz w:val="21"/>
          <w:szCs w:val="21"/>
        </w:rPr>
      </w:r>
      <w:r>
        <w:rPr>
          <w:rFonts w:ascii="宋体" w:hAnsi="宋体" w:cs="宋体" w:eastAsia="宋体" w:hint="default"/>
          <w:sz w:val="18"/>
          <w:szCs w:val="18"/>
        </w:rPr>
        <w:t>无</w:t>
      </w:r>
    </w:p>
    <w:p>
      <w:pPr>
        <w:spacing w:after="0" w:line="429" w:lineRule="auto"/>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pStyle w:val="Heading4"/>
        <w:spacing w:line="240" w:lineRule="auto" w:before="176"/>
        <w:ind w:right="982"/>
        <w:jc w:val="left"/>
        <w:rPr>
          <w:b w:val="0"/>
          <w:bCs w:val="0"/>
        </w:rPr>
      </w:pPr>
      <w:r>
        <w:rPr>
          <w:rFonts w:ascii="Times New Roman" w:hAnsi="Times New Roman" w:cs="Times New Roman" w:eastAsia="Times New Roman" w:hint="default"/>
        </w:rPr>
        <w:t>6</w:t>
      </w:r>
      <w:r>
        <w:rPr/>
        <w:t>、持续的公允价值计量项目，本期内发生各层级之间转换的，转换的原因及确定转换时点的政策</w:t>
      </w:r>
      <w:r>
        <w:rPr>
          <w:b w:val="0"/>
          <w:bCs w:val="0"/>
        </w:rPr>
      </w:r>
    </w:p>
    <w:p>
      <w:pPr>
        <w:spacing w:line="240" w:lineRule="auto" w:before="4"/>
        <w:rPr>
          <w:rFonts w:ascii="宋体" w:hAnsi="宋体" w:cs="宋体" w:eastAsia="宋体" w:hint="default"/>
          <w:b/>
          <w:bCs/>
          <w:sz w:val="15"/>
          <w:szCs w:val="15"/>
        </w:rPr>
      </w:pPr>
    </w:p>
    <w:p>
      <w:pPr>
        <w:pStyle w:val="Heading4"/>
        <w:spacing w:line="429" w:lineRule="auto"/>
        <w:ind w:right="6794"/>
        <w:jc w:val="left"/>
        <w:rPr>
          <w:rFonts w:ascii="宋体" w:hAnsi="宋体" w:cs="宋体" w:eastAsia="宋体" w:hint="default"/>
          <w:b w:val="0"/>
          <w:bCs w:val="0"/>
          <w:sz w:val="18"/>
          <w:szCs w:val="18"/>
        </w:rPr>
      </w:pPr>
      <w:r>
        <w:rPr>
          <w:rFonts w:ascii="宋体" w:hAnsi="宋体" w:cs="宋体" w:eastAsia="宋体" w:hint="default"/>
          <w:b w:val="0"/>
          <w:bCs w:val="0"/>
          <w:sz w:val="18"/>
          <w:szCs w:val="18"/>
        </w:rPr>
        <w:t>无 </w:t>
      </w:r>
      <w:r>
        <w:rPr>
          <w:rFonts w:ascii="Times New Roman" w:hAnsi="Times New Roman" w:cs="Times New Roman" w:eastAsia="Times New Roman" w:hint="default"/>
          <w:spacing w:val="-1"/>
        </w:rPr>
        <w:t>7</w:t>
      </w:r>
      <w:r>
        <w:rPr>
          <w:spacing w:val="-1"/>
        </w:rPr>
        <w:t>、本期内发生的估值技术变更及变更原因</w:t>
      </w:r>
      <w:r>
        <w:rPr>
          <w:spacing w:val="-86"/>
        </w:rPr>
        <w:t> </w:t>
      </w:r>
      <w:r>
        <w:rPr>
          <w:spacing w:val="-86"/>
        </w:rPr>
      </w:r>
      <w:r>
        <w:rPr>
          <w:rFonts w:ascii="宋体" w:hAnsi="宋体" w:cs="宋体" w:eastAsia="宋体" w:hint="default"/>
          <w:b w:val="0"/>
          <w:bCs w:val="0"/>
          <w:sz w:val="18"/>
          <w:szCs w:val="18"/>
        </w:rPr>
        <w:t>无</w:t>
      </w:r>
    </w:p>
    <w:p>
      <w:pPr>
        <w:pStyle w:val="Heading4"/>
        <w:spacing w:line="240" w:lineRule="auto" w:before="67"/>
        <w:ind w:right="982"/>
        <w:jc w:val="left"/>
        <w:rPr>
          <w:b w:val="0"/>
          <w:bCs w:val="0"/>
        </w:rPr>
      </w:pPr>
      <w:r>
        <w:rPr>
          <w:rFonts w:ascii="Times New Roman" w:hAnsi="Times New Roman" w:cs="Times New Roman" w:eastAsia="Times New Roman" w:hint="default"/>
        </w:rPr>
        <w:t>8</w:t>
      </w:r>
      <w:r>
        <w:rPr/>
        <w:t>、不以公允价值计量的金融资产和金融负债的公允价值情况</w:t>
      </w:r>
      <w:r>
        <w:rPr>
          <w:b w:val="0"/>
          <w:bCs w:val="0"/>
        </w:rPr>
      </w:r>
    </w:p>
    <w:p>
      <w:pPr>
        <w:spacing w:line="240" w:lineRule="auto" w:before="4"/>
        <w:rPr>
          <w:rFonts w:ascii="宋体" w:hAnsi="宋体" w:cs="宋体" w:eastAsia="宋体" w:hint="default"/>
          <w:b/>
          <w:bCs/>
          <w:sz w:val="15"/>
          <w:szCs w:val="15"/>
        </w:rPr>
      </w:pPr>
    </w:p>
    <w:p>
      <w:pPr>
        <w:spacing w:line="429" w:lineRule="auto" w:before="0"/>
        <w:ind w:left="152" w:right="10016" w:firstLine="0"/>
        <w:jc w:val="left"/>
        <w:rPr>
          <w:rFonts w:ascii="宋体" w:hAnsi="宋体" w:cs="宋体" w:eastAsia="宋体" w:hint="default"/>
          <w:sz w:val="18"/>
          <w:szCs w:val="18"/>
        </w:rPr>
      </w:pPr>
      <w:r>
        <w:rPr>
          <w:rFonts w:ascii="宋体" w:hAnsi="宋体" w:cs="宋体" w:eastAsia="宋体" w:hint="default"/>
          <w:sz w:val="18"/>
          <w:szCs w:val="18"/>
        </w:rPr>
        <w:t>无 </w:t>
      </w:r>
      <w:r>
        <w:rPr>
          <w:rFonts w:ascii="Times New Roman" w:hAnsi="Times New Roman" w:cs="Times New Roman" w:eastAsia="Times New Roman" w:hint="default"/>
          <w:b/>
          <w:bCs/>
          <w:sz w:val="21"/>
          <w:szCs w:val="21"/>
        </w:rPr>
        <w:t>9</w:t>
      </w:r>
      <w:r>
        <w:rPr>
          <w:rFonts w:ascii="宋体" w:hAnsi="宋体" w:cs="宋体" w:eastAsia="宋体" w:hint="default"/>
          <w:b/>
          <w:bCs/>
          <w:sz w:val="21"/>
          <w:szCs w:val="21"/>
        </w:rPr>
        <w:t>、其他</w:t>
      </w:r>
      <w:r>
        <w:rPr>
          <w:rFonts w:ascii="宋体" w:hAnsi="宋体" w:cs="宋体" w:eastAsia="宋体" w:hint="default"/>
          <w:b/>
          <w:bCs/>
          <w:w w:val="100"/>
          <w:sz w:val="21"/>
          <w:szCs w:val="21"/>
        </w:rPr>
        <w:t> </w:t>
      </w:r>
      <w:r>
        <w:rPr>
          <w:rFonts w:ascii="宋体" w:hAnsi="宋体" w:cs="宋体" w:eastAsia="宋体" w:hint="default"/>
          <w:sz w:val="18"/>
          <w:szCs w:val="18"/>
        </w:rPr>
        <w:t>无</w:t>
      </w:r>
    </w:p>
    <w:p>
      <w:pPr>
        <w:spacing w:line="240" w:lineRule="auto" w:before="4"/>
        <w:rPr>
          <w:rFonts w:ascii="宋体" w:hAnsi="宋体" w:cs="宋体" w:eastAsia="宋体" w:hint="default"/>
          <w:sz w:val="20"/>
          <w:szCs w:val="20"/>
        </w:rPr>
      </w:pPr>
    </w:p>
    <w:p>
      <w:pPr>
        <w:spacing w:line="506" w:lineRule="auto" w:before="0"/>
        <w:ind w:left="152" w:right="8104" w:firstLine="0"/>
        <w:jc w:val="left"/>
        <w:rPr>
          <w:rFonts w:ascii="宋体" w:hAnsi="宋体" w:cs="宋体" w:eastAsia="宋体" w:hint="default"/>
          <w:sz w:val="18"/>
          <w:szCs w:val="18"/>
        </w:rPr>
      </w:pPr>
      <w:r>
        <w:rPr>
          <w:rFonts w:ascii="宋体" w:hAnsi="宋体" w:cs="宋体" w:eastAsia="宋体" w:hint="default"/>
          <w:b/>
          <w:bCs/>
          <w:sz w:val="24"/>
          <w:szCs w:val="24"/>
        </w:rPr>
        <w:t>十二、关联方及关联交易</w:t>
      </w:r>
      <w:r>
        <w:rPr>
          <w:rFonts w:ascii="宋体" w:hAnsi="宋体" w:cs="宋体" w:eastAsia="宋体" w:hint="default"/>
          <w:b/>
          <w:bCs/>
          <w:w w:val="99"/>
          <w:sz w:val="24"/>
          <w:szCs w:val="24"/>
        </w:rPr>
        <w:t> </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、本企业的母公司情况</w:t>
      </w:r>
      <w:r>
        <w:rPr>
          <w:rFonts w:ascii="宋体" w:hAnsi="宋体" w:cs="宋体" w:eastAsia="宋体" w:hint="default"/>
          <w:b/>
          <w:bCs/>
          <w:w w:val="100"/>
          <w:sz w:val="21"/>
          <w:szCs w:val="21"/>
        </w:rPr>
        <w:t> </w:t>
      </w:r>
      <w:r>
        <w:rPr>
          <w:rFonts w:ascii="宋体" w:hAnsi="宋体" w:cs="宋体" w:eastAsia="宋体" w:hint="default"/>
          <w:sz w:val="18"/>
          <w:szCs w:val="18"/>
        </w:rPr>
        <w:t>本企业的母公司情况的说明</w:t>
      </w:r>
    </w:p>
    <w:p>
      <w:pPr>
        <w:pStyle w:val="BodyText"/>
        <w:spacing w:line="300" w:lineRule="auto"/>
        <w:ind w:right="982" w:firstLine="300"/>
        <w:jc w:val="left"/>
      </w:pPr>
      <w:r>
        <w:rPr>
          <w:rFonts w:ascii="Times New Roman" w:hAnsi="Times New Roman" w:cs="Times New Roman" w:eastAsia="Times New Roman" w:hint="default"/>
          <w:spacing w:val="-1"/>
        </w:rPr>
        <w:t>2014</w:t>
      </w:r>
      <w:r>
        <w:rPr>
          <w:spacing w:val="-1"/>
        </w:rPr>
        <w:t>年</w:t>
      </w:r>
      <w:r>
        <w:rPr>
          <w:rFonts w:ascii="Times New Roman" w:hAnsi="Times New Roman" w:cs="Times New Roman" w:eastAsia="Times New Roman" w:hint="default"/>
          <w:spacing w:val="-1"/>
        </w:rPr>
        <w:t>4</w:t>
      </w:r>
      <w:r>
        <w:rPr>
          <w:spacing w:val="-1"/>
        </w:rPr>
        <w:t>月</w:t>
      </w:r>
      <w:r>
        <w:rPr>
          <w:rFonts w:ascii="Times New Roman" w:hAnsi="Times New Roman" w:cs="Times New Roman" w:eastAsia="Times New Roman" w:hint="default"/>
          <w:spacing w:val="-1"/>
        </w:rPr>
        <w:t>29</w:t>
      </w:r>
      <w:r>
        <w:rPr>
          <w:spacing w:val="-1"/>
        </w:rPr>
        <w:t>日，公司原控股股东中国四维测绘技术有限公司与深圳市腾讯产业投资基金有限公司签署了股份转让协议，</w:t>
      </w:r>
      <w:r>
        <w:rPr/>
        <w:t> 转让中国四维测绘技术有限公司持有的公司部分股份</w:t>
      </w:r>
      <w:r>
        <w:rPr>
          <w:rFonts w:ascii="Times New Roman" w:hAnsi="Times New Roman" w:cs="Times New Roman" w:eastAsia="Times New Roman" w:hint="default"/>
        </w:rPr>
        <w:t>78,000,000.00</w:t>
      </w:r>
      <w:r>
        <w:rPr/>
        <w:t>股。</w:t>
      </w:r>
      <w:r>
        <w:rPr>
          <w:rFonts w:ascii="Times New Roman" w:hAnsi="Times New Roman" w:cs="Times New Roman" w:eastAsia="Times New Roman" w:hint="default"/>
        </w:rPr>
        <w:t>2014</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17</w:t>
      </w:r>
      <w:r>
        <w:rPr/>
        <w:t>日，公司收到中国四维测绘技术有限公</w:t>
      </w:r>
      <w:r>
        <w:rPr>
          <w:spacing w:val="-48"/>
        </w:rPr>
        <w:t> </w:t>
      </w:r>
      <w:r>
        <w:rPr>
          <w:spacing w:val="-48"/>
        </w:rPr>
      </w:r>
      <w:r>
        <w:rPr>
          <w:spacing w:val="-2"/>
        </w:rPr>
        <w:t>司转来的中国证券登记结算有限责任公司深圳分公司出具的过户登记确认书，确认过户登记手续于</w:t>
      </w:r>
      <w:r>
        <w:rPr>
          <w:rFonts w:ascii="Times New Roman" w:hAnsi="Times New Roman" w:cs="Times New Roman" w:eastAsia="Times New Roman" w:hint="default"/>
          <w:spacing w:val="-2"/>
        </w:rPr>
        <w:t>2014</w:t>
      </w:r>
      <w:r>
        <w:rPr>
          <w:spacing w:val="-2"/>
        </w:rPr>
        <w:t>年</w:t>
      </w:r>
      <w:r>
        <w:rPr>
          <w:rFonts w:ascii="Times New Roman" w:hAnsi="Times New Roman" w:cs="Times New Roman" w:eastAsia="Times New Roman" w:hint="default"/>
          <w:spacing w:val="-2"/>
        </w:rPr>
        <w:t>6</w:t>
      </w:r>
      <w:r>
        <w:rPr>
          <w:spacing w:val="-2"/>
        </w:rPr>
        <w:t>月</w:t>
      </w:r>
      <w:r>
        <w:rPr>
          <w:rFonts w:ascii="Times New Roman" w:hAnsi="Times New Roman" w:cs="Times New Roman" w:eastAsia="Times New Roman" w:hint="default"/>
          <w:spacing w:val="-2"/>
        </w:rPr>
        <w:t>13</w:t>
      </w:r>
      <w:r>
        <w:rPr>
          <w:spacing w:val="-2"/>
        </w:rPr>
        <w:t>日办理完毕。</w:t>
      </w:r>
    </w:p>
    <w:p>
      <w:pPr>
        <w:pStyle w:val="BodyText"/>
        <w:spacing w:line="547" w:lineRule="auto" w:before="133"/>
        <w:ind w:right="5149" w:firstLine="360"/>
        <w:jc w:val="left"/>
      </w:pPr>
      <w:r>
        <w:rPr/>
        <w:t>本公司自</w:t>
      </w:r>
      <w:r>
        <w:rPr>
          <w:rFonts w:ascii="Times New Roman" w:hAnsi="Times New Roman" w:cs="Times New Roman" w:eastAsia="Times New Roman" w:hint="default"/>
        </w:rPr>
        <w:t>2014</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13</w:t>
      </w:r>
      <w:r>
        <w:rPr/>
        <w:t>日起，无控股股东及最终控制方。 </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、本企业的子公司情况</w:t>
      </w:r>
      <w:r>
        <w:rPr>
          <w:rFonts w:ascii="宋体" w:hAnsi="宋体" w:cs="宋体" w:eastAsia="宋体" w:hint="default"/>
          <w:b/>
          <w:bCs/>
          <w:w w:val="100"/>
          <w:sz w:val="21"/>
          <w:szCs w:val="21"/>
        </w:rPr>
        <w:t> </w:t>
      </w:r>
      <w:r>
        <w:rPr/>
        <w:t>本企业子公司的情况详见附注</w:t>
      </w:r>
      <w:r>
        <w:rPr>
          <w:rFonts w:ascii="Times New Roman" w:hAnsi="Times New Roman" w:cs="Times New Roman" w:eastAsia="Times New Roman" w:hint="default"/>
        </w:rPr>
        <w:t>“</w:t>
      </w:r>
      <w:r>
        <w:rPr/>
        <w:t>九、</w:t>
      </w:r>
      <w:r>
        <w:rPr>
          <w:rFonts w:ascii="Times New Roman" w:hAnsi="Times New Roman" w:cs="Times New Roman" w:eastAsia="Times New Roman" w:hint="default"/>
        </w:rPr>
        <w:t>1.</w:t>
      </w:r>
      <w:r>
        <w:rPr/>
        <w:t>（</w:t>
      </w:r>
      <w:r>
        <w:rPr>
          <w:rFonts w:ascii="Times New Roman" w:hAnsi="Times New Roman" w:cs="Times New Roman" w:eastAsia="Times New Roman" w:hint="default"/>
        </w:rPr>
        <w:t>1</w:t>
      </w:r>
      <w:r>
        <w:rPr/>
        <w:t>）企业集团的构成</w:t>
      </w:r>
      <w:r>
        <w:rPr>
          <w:rFonts w:ascii="Times New Roman" w:hAnsi="Times New Roman" w:cs="Times New Roman" w:eastAsia="Times New Roman" w:hint="default"/>
        </w:rPr>
        <w:t>”</w:t>
      </w:r>
      <w:r>
        <w:rPr/>
        <w:t>相关内容。</w:t>
      </w:r>
    </w:p>
    <w:p>
      <w:pPr>
        <w:pStyle w:val="Heading4"/>
        <w:spacing w:line="240" w:lineRule="auto" w:before="84"/>
        <w:ind w:right="982"/>
        <w:jc w:val="left"/>
        <w:rPr>
          <w:b w:val="0"/>
          <w:bCs w:val="0"/>
        </w:rPr>
      </w:pPr>
      <w:r>
        <w:rPr>
          <w:rFonts w:ascii="Times New Roman" w:hAnsi="Times New Roman" w:cs="Times New Roman" w:eastAsia="Times New Roman" w:hint="default"/>
        </w:rPr>
        <w:t>3</w:t>
      </w:r>
      <w:r>
        <w:rPr/>
        <w:t>、本企业合营和联营企业情况</w:t>
      </w:r>
      <w:r>
        <w:rPr>
          <w:b w:val="0"/>
          <w:bCs w:val="0"/>
        </w:rPr>
      </w:r>
    </w:p>
    <w:p>
      <w:pPr>
        <w:spacing w:line="240" w:lineRule="auto" w:before="4"/>
        <w:rPr>
          <w:rFonts w:ascii="宋体" w:hAnsi="宋体" w:cs="宋体" w:eastAsia="宋体" w:hint="default"/>
          <w:b/>
          <w:bCs/>
          <w:sz w:val="26"/>
          <w:szCs w:val="26"/>
        </w:rPr>
      </w:pPr>
    </w:p>
    <w:p>
      <w:pPr>
        <w:pStyle w:val="BodyText"/>
        <w:spacing w:line="340" w:lineRule="auto"/>
        <w:ind w:right="2294"/>
        <w:jc w:val="left"/>
      </w:pPr>
      <w:r>
        <w:rPr/>
        <w:t>本企业重要的合营或联营企业详见附注</w:t>
      </w:r>
      <w:r>
        <w:rPr>
          <w:rFonts w:ascii="Times New Roman" w:hAnsi="Times New Roman" w:cs="Times New Roman" w:eastAsia="Times New Roman" w:hint="default"/>
        </w:rPr>
        <w:t>“</w:t>
      </w:r>
      <w:r>
        <w:rPr/>
        <w:t>九、</w:t>
      </w:r>
      <w:r>
        <w:rPr>
          <w:rFonts w:ascii="Times New Roman" w:hAnsi="Times New Roman" w:cs="Times New Roman" w:eastAsia="Times New Roman" w:hint="default"/>
        </w:rPr>
        <w:t>3.</w:t>
      </w:r>
      <w:r>
        <w:rPr/>
        <w:t>（</w:t>
      </w:r>
      <w:r>
        <w:rPr>
          <w:rFonts w:ascii="Times New Roman" w:hAnsi="Times New Roman" w:cs="Times New Roman" w:eastAsia="Times New Roman" w:hint="default"/>
        </w:rPr>
        <w:t>1</w:t>
      </w:r>
      <w:r>
        <w:rPr/>
        <w:t>）重要的合营企业或联营企业</w:t>
      </w:r>
      <w:r>
        <w:rPr>
          <w:rFonts w:ascii="Times New Roman" w:hAnsi="Times New Roman" w:cs="Times New Roman" w:eastAsia="Times New Roman" w:hint="default"/>
        </w:rPr>
        <w:t>”</w:t>
      </w:r>
      <w:r>
        <w:rPr/>
        <w:t>相关内容。 本期与本公司发生关联方交易，或前期与本公司发生关联方交易形成余额的其他合营或联营企业情况如下：</w:t>
      </w:r>
    </w:p>
    <w:p>
      <w:pPr>
        <w:spacing w:line="240" w:lineRule="auto" w:before="6"/>
        <w:rPr>
          <w:rFonts w:ascii="宋体" w:hAnsi="宋体" w:cs="宋体" w:eastAsia="宋体" w:hint="default"/>
          <w:sz w:val="2"/>
          <w:szCs w:val="2"/>
        </w:rPr>
      </w:pPr>
    </w:p>
    <w:tbl>
      <w:tblPr>
        <w:tblW w:w="0" w:type="auto"/>
        <w:jc w:val="left"/>
        <w:tblInd w:w="148" w:type="dxa"/>
        <w:tblLayout w:type="fixed"/>
        <w:tblCellMar>
          <w:top w:w="0" w:type="dxa"/>
          <w:left w:w="0" w:type="dxa"/>
          <w:bottom w:w="0" w:type="dxa"/>
          <w:right w:w="0" w:type="dxa"/>
        </w:tblCellMar>
        <w:tblLook w:val="01E0"/>
      </w:tblPr>
      <w:tblGrid>
        <w:gridCol w:w="4784"/>
        <w:gridCol w:w="4787"/>
      </w:tblGrid>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577" w:right="0"/>
              <w:jc w:val="left"/>
              <w:rPr>
                <w:rFonts w:ascii="宋体" w:hAnsi="宋体" w:cs="宋体" w:eastAsia="宋体" w:hint="default"/>
                <w:sz w:val="18"/>
                <w:szCs w:val="18"/>
              </w:rPr>
            </w:pPr>
            <w:r>
              <w:rPr>
                <w:rFonts w:ascii="宋体" w:hAnsi="宋体" w:cs="宋体" w:eastAsia="宋体" w:hint="default"/>
                <w:sz w:val="18"/>
                <w:szCs w:val="18"/>
              </w:rPr>
              <w:t>合营或联营企业名称</w:t>
            </w:r>
          </w:p>
        </w:tc>
        <w:tc>
          <w:tcPr>
            <w:tcW w:w="47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与本企业关系</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北京图新瀚和科技有限公司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合营企业</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北京图新数聚科技有限公司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联营企业</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上海安吉四维信息技术有限公司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联营企业</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嘉兴四维智城信息科技有限公司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联营企业</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北京四维智联科技有限公司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联营企业</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上海趣驾信息科技有限公司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联营企业</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和骊安</w:t>
            </w:r>
            <w:r>
              <w:rPr>
                <w:rFonts w:ascii="Times New Roman" w:hAnsi="Times New Roman" w:cs="Times New Roman" w:eastAsia="Times New Roman" w:hint="default"/>
                <w:sz w:val="18"/>
                <w:szCs w:val="18"/>
              </w:rPr>
              <w:t>(</w:t>
            </w:r>
            <w:r>
              <w:rPr>
                <w:rFonts w:ascii="宋体" w:hAnsi="宋体" w:cs="宋体" w:eastAsia="宋体" w:hint="default"/>
                <w:sz w:val="18"/>
                <w:szCs w:val="18"/>
              </w:rPr>
              <w:t>中国</w:t>
            </w:r>
            <w:r>
              <w:rPr>
                <w:rFonts w:ascii="Times New Roman" w:hAnsi="Times New Roman" w:cs="Times New Roman" w:eastAsia="Times New Roman" w:hint="default"/>
                <w:sz w:val="18"/>
                <w:szCs w:val="18"/>
              </w:rPr>
              <w:t>)</w:t>
            </w:r>
            <w:r>
              <w:rPr>
                <w:rFonts w:ascii="宋体" w:hAnsi="宋体" w:cs="宋体" w:eastAsia="宋体" w:hint="default"/>
                <w:sz w:val="18"/>
                <w:szCs w:val="18"/>
              </w:rPr>
              <w:t>汽车信息系统有限公司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联营企业</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北京四维万兴科技有限公司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联营企业</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北京四维互联基金管理中心（有限合伙）</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联营企业</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11"/>
        <w:rPr>
          <w:rFonts w:ascii="宋体" w:hAnsi="宋体" w:cs="宋体" w:eastAsia="宋体" w:hint="default"/>
          <w:sz w:val="2"/>
          <w:szCs w:val="2"/>
        </w:rPr>
      </w:pPr>
    </w:p>
    <w:tbl>
      <w:tblPr>
        <w:tblW w:w="0" w:type="auto"/>
        <w:jc w:val="left"/>
        <w:tblInd w:w="108" w:type="dxa"/>
        <w:tblLayout w:type="fixed"/>
        <w:tblCellMar>
          <w:top w:w="0" w:type="dxa"/>
          <w:left w:w="0" w:type="dxa"/>
          <w:bottom w:w="0" w:type="dxa"/>
          <w:right w:w="0" w:type="dxa"/>
        </w:tblCellMar>
        <w:tblLook w:val="01E0"/>
      </w:tblPr>
      <w:tblGrid>
        <w:gridCol w:w="4784"/>
        <w:gridCol w:w="4787"/>
      </w:tblGrid>
      <w:tr>
        <w:trPr>
          <w:trHeight w:val="334" w:hRule="exact"/>
        </w:trPr>
        <w:tc>
          <w:tcPr>
            <w:tcW w:w="4784" w:type="dxa"/>
            <w:tcBorders>
              <w:top w:val="single" w:sz="6" w:space="0" w:color="000000"/>
              <w:left w:val="nil" w:sz="6" w:space="0" w:color="auto"/>
              <w:bottom w:val="single" w:sz="4" w:space="0" w:color="000000"/>
              <w:right w:val="nil" w:sz="6" w:space="0" w:color="auto"/>
            </w:tcBorders>
          </w:tcPr>
          <w:p>
            <w:pPr/>
          </w:p>
        </w:tc>
        <w:tc>
          <w:tcPr>
            <w:tcW w:w="4787" w:type="dxa"/>
            <w:tcBorders>
              <w:top w:val="single" w:sz="6" w:space="0" w:color="000000"/>
              <w:left w:val="nil" w:sz="6" w:space="0" w:color="auto"/>
              <w:bottom w:val="single" w:sz="4" w:space="0" w:color="000000"/>
              <w:right w:val="nil" w:sz="6" w:space="0" w:color="auto"/>
            </w:tcBorders>
          </w:tcPr>
          <w:p>
            <w:pPr/>
          </w:p>
        </w:tc>
      </w:tr>
      <w:tr>
        <w:trPr>
          <w:trHeight w:val="404"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北京蜂云科创信息技术有限公司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联营企业</w:t>
            </w:r>
          </w:p>
        </w:tc>
      </w:tr>
    </w:tbl>
    <w:p>
      <w:pPr>
        <w:pStyle w:val="BodyText"/>
        <w:spacing w:line="240" w:lineRule="auto" w:before="49"/>
        <w:ind w:left="112" w:right="0"/>
        <w:jc w:val="both"/>
      </w:pPr>
      <w:r>
        <w:rPr/>
        <w:t>其他说明</w:t>
      </w:r>
    </w:p>
    <w:p>
      <w:pPr>
        <w:pStyle w:val="BodyText"/>
        <w:spacing w:line="300" w:lineRule="auto" w:before="115"/>
        <w:ind w:left="112" w:right="1131"/>
        <w:jc w:val="both"/>
      </w:pPr>
      <w:r>
        <w:rPr/>
        <w:t>注：基于本附注</w:t>
      </w:r>
      <w:r>
        <w:rPr>
          <w:rFonts w:ascii="Times New Roman" w:hAnsi="Times New Roman" w:cs="Times New Roman" w:eastAsia="Times New Roman" w:hint="default"/>
        </w:rPr>
        <w:t>“</w:t>
      </w:r>
      <w:r>
        <w:rPr/>
        <w:t>十六、</w:t>
      </w:r>
      <w:r>
        <w:rPr>
          <w:rFonts w:ascii="Times New Roman" w:hAnsi="Times New Roman" w:cs="Times New Roman" w:eastAsia="Times New Roman" w:hint="default"/>
        </w:rPr>
        <w:t>7</w:t>
      </w:r>
      <w:r>
        <w:rPr/>
        <w:t>、（</w:t>
      </w:r>
      <w:r>
        <w:rPr>
          <w:rFonts w:ascii="Times New Roman" w:hAnsi="Times New Roman" w:cs="Times New Roman" w:eastAsia="Times New Roman" w:hint="default"/>
        </w:rPr>
        <w:t>1</w:t>
      </w:r>
      <w:r>
        <w:rPr/>
        <w:t>）</w:t>
      </w:r>
      <w:r>
        <w:rPr>
          <w:rFonts w:ascii="Times New Roman" w:hAnsi="Times New Roman" w:cs="Times New Roman" w:eastAsia="Times New Roman" w:hint="default"/>
        </w:rPr>
        <w:t>”</w:t>
      </w:r>
      <w:r>
        <w:rPr/>
        <w:t>所述，北京四维智联科技有限公司、上海趣驾信息科技有限公司、和骊安</w:t>
      </w:r>
      <w:r>
        <w:rPr>
          <w:rFonts w:ascii="Times New Roman" w:hAnsi="Times New Roman" w:cs="Times New Roman" w:eastAsia="Times New Roman" w:hint="default"/>
        </w:rPr>
        <w:t>(</w:t>
      </w:r>
      <w:r>
        <w:rPr/>
        <w:t>中国</w:t>
      </w:r>
      <w:r>
        <w:rPr>
          <w:rFonts w:ascii="Times New Roman" w:hAnsi="Times New Roman" w:cs="Times New Roman" w:eastAsia="Times New Roman" w:hint="default"/>
        </w:rPr>
        <w:t>)</w:t>
      </w:r>
      <w:r>
        <w:rPr/>
        <w:t>汽车信息 </w:t>
      </w:r>
      <w:r>
        <w:rPr>
          <w:spacing w:val="-2"/>
        </w:rPr>
        <w:t>系统有限公司自</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12</w:t>
      </w:r>
      <w:r>
        <w:rPr>
          <w:spacing w:val="-2"/>
        </w:rPr>
        <w:t>月起变更为本公司联营企业，与上述三家联营企业相关的</w:t>
      </w:r>
      <w:r>
        <w:rPr>
          <w:rFonts w:ascii="Times New Roman" w:hAnsi="Times New Roman" w:cs="Times New Roman" w:eastAsia="Times New Roman" w:hint="default"/>
          <w:spacing w:val="-2"/>
        </w:rPr>
        <w:t>2018</w:t>
      </w:r>
      <w:r>
        <w:rPr>
          <w:spacing w:val="-2"/>
        </w:rPr>
        <w:t>年度关联交易发生额为</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12</w:t>
      </w:r>
      <w:r>
        <w:rPr>
          <w:spacing w:val="-2"/>
        </w:rPr>
        <w:t>月当</w:t>
      </w:r>
      <w:r>
        <w:rPr>
          <w:spacing w:val="-59"/>
        </w:rPr>
        <w:t> </w:t>
      </w:r>
      <w:r>
        <w:rPr/>
        <w:t>月的交易金额。</w:t>
      </w:r>
    </w:p>
    <w:p>
      <w:pPr>
        <w:spacing w:line="240" w:lineRule="auto" w:before="10"/>
        <w:rPr>
          <w:rFonts w:ascii="宋体" w:hAnsi="宋体" w:cs="宋体" w:eastAsia="宋体" w:hint="default"/>
          <w:sz w:val="23"/>
          <w:szCs w:val="23"/>
        </w:rPr>
      </w:pPr>
    </w:p>
    <w:p>
      <w:pPr>
        <w:pStyle w:val="Heading4"/>
        <w:spacing w:line="240" w:lineRule="auto"/>
        <w:ind w:left="112" w:right="0"/>
        <w:jc w:val="both"/>
        <w:rPr>
          <w:b w:val="0"/>
          <w:bCs w:val="0"/>
        </w:rPr>
      </w:pPr>
      <w:r>
        <w:rPr>
          <w:rFonts w:ascii="Times New Roman" w:hAnsi="Times New Roman" w:cs="Times New Roman" w:eastAsia="Times New Roman" w:hint="default"/>
        </w:rPr>
        <w:t>4</w:t>
      </w:r>
      <w:r>
        <w:rPr/>
        <w:t>、其他关联方情况</w:t>
      </w:r>
      <w:r>
        <w:rPr>
          <w:b w:val="0"/>
          <w:bCs w:val="0"/>
        </w:rPr>
      </w:r>
    </w:p>
    <w:p>
      <w:pPr>
        <w:spacing w:line="240" w:lineRule="auto" w:before="9"/>
        <w:rPr>
          <w:rFonts w:ascii="宋体" w:hAnsi="宋体" w:cs="宋体" w:eastAsia="宋体" w:hint="default"/>
          <w:b/>
          <w:bCs/>
          <w:sz w:val="25"/>
          <w:szCs w:val="25"/>
        </w:rPr>
      </w:pPr>
    </w:p>
    <w:tbl>
      <w:tblPr>
        <w:tblW w:w="0" w:type="auto"/>
        <w:jc w:val="left"/>
        <w:tblInd w:w="108" w:type="dxa"/>
        <w:tblLayout w:type="fixed"/>
        <w:tblCellMar>
          <w:top w:w="0" w:type="dxa"/>
          <w:left w:w="0" w:type="dxa"/>
          <w:bottom w:w="0" w:type="dxa"/>
          <w:right w:w="0" w:type="dxa"/>
        </w:tblCellMar>
        <w:tblLook w:val="01E0"/>
      </w:tblPr>
      <w:tblGrid>
        <w:gridCol w:w="4784"/>
        <w:gridCol w:w="4787"/>
      </w:tblGrid>
      <w:tr>
        <w:trPr>
          <w:trHeight w:val="401"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其他关联方名称</w:t>
            </w:r>
          </w:p>
        </w:tc>
        <w:tc>
          <w:tcPr>
            <w:tcW w:w="47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399" w:right="0"/>
              <w:jc w:val="left"/>
              <w:rPr>
                <w:rFonts w:ascii="宋体" w:hAnsi="宋体" w:cs="宋体" w:eastAsia="宋体" w:hint="default"/>
                <w:sz w:val="18"/>
                <w:szCs w:val="18"/>
              </w:rPr>
            </w:pPr>
            <w:r>
              <w:rPr>
                <w:rFonts w:ascii="宋体" w:hAnsi="宋体" w:cs="宋体" w:eastAsia="宋体" w:hint="default"/>
                <w:sz w:val="18"/>
                <w:szCs w:val="18"/>
              </w:rPr>
              <w:t>其他关联方与本企业关系</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中国四维测绘技术有限公司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其他关联关系方</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深圳市腾讯计算机系统有限公司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其他关联关系方</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北京航天世景信息技术有限公司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其他关联关系方</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腾讯云计算（北京）有限责任公司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其他关联关系方</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普强信息技术（北京）有限公司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其他关联关系方</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腾讯大地通途（北京）科技有限公司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其他关联关系方</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北京搜狗信息服务有限公司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其他关联关系方</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上海蔚来汽车有限公司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其他关联关系方</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四维高景卫星遥感有限公司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其他关联关系方</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云南腾云信息产业有限公司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其他关联关系方</w:t>
            </w:r>
          </w:p>
        </w:tc>
      </w:tr>
    </w:tbl>
    <w:p>
      <w:pPr>
        <w:pStyle w:val="BodyText"/>
        <w:spacing w:line="240" w:lineRule="auto" w:before="49"/>
        <w:ind w:left="112" w:right="0"/>
        <w:jc w:val="both"/>
      </w:pPr>
      <w:r>
        <w:rPr/>
        <w:t>其他说明</w:t>
      </w:r>
    </w:p>
    <w:p>
      <w:pPr>
        <w:spacing w:line="240" w:lineRule="auto" w:before="3"/>
        <w:rPr>
          <w:rFonts w:ascii="宋体" w:hAnsi="宋体" w:cs="宋体" w:eastAsia="宋体" w:hint="default"/>
          <w:sz w:val="15"/>
          <w:szCs w:val="15"/>
        </w:rPr>
      </w:pPr>
    </w:p>
    <w:p>
      <w:pPr>
        <w:pStyle w:val="BodyText"/>
        <w:spacing w:line="300" w:lineRule="auto"/>
        <w:ind w:left="112" w:right="1131"/>
        <w:jc w:val="both"/>
      </w:pPr>
      <w:r>
        <w:rPr>
          <w:spacing w:val="-3"/>
        </w:rPr>
        <w:t>注：公司</w:t>
      </w:r>
      <w:r>
        <w:rPr>
          <w:rFonts w:ascii="Times New Roman" w:hAnsi="Times New Roman" w:cs="Times New Roman" w:eastAsia="Times New Roman" w:hint="default"/>
          <w:spacing w:val="-3"/>
        </w:rPr>
        <w:t>2017</w:t>
      </w:r>
      <w:r>
        <w:rPr>
          <w:spacing w:val="-3"/>
        </w:rPr>
        <w:t>年</w:t>
      </w:r>
      <w:r>
        <w:rPr>
          <w:rFonts w:ascii="Times New Roman" w:hAnsi="Times New Roman" w:cs="Times New Roman" w:eastAsia="Times New Roman" w:hint="default"/>
          <w:spacing w:val="-3"/>
        </w:rPr>
        <w:t>5</w:t>
      </w:r>
      <w:r>
        <w:rPr>
          <w:spacing w:val="-3"/>
        </w:rPr>
        <w:t>月</w:t>
      </w:r>
      <w:r>
        <w:rPr>
          <w:rFonts w:ascii="Times New Roman" w:hAnsi="Times New Roman" w:cs="Times New Roman" w:eastAsia="Times New Roman" w:hint="default"/>
          <w:spacing w:val="-3"/>
        </w:rPr>
        <w:t>18</w:t>
      </w:r>
      <w:r>
        <w:rPr>
          <w:spacing w:val="-3"/>
        </w:rPr>
        <w:t>日召开的</w:t>
      </w:r>
      <w:r>
        <w:rPr>
          <w:rFonts w:ascii="Times New Roman" w:hAnsi="Times New Roman" w:cs="Times New Roman" w:eastAsia="Times New Roman" w:hint="default"/>
          <w:spacing w:val="-3"/>
        </w:rPr>
        <w:t>2016</w:t>
      </w:r>
      <w:r>
        <w:rPr>
          <w:spacing w:val="-3"/>
        </w:rPr>
        <w:t>年度股东大会审议通过了董事会换届选举的议案。王小川先生不再担任公司的独立董事，</w:t>
      </w:r>
      <w:r>
        <w:rPr>
          <w:spacing w:val="-88"/>
        </w:rPr>
        <w:t> </w:t>
      </w:r>
      <w:r>
        <w:rPr>
          <w:spacing w:val="-88"/>
        </w:rPr>
      </w:r>
      <w:r>
        <w:rPr>
          <w:spacing w:val="-2"/>
        </w:rPr>
        <w:t>王小川先生的关联企业北京搜狗信息服务有限公司自此也不再作为公司的其他关联方。</w:t>
      </w:r>
      <w:r>
        <w:rPr>
          <w:rFonts w:ascii="Times New Roman" w:hAnsi="Times New Roman" w:cs="Times New Roman" w:eastAsia="Times New Roman" w:hint="default"/>
          <w:spacing w:val="-2"/>
        </w:rPr>
        <w:t>2018</w:t>
      </w:r>
      <w:r>
        <w:rPr>
          <w:spacing w:val="-2"/>
        </w:rPr>
        <w:t>年度公司与北京搜狗信息服务有</w:t>
      </w:r>
      <w:r>
        <w:rPr>
          <w:spacing w:val="-60"/>
        </w:rPr>
        <w:t> </w:t>
      </w:r>
      <w:r>
        <w:rPr/>
        <w:t>限公司的关联交易不再继续披露。</w:t>
      </w:r>
    </w:p>
    <w:p>
      <w:pPr>
        <w:spacing w:line="240" w:lineRule="auto" w:before="10"/>
        <w:rPr>
          <w:rFonts w:ascii="宋体" w:hAnsi="宋体" w:cs="宋体" w:eastAsia="宋体" w:hint="default"/>
          <w:sz w:val="23"/>
          <w:szCs w:val="23"/>
        </w:rPr>
      </w:pPr>
    </w:p>
    <w:p>
      <w:pPr>
        <w:pStyle w:val="Heading4"/>
        <w:spacing w:line="240" w:lineRule="auto"/>
        <w:ind w:left="112" w:right="0"/>
        <w:jc w:val="both"/>
        <w:rPr>
          <w:b w:val="0"/>
          <w:bCs w:val="0"/>
        </w:rPr>
      </w:pPr>
      <w:r>
        <w:rPr>
          <w:rFonts w:ascii="Times New Roman" w:hAnsi="Times New Roman" w:cs="Times New Roman" w:eastAsia="Times New Roman" w:hint="default"/>
        </w:rPr>
        <w:t>5</w:t>
      </w:r>
      <w:r>
        <w:rPr/>
        <w:t>、关联交易情况</w:t>
      </w:r>
      <w:r>
        <w:rPr>
          <w:b w:val="0"/>
          <w:bCs w:val="0"/>
        </w:rPr>
      </w:r>
    </w:p>
    <w:p>
      <w:pPr>
        <w:spacing w:line="240" w:lineRule="auto" w:before="7"/>
        <w:rPr>
          <w:rFonts w:ascii="宋体" w:hAnsi="宋体" w:cs="宋体" w:eastAsia="宋体" w:hint="default"/>
          <w:b/>
          <w:bCs/>
          <w:sz w:val="24"/>
          <w:szCs w:val="24"/>
        </w:rPr>
      </w:pPr>
    </w:p>
    <w:p>
      <w:pPr>
        <w:pStyle w:val="Heading4"/>
        <w:spacing w:line="240" w:lineRule="auto"/>
        <w:ind w:left="112" w:right="0"/>
        <w:jc w:val="both"/>
        <w:rPr>
          <w:b w:val="0"/>
          <w:bCs w:val="0"/>
        </w:rPr>
      </w:pPr>
      <w:r>
        <w:rPr/>
        <w:t>（</w:t>
      </w:r>
      <w:r>
        <w:rPr>
          <w:rFonts w:ascii="Times New Roman" w:hAnsi="Times New Roman" w:cs="Times New Roman" w:eastAsia="Times New Roman" w:hint="default"/>
        </w:rPr>
        <w:t>1</w:t>
      </w:r>
      <w:r>
        <w:rPr/>
        <w:t>）购销商品、提供和接受劳务的关联交易</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112" w:right="0"/>
        <w:jc w:val="left"/>
      </w:pPr>
      <w:r>
        <w:rPr/>
        <w:t>采购商品</w:t>
      </w:r>
      <w:r>
        <w:rPr>
          <w:rFonts w:ascii="Times New Roman" w:hAnsi="Times New Roman" w:cs="Times New Roman" w:eastAsia="Times New Roman" w:hint="default"/>
        </w:rPr>
        <w:t>/</w:t>
      </w:r>
      <w:r>
        <w:rPr/>
        <w:t>接受劳务情况表</w:t>
      </w:r>
    </w:p>
    <w:p>
      <w:pPr>
        <w:pStyle w:val="BodyText"/>
        <w:spacing w:line="240" w:lineRule="auto" w:before="103"/>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8" w:type="dxa"/>
        <w:tblLayout w:type="fixed"/>
        <w:tblCellMar>
          <w:top w:w="0" w:type="dxa"/>
          <w:left w:w="0" w:type="dxa"/>
          <w:bottom w:w="0" w:type="dxa"/>
          <w:right w:w="0" w:type="dxa"/>
        </w:tblCellMar>
        <w:tblLook w:val="01E0"/>
      </w:tblPr>
      <w:tblGrid>
        <w:gridCol w:w="1541"/>
        <w:gridCol w:w="1455"/>
        <w:gridCol w:w="1452"/>
        <w:gridCol w:w="1709"/>
        <w:gridCol w:w="1706"/>
        <w:gridCol w:w="1707"/>
      </w:tblGrid>
      <w:tr>
        <w:trPr>
          <w:trHeight w:val="403" w:hRule="exact"/>
        </w:trPr>
        <w:tc>
          <w:tcPr>
            <w:tcW w:w="15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关联方</w:t>
            </w:r>
          </w:p>
        </w:tc>
        <w:tc>
          <w:tcPr>
            <w:tcW w:w="1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82"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14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71"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18" w:right="0"/>
              <w:jc w:val="left"/>
              <w:rPr>
                <w:rFonts w:ascii="宋体" w:hAnsi="宋体" w:cs="宋体" w:eastAsia="宋体" w:hint="default"/>
                <w:sz w:val="18"/>
                <w:szCs w:val="18"/>
              </w:rPr>
            </w:pPr>
            <w:r>
              <w:rPr>
                <w:rFonts w:ascii="宋体" w:hAnsi="宋体" w:cs="宋体" w:eastAsia="宋体" w:hint="default"/>
                <w:sz w:val="18"/>
                <w:szCs w:val="18"/>
              </w:rPr>
              <w:t>获批的交易额度</w:t>
            </w:r>
          </w:p>
        </w:tc>
        <w:tc>
          <w:tcPr>
            <w:tcW w:w="17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9" w:right="0"/>
              <w:jc w:val="left"/>
              <w:rPr>
                <w:rFonts w:ascii="宋体" w:hAnsi="宋体" w:cs="宋体" w:eastAsia="宋体" w:hint="default"/>
                <w:sz w:val="18"/>
                <w:szCs w:val="18"/>
              </w:rPr>
            </w:pPr>
            <w:r>
              <w:rPr>
                <w:rFonts w:ascii="宋体" w:hAnsi="宋体" w:cs="宋体" w:eastAsia="宋体" w:hint="default"/>
                <w:sz w:val="18"/>
                <w:szCs w:val="18"/>
              </w:rPr>
              <w:t>是否超过交易额度</w:t>
            </w:r>
          </w:p>
        </w:tc>
        <w:tc>
          <w:tcPr>
            <w:tcW w:w="17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99"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3" w:hRule="exact"/>
        </w:trPr>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65"/>
              <w:jc w:val="left"/>
              <w:rPr>
                <w:rFonts w:ascii="宋体" w:hAnsi="宋体" w:cs="宋体" w:eastAsia="宋体" w:hint="default"/>
                <w:sz w:val="18"/>
                <w:szCs w:val="18"/>
              </w:rPr>
            </w:pPr>
            <w:r>
              <w:rPr>
                <w:rFonts w:ascii="宋体" w:hAnsi="宋体" w:cs="宋体" w:eastAsia="宋体" w:hint="default"/>
                <w:sz w:val="18"/>
                <w:szCs w:val="18"/>
              </w:rPr>
              <w:t>普强信息技术（北 京）有限公司</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接受劳务</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8,577,511.92</w:t>
            </w:r>
          </w:p>
        </w:tc>
        <w:tc>
          <w:tcPr>
            <w:tcW w:w="1709" w:type="dxa"/>
            <w:tcBorders>
              <w:top w:val="single" w:sz="4" w:space="0" w:color="000000"/>
              <w:left w:val="single" w:sz="4" w:space="0" w:color="000000"/>
              <w:bottom w:val="single" w:sz="4" w:space="0" w:color="000000"/>
              <w:right w:val="single" w:sz="4" w:space="0" w:color="000000"/>
            </w:tcBorders>
          </w:tcPr>
          <w:p>
            <w:pP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3,248,349.44</w:t>
            </w:r>
          </w:p>
        </w:tc>
      </w:tr>
      <w:tr>
        <w:trPr>
          <w:trHeight w:val="715" w:hRule="exact"/>
        </w:trPr>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65"/>
              <w:jc w:val="left"/>
              <w:rPr>
                <w:rFonts w:ascii="宋体" w:hAnsi="宋体" w:cs="宋体" w:eastAsia="宋体" w:hint="default"/>
                <w:sz w:val="18"/>
                <w:szCs w:val="18"/>
              </w:rPr>
            </w:pPr>
            <w:r>
              <w:rPr>
                <w:rFonts w:ascii="宋体" w:hAnsi="宋体" w:cs="宋体" w:eastAsia="宋体" w:hint="default"/>
                <w:sz w:val="18"/>
                <w:szCs w:val="18"/>
              </w:rPr>
              <w:t>普强信息技术（北 京）有限公司</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采购商品</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1,020,000.05</w:t>
            </w:r>
          </w:p>
        </w:tc>
        <w:tc>
          <w:tcPr>
            <w:tcW w:w="1709" w:type="dxa"/>
            <w:tcBorders>
              <w:top w:val="single" w:sz="4" w:space="0" w:color="000000"/>
              <w:left w:val="single" w:sz="4" w:space="0" w:color="000000"/>
              <w:bottom w:val="single" w:sz="4" w:space="0" w:color="000000"/>
              <w:right w:val="single" w:sz="4" w:space="0" w:color="000000"/>
            </w:tcBorders>
          </w:tcPr>
          <w:p>
            <w:pP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65"/>
              <w:jc w:val="left"/>
              <w:rPr>
                <w:rFonts w:ascii="宋体" w:hAnsi="宋体" w:cs="宋体" w:eastAsia="宋体" w:hint="default"/>
                <w:sz w:val="18"/>
                <w:szCs w:val="18"/>
              </w:rPr>
            </w:pPr>
            <w:r>
              <w:rPr>
                <w:rFonts w:ascii="宋体" w:hAnsi="宋体" w:cs="宋体" w:eastAsia="宋体" w:hint="default"/>
                <w:sz w:val="18"/>
                <w:szCs w:val="18"/>
              </w:rPr>
              <w:t>北京四维智联科技 有限公司</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采购商品</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169,732.07</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75" w:right="0"/>
              <w:jc w:val="left"/>
              <w:rPr>
                <w:rFonts w:ascii="Times New Roman" w:hAnsi="Times New Roman" w:cs="Times New Roman" w:eastAsia="Times New Roman" w:hint="default"/>
                <w:sz w:val="18"/>
                <w:szCs w:val="18"/>
              </w:rPr>
            </w:pPr>
            <w:r>
              <w:rPr>
                <w:rFonts w:ascii="Times New Roman"/>
                <w:sz w:val="18"/>
              </w:rPr>
              <w:t>260,000,000</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41"/>
              <w:jc w:val="center"/>
              <w:rPr>
                <w:rFonts w:ascii="宋体" w:hAnsi="宋体" w:cs="宋体" w:eastAsia="宋体" w:hint="default"/>
                <w:sz w:val="18"/>
                <w:szCs w:val="18"/>
              </w:rPr>
            </w:pPr>
            <w:r>
              <w:rPr>
                <w:rFonts w:ascii="宋体" w:hAnsi="宋体" w:cs="宋体" w:eastAsia="宋体" w:hint="default"/>
                <w:sz w:val="18"/>
                <w:szCs w:val="18"/>
              </w:rPr>
              <w:t>北京四维智联科技</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接受劳务</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15,339,264.95</w:t>
            </w:r>
          </w:p>
        </w:tc>
        <w:tc>
          <w:tcPr>
            <w:tcW w:w="1709" w:type="dxa"/>
            <w:tcBorders>
              <w:top w:val="single" w:sz="4" w:space="0" w:color="000000"/>
              <w:left w:val="single" w:sz="4" w:space="0" w:color="000000"/>
              <w:bottom w:val="single" w:sz="4" w:space="0" w:color="000000"/>
              <w:right w:val="single" w:sz="4" w:space="0" w:color="000000"/>
            </w:tcBorders>
          </w:tcPr>
          <w:p>
            <w:pP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1020" w:right="0"/>
        </w:sectPr>
      </w:pPr>
    </w:p>
    <w:p>
      <w:pPr>
        <w:spacing w:line="240" w:lineRule="auto" w:before="11"/>
        <w:rPr>
          <w:rFonts w:ascii="宋体" w:hAnsi="宋体" w:cs="宋体" w:eastAsia="宋体" w:hint="default"/>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65pt;height:.75pt;mso-position-horizontal-relative:char;mso-position-vertical-relative:line" coordorigin="0,0" coordsize="9713,15">
            <v:group style="position:absolute;left:7;top:7;width:9698;height:2" coordorigin="7,7" coordsize="9698,2">
              <v:shape style="position:absolute;left:7;top:7;width:9698;height:2" coordorigin="7,7" coordsize="9698,0" path="m7,7l9705,7e" filled="false" stroked="true" strokeweight=".72pt" strokecolor="#000000">
                <v:path arrowok="t"/>
              </v:shape>
            </v:group>
          </v:group>
        </w:pict>
      </w:r>
      <w:r>
        <w:rPr>
          <w:rFonts w:ascii="宋体" w:hAnsi="宋体" w:cs="宋体" w:eastAsia="宋体" w:hint="default"/>
          <w:sz w:val="2"/>
          <w:szCs w:val="2"/>
        </w:rPr>
      </w:r>
    </w:p>
    <w:p>
      <w:pPr>
        <w:spacing w:line="240" w:lineRule="auto" w:before="2"/>
        <w:rPr>
          <w:rFonts w:ascii="宋体" w:hAnsi="宋体" w:cs="宋体" w:eastAsia="宋体" w:hint="default"/>
          <w:sz w:val="24"/>
          <w:szCs w:val="24"/>
        </w:rPr>
      </w:pPr>
    </w:p>
    <w:tbl>
      <w:tblPr>
        <w:tblW w:w="0" w:type="auto"/>
        <w:jc w:val="left"/>
        <w:tblInd w:w="148" w:type="dxa"/>
        <w:tblLayout w:type="fixed"/>
        <w:tblCellMar>
          <w:top w:w="0" w:type="dxa"/>
          <w:left w:w="0" w:type="dxa"/>
          <w:bottom w:w="0" w:type="dxa"/>
          <w:right w:w="0" w:type="dxa"/>
        </w:tblCellMar>
        <w:tblLook w:val="01E0"/>
      </w:tblPr>
      <w:tblGrid>
        <w:gridCol w:w="1541"/>
        <w:gridCol w:w="1455"/>
        <w:gridCol w:w="1452"/>
        <w:gridCol w:w="1709"/>
        <w:gridCol w:w="1706"/>
        <w:gridCol w:w="1707"/>
      </w:tblGrid>
      <w:tr>
        <w:trPr>
          <w:trHeight w:val="363" w:hRule="exact"/>
        </w:trPr>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455" w:type="dxa"/>
            <w:tcBorders>
              <w:top w:val="single" w:sz="4" w:space="0" w:color="000000"/>
              <w:left w:val="single" w:sz="4" w:space="0" w:color="000000"/>
              <w:bottom w:val="single" w:sz="4" w:space="0" w:color="000000"/>
              <w:right w:val="single" w:sz="4" w:space="0" w:color="000000"/>
            </w:tcBorders>
          </w:tcPr>
          <w:p>
            <w:pPr/>
          </w:p>
        </w:tc>
        <w:tc>
          <w:tcPr>
            <w:tcW w:w="1452" w:type="dxa"/>
            <w:tcBorders>
              <w:top w:val="single" w:sz="4" w:space="0" w:color="000000"/>
              <w:left w:val="single" w:sz="4" w:space="0" w:color="000000"/>
              <w:bottom w:val="single" w:sz="4" w:space="0" w:color="000000"/>
              <w:right w:val="single" w:sz="4" w:space="0" w:color="000000"/>
            </w:tcBorders>
          </w:tcPr>
          <w:p>
            <w:pPr/>
          </w:p>
        </w:tc>
        <w:tc>
          <w:tcPr>
            <w:tcW w:w="1709" w:type="dxa"/>
            <w:tcBorders>
              <w:top w:val="single" w:sz="4" w:space="0" w:color="000000"/>
              <w:left w:val="single" w:sz="4" w:space="0" w:color="000000"/>
              <w:bottom w:val="single" w:sz="4" w:space="0" w:color="000000"/>
              <w:right w:val="single" w:sz="4" w:space="0" w:color="000000"/>
            </w:tcBorders>
          </w:tcPr>
          <w:p>
            <w:pPr/>
          </w:p>
        </w:tc>
        <w:tc>
          <w:tcPr>
            <w:tcW w:w="1706" w:type="dxa"/>
            <w:tcBorders>
              <w:top w:val="single" w:sz="4" w:space="0" w:color="000000"/>
              <w:left w:val="single" w:sz="4" w:space="0" w:color="000000"/>
              <w:bottom w:val="single" w:sz="4" w:space="0" w:color="000000"/>
              <w:right w:val="single" w:sz="4" w:space="0" w:color="000000"/>
            </w:tcBorders>
          </w:tcPr>
          <w:p>
            <w:pPr/>
          </w:p>
        </w:tc>
        <w:tc>
          <w:tcPr>
            <w:tcW w:w="1707"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65"/>
              <w:jc w:val="left"/>
              <w:rPr>
                <w:rFonts w:ascii="宋体" w:hAnsi="宋体" w:cs="宋体" w:eastAsia="宋体" w:hint="default"/>
                <w:sz w:val="18"/>
                <w:szCs w:val="18"/>
              </w:rPr>
            </w:pPr>
            <w:r>
              <w:rPr>
                <w:rFonts w:ascii="宋体" w:hAnsi="宋体" w:cs="宋体" w:eastAsia="宋体" w:hint="default"/>
                <w:sz w:val="18"/>
                <w:szCs w:val="18"/>
              </w:rPr>
              <w:t>上海趣驾信息科技 有限公司</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采购商品</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3,181,316.51</w:t>
            </w:r>
          </w:p>
        </w:tc>
        <w:tc>
          <w:tcPr>
            <w:tcW w:w="1709" w:type="dxa"/>
            <w:tcBorders>
              <w:top w:val="single" w:sz="4" w:space="0" w:color="000000"/>
              <w:left w:val="single" w:sz="4" w:space="0" w:color="000000"/>
              <w:bottom w:val="single" w:sz="4" w:space="0" w:color="000000"/>
              <w:right w:val="single" w:sz="4" w:space="0" w:color="000000"/>
            </w:tcBorders>
          </w:tcPr>
          <w:p>
            <w:pP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4" w:right="65"/>
              <w:jc w:val="left"/>
              <w:rPr>
                <w:rFonts w:ascii="宋体" w:hAnsi="宋体" w:cs="宋体" w:eastAsia="宋体" w:hint="default"/>
                <w:sz w:val="18"/>
                <w:szCs w:val="18"/>
              </w:rPr>
            </w:pPr>
            <w:r>
              <w:rPr>
                <w:rFonts w:ascii="宋体" w:hAnsi="宋体" w:cs="宋体" w:eastAsia="宋体" w:hint="default"/>
                <w:sz w:val="18"/>
                <w:szCs w:val="18"/>
              </w:rPr>
              <w:t>和骊安</w:t>
            </w:r>
            <w:r>
              <w:rPr>
                <w:rFonts w:ascii="Times New Roman" w:hAnsi="Times New Roman" w:cs="Times New Roman" w:eastAsia="Times New Roman" w:hint="default"/>
                <w:sz w:val="18"/>
                <w:szCs w:val="18"/>
              </w:rPr>
              <w:t>(</w:t>
            </w:r>
            <w:r>
              <w:rPr>
                <w:rFonts w:ascii="宋体" w:hAnsi="宋体" w:cs="宋体" w:eastAsia="宋体" w:hint="default"/>
                <w:sz w:val="18"/>
                <w:szCs w:val="18"/>
              </w:rPr>
              <w:t>中国</w:t>
            </w:r>
            <w:r>
              <w:rPr>
                <w:rFonts w:ascii="Times New Roman" w:hAnsi="Times New Roman" w:cs="Times New Roman" w:eastAsia="Times New Roman" w:hint="default"/>
                <w:sz w:val="18"/>
                <w:szCs w:val="18"/>
              </w:rPr>
              <w:t>)</w:t>
            </w:r>
            <w:r>
              <w:rPr>
                <w:rFonts w:ascii="宋体" w:hAnsi="宋体" w:cs="宋体" w:eastAsia="宋体" w:hint="default"/>
                <w:sz w:val="18"/>
                <w:szCs w:val="18"/>
              </w:rPr>
              <w:t>汽车 信息系统有限公司</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采购商品</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2,384,367.66</w:t>
            </w:r>
          </w:p>
        </w:tc>
        <w:tc>
          <w:tcPr>
            <w:tcW w:w="1709" w:type="dxa"/>
            <w:tcBorders>
              <w:top w:val="single" w:sz="4" w:space="0" w:color="000000"/>
              <w:left w:val="single" w:sz="4" w:space="0" w:color="000000"/>
              <w:bottom w:val="single" w:sz="4" w:space="0" w:color="000000"/>
              <w:right w:val="single" w:sz="4" w:space="0" w:color="000000"/>
            </w:tcBorders>
          </w:tcPr>
          <w:p>
            <w:pP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11"/>
              <w:jc w:val="left"/>
              <w:rPr>
                <w:rFonts w:ascii="宋体" w:hAnsi="宋体" w:cs="宋体" w:eastAsia="宋体" w:hint="default"/>
                <w:sz w:val="18"/>
                <w:szCs w:val="18"/>
              </w:rPr>
            </w:pPr>
            <w:r>
              <w:rPr>
                <w:rFonts w:ascii="宋体" w:hAnsi="宋体" w:cs="宋体" w:eastAsia="宋体" w:hint="default"/>
                <w:spacing w:val="-6"/>
                <w:sz w:val="18"/>
                <w:szCs w:val="18"/>
              </w:rPr>
              <w:t>腾讯云计算（北京</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有限责任公司</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196" w:lineRule="exact" w:before="49"/>
              <w:ind w:left="-123"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196" w:lineRule="exact"/>
              <w:ind w:left="23" w:right="0"/>
              <w:jc w:val="left"/>
              <w:rPr>
                <w:rFonts w:ascii="宋体" w:hAnsi="宋体" w:cs="宋体" w:eastAsia="宋体" w:hint="default"/>
                <w:sz w:val="18"/>
                <w:szCs w:val="18"/>
              </w:rPr>
            </w:pPr>
            <w:r>
              <w:rPr>
                <w:rFonts w:ascii="宋体" w:hAnsi="宋体" w:cs="宋体" w:eastAsia="宋体" w:hint="default"/>
                <w:sz w:val="18"/>
                <w:szCs w:val="18"/>
              </w:rPr>
              <w:t>接受劳务</w:t>
            </w:r>
          </w:p>
          <w:p>
            <w:pPr>
              <w:pStyle w:val="TableParagraph"/>
              <w:spacing w:line="559" w:lineRule="exact"/>
              <w:ind w:right="-37"/>
              <w:jc w:val="left"/>
              <w:rPr>
                <w:rFonts w:ascii="宋体" w:hAnsi="宋体" w:cs="宋体" w:eastAsia="宋体" w:hint="default"/>
                <w:sz w:val="20"/>
                <w:szCs w:val="20"/>
              </w:rPr>
            </w:pPr>
            <w:r>
              <w:rPr>
                <w:rFonts w:ascii="宋体" w:hAnsi="宋体" w:cs="宋体" w:eastAsia="宋体" w:hint="default"/>
                <w:position w:val="-10"/>
                <w:sz w:val="20"/>
                <w:szCs w:val="20"/>
              </w:rPr>
              <w:pict>
                <v:group style="width:72.3pt;height:28pt;mso-position-horizontal-relative:char;mso-position-vertical-relative:line" coordorigin="0,0" coordsize="1446,560">
                  <v:group style="position:absolute;left:0;top:0;width:1446;height:156" coordorigin="0,0" coordsize="1446,156">
                    <v:shape style="position:absolute;left:0;top:0;width:1446;height:156" coordorigin="0,0" coordsize="1446,156" path="m0,156l1445,156,1445,0,0,0,0,156xe" filled="true" fillcolor="#ffffff" stroked="false">
                      <v:path arrowok="t"/>
                      <v:fill type="solid"/>
                    </v:shape>
                  </v:group>
                  <v:group style="position:absolute;left:12;top:156;width:2;height:392" coordorigin="12,156" coordsize="2,392">
                    <v:shape style="position:absolute;left:12;top:156;width:2;height:392" coordorigin="12,156" coordsize="0,392" path="m12,156l12,547e" filled="false" stroked="true" strokeweight="1.2pt" strokecolor="#ffffff">
                      <v:path arrowok="t"/>
                    </v:shape>
                  </v:group>
                  <v:group style="position:absolute;left:24;top:156;width:1398;height:392" coordorigin="24,156" coordsize="1398,392">
                    <v:shape style="position:absolute;left:24;top:156;width:1398;height:392" coordorigin="24,156" coordsize="1398,392" path="m24,547l1421,547,1421,156,24,156,24,547xe" filled="true" fillcolor="#ffffff" stroked="false">
                      <v:path arrowok="t"/>
                      <v:fill type="solid"/>
                    </v:shape>
                  </v:group>
                </v:group>
              </w:pict>
            </w:r>
            <w:r>
              <w:rPr>
                <w:rFonts w:ascii="宋体" w:hAnsi="宋体" w:cs="宋体" w:eastAsia="宋体" w:hint="default"/>
                <w:position w:val="-10"/>
                <w:sz w:val="20"/>
                <w:szCs w:val="20"/>
              </w:rPr>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3,925,037.93</w:t>
            </w:r>
          </w:p>
        </w:tc>
        <w:tc>
          <w:tcPr>
            <w:tcW w:w="1709" w:type="dxa"/>
            <w:tcBorders>
              <w:top w:val="single" w:sz="4" w:space="0" w:color="000000"/>
              <w:left w:val="single" w:sz="4" w:space="0" w:color="000000"/>
              <w:bottom w:val="single" w:sz="4" w:space="0" w:color="000000"/>
              <w:right w:val="single" w:sz="4" w:space="0" w:color="000000"/>
            </w:tcBorders>
          </w:tcPr>
          <w:p>
            <w:pP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4,156,723.48</w:t>
            </w:r>
          </w:p>
        </w:tc>
      </w:tr>
      <w:tr>
        <w:trPr>
          <w:trHeight w:val="715" w:hRule="exact"/>
        </w:trPr>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65"/>
              <w:jc w:val="left"/>
              <w:rPr>
                <w:rFonts w:ascii="宋体" w:hAnsi="宋体" w:cs="宋体" w:eastAsia="宋体" w:hint="default"/>
                <w:sz w:val="18"/>
                <w:szCs w:val="18"/>
              </w:rPr>
            </w:pPr>
            <w:r>
              <w:rPr>
                <w:rFonts w:ascii="宋体" w:hAnsi="宋体" w:cs="宋体" w:eastAsia="宋体" w:hint="default"/>
                <w:sz w:val="18"/>
                <w:szCs w:val="18"/>
              </w:rPr>
              <w:t>嘉兴四维智城信息 科技有限公司</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接受劳务</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330,188.69</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2,000,000</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600,000.00</w:t>
            </w:r>
          </w:p>
        </w:tc>
      </w:tr>
      <w:tr>
        <w:trPr>
          <w:trHeight w:val="713" w:hRule="exact"/>
        </w:trPr>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65"/>
              <w:jc w:val="left"/>
              <w:rPr>
                <w:rFonts w:ascii="宋体" w:hAnsi="宋体" w:cs="宋体" w:eastAsia="宋体" w:hint="default"/>
                <w:sz w:val="18"/>
                <w:szCs w:val="18"/>
              </w:rPr>
            </w:pPr>
            <w:r>
              <w:rPr>
                <w:rFonts w:ascii="宋体" w:hAnsi="宋体" w:cs="宋体" w:eastAsia="宋体" w:hint="default"/>
                <w:sz w:val="18"/>
                <w:szCs w:val="18"/>
              </w:rPr>
              <w:t>上海安吉四维信息 技术有限公司</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接受劳务</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45,755.30</w:t>
            </w:r>
          </w:p>
        </w:tc>
        <w:tc>
          <w:tcPr>
            <w:tcW w:w="1709" w:type="dxa"/>
            <w:tcBorders>
              <w:top w:val="single" w:sz="4" w:space="0" w:color="000000"/>
              <w:left w:val="single" w:sz="4" w:space="0" w:color="000000"/>
              <w:bottom w:val="single" w:sz="4" w:space="0" w:color="000000"/>
              <w:right w:val="single" w:sz="4" w:space="0" w:color="000000"/>
            </w:tcBorders>
          </w:tcPr>
          <w:p>
            <w:pP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65"/>
              <w:jc w:val="left"/>
              <w:rPr>
                <w:rFonts w:ascii="宋体" w:hAnsi="宋体" w:cs="宋体" w:eastAsia="宋体" w:hint="default"/>
                <w:sz w:val="18"/>
                <w:szCs w:val="18"/>
              </w:rPr>
            </w:pPr>
            <w:r>
              <w:rPr>
                <w:rFonts w:ascii="宋体" w:hAnsi="宋体" w:cs="宋体" w:eastAsia="宋体" w:hint="default"/>
                <w:sz w:val="18"/>
                <w:szCs w:val="18"/>
              </w:rPr>
              <w:t>北京航天世景信息 技术有限公司</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接受劳务</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2,229,500.96</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4,000,000</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414,166.98</w:t>
            </w:r>
          </w:p>
        </w:tc>
      </w:tr>
      <w:tr>
        <w:trPr>
          <w:trHeight w:val="713" w:hRule="exact"/>
        </w:trPr>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65"/>
              <w:jc w:val="left"/>
              <w:rPr>
                <w:rFonts w:ascii="宋体" w:hAnsi="宋体" w:cs="宋体" w:eastAsia="宋体" w:hint="default"/>
                <w:sz w:val="18"/>
                <w:szCs w:val="18"/>
              </w:rPr>
            </w:pPr>
            <w:r>
              <w:rPr>
                <w:rFonts w:ascii="宋体" w:hAnsi="宋体" w:cs="宋体" w:eastAsia="宋体" w:hint="default"/>
                <w:sz w:val="18"/>
                <w:szCs w:val="18"/>
              </w:rPr>
              <w:t>北京航天世景信息 技术有限公司</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采购商品</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220,754.72</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16,000,000</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65"/>
              <w:jc w:val="left"/>
              <w:rPr>
                <w:rFonts w:ascii="宋体" w:hAnsi="宋体" w:cs="宋体" w:eastAsia="宋体" w:hint="default"/>
                <w:sz w:val="18"/>
                <w:szCs w:val="18"/>
              </w:rPr>
            </w:pPr>
            <w:r>
              <w:rPr>
                <w:rFonts w:ascii="宋体" w:hAnsi="宋体" w:cs="宋体" w:eastAsia="宋体" w:hint="default"/>
                <w:sz w:val="18"/>
                <w:szCs w:val="18"/>
              </w:rPr>
              <w:t>深圳市腾讯计算机 系统有限公司</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接受劳务</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883.02</w:t>
            </w:r>
          </w:p>
        </w:tc>
        <w:tc>
          <w:tcPr>
            <w:tcW w:w="1709" w:type="dxa"/>
            <w:tcBorders>
              <w:top w:val="single" w:sz="4" w:space="0" w:color="000000"/>
              <w:left w:val="single" w:sz="4" w:space="0" w:color="000000"/>
              <w:bottom w:val="single" w:sz="4" w:space="0" w:color="000000"/>
              <w:right w:val="single" w:sz="4" w:space="0" w:color="000000"/>
            </w:tcBorders>
          </w:tcPr>
          <w:p>
            <w:pP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1,466.70</w:t>
            </w:r>
          </w:p>
        </w:tc>
      </w:tr>
      <w:tr>
        <w:trPr>
          <w:trHeight w:val="713" w:hRule="exact"/>
        </w:trPr>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65"/>
              <w:jc w:val="left"/>
              <w:rPr>
                <w:rFonts w:ascii="宋体" w:hAnsi="宋体" w:cs="宋体" w:eastAsia="宋体" w:hint="default"/>
                <w:sz w:val="18"/>
                <w:szCs w:val="18"/>
              </w:rPr>
            </w:pPr>
            <w:r>
              <w:rPr>
                <w:rFonts w:ascii="宋体" w:hAnsi="宋体" w:cs="宋体" w:eastAsia="宋体" w:hint="default"/>
                <w:sz w:val="18"/>
                <w:szCs w:val="18"/>
              </w:rPr>
              <w:t>北京图新数聚科技 有限公司</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接受劳务</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5,346,943.64</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1,000,000</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bl>
    <w:p>
      <w:pPr>
        <w:pStyle w:val="BodyText"/>
        <w:spacing w:line="240" w:lineRule="auto" w:before="49"/>
        <w:ind w:right="982"/>
        <w:jc w:val="left"/>
      </w:pPr>
      <w:r>
        <w:rPr/>
        <w:t>出售商品</w:t>
      </w:r>
      <w:r>
        <w:rPr>
          <w:rFonts w:ascii="Times New Roman" w:hAnsi="Times New Roman" w:cs="Times New Roman" w:eastAsia="Times New Roman" w:hint="default"/>
        </w:rPr>
        <w:t>/</w:t>
      </w:r>
      <w:r>
        <w:rPr/>
        <w:t>提供劳务情况表</w:t>
      </w:r>
    </w:p>
    <w:p>
      <w:pPr>
        <w:pStyle w:val="BodyText"/>
        <w:spacing w:line="240" w:lineRule="auto" w:before="10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398"/>
        <w:gridCol w:w="2259"/>
        <w:gridCol w:w="2259"/>
        <w:gridCol w:w="2655"/>
      </w:tblGrid>
      <w:tr>
        <w:trPr>
          <w:trHeight w:val="403" w:hRule="exact"/>
        </w:trPr>
        <w:tc>
          <w:tcPr>
            <w:tcW w:w="23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2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86"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22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74"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6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71"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3"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22"/>
              <w:jc w:val="left"/>
              <w:rPr>
                <w:rFonts w:ascii="宋体" w:hAnsi="宋体" w:cs="宋体" w:eastAsia="宋体" w:hint="default"/>
                <w:sz w:val="18"/>
                <w:szCs w:val="18"/>
              </w:rPr>
            </w:pPr>
            <w:r>
              <w:rPr>
                <w:rFonts w:ascii="宋体" w:hAnsi="宋体" w:cs="宋体" w:eastAsia="宋体" w:hint="default"/>
                <w:sz w:val="18"/>
                <w:szCs w:val="18"/>
              </w:rPr>
              <w:t>上海安吉四维信息技术有限公 司</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销售商品</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146,927,349.58</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98,813,413.70</w:t>
            </w:r>
          </w:p>
        </w:tc>
      </w:tr>
      <w:tr>
        <w:trPr>
          <w:trHeight w:val="715"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22"/>
              <w:jc w:val="left"/>
              <w:rPr>
                <w:rFonts w:ascii="宋体" w:hAnsi="宋体" w:cs="宋体" w:eastAsia="宋体" w:hint="default"/>
                <w:sz w:val="18"/>
                <w:szCs w:val="18"/>
              </w:rPr>
            </w:pPr>
            <w:r>
              <w:rPr>
                <w:rFonts w:ascii="宋体" w:hAnsi="宋体" w:cs="宋体" w:eastAsia="宋体" w:hint="default"/>
                <w:sz w:val="18"/>
                <w:szCs w:val="18"/>
              </w:rPr>
              <w:t>上海安吉四维信息技术有限公 司</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提供劳务</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29,138,119.59</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19,496,805.57</w:t>
            </w:r>
          </w:p>
        </w:tc>
      </w:tr>
      <w:tr>
        <w:trPr>
          <w:trHeight w:val="713"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22"/>
              <w:jc w:val="left"/>
              <w:rPr>
                <w:rFonts w:ascii="宋体" w:hAnsi="宋体" w:cs="宋体" w:eastAsia="宋体" w:hint="default"/>
                <w:sz w:val="18"/>
                <w:szCs w:val="18"/>
              </w:rPr>
            </w:pPr>
            <w:r>
              <w:rPr>
                <w:rFonts w:ascii="宋体" w:hAnsi="宋体" w:cs="宋体" w:eastAsia="宋体" w:hint="default"/>
                <w:sz w:val="18"/>
                <w:szCs w:val="18"/>
              </w:rPr>
              <w:t>腾讯大地通途（北京）科技有 限公司</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销售商品</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26,276,198.28</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6"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22"/>
              <w:jc w:val="left"/>
              <w:rPr>
                <w:rFonts w:ascii="宋体" w:hAnsi="宋体" w:cs="宋体" w:eastAsia="宋体" w:hint="default"/>
                <w:sz w:val="18"/>
                <w:szCs w:val="18"/>
              </w:rPr>
            </w:pPr>
            <w:r>
              <w:rPr>
                <w:rFonts w:ascii="宋体" w:hAnsi="宋体" w:cs="宋体" w:eastAsia="宋体" w:hint="default"/>
                <w:sz w:val="18"/>
                <w:szCs w:val="18"/>
              </w:rPr>
              <w:t>腾讯大地通途（北京）科技有 限公司</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提供劳务</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1,981,132.02</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22"/>
              <w:jc w:val="left"/>
              <w:rPr>
                <w:rFonts w:ascii="宋体" w:hAnsi="宋体" w:cs="宋体" w:eastAsia="宋体" w:hint="default"/>
                <w:sz w:val="18"/>
                <w:szCs w:val="18"/>
              </w:rPr>
            </w:pPr>
            <w:r>
              <w:rPr>
                <w:rFonts w:ascii="宋体" w:hAnsi="宋体" w:cs="宋体" w:eastAsia="宋体" w:hint="default"/>
                <w:sz w:val="18"/>
                <w:szCs w:val="18"/>
              </w:rPr>
              <w:t>深圳市腾讯计算机系统有限公 司</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销售商品</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6,289,308.12</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12,290,598.23</w:t>
            </w:r>
          </w:p>
        </w:tc>
      </w:tr>
      <w:tr>
        <w:trPr>
          <w:trHeight w:val="715"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22"/>
              <w:jc w:val="left"/>
              <w:rPr>
                <w:rFonts w:ascii="宋体" w:hAnsi="宋体" w:cs="宋体" w:eastAsia="宋体" w:hint="default"/>
                <w:sz w:val="18"/>
                <w:szCs w:val="18"/>
              </w:rPr>
            </w:pPr>
            <w:r>
              <w:rPr>
                <w:rFonts w:ascii="宋体" w:hAnsi="宋体" w:cs="宋体" w:eastAsia="宋体" w:hint="default"/>
                <w:sz w:val="18"/>
                <w:szCs w:val="18"/>
              </w:rPr>
              <w:t>深圳市腾讯计算机系统有限公 司</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提供劳务</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4,006,414.98</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12,150,157.11</w:t>
            </w:r>
          </w:p>
        </w:tc>
      </w:tr>
      <w:tr>
        <w:trPr>
          <w:trHeight w:val="401"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北京四维智联科技有限公司</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销售商品</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13,034,482.71</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北京图新瀚和科技有限公司</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提供劳务</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3,711,768.05</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712,950.38</w:t>
            </w:r>
          </w:p>
        </w:tc>
      </w:tr>
      <w:tr>
        <w:trPr>
          <w:trHeight w:val="401"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云南腾云信息产业有限公司</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提供劳务</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3,094,339.63</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上海蔚来汽车有限公司</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提供劳务</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2,822,939.06</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4,469,863.05</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2398"/>
        <w:gridCol w:w="2259"/>
        <w:gridCol w:w="2259"/>
        <w:gridCol w:w="2655"/>
      </w:tblGrid>
      <w:tr>
        <w:trPr>
          <w:trHeight w:val="401"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北京搜狗信息服务有限公司</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提供劳务</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2,564,102.55</w:t>
            </w:r>
          </w:p>
        </w:tc>
      </w:tr>
      <w:tr>
        <w:trPr>
          <w:trHeight w:val="715"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22"/>
              <w:jc w:val="left"/>
              <w:rPr>
                <w:rFonts w:ascii="宋体" w:hAnsi="宋体" w:cs="宋体" w:eastAsia="宋体" w:hint="default"/>
                <w:sz w:val="18"/>
                <w:szCs w:val="18"/>
              </w:rPr>
            </w:pPr>
            <w:r>
              <w:rPr>
                <w:rFonts w:ascii="宋体" w:hAnsi="宋体" w:cs="宋体" w:eastAsia="宋体" w:hint="default"/>
                <w:sz w:val="18"/>
                <w:szCs w:val="18"/>
              </w:rPr>
              <w:t>普强信息技术（北京）有限公 司</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提供劳务</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2,342,449.91</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1,018,867.92</w:t>
            </w:r>
          </w:p>
        </w:tc>
      </w:tr>
      <w:tr>
        <w:trPr>
          <w:trHeight w:val="401"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北京四维万兴科技有限公司</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提供劳务</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1,882,075.48</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北京图新数聚科技有限公司</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提供劳务</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385,618.18</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31,124.53</w:t>
            </w:r>
          </w:p>
        </w:tc>
      </w:tr>
      <w:tr>
        <w:trPr>
          <w:trHeight w:val="401"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中国四维测绘技术有限公司</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提供劳务</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174,528.30</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8,141,509.39</w:t>
            </w:r>
          </w:p>
        </w:tc>
      </w:tr>
      <w:tr>
        <w:trPr>
          <w:trHeight w:val="403"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中国四维测绘技术有限公司</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销售商品</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724,786.32</w:t>
            </w:r>
          </w:p>
        </w:tc>
      </w:tr>
      <w:tr>
        <w:trPr>
          <w:trHeight w:val="401"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上海趣驾信息科技有限公司</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提供劳务</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60,966.04</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6"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22"/>
              <w:jc w:val="left"/>
              <w:rPr>
                <w:rFonts w:ascii="宋体" w:hAnsi="宋体" w:cs="宋体" w:eastAsia="宋体" w:hint="default"/>
                <w:sz w:val="18"/>
                <w:szCs w:val="18"/>
              </w:rPr>
            </w:pPr>
            <w:r>
              <w:rPr>
                <w:rFonts w:ascii="宋体" w:hAnsi="宋体" w:cs="宋体" w:eastAsia="宋体" w:hint="default"/>
                <w:sz w:val="18"/>
                <w:szCs w:val="18"/>
              </w:rPr>
              <w:t>北京蜂云科创信息技术有限公 司</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提供劳务</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30,188.68</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7,377.36</w:t>
            </w:r>
          </w:p>
        </w:tc>
      </w:tr>
      <w:tr>
        <w:trPr>
          <w:trHeight w:val="713"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22"/>
              <w:jc w:val="left"/>
              <w:rPr>
                <w:rFonts w:ascii="宋体" w:hAnsi="宋体" w:cs="宋体" w:eastAsia="宋体" w:hint="default"/>
                <w:sz w:val="18"/>
                <w:szCs w:val="18"/>
              </w:rPr>
            </w:pPr>
            <w:r>
              <w:rPr>
                <w:rFonts w:ascii="宋体" w:hAnsi="宋体" w:cs="宋体" w:eastAsia="宋体" w:hint="default"/>
                <w:sz w:val="18"/>
                <w:szCs w:val="18"/>
              </w:rPr>
              <w:t>嘉兴四维智城信息科技有限公 司</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提供劳务</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2,437,587.96</w:t>
            </w:r>
          </w:p>
        </w:tc>
      </w:tr>
      <w:tr>
        <w:trPr>
          <w:trHeight w:val="715"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22"/>
              <w:jc w:val="left"/>
              <w:rPr>
                <w:rFonts w:ascii="宋体" w:hAnsi="宋体" w:cs="宋体" w:eastAsia="宋体" w:hint="default"/>
                <w:sz w:val="18"/>
                <w:szCs w:val="18"/>
              </w:rPr>
            </w:pPr>
            <w:r>
              <w:rPr>
                <w:rFonts w:ascii="宋体" w:hAnsi="宋体" w:cs="宋体" w:eastAsia="宋体" w:hint="default"/>
                <w:sz w:val="18"/>
                <w:szCs w:val="18"/>
              </w:rPr>
              <w:t>北京航天世景信息技术有限公 司</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提供劳务</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274,713.76</w:t>
            </w:r>
          </w:p>
        </w:tc>
      </w:tr>
      <w:tr>
        <w:trPr>
          <w:trHeight w:val="403"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四维高景卫星遥感有限公司</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提供劳务</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72,595.27</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t>（</w:t>
      </w:r>
      <w:r>
        <w:rPr>
          <w:rFonts w:ascii="Times New Roman" w:hAnsi="Times New Roman" w:cs="Times New Roman" w:eastAsia="Times New Roman" w:hint="default"/>
        </w:rPr>
        <w:t>2</w:t>
      </w:r>
      <w:r>
        <w:rPr/>
        <w:t>）关联受托管理</w:t>
      </w:r>
      <w:r>
        <w:rPr>
          <w:rFonts w:ascii="Times New Roman" w:hAnsi="Times New Roman" w:cs="Times New Roman" w:eastAsia="Times New Roman" w:hint="default"/>
        </w:rPr>
        <w:t>/</w:t>
      </w:r>
      <w:r>
        <w:rPr/>
        <w:t>承包及委托管理</w:t>
      </w:r>
      <w:r>
        <w:rPr>
          <w:rFonts w:ascii="Times New Roman" w:hAnsi="Times New Roman" w:cs="Times New Roman" w:eastAsia="Times New Roman" w:hint="default"/>
        </w:rPr>
        <w:t>/</w:t>
      </w:r>
      <w:r>
        <w:rPr/>
        <w:t>出包情况</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t>（</w:t>
      </w:r>
      <w:r>
        <w:rPr>
          <w:rFonts w:ascii="Times New Roman" w:hAnsi="Times New Roman" w:cs="Times New Roman" w:eastAsia="Times New Roman" w:hint="default"/>
        </w:rPr>
        <w:t>3</w:t>
      </w:r>
      <w:r>
        <w:rPr/>
        <w:t>）关联租赁情况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right="982"/>
        <w:jc w:val="left"/>
      </w:pPr>
      <w:r>
        <w:rPr/>
        <w:t>本公司作为出租方：</w:t>
      </w:r>
    </w:p>
    <w:p>
      <w:pPr>
        <w:pStyle w:val="BodyText"/>
        <w:spacing w:line="240" w:lineRule="auto" w:before="115"/>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835"/>
        <w:gridCol w:w="1949"/>
        <w:gridCol w:w="2393"/>
        <w:gridCol w:w="2393"/>
      </w:tblGrid>
      <w:tr>
        <w:trPr>
          <w:trHeight w:val="403" w:hRule="exact"/>
        </w:trPr>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承租方名称</w:t>
            </w:r>
          </w:p>
        </w:tc>
        <w:tc>
          <w:tcPr>
            <w:tcW w:w="19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29" w:right="0"/>
              <w:jc w:val="left"/>
              <w:rPr>
                <w:rFonts w:ascii="宋体" w:hAnsi="宋体" w:cs="宋体" w:eastAsia="宋体" w:hint="default"/>
                <w:sz w:val="18"/>
                <w:szCs w:val="18"/>
              </w:rPr>
            </w:pPr>
            <w:r>
              <w:rPr>
                <w:rFonts w:ascii="宋体" w:hAnsi="宋体" w:cs="宋体" w:eastAsia="宋体" w:hint="default"/>
                <w:sz w:val="18"/>
                <w:szCs w:val="18"/>
              </w:rPr>
              <w:t>租赁资产种类</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1" w:right="0"/>
              <w:jc w:val="left"/>
              <w:rPr>
                <w:rFonts w:ascii="宋体" w:hAnsi="宋体" w:cs="宋体" w:eastAsia="宋体" w:hint="default"/>
                <w:sz w:val="18"/>
                <w:szCs w:val="18"/>
              </w:rPr>
            </w:pPr>
            <w:r>
              <w:rPr>
                <w:rFonts w:ascii="宋体" w:hAnsi="宋体" w:cs="宋体" w:eastAsia="宋体" w:hint="default"/>
                <w:sz w:val="18"/>
                <w:szCs w:val="18"/>
              </w:rPr>
              <w:t>本期确认的租赁收入</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1" w:right="0"/>
              <w:jc w:val="left"/>
              <w:rPr>
                <w:rFonts w:ascii="宋体" w:hAnsi="宋体" w:cs="宋体" w:eastAsia="宋体" w:hint="default"/>
                <w:sz w:val="18"/>
                <w:szCs w:val="18"/>
              </w:rPr>
            </w:pPr>
            <w:r>
              <w:rPr>
                <w:rFonts w:ascii="宋体" w:hAnsi="宋体" w:cs="宋体" w:eastAsia="宋体" w:hint="default"/>
                <w:sz w:val="18"/>
                <w:szCs w:val="18"/>
              </w:rPr>
              <w:t>上期确认的租赁收入</w:t>
            </w:r>
          </w:p>
        </w:tc>
      </w:tr>
      <w:tr>
        <w:trPr>
          <w:trHeight w:val="401" w:hRule="exact"/>
        </w:trPr>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普强信息技术（北京）有限公司</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办公场所</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2,178,737.57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1,867,678.44</w:t>
            </w:r>
          </w:p>
        </w:tc>
      </w:tr>
      <w:tr>
        <w:trPr>
          <w:trHeight w:val="403" w:hRule="exact"/>
        </w:trPr>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北京图新瀚和科技有限公司</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办公场所</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1,783,087.31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545,662.51</w:t>
            </w:r>
          </w:p>
        </w:tc>
      </w:tr>
    </w:tbl>
    <w:p>
      <w:pPr>
        <w:pStyle w:val="BodyText"/>
        <w:spacing w:line="357" w:lineRule="auto" w:before="49"/>
        <w:ind w:right="9134"/>
        <w:jc w:val="left"/>
      </w:pPr>
      <w:r>
        <w:rPr/>
        <w:t>本公司作为承租方： 无</w:t>
      </w:r>
    </w:p>
    <w:p>
      <w:pPr>
        <w:spacing w:line="240" w:lineRule="auto" w:before="6"/>
        <w:rPr>
          <w:rFonts w:ascii="宋体" w:hAnsi="宋体" w:cs="宋体" w:eastAsia="宋体" w:hint="default"/>
          <w:sz w:val="20"/>
          <w:szCs w:val="20"/>
        </w:rPr>
      </w:pPr>
    </w:p>
    <w:p>
      <w:pPr>
        <w:pStyle w:val="Heading4"/>
        <w:spacing w:line="240" w:lineRule="auto"/>
        <w:ind w:right="982"/>
        <w:jc w:val="left"/>
        <w:rPr>
          <w:b w:val="0"/>
          <w:bCs w:val="0"/>
        </w:rPr>
      </w:pPr>
      <w:r>
        <w:rPr/>
        <w:t>（</w:t>
      </w:r>
      <w:r>
        <w:rPr>
          <w:rFonts w:ascii="Times New Roman" w:hAnsi="Times New Roman" w:cs="Times New Roman" w:eastAsia="Times New Roman" w:hint="default"/>
        </w:rPr>
        <w:t>4</w:t>
      </w:r>
      <w:r>
        <w:rPr/>
        <w:t>）关联担保情况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right="982"/>
        <w:jc w:val="left"/>
      </w:pPr>
      <w:r>
        <w:rPr/>
        <w:t>本公司作为担保方</w:t>
      </w:r>
    </w:p>
    <w:p>
      <w:pPr>
        <w:pStyle w:val="BodyText"/>
        <w:spacing w:line="240" w:lineRule="auto" w:before="115"/>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552"/>
        <w:gridCol w:w="1277"/>
        <w:gridCol w:w="1916"/>
        <w:gridCol w:w="1913"/>
        <w:gridCol w:w="1916"/>
      </w:tblGrid>
      <w:tr>
        <w:trPr>
          <w:trHeight w:val="401" w:hRule="exact"/>
        </w:trPr>
        <w:tc>
          <w:tcPr>
            <w:tcW w:w="2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被担保方</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74" w:right="0"/>
              <w:jc w:val="left"/>
              <w:rPr>
                <w:rFonts w:ascii="宋体" w:hAnsi="宋体" w:cs="宋体" w:eastAsia="宋体" w:hint="default"/>
                <w:sz w:val="18"/>
                <w:szCs w:val="18"/>
              </w:rPr>
            </w:pPr>
            <w:r>
              <w:rPr>
                <w:rFonts w:ascii="宋体" w:hAnsi="宋体" w:cs="宋体" w:eastAsia="宋体" w:hint="default"/>
                <w:sz w:val="18"/>
                <w:szCs w:val="18"/>
              </w:rPr>
              <w:t>担保金额</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01" w:right="0"/>
              <w:jc w:val="left"/>
              <w:rPr>
                <w:rFonts w:ascii="宋体" w:hAnsi="宋体" w:cs="宋体" w:eastAsia="宋体" w:hint="default"/>
                <w:sz w:val="18"/>
                <w:szCs w:val="18"/>
              </w:rPr>
            </w:pPr>
            <w:r>
              <w:rPr>
                <w:rFonts w:ascii="宋体" w:hAnsi="宋体" w:cs="宋体" w:eastAsia="宋体" w:hint="default"/>
                <w:sz w:val="18"/>
                <w:szCs w:val="18"/>
              </w:rPr>
              <w:t>担保起始日</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01" w:right="0"/>
              <w:jc w:val="left"/>
              <w:rPr>
                <w:rFonts w:ascii="宋体" w:hAnsi="宋体" w:cs="宋体" w:eastAsia="宋体" w:hint="default"/>
                <w:sz w:val="18"/>
                <w:szCs w:val="18"/>
              </w:rPr>
            </w:pPr>
            <w:r>
              <w:rPr>
                <w:rFonts w:ascii="宋体" w:hAnsi="宋体" w:cs="宋体" w:eastAsia="宋体" w:hint="default"/>
                <w:sz w:val="18"/>
                <w:szCs w:val="18"/>
              </w:rPr>
              <w:t>担保到期日</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2" w:right="0"/>
              <w:jc w:val="left"/>
              <w:rPr>
                <w:rFonts w:ascii="宋体" w:hAnsi="宋体" w:cs="宋体" w:eastAsia="宋体" w:hint="default"/>
                <w:sz w:val="18"/>
                <w:szCs w:val="18"/>
              </w:rPr>
            </w:pPr>
            <w:r>
              <w:rPr>
                <w:rFonts w:ascii="宋体" w:hAnsi="宋体" w:cs="宋体" w:eastAsia="宋体" w:hint="default"/>
                <w:sz w:val="18"/>
                <w:szCs w:val="18"/>
              </w:rPr>
              <w:t>担保是否已经履行完毕</w:t>
            </w:r>
          </w:p>
        </w:tc>
      </w:tr>
      <w:tr>
        <w:trPr>
          <w:trHeight w:val="403"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pacing w:val="-2"/>
                <w:sz w:val="18"/>
                <w:szCs w:val="18"/>
              </w:rPr>
              <w:t>图新投资（香港）科技有限公司</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 </w:t>
            </w:r>
            <w:r>
              <w:rPr>
                <w:rFonts w:ascii="宋体" w:hAnsi="宋体" w:cs="宋体" w:eastAsia="宋体" w:hint="default"/>
                <w:sz w:val="18"/>
                <w:szCs w:val="18"/>
              </w:rPr>
              <w:t>日</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 </w:t>
            </w:r>
            <w:r>
              <w:rPr>
                <w:rFonts w:ascii="宋体" w:hAnsi="宋体" w:cs="宋体" w:eastAsia="宋体" w:hint="default"/>
                <w:sz w:val="18"/>
                <w:szCs w:val="18"/>
              </w:rPr>
              <w:t>日</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pStyle w:val="BodyText"/>
        <w:spacing w:line="357" w:lineRule="auto" w:before="49"/>
        <w:ind w:right="9134"/>
        <w:jc w:val="left"/>
      </w:pPr>
      <w:r>
        <w:rPr/>
        <w:t>本公司作为被担保方 关联担保情况说明</w:t>
      </w:r>
    </w:p>
    <w:p>
      <w:pPr>
        <w:pStyle w:val="BodyText"/>
        <w:spacing w:line="240" w:lineRule="auto" w:before="29"/>
        <w:ind w:right="982"/>
        <w:jc w:val="left"/>
        <w:rPr>
          <w:rFonts w:ascii="Times New Roman" w:hAnsi="Times New Roman" w:cs="Times New Roman" w:eastAsia="Times New Roman" w:hint="default"/>
        </w:rPr>
      </w:pPr>
      <w:r>
        <w:rPr/>
        <w:t>注</w:t>
      </w:r>
      <w:r>
        <w:rPr>
          <w:spacing w:val="-92"/>
        </w:rPr>
        <w:t>：</w:t>
      </w:r>
      <w:r>
        <w:rPr/>
        <w:t>本公司向所属子公司图新</w:t>
      </w:r>
      <w:r>
        <w:rPr>
          <w:spacing w:val="2"/>
        </w:rPr>
        <w:t>投</w:t>
      </w:r>
      <w:r>
        <w:rPr>
          <w:spacing w:val="-92"/>
        </w:rPr>
        <w:t>资</w:t>
      </w:r>
      <w:r>
        <w:rPr/>
        <w:t>（香港</w:t>
      </w:r>
      <w:r>
        <w:rPr>
          <w:spacing w:val="-92"/>
        </w:rPr>
        <w:t>）</w:t>
      </w:r>
      <w:r>
        <w:rPr/>
        <w:t>科技有限公司的银</w:t>
      </w:r>
      <w:r>
        <w:rPr>
          <w:spacing w:val="2"/>
        </w:rPr>
        <w:t>行</w:t>
      </w:r>
      <w:r>
        <w:rPr/>
        <w:t>借款提供总额为</w:t>
      </w:r>
      <w:r>
        <w:rPr>
          <w:spacing w:val="-52"/>
        </w:rPr>
        <w:t> </w:t>
      </w:r>
      <w:r>
        <w:rPr>
          <w:rFonts w:ascii="Times New Roman" w:hAnsi="Times New Roman" w:cs="Times New Roman" w:eastAsia="Times New Roman" w:hint="default"/>
          <w:spacing w:val="-6"/>
        </w:rPr>
        <w:t>1</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2"/>
        </w:rPr>
        <w:t>,</w:t>
      </w:r>
      <w:r>
        <w:rPr>
          <w:rFonts w:ascii="Times New Roman" w:hAnsi="Times New Roman" w:cs="Times New Roman" w:eastAsia="Times New Roman" w:hint="default"/>
          <w:spacing w:val="1"/>
        </w:rPr>
        <w:t>0</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0</w:t>
      </w:r>
      <w:r>
        <w:rPr>
          <w:rFonts w:ascii="Times New Roman" w:hAnsi="Times New Roman" w:cs="Times New Roman" w:eastAsia="Times New Roman" w:hint="default"/>
          <w:spacing w:val="-2"/>
        </w:rPr>
        <w:t>.0</w:t>
      </w:r>
      <w:r>
        <w:rPr>
          <w:rFonts w:ascii="Times New Roman" w:hAnsi="Times New Roman" w:cs="Times New Roman" w:eastAsia="Times New Roman" w:hint="default"/>
        </w:rPr>
        <w:t>0</w:t>
      </w:r>
      <w:r>
        <w:rPr>
          <w:rFonts w:ascii="Times New Roman" w:hAnsi="Times New Roman" w:cs="Times New Roman" w:eastAsia="Times New Roman" w:hint="default"/>
          <w:spacing w:val="-8"/>
        </w:rPr>
        <w:t> </w:t>
      </w:r>
      <w:r>
        <w:rPr/>
        <w:t>万</w:t>
      </w:r>
      <w:r>
        <w:rPr>
          <w:spacing w:val="-3"/>
        </w:rPr>
        <w:t>欧</w:t>
      </w:r>
      <w:r>
        <w:rPr/>
        <w:t>元的担保</w:t>
      </w:r>
      <w:r>
        <w:rPr>
          <w:spacing w:val="-92"/>
        </w:rPr>
        <w:t>，</w:t>
      </w:r>
      <w:r>
        <w:rPr/>
        <w:t>折合人民币</w:t>
      </w:r>
      <w:r>
        <w:rPr>
          <w:spacing w:val="-54"/>
        </w:rPr>
        <w:t> </w:t>
      </w:r>
      <w:r>
        <w:rPr>
          <w:rFonts w:ascii="Times New Roman" w:hAnsi="Times New Roman" w:cs="Times New Roman" w:eastAsia="Times New Roman" w:hint="default"/>
          <w:spacing w:val="1"/>
        </w:rPr>
        <w:t>86</w:t>
      </w:r>
      <w:r>
        <w:rPr>
          <w:rFonts w:ascii="Times New Roman" w:hAnsi="Times New Roman" w:cs="Times New Roman" w:eastAsia="Times New Roman" w:hint="default"/>
          <w:spacing w:val="-2"/>
        </w:rPr>
        <w:t>,</w:t>
      </w:r>
      <w:r>
        <w:rPr>
          <w:rFonts w:ascii="Times New Roman" w:hAnsi="Times New Roman" w:cs="Times New Roman" w:eastAsia="Times New Roman" w:hint="default"/>
          <w:spacing w:val="1"/>
        </w:rPr>
        <w:t>3</w:t>
      </w:r>
      <w:r>
        <w:rPr>
          <w:rFonts w:ascii="Times New Roman" w:hAnsi="Times New Roman" w:cs="Times New Roman" w:eastAsia="Times New Roman" w:hint="default"/>
          <w:spacing w:val="-2"/>
        </w:rPr>
        <w:t>2</w:t>
      </w:r>
      <w:r>
        <w:rPr>
          <w:rFonts w:ascii="Times New Roman" w:hAnsi="Times New Roman" w:cs="Times New Roman" w:eastAsia="Times New Roman" w:hint="default"/>
          <w:spacing w:val="1"/>
        </w:rPr>
        <w:t>0</w:t>
      </w:r>
      <w:r>
        <w:rPr>
          <w:rFonts w:ascii="Times New Roman" w:hAnsi="Times New Roman" w:cs="Times New Roman" w:eastAsia="Times New Roman" w:hint="default"/>
        </w:rPr>
        <w:t>.</w:t>
      </w:r>
      <w:r>
        <w:rPr>
          <w:rFonts w:ascii="Times New Roman" w:hAnsi="Times New Roman" w:cs="Times New Roman" w:eastAsia="Times New Roman" w:hint="default"/>
          <w:spacing w:val="-2"/>
        </w:rPr>
        <w:t>3</w:t>
      </w:r>
      <w:r>
        <w:rPr>
          <w:rFonts w:ascii="Times New Roman" w:hAnsi="Times New Roman" w:cs="Times New Roman" w:eastAsia="Times New Roman" w:hint="default"/>
        </w:rPr>
        <w:t>0</w:t>
      </w:r>
    </w:p>
    <w:p>
      <w:pPr>
        <w:spacing w:after="0" w:line="240" w:lineRule="auto"/>
        <w:jc w:val="left"/>
        <w:rPr>
          <w:rFonts w:ascii="Times New Roman" w:hAnsi="Times New Roman" w:cs="Times New Roman" w:eastAsia="Times New Roman" w:hint="default"/>
        </w:rPr>
        <w:sectPr>
          <w:pgSz w:w="11910" w:h="16840"/>
          <w:pgMar w:header="745" w:footer="979" w:top="1060" w:bottom="1160" w:left="980" w:right="0"/>
        </w:sectPr>
      </w:pPr>
    </w:p>
    <w:p>
      <w:pPr>
        <w:spacing w:line="240" w:lineRule="auto" w:before="3"/>
        <w:rPr>
          <w:rFonts w:ascii="Times New Roman" w:hAnsi="Times New Roman" w:cs="Times New Roman" w:eastAsia="Times New Roman" w:hint="default"/>
          <w:sz w:val="29"/>
          <w:szCs w:val="29"/>
        </w:rPr>
      </w:pPr>
    </w:p>
    <w:p>
      <w:pPr>
        <w:pStyle w:val="BodyText"/>
        <w:spacing w:line="240" w:lineRule="auto" w:before="44"/>
        <w:ind w:right="982"/>
        <w:jc w:val="left"/>
      </w:pPr>
      <w:r>
        <w:rPr>
          <w:spacing w:val="-5"/>
        </w:rPr>
        <w:t>万元，担保有效期限为自</w:t>
      </w:r>
      <w:r>
        <w:rPr>
          <w:spacing w:val="-42"/>
        </w:rPr>
        <w:t> </w:t>
      </w:r>
      <w:r>
        <w:rPr>
          <w:rFonts w:ascii="Times New Roman" w:hAnsi="Times New Roman" w:cs="Times New Roman" w:eastAsia="Times New Roman" w:hint="default"/>
        </w:rPr>
        <w:t>2017</w:t>
      </w:r>
      <w:r>
        <w:rPr>
          <w:rFonts w:ascii="Times New Roman" w:hAnsi="Times New Roman" w:cs="Times New Roman" w:eastAsia="Times New Roman" w:hint="default"/>
          <w:spacing w:val="2"/>
        </w:rPr>
        <w:t> </w:t>
      </w:r>
      <w:r>
        <w:rPr/>
        <w:t>年</w:t>
      </w:r>
      <w:r>
        <w:rPr>
          <w:spacing w:val="-42"/>
        </w:rPr>
        <w:t> </w:t>
      </w:r>
      <w:r>
        <w:rPr>
          <w:rFonts w:ascii="Times New Roman" w:hAnsi="Times New Roman" w:cs="Times New Roman" w:eastAsia="Times New Roman" w:hint="default"/>
        </w:rPr>
        <w:t>6</w:t>
      </w:r>
      <w:r>
        <w:rPr>
          <w:rFonts w:ascii="Times New Roman" w:hAnsi="Times New Roman" w:cs="Times New Roman" w:eastAsia="Times New Roman" w:hint="default"/>
          <w:spacing w:val="4"/>
        </w:rPr>
        <w:t> </w:t>
      </w:r>
      <w:r>
        <w:rPr/>
        <w:t>月</w:t>
      </w:r>
      <w:r>
        <w:rPr>
          <w:spacing w:val="-44"/>
        </w:rPr>
        <w:t> </w:t>
      </w:r>
      <w:r>
        <w:rPr>
          <w:rFonts w:ascii="Times New Roman" w:hAnsi="Times New Roman" w:cs="Times New Roman" w:eastAsia="Times New Roman" w:hint="default"/>
        </w:rPr>
        <w:t>26</w:t>
      </w:r>
      <w:r>
        <w:rPr>
          <w:rFonts w:ascii="Times New Roman" w:hAnsi="Times New Roman" w:cs="Times New Roman" w:eastAsia="Times New Roman" w:hint="default"/>
          <w:spacing w:val="4"/>
        </w:rPr>
        <w:t> </w:t>
      </w:r>
      <w:r>
        <w:rPr/>
        <w:t>日起</w:t>
      </w:r>
      <w:r>
        <w:rPr>
          <w:spacing w:val="-42"/>
        </w:rPr>
        <w:t> </w:t>
      </w:r>
      <w:r>
        <w:rPr>
          <w:rFonts w:ascii="Times New Roman" w:hAnsi="Times New Roman" w:cs="Times New Roman" w:eastAsia="Times New Roman" w:hint="default"/>
        </w:rPr>
        <w:t>5</w:t>
      </w:r>
      <w:r>
        <w:rPr>
          <w:rFonts w:ascii="Times New Roman" w:hAnsi="Times New Roman" w:cs="Times New Roman" w:eastAsia="Times New Roman" w:hint="default"/>
          <w:spacing w:val="4"/>
        </w:rPr>
        <w:t> </w:t>
      </w:r>
      <w:r>
        <w:rPr>
          <w:spacing w:val="-7"/>
        </w:rPr>
        <w:t>年。截至本报告期末，图新投资（香港）科技有限公司的银行借款余额为零。</w:t>
      </w:r>
    </w:p>
    <w:p>
      <w:pPr>
        <w:spacing w:line="240" w:lineRule="auto" w:before="2"/>
        <w:rPr>
          <w:rFonts w:ascii="宋体" w:hAnsi="宋体" w:cs="宋体" w:eastAsia="宋体" w:hint="default"/>
          <w:sz w:val="26"/>
          <w:szCs w:val="26"/>
        </w:rPr>
      </w:pPr>
    </w:p>
    <w:p>
      <w:pPr>
        <w:pStyle w:val="Heading4"/>
        <w:spacing w:line="240" w:lineRule="auto"/>
        <w:ind w:right="982"/>
        <w:jc w:val="left"/>
        <w:rPr>
          <w:b w:val="0"/>
          <w:bCs w:val="0"/>
        </w:rPr>
      </w:pPr>
      <w:r>
        <w:rPr/>
        <w:t>（</w:t>
      </w:r>
      <w:r>
        <w:rPr>
          <w:rFonts w:ascii="Times New Roman" w:hAnsi="Times New Roman" w:cs="Times New Roman" w:eastAsia="Times New Roman" w:hint="default"/>
        </w:rPr>
        <w:t>5</w:t>
      </w:r>
      <w:r>
        <w:rPr/>
        <w:t>）关联方资金拆借</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18"/>
        <w:ind w:right="982"/>
        <w:jc w:val="left"/>
        <w:rPr>
          <w:b w:val="0"/>
          <w:bCs w:val="0"/>
        </w:rPr>
      </w:pPr>
      <w:r>
        <w:rPr/>
        <w:t>（</w:t>
      </w:r>
      <w:r>
        <w:rPr>
          <w:rFonts w:ascii="Times New Roman" w:hAnsi="Times New Roman" w:cs="Times New Roman" w:eastAsia="Times New Roman" w:hint="default"/>
        </w:rPr>
        <w:t>6</w:t>
      </w:r>
      <w:r>
        <w:rPr/>
        <w:t>）关联方资产转让、债务重组情况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696"/>
        <w:gridCol w:w="3119"/>
        <w:gridCol w:w="1877"/>
        <w:gridCol w:w="1880"/>
      </w:tblGrid>
      <w:tr>
        <w:trPr>
          <w:trHeight w:val="401" w:hRule="exact"/>
        </w:trPr>
        <w:tc>
          <w:tcPr>
            <w:tcW w:w="26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31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5"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18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84"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8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85"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6" w:hRule="exact"/>
        </w:trPr>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22"/>
              <w:jc w:val="left"/>
              <w:rPr>
                <w:rFonts w:ascii="宋体" w:hAnsi="宋体" w:cs="宋体" w:eastAsia="宋体" w:hint="default"/>
                <w:sz w:val="18"/>
                <w:szCs w:val="18"/>
              </w:rPr>
            </w:pPr>
            <w:r>
              <w:rPr>
                <w:rFonts w:ascii="宋体" w:hAnsi="宋体" w:cs="宋体" w:eastAsia="宋体" w:hint="default"/>
                <w:spacing w:val="-5"/>
                <w:sz w:val="18"/>
                <w:szCs w:val="18"/>
              </w:rPr>
              <w:t>北京四维互联基金管理中心（有限</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合伙）</w:t>
            </w:r>
          </w:p>
        </w:tc>
        <w:tc>
          <w:tcPr>
            <w:tcW w:w="31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出售北京车联天下信息技术有限公司</w:t>
            </w:r>
          </w:p>
          <w:p>
            <w:pPr>
              <w:pStyle w:val="TableParagraph"/>
              <w:spacing w:line="240" w:lineRule="auto" w:before="77"/>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7.86%</w:t>
            </w:r>
            <w:r>
              <w:rPr>
                <w:rFonts w:ascii="宋体" w:hAnsi="宋体" w:cs="宋体" w:eastAsia="宋体" w:hint="default"/>
                <w:sz w:val="18"/>
                <w:szCs w:val="18"/>
              </w:rPr>
              <w:t>股权</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76,520,000.00</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中国四维测绘技术有限公司</w:t>
            </w:r>
          </w:p>
        </w:tc>
        <w:tc>
          <w:tcPr>
            <w:tcW w:w="311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4"/>
              <w:jc w:val="left"/>
              <w:rPr>
                <w:rFonts w:ascii="宋体" w:hAnsi="宋体" w:cs="宋体" w:eastAsia="宋体" w:hint="default"/>
                <w:sz w:val="18"/>
                <w:szCs w:val="18"/>
              </w:rPr>
            </w:pPr>
            <w:r>
              <w:rPr>
                <w:rFonts w:ascii="宋体" w:hAnsi="宋体" w:cs="宋体" w:eastAsia="宋体" w:hint="default"/>
                <w:sz w:val="18"/>
                <w:szCs w:val="18"/>
              </w:rPr>
              <w:t>购买中国四维所持中寰卫星导航通信有 限公司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37.4%</w:t>
            </w:r>
            <w:r>
              <w:rPr>
                <w:rFonts w:ascii="宋体" w:hAnsi="宋体" w:cs="宋体" w:eastAsia="宋体" w:hint="default"/>
                <w:sz w:val="18"/>
                <w:szCs w:val="18"/>
              </w:rPr>
              <w:t>的股权</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66,350,900.00</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t>（</w:t>
      </w:r>
      <w:r>
        <w:rPr>
          <w:rFonts w:ascii="Times New Roman" w:hAnsi="Times New Roman" w:cs="Times New Roman" w:eastAsia="Times New Roman" w:hint="default"/>
        </w:rPr>
        <w:t>7</w:t>
      </w:r>
      <w:r>
        <w:rPr/>
        <w:t>）关键管理人员报酬</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薪酬合计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12,370,000.00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11,720,000.00</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t>（</w:t>
      </w:r>
      <w:r>
        <w:rPr>
          <w:rFonts w:ascii="Times New Roman" w:hAnsi="Times New Roman" w:cs="Times New Roman" w:eastAsia="Times New Roman" w:hint="default"/>
        </w:rPr>
        <w:t>8</w:t>
      </w:r>
      <w:r>
        <w:rPr/>
        <w:t>）其他关联交易</w:t>
      </w:r>
      <w:r>
        <w:rPr>
          <w:b w:val="0"/>
          <w:bCs w:val="0"/>
        </w:rPr>
      </w:r>
    </w:p>
    <w:p>
      <w:pPr>
        <w:spacing w:line="240" w:lineRule="auto" w:before="2"/>
        <w:rPr>
          <w:rFonts w:ascii="宋体" w:hAnsi="宋体" w:cs="宋体" w:eastAsia="宋体" w:hint="default"/>
          <w:b/>
          <w:bCs/>
          <w:sz w:val="26"/>
          <w:szCs w:val="26"/>
        </w:rPr>
      </w:pPr>
    </w:p>
    <w:p>
      <w:pPr>
        <w:pStyle w:val="BodyText"/>
        <w:spacing w:line="300" w:lineRule="auto"/>
        <w:ind w:right="1131" w:firstLine="360"/>
        <w:jc w:val="both"/>
      </w:pP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50"/>
        </w:rPr>
        <w:t> </w:t>
      </w:r>
      <w:r>
        <w:rPr>
          <w:rFonts w:ascii="Times New Roman" w:hAnsi="Times New Roman" w:cs="Times New Roman" w:eastAsia="Times New Roman" w:hint="default"/>
        </w:rPr>
        <w:t>9</w:t>
      </w:r>
      <w:r>
        <w:rPr>
          <w:rFonts w:ascii="Times New Roman" w:hAnsi="Times New Roman" w:cs="Times New Roman" w:eastAsia="Times New Roman" w:hint="default"/>
          <w:spacing w:val="-2"/>
        </w:rPr>
        <w:t> </w:t>
      </w:r>
      <w:r>
        <w:rPr/>
        <w:t>月</w:t>
      </w:r>
      <w:r>
        <w:rPr>
          <w:spacing w:val="-50"/>
        </w:rPr>
        <w:t> </w:t>
      </w:r>
      <w:r>
        <w:rPr>
          <w:rFonts w:ascii="Times New Roman" w:hAnsi="Times New Roman" w:cs="Times New Roman" w:eastAsia="Times New Roman" w:hint="default"/>
        </w:rPr>
        <w:t>7</w:t>
      </w:r>
      <w:r>
        <w:rPr>
          <w:rFonts w:ascii="Times New Roman" w:hAnsi="Times New Roman" w:cs="Times New Roman" w:eastAsia="Times New Roman" w:hint="default"/>
          <w:spacing w:val="-2"/>
        </w:rPr>
        <w:t> </w:t>
      </w:r>
      <w:r>
        <w:rPr/>
        <w:t>日，公司召开第四届董事会第十一次会议，审议通过了《关于</w:t>
      </w:r>
      <w:r>
        <w:rPr>
          <w:spacing w:val="-47"/>
        </w:rPr>
        <w:t> </w:t>
      </w:r>
      <w:r>
        <w:rPr>
          <w:rFonts w:ascii="Times New Roman" w:hAnsi="Times New Roman" w:cs="Times New Roman" w:eastAsia="Times New Roman" w:hint="default"/>
        </w:rPr>
        <w:t>Mapbar</w:t>
      </w:r>
      <w:r>
        <w:rPr>
          <w:rFonts w:ascii="Times New Roman" w:hAnsi="Times New Roman" w:cs="Times New Roman" w:eastAsia="Times New Roman" w:hint="default"/>
          <w:spacing w:val="25"/>
        </w:rPr>
        <w:t> </w:t>
      </w:r>
      <w:r>
        <w:rPr>
          <w:rFonts w:ascii="Times New Roman" w:hAnsi="Times New Roman" w:cs="Times New Roman" w:eastAsia="Times New Roman" w:hint="default"/>
        </w:rPr>
        <w:t>Technology</w:t>
      </w:r>
      <w:r>
        <w:rPr>
          <w:rFonts w:ascii="Times New Roman" w:hAnsi="Times New Roman" w:cs="Times New Roman" w:eastAsia="Times New Roman" w:hint="default"/>
          <w:spacing w:val="21"/>
        </w:rPr>
        <w:t> </w:t>
      </w:r>
      <w:r>
        <w:rPr>
          <w:rFonts w:ascii="Times New Roman" w:hAnsi="Times New Roman" w:cs="Times New Roman" w:eastAsia="Times New Roman" w:hint="default"/>
        </w:rPr>
        <w:t>Limited</w:t>
      </w:r>
      <w:r>
        <w:rPr>
          <w:rFonts w:ascii="Times New Roman" w:hAnsi="Times New Roman" w:cs="Times New Roman" w:eastAsia="Times New Roman" w:hint="default"/>
          <w:spacing w:val="1"/>
        </w:rPr>
        <w:t> </w:t>
      </w:r>
      <w:r>
        <w:rPr/>
        <w:t>接受投资暨关 </w:t>
      </w:r>
      <w:r>
        <w:rPr>
          <w:spacing w:val="-11"/>
        </w:rPr>
        <w:t>联交易的议案》，公司控股子公司</w:t>
      </w:r>
      <w:r>
        <w:rPr>
          <w:spacing w:val="-43"/>
        </w:rPr>
        <w:t> </w:t>
      </w:r>
      <w:r>
        <w:rPr>
          <w:rFonts w:ascii="Times New Roman" w:hAnsi="Times New Roman" w:cs="Times New Roman" w:eastAsia="Times New Roman" w:hint="default"/>
          <w:w w:val="99"/>
        </w:rPr>
        <w:t>Mapbar</w:t>
      </w:r>
      <w:r>
        <w:rPr>
          <w:rFonts w:ascii="Times New Roman" w:hAnsi="Times New Roman" w:cs="Times New Roman" w:eastAsia="Times New Roman" w:hint="default"/>
          <w:spacing w:val="-4"/>
          <w:w w:val="99"/>
        </w:rPr>
        <w:t> </w:t>
      </w:r>
      <w:r>
        <w:rPr>
          <w:rFonts w:ascii="Times New Roman" w:hAnsi="Times New Roman" w:cs="Times New Roman" w:eastAsia="Times New Roman" w:hint="default"/>
          <w:spacing w:val="-2"/>
        </w:rPr>
        <w:t>Technology</w:t>
      </w:r>
      <w:r>
        <w:rPr>
          <w:rFonts w:ascii="Times New Roman" w:hAnsi="Times New Roman" w:cs="Times New Roman" w:eastAsia="Times New Roman" w:hint="default"/>
        </w:rPr>
        <w:t> </w:t>
      </w:r>
      <w:r>
        <w:rPr>
          <w:rFonts w:ascii="Times New Roman" w:hAnsi="Times New Roman" w:cs="Times New Roman" w:eastAsia="Times New Roman" w:hint="default"/>
          <w:spacing w:val="-6"/>
        </w:rPr>
        <w:t>Limited</w:t>
      </w:r>
      <w:r>
        <w:rPr>
          <w:spacing w:val="-6"/>
        </w:rPr>
        <w:t>（以下简称</w:t>
      </w:r>
      <w:r>
        <w:rPr>
          <w:spacing w:val="4"/>
        </w:rPr>
        <w:t> </w:t>
      </w:r>
      <w:r>
        <w:rPr/>
        <w:t>图吧</w:t>
      </w:r>
      <w:r>
        <w:rPr>
          <w:spacing w:val="-44"/>
        </w:rPr>
        <w:t> </w:t>
      </w:r>
      <w:r>
        <w:rPr>
          <w:rFonts w:ascii="Times New Roman" w:hAnsi="Times New Roman" w:cs="Times New Roman" w:eastAsia="Times New Roman" w:hint="default"/>
          <w:spacing w:val="-9"/>
          <w:w w:val="99"/>
        </w:rPr>
        <w:t>BVI</w:t>
      </w:r>
      <w:r>
        <w:rPr>
          <w:spacing w:val="-9"/>
          <w:w w:val="99"/>
        </w:rPr>
        <w:t>）拟进行增资扩股，引进投资者</w:t>
      </w:r>
      <w:r>
        <w:rPr>
          <w:spacing w:val="-43"/>
          <w:w w:val="99"/>
        </w:rPr>
        <w:t> </w:t>
      </w:r>
      <w:r>
        <w:rPr>
          <w:rFonts w:ascii="Times New Roman" w:hAnsi="Times New Roman" w:cs="Times New Roman" w:eastAsia="Times New Roman" w:hint="default"/>
          <w:spacing w:val="-1"/>
          <w:w w:val="99"/>
        </w:rPr>
        <w:t>Image</w:t>
      </w:r>
      <w:r>
        <w:rPr>
          <w:rFonts w:ascii="Times New Roman" w:hAnsi="Times New Roman" w:cs="Times New Roman" w:eastAsia="Times New Roman" w:hint="default"/>
          <w:w w:val="99"/>
        </w:rPr>
        <w:t> Cyber</w:t>
      </w:r>
      <w:r>
        <w:rPr>
          <w:rFonts w:ascii="Times New Roman" w:hAnsi="Times New Roman" w:cs="Times New Roman" w:eastAsia="Times New Roman" w:hint="default"/>
          <w:w w:val="99"/>
        </w:rPr>
        <w:t> </w:t>
      </w:r>
      <w:r>
        <w:rPr>
          <w:rFonts w:ascii="Times New Roman" w:hAnsi="Times New Roman" w:cs="Times New Roman" w:eastAsia="Times New Roman" w:hint="default"/>
          <w:spacing w:val="-1"/>
          <w:w w:val="99"/>
        </w:rPr>
        <w:t>Investmet</w:t>
      </w:r>
      <w:r>
        <w:rPr>
          <w:rFonts w:ascii="Times New Roman" w:hAnsi="Times New Roman" w:cs="Times New Roman" w:eastAsia="Times New Roman" w:hint="default"/>
          <w:spacing w:val="2"/>
          <w:w w:val="99"/>
        </w:rPr>
        <w:t> </w:t>
      </w:r>
      <w:r>
        <w:rPr>
          <w:rFonts w:ascii="Times New Roman" w:hAnsi="Times New Roman" w:cs="Times New Roman" w:eastAsia="Times New Roman" w:hint="default"/>
          <w:spacing w:val="-1"/>
          <w:w w:val="99"/>
        </w:rPr>
        <w:t>(HK)</w:t>
      </w:r>
      <w:r>
        <w:rPr>
          <w:rFonts w:ascii="Times New Roman" w:hAnsi="Times New Roman" w:cs="Times New Roman" w:eastAsia="Times New Roman" w:hint="default"/>
          <w:spacing w:val="2"/>
          <w:w w:val="99"/>
        </w:rPr>
        <w:t> </w:t>
      </w:r>
      <w:r>
        <w:rPr>
          <w:rFonts w:ascii="Times New Roman" w:hAnsi="Times New Roman" w:cs="Times New Roman" w:eastAsia="Times New Roman" w:hint="default"/>
          <w:spacing w:val="-1"/>
          <w:w w:val="99"/>
        </w:rPr>
        <w:t>Limited</w:t>
      </w:r>
      <w:r>
        <w:rPr>
          <w:rFonts w:ascii="Times New Roman" w:hAnsi="Times New Roman" w:cs="Times New Roman" w:eastAsia="Times New Roman" w:hint="default"/>
          <w:spacing w:val="9"/>
          <w:w w:val="99"/>
        </w:rPr>
        <w:t> </w:t>
      </w:r>
      <w:r>
        <w:rPr>
          <w:spacing w:val="-1"/>
          <w:w w:val="99"/>
        </w:rPr>
        <w:t>（以下简称</w:t>
      </w:r>
      <w:r>
        <w:rPr>
          <w:spacing w:val="6"/>
          <w:w w:val="99"/>
        </w:rPr>
        <w:t> </w:t>
      </w:r>
      <w:r>
        <w:rPr>
          <w:rFonts w:ascii="Times New Roman" w:hAnsi="Times New Roman" w:cs="Times New Roman" w:eastAsia="Times New Roman" w:hint="default"/>
          <w:spacing w:val="-1"/>
          <w:w w:val="99"/>
        </w:rPr>
        <w:t>Image</w:t>
      </w:r>
      <w:r>
        <w:rPr>
          <w:rFonts w:ascii="Times New Roman" w:hAnsi="Times New Roman" w:cs="Times New Roman" w:eastAsia="Times New Roman" w:hint="default"/>
          <w:spacing w:val="1"/>
          <w:w w:val="99"/>
        </w:rPr>
        <w:t> </w:t>
      </w:r>
      <w:r>
        <w:rPr>
          <w:rFonts w:ascii="Times New Roman" w:hAnsi="Times New Roman" w:cs="Times New Roman" w:eastAsia="Times New Roman" w:hint="default"/>
          <w:spacing w:val="-11"/>
          <w:w w:val="99"/>
        </w:rPr>
        <w:t>Cyber</w:t>
      </w:r>
      <w:r>
        <w:rPr>
          <w:spacing w:val="-11"/>
          <w:w w:val="99"/>
        </w:rPr>
        <w:t>）、</w:t>
      </w:r>
      <w:r>
        <w:rPr>
          <w:rFonts w:ascii="Times New Roman" w:hAnsi="Times New Roman" w:cs="Times New Roman" w:eastAsia="Times New Roman" w:hint="default"/>
          <w:spacing w:val="-11"/>
          <w:w w:val="99"/>
        </w:rPr>
        <w:t>Top</w:t>
      </w:r>
      <w:r>
        <w:rPr>
          <w:rFonts w:ascii="Times New Roman" w:hAnsi="Times New Roman" w:cs="Times New Roman" w:eastAsia="Times New Roman" w:hint="default"/>
          <w:spacing w:val="3"/>
          <w:w w:val="99"/>
        </w:rPr>
        <w:t> </w:t>
      </w:r>
      <w:r>
        <w:rPr>
          <w:rFonts w:ascii="Times New Roman" w:hAnsi="Times New Roman" w:cs="Times New Roman" w:eastAsia="Times New Roman" w:hint="default"/>
          <w:spacing w:val="-1"/>
          <w:w w:val="99"/>
        </w:rPr>
        <w:t>Grove</w:t>
      </w:r>
      <w:r>
        <w:rPr>
          <w:rFonts w:ascii="Times New Roman" w:hAnsi="Times New Roman" w:cs="Times New Roman" w:eastAsia="Times New Roman" w:hint="default"/>
          <w:spacing w:val="3"/>
          <w:w w:val="99"/>
        </w:rPr>
        <w:t> </w:t>
      </w:r>
      <w:r>
        <w:rPr>
          <w:rFonts w:ascii="Times New Roman" w:hAnsi="Times New Roman" w:cs="Times New Roman" w:eastAsia="Times New Roman" w:hint="default"/>
          <w:spacing w:val="-1"/>
          <w:w w:val="99"/>
        </w:rPr>
        <w:t>Limited</w:t>
      </w:r>
      <w:r>
        <w:rPr>
          <w:spacing w:val="-1"/>
          <w:w w:val="99"/>
        </w:rPr>
        <w:t>、</w:t>
      </w:r>
      <w:r>
        <w:rPr>
          <w:rFonts w:ascii="Times New Roman" w:hAnsi="Times New Roman" w:cs="Times New Roman" w:eastAsia="Times New Roman" w:hint="default"/>
          <w:spacing w:val="-1"/>
          <w:w w:val="99"/>
        </w:rPr>
        <w:t>Nio</w:t>
      </w:r>
      <w:r>
        <w:rPr>
          <w:rFonts w:ascii="Times New Roman" w:hAnsi="Times New Roman" w:cs="Times New Roman" w:eastAsia="Times New Roman" w:hint="default"/>
          <w:spacing w:val="3"/>
          <w:w w:val="99"/>
        </w:rPr>
        <w:t> </w:t>
      </w:r>
      <w:r>
        <w:rPr>
          <w:rFonts w:ascii="Times New Roman" w:hAnsi="Times New Roman" w:cs="Times New Roman" w:eastAsia="Times New Roman" w:hint="default"/>
          <w:spacing w:val="-1"/>
        </w:rPr>
        <w:t>Changjiang</w:t>
      </w:r>
      <w:r>
        <w:rPr>
          <w:rFonts w:ascii="Times New Roman" w:hAnsi="Times New Roman" w:cs="Times New Roman" w:eastAsia="Times New Roman" w:hint="default"/>
          <w:spacing w:val="1"/>
        </w:rPr>
        <w:t> </w:t>
      </w:r>
      <w:r>
        <w:rPr>
          <w:rFonts w:ascii="Times New Roman" w:hAnsi="Times New Roman" w:cs="Times New Roman" w:eastAsia="Times New Roman" w:hint="default"/>
          <w:w w:val="99"/>
        </w:rPr>
        <w:t>1st</w:t>
      </w:r>
      <w:r>
        <w:rPr>
          <w:rFonts w:ascii="Times New Roman" w:hAnsi="Times New Roman" w:cs="Times New Roman" w:eastAsia="Times New Roman" w:hint="default"/>
          <w:spacing w:val="2"/>
          <w:w w:val="99"/>
        </w:rPr>
        <w:t> </w:t>
      </w:r>
      <w:r>
        <w:rPr>
          <w:rFonts w:ascii="Times New Roman" w:hAnsi="Times New Roman" w:cs="Times New Roman" w:eastAsia="Times New Roman" w:hint="default"/>
          <w:spacing w:val="-1"/>
          <w:w w:val="99"/>
        </w:rPr>
        <w:t>Investment</w:t>
      </w:r>
      <w:r>
        <w:rPr>
          <w:rFonts w:ascii="Times New Roman" w:hAnsi="Times New Roman" w:cs="Times New Roman" w:eastAsia="Times New Roman" w:hint="default"/>
          <w:spacing w:val="5"/>
          <w:w w:val="99"/>
        </w:rPr>
        <w:t> </w:t>
      </w:r>
      <w:r>
        <w:rPr/>
        <w:t>以及</w:t>
      </w:r>
      <w:r>
        <w:rPr>
          <w:spacing w:val="-42"/>
        </w:rPr>
        <w:t> </w:t>
      </w:r>
      <w:r>
        <w:rPr>
          <w:rFonts w:ascii="Times New Roman" w:hAnsi="Times New Roman" w:cs="Times New Roman" w:eastAsia="Times New Roman" w:hint="default"/>
          <w:spacing w:val="-1"/>
          <w:w w:val="99"/>
        </w:rPr>
        <w:t>Advantech</w:t>
      </w:r>
      <w:r>
        <w:rPr>
          <w:rFonts w:ascii="Times New Roman" w:hAnsi="Times New Roman" w:cs="Times New Roman" w:eastAsia="Times New Roman" w:hint="default"/>
          <w:spacing w:val="3"/>
          <w:w w:val="99"/>
        </w:rPr>
        <w:t> </w:t>
      </w:r>
      <w:r>
        <w:rPr>
          <w:rFonts w:ascii="Times New Roman" w:hAnsi="Times New Roman" w:cs="Times New Roman" w:eastAsia="Times New Roman" w:hint="default"/>
          <w:spacing w:val="-1"/>
        </w:rPr>
        <w:t>Capital</w:t>
      </w:r>
      <w:r>
        <w:rPr>
          <w:rFonts w:ascii="Times New Roman" w:hAnsi="Times New Roman" w:cs="Times New Roman" w:eastAsia="Times New Roman" w:hint="default"/>
          <w:spacing w:val="-43"/>
        </w:rPr>
        <w:t> </w:t>
      </w:r>
      <w:r>
        <w:rPr>
          <w:rFonts w:ascii="Times New Roman" w:hAnsi="Times New Roman" w:cs="Times New Roman" w:eastAsia="Times New Roman" w:hint="default"/>
          <w:spacing w:val="-43"/>
        </w:rPr>
      </w:r>
      <w:r>
        <w:rPr>
          <w:rFonts w:ascii="Times New Roman" w:hAnsi="Times New Roman" w:cs="Times New Roman" w:eastAsia="Times New Roman" w:hint="default"/>
        </w:rPr>
        <w:t>Investmemt</w:t>
      </w:r>
      <w:r>
        <w:rPr>
          <w:rFonts w:ascii="Times New Roman" w:hAnsi="Times New Roman" w:cs="Times New Roman" w:eastAsia="Times New Roman" w:hint="default"/>
          <w:spacing w:val="-5"/>
        </w:rPr>
        <w:t> </w:t>
      </w:r>
      <w:r>
        <w:rPr>
          <w:rFonts w:ascii="Times New Roman" w:hAnsi="Times New Roman" w:cs="Times New Roman" w:eastAsia="Times New Roman" w:hint="default"/>
        </w:rPr>
        <w:t>IV</w:t>
      </w:r>
      <w:r>
        <w:rPr>
          <w:rFonts w:ascii="Times New Roman" w:hAnsi="Times New Roman" w:cs="Times New Roman" w:eastAsia="Times New Roman" w:hint="default"/>
          <w:spacing w:val="-5"/>
        </w:rPr>
        <w:t> </w:t>
      </w:r>
      <w:r>
        <w:rPr>
          <w:rFonts w:ascii="Times New Roman" w:hAnsi="Times New Roman" w:cs="Times New Roman" w:eastAsia="Times New Roman" w:hint="default"/>
        </w:rPr>
        <w:t>Limited</w:t>
      </w:r>
      <w:r>
        <w:rPr/>
        <w:t>。</w:t>
      </w:r>
      <w:r>
        <w:rPr>
          <w:rFonts w:ascii="Times New Roman" w:hAnsi="Times New Roman" w:cs="Times New Roman" w:eastAsia="Times New Roman" w:hint="default"/>
        </w:rPr>
        <w:t>2018</w:t>
      </w:r>
      <w:r>
        <w:rPr>
          <w:rFonts w:ascii="Times New Roman" w:hAnsi="Times New Roman" w:cs="Times New Roman" w:eastAsia="Times New Roman" w:hint="default"/>
          <w:spacing w:val="-6"/>
        </w:rPr>
        <w:t> </w:t>
      </w:r>
      <w:r>
        <w:rPr/>
        <w:t>年</w:t>
      </w:r>
      <w:r>
        <w:rPr>
          <w:spacing w:val="-50"/>
        </w:rPr>
        <w:t> </w:t>
      </w:r>
      <w:r>
        <w:rPr>
          <w:rFonts w:ascii="Times New Roman" w:hAnsi="Times New Roman" w:cs="Times New Roman" w:eastAsia="Times New Roman" w:hint="default"/>
          <w:spacing w:val="-3"/>
        </w:rPr>
        <w:t>11</w:t>
      </w:r>
      <w:r>
        <w:rPr>
          <w:rFonts w:ascii="Times New Roman" w:hAnsi="Times New Roman" w:cs="Times New Roman" w:eastAsia="Times New Roman" w:hint="default"/>
          <w:spacing w:val="-6"/>
        </w:rPr>
        <w:t> </w:t>
      </w:r>
      <w:r>
        <w:rPr/>
        <w:t>月</w:t>
      </w:r>
      <w:r>
        <w:rPr>
          <w:spacing w:val="-49"/>
        </w:rPr>
        <w:t> </w:t>
      </w:r>
      <w:r>
        <w:rPr>
          <w:rFonts w:ascii="Times New Roman" w:hAnsi="Times New Roman" w:cs="Times New Roman" w:eastAsia="Times New Roman" w:hint="default"/>
        </w:rPr>
        <w:t>23</w:t>
      </w:r>
      <w:r>
        <w:rPr>
          <w:rFonts w:ascii="Times New Roman" w:hAnsi="Times New Roman" w:cs="Times New Roman" w:eastAsia="Times New Roman" w:hint="default"/>
          <w:spacing w:val="-4"/>
        </w:rPr>
        <w:t> </w:t>
      </w:r>
      <w:r>
        <w:rPr/>
        <w:t>日，本次协议各方增资款已全部到账，相关交割手续已办理完毕。至此，公司对图 吧</w:t>
      </w:r>
      <w:r>
        <w:rPr>
          <w:spacing w:val="-46"/>
        </w:rPr>
        <w:t> </w:t>
      </w:r>
      <w:r>
        <w:rPr>
          <w:rFonts w:ascii="Times New Roman" w:hAnsi="Times New Roman" w:cs="Times New Roman" w:eastAsia="Times New Roman" w:hint="default"/>
        </w:rPr>
        <w:t>BVI</w:t>
      </w:r>
      <w:r>
        <w:rPr>
          <w:rFonts w:ascii="Times New Roman" w:hAnsi="Times New Roman" w:cs="Times New Roman" w:eastAsia="Times New Roman" w:hint="default"/>
          <w:spacing w:val="-2"/>
        </w:rPr>
        <w:t> </w:t>
      </w:r>
      <w:r>
        <w:rPr/>
        <w:t>的持股比例降至</w:t>
      </w:r>
      <w:r>
        <w:rPr>
          <w:spacing w:val="-47"/>
        </w:rPr>
        <w:t> </w:t>
      </w:r>
      <w:r>
        <w:rPr>
          <w:rFonts w:ascii="Times New Roman" w:hAnsi="Times New Roman" w:cs="Times New Roman" w:eastAsia="Times New Roman" w:hint="default"/>
        </w:rPr>
        <w:t>46.93%</w:t>
      </w:r>
      <w:r>
        <w:rPr/>
        <w:t>，图吧</w:t>
      </w:r>
      <w:r>
        <w:rPr>
          <w:spacing w:val="-46"/>
        </w:rPr>
        <w:t> </w:t>
      </w:r>
      <w:r>
        <w:rPr>
          <w:rFonts w:ascii="Times New Roman" w:hAnsi="Times New Roman" w:cs="Times New Roman" w:eastAsia="Times New Roman" w:hint="default"/>
        </w:rPr>
        <w:t>BVI</w:t>
      </w:r>
      <w:r>
        <w:rPr>
          <w:rFonts w:ascii="Times New Roman" w:hAnsi="Times New Roman" w:cs="Times New Roman" w:eastAsia="Times New Roman" w:hint="default"/>
          <w:spacing w:val="-2"/>
        </w:rPr>
        <w:t> </w:t>
      </w:r>
      <w:r>
        <w:rPr/>
        <w:t>及相关公司不再纳入公司合并范围。</w:t>
      </w:r>
    </w:p>
    <w:p>
      <w:pPr>
        <w:pStyle w:val="BodyText"/>
        <w:spacing w:line="300" w:lineRule="auto" w:before="53"/>
        <w:ind w:right="1119" w:firstLine="360"/>
        <w:jc w:val="left"/>
      </w:pPr>
      <w:r>
        <w:rPr/>
        <w:t>本次交易的交易对方之一</w:t>
      </w:r>
      <w:r>
        <w:rPr>
          <w:spacing w:val="-55"/>
        </w:rPr>
        <w:t> </w:t>
      </w:r>
      <w:r>
        <w:rPr>
          <w:rFonts w:ascii="Times New Roman" w:hAnsi="Times New Roman" w:cs="Times New Roman" w:eastAsia="Times New Roman" w:hint="default"/>
        </w:rPr>
        <w:t>Image</w:t>
      </w:r>
      <w:r>
        <w:rPr>
          <w:rFonts w:ascii="Times New Roman" w:hAnsi="Times New Roman" w:cs="Times New Roman" w:eastAsia="Times New Roman" w:hint="default"/>
          <w:spacing w:val="-11"/>
        </w:rPr>
        <w:t> </w:t>
      </w:r>
      <w:r>
        <w:rPr>
          <w:rFonts w:ascii="Times New Roman" w:hAnsi="Times New Roman" w:cs="Times New Roman" w:eastAsia="Times New Roman" w:hint="default"/>
        </w:rPr>
        <w:t>Cyber</w:t>
      </w:r>
      <w:r>
        <w:rPr>
          <w:rFonts w:ascii="Times New Roman" w:hAnsi="Times New Roman" w:cs="Times New Roman" w:eastAsia="Times New Roman" w:hint="default"/>
          <w:spacing w:val="-9"/>
        </w:rPr>
        <w:t> </w:t>
      </w:r>
      <w:r>
        <w:rPr/>
        <w:t>为腾讯的附属公司，深圳市腾讯产业投资基金有限公司为公司第二大股东，本次 交易涉及腾讯的部分构成本公司的关联交易。</w:t>
      </w:r>
    </w:p>
    <w:p>
      <w:pPr>
        <w:pStyle w:val="BodyText"/>
        <w:spacing w:line="304" w:lineRule="auto" w:before="72"/>
        <w:ind w:right="1036" w:firstLine="271"/>
        <w:jc w:val="left"/>
      </w:pPr>
      <w:r>
        <w:rPr>
          <w:spacing w:val="-4"/>
        </w:rPr>
        <w:t>基于本附注“十六、</w:t>
      </w:r>
      <w:r>
        <w:rPr>
          <w:rFonts w:ascii="Times New Roman" w:hAnsi="Times New Roman" w:cs="Times New Roman" w:eastAsia="Times New Roman" w:hint="default"/>
          <w:spacing w:val="-4"/>
        </w:rPr>
        <w:t>7</w:t>
      </w:r>
      <w:r>
        <w:rPr>
          <w:spacing w:val="-4"/>
        </w:rPr>
        <w:t>、（</w:t>
      </w:r>
      <w:r>
        <w:rPr>
          <w:rFonts w:ascii="Times New Roman" w:hAnsi="Times New Roman" w:cs="Times New Roman" w:eastAsia="Times New Roman" w:hint="default"/>
          <w:spacing w:val="-4"/>
        </w:rPr>
        <w:t>1</w:t>
      </w:r>
      <w:r>
        <w:rPr>
          <w:spacing w:val="-4"/>
        </w:rPr>
        <w:t>）”所述原因，作为此次增资交割的一项先决条件，本公司、北京图吧与四维智联需完善相关</w:t>
      </w:r>
      <w:r>
        <w:rPr/>
        <w:t> 协议安排，以确保北京图吧协议控制四维智联，图吧 </w:t>
      </w:r>
      <w:r>
        <w:rPr>
          <w:rFonts w:ascii="Times New Roman" w:hAnsi="Times New Roman" w:cs="Times New Roman" w:eastAsia="Times New Roman" w:hint="default"/>
        </w:rPr>
        <w:t>BVI</w:t>
      </w:r>
      <w:r>
        <w:rPr>
          <w:rFonts w:ascii="Times New Roman" w:hAnsi="Times New Roman" w:cs="Times New Roman" w:eastAsia="Times New Roman" w:hint="default"/>
          <w:spacing w:val="12"/>
        </w:rPr>
        <w:t> </w:t>
      </w:r>
      <w:r>
        <w:rPr/>
        <w:t>将四维智联纳入其合并范围。相关协议安排包括：本公司、北京</w:t>
      </w:r>
      <w:r>
        <w:rPr>
          <w:w w:val="99"/>
        </w:rPr>
        <w:t> </w:t>
      </w:r>
      <w:r>
        <w:rPr>
          <w:spacing w:val="-8"/>
          <w:w w:val="99"/>
        </w:rPr>
        <w:t>图吧与四维智联签署《贷款协议》、《公司运营协议》，本公司与北京图吧指定的代表签署《股东授权书》，北京图吧与四维智</w:t>
      </w:r>
      <w:r>
        <w:rPr>
          <w:spacing w:val="-88"/>
          <w:w w:val="99"/>
        </w:rPr>
        <w:t> </w:t>
      </w:r>
      <w:r>
        <w:rPr>
          <w:spacing w:val="-88"/>
          <w:w w:val="99"/>
        </w:rPr>
      </w:r>
      <w:r>
        <w:rPr>
          <w:spacing w:val="-2"/>
          <w:w w:val="99"/>
        </w:rPr>
        <w:t>联签署《技术服务协议》。同时，本公司与北京图吧签署了《股份质押协议》。根据上述协议，北京图吧向四维智联提供</w:t>
      </w:r>
      <w:r>
        <w:rPr>
          <w:spacing w:val="13"/>
          <w:w w:val="99"/>
        </w:rPr>
        <w:t> </w:t>
      </w:r>
      <w:r>
        <w:rPr>
          <w:rFonts w:ascii="Times New Roman" w:hAnsi="Times New Roman" w:cs="Times New Roman" w:eastAsia="Times New Roman" w:hint="default"/>
          <w:w w:val="99"/>
        </w:rPr>
        <w:t>1</w:t>
      </w:r>
      <w:r>
        <w:rPr>
          <w:rFonts w:ascii="Times New Roman" w:hAnsi="Times New Roman" w:cs="Times New Roman" w:eastAsia="Times New Roman" w:hint="default"/>
          <w:spacing w:val="-42"/>
          <w:w w:val="99"/>
        </w:rPr>
        <w:t> </w:t>
      </w:r>
      <w:r>
        <w:rPr/>
        <w:t>亿借款，本公司将所持的四维智联</w:t>
      </w:r>
      <w:r>
        <w:rPr>
          <w:spacing w:val="28"/>
        </w:rPr>
        <w:t> </w:t>
      </w:r>
      <w:r>
        <w:rPr>
          <w:rFonts w:ascii="Times New Roman" w:hAnsi="Times New Roman" w:cs="Times New Roman" w:eastAsia="Times New Roman" w:hint="default"/>
        </w:rPr>
        <w:t>100%</w:t>
      </w:r>
      <w:r>
        <w:rPr/>
        <w:t>股权出质给北京图吧，作为对北京图吧或四维智联履行前述所有合同义务的担保，</w:t>
      </w:r>
      <w:r>
        <w:rPr>
          <w:spacing w:val="-87"/>
        </w:rPr>
        <w:t> </w:t>
      </w:r>
      <w:r>
        <w:rPr>
          <w:spacing w:val="-87"/>
        </w:rPr>
      </w:r>
      <w:r>
        <w:rPr/>
        <w:t>担保期限为自工商登记之日起</w:t>
      </w:r>
      <w:r>
        <w:rPr>
          <w:spacing w:val="-46"/>
        </w:rPr>
        <w:t> </w:t>
      </w:r>
      <w:r>
        <w:rPr>
          <w:rFonts w:ascii="Times New Roman" w:hAnsi="Times New Roman" w:cs="Times New Roman" w:eastAsia="Times New Roman" w:hint="default"/>
        </w:rPr>
        <w:t>50 </w:t>
      </w:r>
      <w:r>
        <w:rPr/>
        <w:t>年，本公司于</w:t>
      </w:r>
      <w:r>
        <w:rPr>
          <w:spacing w:val="-48"/>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48"/>
        </w:rPr>
        <w:t> </w:t>
      </w:r>
      <w:r>
        <w:rPr>
          <w:rFonts w:ascii="Times New Roman" w:hAnsi="Times New Roman" w:cs="Times New Roman" w:eastAsia="Times New Roman" w:hint="default"/>
        </w:rPr>
        <w:t>9 </w:t>
      </w:r>
      <w:r>
        <w:rPr/>
        <w:t>月</w:t>
      </w:r>
      <w:r>
        <w:rPr>
          <w:spacing w:val="-46"/>
        </w:rPr>
        <w:t> </w:t>
      </w:r>
      <w:r>
        <w:rPr>
          <w:rFonts w:ascii="Times New Roman" w:hAnsi="Times New Roman" w:cs="Times New Roman" w:eastAsia="Times New Roman" w:hint="default"/>
        </w:rPr>
        <w:t>29 </w:t>
      </w:r>
      <w:r>
        <w:rPr/>
        <w:t>日完成工商登记手续。</w:t>
      </w:r>
    </w:p>
    <w:p>
      <w:pPr>
        <w:spacing w:line="240" w:lineRule="auto" w:before="11"/>
        <w:rPr>
          <w:rFonts w:ascii="宋体" w:hAnsi="宋体" w:cs="宋体" w:eastAsia="宋体" w:hint="default"/>
          <w:sz w:val="21"/>
          <w:szCs w:val="21"/>
        </w:rPr>
      </w:pPr>
    </w:p>
    <w:p>
      <w:pPr>
        <w:pStyle w:val="Heading4"/>
        <w:spacing w:line="240" w:lineRule="auto"/>
        <w:ind w:right="982"/>
        <w:jc w:val="left"/>
        <w:rPr>
          <w:b w:val="0"/>
          <w:bCs w:val="0"/>
        </w:rPr>
      </w:pPr>
      <w:r>
        <w:rPr>
          <w:rFonts w:ascii="Times New Roman" w:hAnsi="Times New Roman" w:cs="Times New Roman" w:eastAsia="Times New Roman" w:hint="default"/>
        </w:rPr>
        <w:t>6</w:t>
      </w:r>
      <w:r>
        <w:rPr/>
        <w:t>、关联方应收应付款项</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2"/>
        <w:jc w:val="left"/>
        <w:rPr>
          <w:b w:val="0"/>
          <w:bCs w:val="0"/>
        </w:rPr>
      </w:pPr>
      <w:r>
        <w:rPr/>
        <w:t>（</w:t>
      </w:r>
      <w:r>
        <w:rPr>
          <w:rFonts w:ascii="Times New Roman" w:hAnsi="Times New Roman" w:cs="Times New Roman" w:eastAsia="Times New Roman" w:hint="default"/>
        </w:rPr>
        <w:t>1</w:t>
      </w:r>
      <w:r>
        <w:rPr/>
        <w:t>）应收项目</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0" w:right="1131"/>
        <w:jc w:val="right"/>
      </w:pPr>
      <w:r>
        <w:rPr/>
        <w:t>单位：</w:t>
      </w:r>
      <w:r>
        <w:rPr>
          <w:spacing w:val="1"/>
        </w:rPr>
        <w:t> </w:t>
      </w:r>
      <w:r>
        <w:rPr/>
        <w:t>元</w:t>
      </w:r>
    </w:p>
    <w:p>
      <w:pPr>
        <w:spacing w:after="0" w:line="240" w:lineRule="auto"/>
        <w:jc w:val="right"/>
        <w:sectPr>
          <w:footerReference w:type="default" r:id="rId56"/>
          <w:pgSz w:w="11910" w:h="16840"/>
          <w:pgMar w:footer="979" w:header="745" w:top="1060" w:bottom="1160" w:left="980" w:right="0"/>
          <w:pgNumType w:start="224"/>
        </w:sectPr>
      </w:pPr>
    </w:p>
    <w:p>
      <w:pPr>
        <w:spacing w:line="240" w:lineRule="auto" w:before="0"/>
        <w:rPr>
          <w:rFonts w:ascii="Times New Roman" w:hAnsi="Times New Roman" w:cs="Times New Roman" w:eastAsia="Times New Roman" w:hint="default"/>
          <w:sz w:val="20"/>
          <w:szCs w:val="20"/>
        </w:rPr>
      </w:pPr>
      <w:r>
        <w:rPr/>
        <w:pict>
          <v:group style="position:absolute;margin-left:216.529999pt;margin-top:576.909973pt;width:79.2pt;height:27.95pt;mso-position-horizontal-relative:page;mso-position-vertical-relative:page;z-index:-1324528" coordorigin="4331,11538" coordsize="1584,559">
            <v:group style="position:absolute;left:4331;top:11538;width:1584;height:156" coordorigin="4331,11538" coordsize="1584,156">
              <v:shape style="position:absolute;left:4331;top:11538;width:1584;height:156" coordorigin="4331,11538" coordsize="1584,156" path="m4331,11694l5915,11694,5915,11538,4331,11538,4331,11694xe" filled="true" fillcolor="#ffffff" stroked="false">
                <v:path arrowok="t"/>
                <v:fill type="solid"/>
              </v:shape>
            </v:group>
            <v:group style="position:absolute;left:4341;top:11694;width:2;height:392" coordorigin="4341,11694" coordsize="2,392">
              <v:shape style="position:absolute;left:4341;top:11694;width:2;height:392" coordorigin="4341,11694" coordsize="0,392" path="m4341,11694l4341,12086e" filled="false" stroked="true" strokeweight="1.08pt" strokecolor="#ffffff">
                <v:path arrowok="t"/>
              </v:shape>
            </v:group>
            <v:group style="position:absolute;left:4352;top:11694;width:1539;height:392" coordorigin="4352,11694" coordsize="1539,392">
              <v:shape style="position:absolute;left:4352;top:11694;width:1539;height:392" coordorigin="4352,11694" coordsize="1539,392" path="m4352,12086l5891,12086,5891,11694,4352,11694,4352,12086xe" filled="true" fillcolor="#ffffff" stroked="false">
                <v:path arrowok="t"/>
                <v:fill type="solid"/>
              </v:shape>
            </v:group>
            <w10:wrap type="none"/>
          </v:group>
        </w:pict>
      </w: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1596"/>
        <w:gridCol w:w="1594"/>
        <w:gridCol w:w="1594"/>
        <w:gridCol w:w="1596"/>
        <w:gridCol w:w="1594"/>
        <w:gridCol w:w="1594"/>
      </w:tblGrid>
      <w:tr>
        <w:trPr>
          <w:trHeight w:val="402" w:hRule="exact"/>
        </w:trPr>
        <w:tc>
          <w:tcPr>
            <w:tcW w:w="15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left="523"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319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596" w:type="dxa"/>
            <w:vMerge/>
            <w:tcBorders>
              <w:left w:val="single" w:sz="4" w:space="0" w:color="000000"/>
              <w:bottom w:val="single" w:sz="4" w:space="0" w:color="000000"/>
              <w:right w:val="single" w:sz="4" w:space="0" w:color="000000"/>
            </w:tcBorders>
            <w:shd w:val="clear" w:color="auto" w:fill="D2D2D2"/>
          </w:tcPr>
          <w:p>
            <w:pPr/>
          </w:p>
        </w:tc>
        <w:tc>
          <w:tcPr>
            <w:tcW w:w="1594" w:type="dxa"/>
            <w:vMerge/>
            <w:tcBorders>
              <w:left w:val="single" w:sz="4" w:space="0" w:color="000000"/>
              <w:bottom w:val="single" w:sz="4" w:space="0" w:color="000000"/>
              <w:right w:val="single" w:sz="4" w:space="0" w:color="000000"/>
            </w:tcBorders>
            <w:shd w:val="clear" w:color="auto" w:fill="D2D2D2"/>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3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3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3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32"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71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18"/>
              <w:jc w:val="left"/>
              <w:rPr>
                <w:rFonts w:ascii="宋体" w:hAnsi="宋体" w:cs="宋体" w:eastAsia="宋体" w:hint="default"/>
                <w:sz w:val="18"/>
                <w:szCs w:val="18"/>
              </w:rPr>
            </w:pPr>
            <w:r>
              <w:rPr>
                <w:rFonts w:ascii="宋体" w:hAnsi="宋体" w:cs="宋体" w:eastAsia="宋体" w:hint="default"/>
                <w:sz w:val="18"/>
                <w:szCs w:val="18"/>
              </w:rPr>
              <w:t>上海安吉四维信息 技术有限公司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8,606,621.94</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600,000.00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18"/>
              <w:jc w:val="left"/>
              <w:rPr>
                <w:rFonts w:ascii="宋体" w:hAnsi="宋体" w:cs="宋体" w:eastAsia="宋体" w:hint="default"/>
                <w:sz w:val="18"/>
                <w:szCs w:val="18"/>
              </w:rPr>
            </w:pPr>
            <w:r>
              <w:rPr>
                <w:rFonts w:ascii="宋体" w:hAnsi="宋体" w:cs="宋体" w:eastAsia="宋体" w:hint="default"/>
                <w:sz w:val="18"/>
                <w:szCs w:val="18"/>
              </w:rPr>
              <w:t>北京四维智联科技 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10,747,835.74</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107,478.36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18"/>
              <w:jc w:val="left"/>
              <w:rPr>
                <w:rFonts w:ascii="宋体" w:hAnsi="宋体" w:cs="宋体" w:eastAsia="宋体" w:hint="default"/>
                <w:sz w:val="18"/>
                <w:szCs w:val="18"/>
              </w:rPr>
            </w:pPr>
            <w:r>
              <w:rPr>
                <w:rFonts w:ascii="宋体" w:hAnsi="宋体" w:cs="宋体" w:eastAsia="宋体" w:hint="default"/>
                <w:sz w:val="18"/>
                <w:szCs w:val="18"/>
              </w:rPr>
              <w:t>腾讯大地通途（北 京）科技有限公司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9,500,390.00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95,003.90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7,200,000.00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72,000.00</w:t>
            </w:r>
          </w:p>
        </w:tc>
      </w:tr>
      <w:tr>
        <w:trPr>
          <w:trHeight w:val="715"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18"/>
              <w:jc w:val="left"/>
              <w:rPr>
                <w:rFonts w:ascii="宋体" w:hAnsi="宋体" w:cs="宋体" w:eastAsia="宋体" w:hint="default"/>
                <w:sz w:val="18"/>
                <w:szCs w:val="18"/>
              </w:rPr>
            </w:pPr>
            <w:r>
              <w:rPr>
                <w:rFonts w:ascii="宋体" w:hAnsi="宋体" w:cs="宋体" w:eastAsia="宋体" w:hint="default"/>
                <w:sz w:val="18"/>
                <w:szCs w:val="18"/>
              </w:rPr>
              <w:t>中国四维测绘技术 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2,398,614.86</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213,050.00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3,513,000.00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35,130.00</w:t>
            </w:r>
          </w:p>
        </w:tc>
      </w:tr>
      <w:tr>
        <w:trPr>
          <w:trHeight w:val="71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18"/>
              <w:jc w:val="left"/>
              <w:rPr>
                <w:rFonts w:ascii="宋体" w:hAnsi="宋体" w:cs="宋体" w:eastAsia="宋体" w:hint="default"/>
                <w:sz w:val="18"/>
                <w:szCs w:val="18"/>
              </w:rPr>
            </w:pPr>
            <w:r>
              <w:rPr>
                <w:rFonts w:ascii="宋体" w:hAnsi="宋体" w:cs="宋体" w:eastAsia="宋体" w:hint="default"/>
                <w:sz w:val="18"/>
                <w:szCs w:val="18"/>
              </w:rPr>
              <w:t>上海蔚来汽车有限 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2,568,315.41</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25,683.15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2,510,358.83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25,103.58</w:t>
            </w:r>
          </w:p>
        </w:tc>
      </w:tr>
      <w:tr>
        <w:trPr>
          <w:trHeight w:val="715"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18"/>
              <w:jc w:val="left"/>
              <w:rPr>
                <w:rFonts w:ascii="宋体" w:hAnsi="宋体" w:cs="宋体" w:eastAsia="宋体" w:hint="default"/>
                <w:sz w:val="18"/>
                <w:szCs w:val="18"/>
              </w:rPr>
            </w:pPr>
            <w:r>
              <w:rPr>
                <w:rFonts w:ascii="宋体" w:hAnsi="宋体" w:cs="宋体" w:eastAsia="宋体" w:hint="default"/>
                <w:sz w:val="18"/>
                <w:szCs w:val="18"/>
              </w:rPr>
              <w:t>普强信息技术（北 京）有限公司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2,375,611.55</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23,756.12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18"/>
              <w:jc w:val="left"/>
              <w:rPr>
                <w:rFonts w:ascii="宋体" w:hAnsi="宋体" w:cs="宋体" w:eastAsia="宋体" w:hint="default"/>
                <w:sz w:val="18"/>
                <w:szCs w:val="18"/>
              </w:rPr>
            </w:pPr>
            <w:r>
              <w:rPr>
                <w:rFonts w:ascii="宋体" w:hAnsi="宋体" w:cs="宋体" w:eastAsia="宋体" w:hint="default"/>
                <w:sz w:val="18"/>
                <w:szCs w:val="18"/>
              </w:rPr>
              <w:t>上海安吉四维信息 技术有限公司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2,206,024.53</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22,060.25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30,881,786.71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308,817.87</w:t>
            </w:r>
          </w:p>
        </w:tc>
      </w:tr>
      <w:tr>
        <w:trPr>
          <w:trHeight w:val="715"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18"/>
              <w:jc w:val="left"/>
              <w:rPr>
                <w:rFonts w:ascii="宋体" w:hAnsi="宋体" w:cs="宋体" w:eastAsia="宋体" w:hint="default"/>
                <w:sz w:val="18"/>
                <w:szCs w:val="18"/>
              </w:rPr>
            </w:pPr>
            <w:r>
              <w:rPr>
                <w:rFonts w:ascii="宋体" w:hAnsi="宋体" w:cs="宋体" w:eastAsia="宋体" w:hint="default"/>
                <w:sz w:val="18"/>
                <w:szCs w:val="18"/>
              </w:rPr>
              <w:t>北京四维万兴科技 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1,995,000.00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19,950.00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18"/>
              <w:jc w:val="left"/>
              <w:rPr>
                <w:rFonts w:ascii="宋体" w:hAnsi="宋体" w:cs="宋体" w:eastAsia="宋体" w:hint="default"/>
                <w:sz w:val="18"/>
                <w:szCs w:val="18"/>
              </w:rPr>
            </w:pPr>
            <w:r>
              <w:rPr>
                <w:rFonts w:ascii="宋体" w:hAnsi="宋体" w:cs="宋体" w:eastAsia="宋体" w:hint="default"/>
                <w:sz w:val="18"/>
                <w:szCs w:val="18"/>
              </w:rPr>
              <w:t>云南腾云信息产业 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1,480,000.00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14,800.00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18"/>
              <w:jc w:val="left"/>
              <w:rPr>
                <w:rFonts w:ascii="宋体" w:hAnsi="宋体" w:cs="宋体" w:eastAsia="宋体" w:hint="default"/>
                <w:sz w:val="18"/>
                <w:szCs w:val="18"/>
              </w:rPr>
            </w:pPr>
            <w:r>
              <w:rPr>
                <w:rFonts w:ascii="宋体" w:hAnsi="宋体" w:cs="宋体" w:eastAsia="宋体" w:hint="default"/>
                <w:sz w:val="18"/>
                <w:szCs w:val="18"/>
              </w:rPr>
              <w:t>深圳市腾讯计算机 系统有限公司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1,200,000.00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12,000.00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763,400.00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7,634.00</w:t>
            </w:r>
          </w:p>
        </w:tc>
      </w:tr>
      <w:tr>
        <w:trPr>
          <w:trHeight w:val="71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18"/>
              <w:jc w:val="left"/>
              <w:rPr>
                <w:rFonts w:ascii="宋体" w:hAnsi="宋体" w:cs="宋体" w:eastAsia="宋体" w:hint="default"/>
                <w:sz w:val="18"/>
                <w:szCs w:val="18"/>
              </w:rPr>
            </w:pPr>
            <w:r>
              <w:rPr>
                <w:rFonts w:ascii="宋体" w:hAnsi="宋体" w:cs="宋体" w:eastAsia="宋体" w:hint="default"/>
                <w:sz w:val="18"/>
                <w:szCs w:val="18"/>
              </w:rPr>
              <w:t>嘉兴四维智城信息 科技有限公司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268,851.33</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26,885.13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268,851.33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2,688.51</w:t>
            </w:r>
          </w:p>
        </w:tc>
      </w:tr>
      <w:tr>
        <w:trPr>
          <w:trHeight w:val="715"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18"/>
              <w:jc w:val="left"/>
              <w:rPr>
                <w:rFonts w:ascii="宋体" w:hAnsi="宋体" w:cs="宋体" w:eastAsia="宋体" w:hint="default"/>
                <w:sz w:val="18"/>
                <w:szCs w:val="18"/>
              </w:rPr>
            </w:pPr>
            <w:r>
              <w:rPr>
                <w:rFonts w:ascii="宋体" w:hAnsi="宋体" w:cs="宋体" w:eastAsia="宋体" w:hint="default"/>
                <w:sz w:val="18"/>
                <w:szCs w:val="18"/>
              </w:rPr>
              <w:t>北京搜狗信息服务 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6,000,000.00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60,000.00</w:t>
            </w:r>
          </w:p>
        </w:tc>
      </w:tr>
      <w:tr>
        <w:trPr>
          <w:trHeight w:val="71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18"/>
              <w:jc w:val="left"/>
              <w:rPr>
                <w:rFonts w:ascii="宋体" w:hAnsi="宋体" w:cs="宋体" w:eastAsia="宋体" w:hint="default"/>
                <w:sz w:val="18"/>
                <w:szCs w:val="18"/>
              </w:rPr>
            </w:pPr>
            <w:r>
              <w:rPr>
                <w:rFonts w:ascii="宋体" w:hAnsi="宋体" w:cs="宋体" w:eastAsia="宋体" w:hint="default"/>
                <w:sz w:val="18"/>
                <w:szCs w:val="18"/>
              </w:rPr>
              <w:t>北京蜂云科创信息 技术有限公司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7,260.00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72.60</w:t>
            </w:r>
          </w:p>
        </w:tc>
      </w:tr>
      <w:tr>
        <w:trPr>
          <w:trHeight w:val="716"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预付账款</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118"/>
              <w:jc w:val="left"/>
              <w:rPr>
                <w:rFonts w:ascii="宋体" w:hAnsi="宋体" w:cs="宋体" w:eastAsia="宋体" w:hint="default"/>
                <w:sz w:val="18"/>
                <w:szCs w:val="18"/>
              </w:rPr>
            </w:pPr>
            <w:r>
              <w:rPr>
                <w:rFonts w:ascii="宋体" w:hAnsi="宋体" w:cs="宋体" w:eastAsia="宋体" w:hint="default"/>
                <w:sz w:val="18"/>
                <w:szCs w:val="18"/>
              </w:rPr>
              <w:t>腾讯云计算（北京 有限责任公司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before="51"/>
              <w:ind w:left="-131"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188" w:lineRule="exact"/>
              <w:ind w:left="751" w:right="0"/>
              <w:jc w:val="left"/>
              <w:rPr>
                <w:rFonts w:ascii="Times New Roman" w:hAnsi="Times New Roman" w:cs="Times New Roman" w:eastAsia="Times New Roman" w:hint="default"/>
                <w:sz w:val="18"/>
                <w:szCs w:val="18"/>
              </w:rPr>
            </w:pPr>
            <w:r>
              <w:rPr>
                <w:rFonts w:ascii="Times New Roman"/>
                <w:sz w:val="18"/>
              </w:rPr>
              <w:t>601,095.36</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424,759.54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预付账款</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18"/>
              <w:jc w:val="left"/>
              <w:rPr>
                <w:rFonts w:ascii="宋体" w:hAnsi="宋体" w:cs="宋体" w:eastAsia="宋体" w:hint="default"/>
                <w:sz w:val="18"/>
                <w:szCs w:val="18"/>
              </w:rPr>
            </w:pPr>
            <w:r>
              <w:rPr>
                <w:rFonts w:ascii="宋体" w:hAnsi="宋体" w:cs="宋体" w:eastAsia="宋体" w:hint="default"/>
                <w:sz w:val="18"/>
                <w:szCs w:val="18"/>
              </w:rPr>
              <w:t>普强信息技术（北 京）有限公司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156,827.82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18"/>
              <w:jc w:val="left"/>
              <w:rPr>
                <w:rFonts w:ascii="宋体" w:hAnsi="宋体" w:cs="宋体" w:eastAsia="宋体" w:hint="default"/>
                <w:sz w:val="18"/>
                <w:szCs w:val="18"/>
              </w:rPr>
            </w:pPr>
            <w:r>
              <w:rPr>
                <w:rFonts w:ascii="宋体" w:hAnsi="宋体" w:cs="宋体" w:eastAsia="宋体" w:hint="default"/>
                <w:sz w:val="18"/>
                <w:szCs w:val="18"/>
              </w:rPr>
              <w:t>普强信息技术（北 京）有限公司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1,786,808.48</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17,868.08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18"/>
              <w:jc w:val="left"/>
              <w:rPr>
                <w:rFonts w:ascii="宋体" w:hAnsi="宋体" w:cs="宋体" w:eastAsia="宋体" w:hint="default"/>
                <w:sz w:val="18"/>
                <w:szCs w:val="18"/>
              </w:rPr>
            </w:pPr>
            <w:r>
              <w:rPr>
                <w:rFonts w:ascii="宋体" w:hAnsi="宋体" w:cs="宋体" w:eastAsia="宋体" w:hint="default"/>
                <w:sz w:val="18"/>
                <w:szCs w:val="18"/>
              </w:rPr>
              <w:t>中国四维测绘技术 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75,500.00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75,500.00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18"/>
              <w:jc w:val="left"/>
              <w:rPr>
                <w:rFonts w:ascii="宋体" w:hAnsi="宋体" w:cs="宋体" w:eastAsia="宋体" w:hint="default"/>
                <w:sz w:val="18"/>
                <w:szCs w:val="18"/>
              </w:rPr>
            </w:pPr>
            <w:r>
              <w:rPr>
                <w:rFonts w:ascii="宋体" w:hAnsi="宋体" w:cs="宋体" w:eastAsia="宋体" w:hint="default"/>
                <w:sz w:val="18"/>
                <w:szCs w:val="18"/>
              </w:rPr>
              <w:t>北京图新瀚和科技 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548,949.56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1596"/>
        <w:gridCol w:w="1594"/>
        <w:gridCol w:w="1594"/>
        <w:gridCol w:w="1596"/>
        <w:gridCol w:w="1594"/>
        <w:gridCol w:w="1594"/>
      </w:tblGrid>
      <w:tr>
        <w:trPr>
          <w:trHeight w:val="71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118"/>
              <w:jc w:val="left"/>
              <w:rPr>
                <w:rFonts w:ascii="宋体" w:hAnsi="宋体" w:cs="宋体" w:eastAsia="宋体" w:hint="default"/>
                <w:sz w:val="18"/>
                <w:szCs w:val="18"/>
              </w:rPr>
            </w:pPr>
            <w:r>
              <w:rPr>
                <w:rFonts w:ascii="宋体" w:hAnsi="宋体" w:cs="宋体" w:eastAsia="宋体" w:hint="default"/>
                <w:sz w:val="18"/>
                <w:szCs w:val="18"/>
              </w:rPr>
              <w:t>北京图新数聚科技 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405,818.97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18"/>
              <w:jc w:val="left"/>
              <w:rPr>
                <w:rFonts w:ascii="宋体" w:hAnsi="宋体" w:cs="宋体" w:eastAsia="宋体" w:hint="default"/>
                <w:sz w:val="18"/>
                <w:szCs w:val="18"/>
              </w:rPr>
            </w:pPr>
            <w:r>
              <w:rPr>
                <w:rFonts w:ascii="宋体" w:hAnsi="宋体" w:cs="宋体" w:eastAsia="宋体" w:hint="default"/>
                <w:sz w:val="18"/>
                <w:szCs w:val="18"/>
              </w:rPr>
              <w:t>北京四维智联科技 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100,000,000.00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18"/>
              <w:jc w:val="left"/>
              <w:rPr>
                <w:rFonts w:ascii="宋体" w:hAnsi="宋体" w:cs="宋体" w:eastAsia="宋体" w:hint="default"/>
                <w:sz w:val="18"/>
                <w:szCs w:val="18"/>
              </w:rPr>
            </w:pPr>
            <w:r>
              <w:rPr>
                <w:rFonts w:ascii="宋体" w:hAnsi="宋体" w:cs="宋体" w:eastAsia="宋体" w:hint="default"/>
                <w:sz w:val="18"/>
                <w:szCs w:val="18"/>
              </w:rPr>
              <w:t>普强信息技术（北 京）有限公司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10,029,000.00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10,029,000.00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bl>
    <w:p>
      <w:pPr>
        <w:spacing w:line="240" w:lineRule="auto" w:before="10"/>
        <w:rPr>
          <w:rFonts w:ascii="Times New Roman" w:hAnsi="Times New Roman" w:cs="Times New Roman" w:eastAsia="Times New Roman" w:hint="default"/>
          <w:sz w:val="21"/>
          <w:szCs w:val="21"/>
        </w:rPr>
      </w:pPr>
    </w:p>
    <w:p>
      <w:pPr>
        <w:pStyle w:val="Heading4"/>
        <w:spacing w:line="240" w:lineRule="auto" w:before="36"/>
        <w:ind w:right="982"/>
        <w:jc w:val="left"/>
        <w:rPr>
          <w:b w:val="0"/>
          <w:bCs w:val="0"/>
        </w:rPr>
      </w:pPr>
      <w:r>
        <w:rPr/>
        <w:t>（</w:t>
      </w:r>
      <w:r>
        <w:rPr>
          <w:rFonts w:ascii="Times New Roman" w:hAnsi="Times New Roman" w:cs="Times New Roman" w:eastAsia="Times New Roman" w:hint="default"/>
        </w:rPr>
        <w:t>2</w:t>
      </w:r>
      <w:r>
        <w:rPr/>
        <w:t>）应付项目</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391"/>
        <w:gridCol w:w="2393"/>
        <w:gridCol w:w="2393"/>
        <w:gridCol w:w="2393"/>
      </w:tblGrid>
      <w:tr>
        <w:trPr>
          <w:trHeight w:val="401"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项目名称</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50"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50"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715"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3" w:right="22"/>
              <w:jc w:val="left"/>
              <w:rPr>
                <w:rFonts w:ascii="宋体" w:hAnsi="宋体" w:cs="宋体" w:eastAsia="宋体" w:hint="default"/>
                <w:sz w:val="18"/>
                <w:szCs w:val="18"/>
              </w:rPr>
            </w:pPr>
            <w:r>
              <w:rPr>
                <w:rFonts w:ascii="宋体" w:hAnsi="宋体" w:cs="宋体" w:eastAsia="宋体" w:hint="default"/>
                <w:sz w:val="18"/>
                <w:szCs w:val="18"/>
              </w:rPr>
              <w:t>普强信息技术（北京）有限公 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465,711.00</w:t>
            </w:r>
          </w:p>
        </w:tc>
      </w:tr>
      <w:tr>
        <w:trPr>
          <w:trHeight w:val="713"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97"/>
              <w:jc w:val="left"/>
              <w:rPr>
                <w:rFonts w:ascii="宋体" w:hAnsi="宋体" w:cs="宋体" w:eastAsia="宋体" w:hint="default"/>
                <w:sz w:val="18"/>
                <w:szCs w:val="18"/>
              </w:rPr>
            </w:pPr>
            <w:r>
              <w:rPr>
                <w:rFonts w:ascii="宋体" w:hAnsi="宋体" w:cs="宋体" w:eastAsia="宋体" w:hint="default"/>
                <w:sz w:val="18"/>
                <w:szCs w:val="18"/>
              </w:rPr>
              <w:t>嘉兴四维智城信息科技有限 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600,000.00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600,000.00</w:t>
            </w:r>
          </w:p>
        </w:tc>
      </w:tr>
      <w:tr>
        <w:trPr>
          <w:trHeight w:val="715"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3" w:right="197"/>
              <w:jc w:val="left"/>
              <w:rPr>
                <w:rFonts w:ascii="宋体" w:hAnsi="宋体" w:cs="宋体" w:eastAsia="宋体" w:hint="default"/>
                <w:sz w:val="18"/>
                <w:szCs w:val="18"/>
              </w:rPr>
            </w:pPr>
            <w:r>
              <w:rPr>
                <w:rFonts w:ascii="宋体" w:hAnsi="宋体" w:cs="宋体" w:eastAsia="宋体" w:hint="default"/>
                <w:sz w:val="18"/>
                <w:szCs w:val="18"/>
              </w:rPr>
              <w:t>上海安吉四维信息技术有限 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40,381.82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160,290.00</w:t>
            </w:r>
          </w:p>
        </w:tc>
      </w:tr>
      <w:tr>
        <w:trPr>
          <w:trHeight w:val="401"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北京图新数聚科技有限公司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1,091,032.51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3" w:right="197"/>
              <w:jc w:val="left"/>
              <w:rPr>
                <w:rFonts w:ascii="宋体" w:hAnsi="宋体" w:cs="宋体" w:eastAsia="宋体" w:hint="default"/>
                <w:sz w:val="18"/>
                <w:szCs w:val="18"/>
              </w:rPr>
            </w:pPr>
            <w:r>
              <w:rPr>
                <w:rFonts w:ascii="宋体" w:hAnsi="宋体" w:cs="宋体" w:eastAsia="宋体" w:hint="default"/>
                <w:sz w:val="18"/>
                <w:szCs w:val="18"/>
              </w:rPr>
              <w:t>北京航天世景信息技术有限 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35,256.00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上海趣驾信息科技有限公司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389,881.59</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北京四维智联科技有限公司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254,655.30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预收账款</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97"/>
              <w:jc w:val="left"/>
              <w:rPr>
                <w:rFonts w:ascii="宋体" w:hAnsi="宋体" w:cs="宋体" w:eastAsia="宋体" w:hint="default"/>
                <w:sz w:val="18"/>
                <w:szCs w:val="18"/>
              </w:rPr>
            </w:pPr>
            <w:r>
              <w:rPr>
                <w:rFonts w:ascii="宋体" w:hAnsi="宋体" w:cs="宋体" w:eastAsia="宋体" w:hint="default"/>
                <w:sz w:val="18"/>
                <w:szCs w:val="18"/>
              </w:rPr>
              <w:t>嘉兴四维智城信息科技有限 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50,000.00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50,000.00</w:t>
            </w:r>
          </w:p>
        </w:tc>
      </w:tr>
      <w:tr>
        <w:trPr>
          <w:trHeight w:val="715"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3" w:right="197"/>
              <w:jc w:val="left"/>
              <w:rPr>
                <w:rFonts w:ascii="宋体" w:hAnsi="宋体" w:cs="宋体" w:eastAsia="宋体" w:hint="default"/>
                <w:sz w:val="18"/>
                <w:szCs w:val="18"/>
              </w:rPr>
            </w:pPr>
            <w:r>
              <w:rPr>
                <w:rFonts w:ascii="宋体" w:hAnsi="宋体" w:cs="宋体" w:eastAsia="宋体" w:hint="default"/>
                <w:sz w:val="18"/>
                <w:szCs w:val="18"/>
              </w:rPr>
              <w:t>嘉兴四维智城信息科技有限 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150,000.00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300,000.00</w:t>
            </w:r>
          </w:p>
        </w:tc>
      </w:tr>
      <w:tr>
        <w:trPr>
          <w:trHeight w:val="401"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北京图新瀚和科技有限公司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140,852.28</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140,852.28</w:t>
            </w:r>
          </w:p>
        </w:tc>
      </w:tr>
      <w:tr>
        <w:trPr>
          <w:trHeight w:val="715"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3" w:right="22"/>
              <w:jc w:val="left"/>
              <w:rPr>
                <w:rFonts w:ascii="宋体" w:hAnsi="宋体" w:cs="宋体" w:eastAsia="宋体" w:hint="default"/>
                <w:sz w:val="18"/>
                <w:szCs w:val="18"/>
              </w:rPr>
            </w:pPr>
            <w:r>
              <w:rPr>
                <w:rFonts w:ascii="宋体" w:hAnsi="宋体" w:cs="宋体" w:eastAsia="宋体" w:hint="default"/>
                <w:sz w:val="18"/>
                <w:szCs w:val="18"/>
              </w:rPr>
              <w:t>普强信息技术（北京）有限公 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136,455.25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238,468.25</w:t>
            </w:r>
          </w:p>
        </w:tc>
      </w:tr>
      <w:tr>
        <w:trPr>
          <w:trHeight w:val="401"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北京图新数聚科技有限公司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129,452.30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101,452.30</w:t>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北京四维智联科技有限公司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310,181.95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上海趣驾信息科技有限公司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3,627,579.91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97" w:lineRule="auto" w:before="51"/>
              <w:ind w:left="23" w:right="77"/>
              <w:jc w:val="left"/>
              <w:rPr>
                <w:rFonts w:ascii="宋体" w:hAnsi="宋体" w:cs="宋体" w:eastAsia="宋体" w:hint="default"/>
                <w:sz w:val="18"/>
                <w:szCs w:val="18"/>
              </w:rPr>
            </w:pPr>
            <w:r>
              <w:rPr>
                <w:rFonts w:ascii="宋体" w:hAnsi="宋体" w:cs="宋体" w:eastAsia="宋体" w:hint="default"/>
                <w:sz w:val="18"/>
                <w:szCs w:val="18"/>
              </w:rPr>
              <w:t>和骊安</w:t>
            </w:r>
            <w:r>
              <w:rPr>
                <w:rFonts w:ascii="Times New Roman" w:hAnsi="Times New Roman" w:cs="Times New Roman" w:eastAsia="Times New Roman" w:hint="default"/>
                <w:sz w:val="18"/>
                <w:szCs w:val="18"/>
              </w:rPr>
              <w:t>(</w:t>
            </w:r>
            <w:r>
              <w:rPr>
                <w:rFonts w:ascii="宋体" w:hAnsi="宋体" w:cs="宋体" w:eastAsia="宋体" w:hint="default"/>
                <w:sz w:val="18"/>
                <w:szCs w:val="18"/>
              </w:rPr>
              <w:t>中国</w:t>
            </w:r>
            <w:r>
              <w:rPr>
                <w:rFonts w:ascii="Times New Roman" w:hAnsi="Times New Roman" w:cs="Times New Roman" w:eastAsia="Times New Roman" w:hint="default"/>
                <w:sz w:val="18"/>
                <w:szCs w:val="18"/>
              </w:rPr>
              <w:t>)</w:t>
            </w:r>
            <w:r>
              <w:rPr>
                <w:rFonts w:ascii="宋体" w:hAnsi="宋体" w:cs="宋体" w:eastAsia="宋体" w:hint="default"/>
                <w:sz w:val="18"/>
                <w:szCs w:val="18"/>
              </w:rPr>
              <w:t>汽车信息系统有 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rFonts w:ascii="Times New Roman" w:hAnsi="Times New Roman" w:cs="Times New Roman" w:eastAsia="Times New Roman" w:hint="default"/>
        </w:rPr>
        <w:t>7</w:t>
      </w:r>
      <w:r>
        <w:rPr/>
        <w:t>、关联方承诺</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t>无</w:t>
      </w:r>
    </w:p>
    <w:p>
      <w:pPr>
        <w:spacing w:after="0" w:line="240" w:lineRule="auto"/>
        <w:jc w:val="left"/>
        <w:sectPr>
          <w:pgSz w:w="11910" w:h="16840"/>
          <w:pgMar w:header="745" w:footer="979"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2"/>
        <w:jc w:val="left"/>
        <w:rPr>
          <w:b w:val="0"/>
          <w:bCs w:val="0"/>
        </w:rPr>
      </w:pPr>
      <w:r>
        <w:rPr>
          <w:rFonts w:ascii="Times New Roman" w:hAnsi="Times New Roman" w:cs="Times New Roman" w:eastAsia="Times New Roman" w:hint="default"/>
        </w:rPr>
        <w:t>8</w:t>
      </w:r>
      <w:r>
        <w:rPr/>
        <w:t>、其他</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3"/>
        <w:rPr>
          <w:rFonts w:ascii="宋体" w:hAnsi="宋体" w:cs="宋体" w:eastAsia="宋体" w:hint="default"/>
          <w:sz w:val="25"/>
          <w:szCs w:val="25"/>
        </w:rPr>
      </w:pPr>
    </w:p>
    <w:p>
      <w:pPr>
        <w:pStyle w:val="Heading2"/>
        <w:spacing w:line="240" w:lineRule="auto"/>
        <w:ind w:right="982"/>
        <w:jc w:val="left"/>
        <w:rPr>
          <w:b w:val="0"/>
          <w:bCs w:val="0"/>
        </w:rPr>
      </w:pPr>
      <w:r>
        <w:rPr/>
        <w:t>十三、股份支付</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right="982"/>
        <w:jc w:val="left"/>
        <w:rPr>
          <w:b w:val="0"/>
          <w:bCs w:val="0"/>
        </w:rPr>
      </w:pPr>
      <w:r>
        <w:rPr>
          <w:rFonts w:ascii="Times New Roman" w:hAnsi="Times New Roman" w:cs="Times New Roman" w:eastAsia="Times New Roman" w:hint="default"/>
        </w:rPr>
        <w:t>1</w:t>
      </w:r>
      <w:r>
        <w:rPr/>
        <w:t>、股份支付总体情况</w:t>
      </w:r>
      <w:r>
        <w:rPr>
          <w:b w:val="0"/>
          <w:bCs w:val="0"/>
        </w:rPr>
      </w:r>
    </w:p>
    <w:p>
      <w:pPr>
        <w:spacing w:line="240" w:lineRule="auto" w:before="12"/>
        <w:rPr>
          <w:rFonts w:ascii="宋体" w:hAnsi="宋体" w:cs="宋体" w:eastAsia="宋体" w:hint="default"/>
          <w:b/>
          <w:bCs/>
          <w:sz w:val="22"/>
          <w:szCs w:val="22"/>
        </w:rPr>
      </w:pPr>
    </w:p>
    <w:p>
      <w:pPr>
        <w:spacing w:after="0" w:line="240" w:lineRule="auto"/>
        <w:rPr>
          <w:rFonts w:ascii="宋体" w:hAnsi="宋体" w:cs="宋体" w:eastAsia="宋体" w:hint="default"/>
          <w:sz w:val="22"/>
          <w:szCs w:val="22"/>
        </w:rPr>
        <w:sectPr>
          <w:pgSz w:w="11910" w:h="16840"/>
          <w:pgMar w:header="745" w:footer="979" w:top="1060" w:bottom="1160" w:left="980" w:right="0"/>
        </w:sectPr>
      </w:pPr>
    </w:p>
    <w:p>
      <w:pPr>
        <w:pStyle w:val="BodyText"/>
        <w:spacing w:line="240" w:lineRule="auto" w:before="44"/>
        <w:ind w:right="-18"/>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240" w:lineRule="auto" w:before="101"/>
        <w:ind w:right="-18"/>
        <w:jc w:val="left"/>
      </w:pPr>
      <w:r>
        <w:rPr>
          <w:rFonts w:ascii="Times New Roman" w:hAnsi="Times New Roman" w:cs="Times New Roman" w:eastAsia="Times New Roman" w:hint="default"/>
        </w:rPr>
        <w:t>1</w:t>
      </w:r>
      <w:r>
        <w:rPr/>
        <w:t>）本公司股份支付总体情况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pStyle w:val="BodyText"/>
        <w:spacing w:line="240" w:lineRule="auto"/>
        <w:ind w:right="0"/>
        <w:jc w:val="left"/>
      </w:pPr>
      <w:r>
        <w:rPr/>
        <w:t>单位：</w:t>
      </w:r>
      <w:r>
        <w:rPr>
          <w:spacing w:val="1"/>
        </w:rPr>
        <w:t> </w:t>
      </w:r>
      <w:r>
        <w:rPr/>
        <w:t>元</w:t>
      </w:r>
    </w:p>
    <w:p>
      <w:pPr>
        <w:spacing w:after="0" w:line="240" w:lineRule="auto"/>
        <w:jc w:val="left"/>
        <w:sectPr>
          <w:type w:val="continuous"/>
          <w:pgSz w:w="11910" w:h="16840"/>
          <w:pgMar w:top="1060" w:bottom="1160" w:left="980" w:right="0"/>
          <w:cols w:num="2" w:equalWidth="0">
            <w:col w:w="2405" w:space="6333"/>
            <w:col w:w="2192"/>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6"/>
          <w:szCs w:val="16"/>
        </w:rPr>
      </w:pPr>
    </w:p>
    <w:p>
      <w:pPr>
        <w:pStyle w:val="BodyText"/>
        <w:spacing w:line="240" w:lineRule="auto" w:before="44"/>
        <w:ind w:left="0" w:right="1137"/>
        <w:jc w:val="right"/>
      </w:pPr>
      <w:r>
        <w:rPr/>
        <w:pict>
          <v:shape style="position:absolute;margin-left:56.459999pt;margin-top:-201.418289pt;width:479.2pt;height:397.4pt;mso-position-horizontal-relative:page;mso-position-vertical-relative:paragraph;z-index:215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969"/>
                    <w:gridCol w:w="5600"/>
                  </w:tblGrid>
                  <w:tr>
                    <w:trPr>
                      <w:trHeight w:val="401"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公司本期授予的各项权益工具总额</w:t>
                        </w:r>
                      </w:p>
                    </w:tc>
                    <w:tc>
                      <w:tcPr>
                        <w:tcW w:w="5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27,046,469.00</w:t>
                        </w:r>
                      </w:p>
                    </w:tc>
                  </w:tr>
                  <w:tr>
                    <w:trPr>
                      <w:trHeight w:val="40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公司本期行权的各项权益工具总额</w:t>
                        </w:r>
                      </w:p>
                    </w:tc>
                    <w:tc>
                      <w:tcPr>
                        <w:tcW w:w="5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10,818,587.60</w:t>
                        </w:r>
                      </w:p>
                    </w:tc>
                  </w:tr>
                  <w:tr>
                    <w:trPr>
                      <w:trHeight w:val="401"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公司本期失效的各项权益工具总额</w:t>
                        </w:r>
                      </w:p>
                    </w:tc>
                    <w:tc>
                      <w:tcPr>
                        <w:tcW w:w="5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190,500.00</w:t>
                        </w:r>
                      </w:p>
                    </w:tc>
                  </w:tr>
                  <w:tr>
                    <w:trPr>
                      <w:trHeight w:val="6020"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6"/>
                            <w:szCs w:val="26"/>
                          </w:rPr>
                        </w:pPr>
                      </w:p>
                      <w:p>
                        <w:pPr>
                          <w:pStyle w:val="TableParagraph"/>
                          <w:spacing w:line="316" w:lineRule="auto"/>
                          <w:ind w:left="22" w:right="156"/>
                          <w:jc w:val="left"/>
                          <w:rPr>
                            <w:rFonts w:ascii="宋体" w:hAnsi="宋体" w:cs="宋体" w:eastAsia="宋体" w:hint="default"/>
                            <w:sz w:val="18"/>
                            <w:szCs w:val="18"/>
                          </w:rPr>
                        </w:pPr>
                        <w:r>
                          <w:rPr>
                            <w:rFonts w:ascii="宋体" w:hAnsi="宋体" w:cs="宋体" w:eastAsia="宋体" w:hint="default"/>
                            <w:sz w:val="18"/>
                            <w:szCs w:val="18"/>
                          </w:rPr>
                          <w:t>公司期末发行在外的股票期权行权价格的范围和 合同剩余期限</w:t>
                        </w:r>
                      </w:p>
                    </w:tc>
                    <w:tc>
                      <w:tcPr>
                        <w:tcW w:w="5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both"/>
                          <w:rPr>
                            <w:rFonts w:ascii="Times New Roman" w:hAnsi="Times New Roman" w:cs="Times New Roman" w:eastAsia="Times New Roman" w:hint="default"/>
                            <w:sz w:val="18"/>
                            <w:szCs w:val="18"/>
                          </w:rPr>
                        </w:pPr>
                        <w:r>
                          <w:rPr>
                            <w:rFonts w:ascii="宋体" w:hAnsi="宋体" w:cs="宋体" w:eastAsia="宋体" w:hint="default"/>
                            <w:sz w:val="18"/>
                            <w:szCs w:val="18"/>
                          </w:rPr>
                          <w:t>公司限制性股票激励计划首次授予激励对象的授予日为</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24</w:t>
                        </w:r>
                      </w:p>
                      <w:p>
                        <w:pPr>
                          <w:pStyle w:val="TableParagraph"/>
                          <w:spacing w:line="240" w:lineRule="auto" w:before="63"/>
                          <w:ind w:left="23" w:right="0"/>
                          <w:jc w:val="both"/>
                          <w:rPr>
                            <w:rFonts w:ascii="宋体" w:hAnsi="宋体" w:cs="宋体" w:eastAsia="宋体" w:hint="default"/>
                            <w:sz w:val="18"/>
                            <w:szCs w:val="18"/>
                          </w:rPr>
                        </w:pPr>
                        <w:r>
                          <w:rPr>
                            <w:rFonts w:ascii="宋体" w:hAnsi="宋体" w:cs="宋体" w:eastAsia="宋体" w:hint="default"/>
                            <w:sz w:val="18"/>
                            <w:szCs w:val="18"/>
                          </w:rPr>
                          <w:t>日，授予数量</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17,806,800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股，授予价格</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11.279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股，锁定期为自首次</w:t>
                        </w:r>
                      </w:p>
                      <w:p>
                        <w:pPr>
                          <w:pStyle w:val="TableParagraph"/>
                          <w:spacing w:line="300" w:lineRule="auto" w:before="63"/>
                          <w:ind w:left="23" w:right="14"/>
                          <w:jc w:val="both"/>
                          <w:rPr>
                            <w:rFonts w:ascii="宋体" w:hAnsi="宋体" w:cs="宋体" w:eastAsia="宋体" w:hint="default"/>
                            <w:sz w:val="18"/>
                            <w:szCs w:val="18"/>
                          </w:rPr>
                        </w:pPr>
                        <w:r>
                          <w:rPr>
                            <w:rFonts w:ascii="宋体" w:hAnsi="宋体" w:cs="宋体" w:eastAsia="宋体" w:hint="default"/>
                            <w:sz w:val="18"/>
                            <w:szCs w:val="18"/>
                          </w:rPr>
                          <w:t>授予日起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个月，锁定期后若达到计划规定的解锁条件，激励对象可 分三次申请解锁，分别自首次授予日起 </w:t>
                        </w:r>
                        <w:r>
                          <w:rPr>
                            <w:rFonts w:ascii="Times New Roman" w:hAnsi="Times New Roman" w:cs="Times New Roman" w:eastAsia="Times New Roman" w:hint="default"/>
                            <w:sz w:val="18"/>
                            <w:szCs w:val="18"/>
                          </w:rPr>
                          <w:t>12 </w:t>
                        </w:r>
                        <w:r>
                          <w:rPr>
                            <w:rFonts w:ascii="宋体" w:hAnsi="宋体" w:cs="宋体" w:eastAsia="宋体" w:hint="default"/>
                            <w:spacing w:val="-5"/>
                            <w:sz w:val="18"/>
                            <w:szCs w:val="18"/>
                          </w:rPr>
                          <w:t>个月后、</w:t>
                        </w:r>
                        <w:r>
                          <w:rPr>
                            <w:rFonts w:ascii="Times New Roman" w:hAnsi="Times New Roman" w:cs="Times New Roman" w:eastAsia="Times New Roman" w:hint="default"/>
                            <w:spacing w:val="-5"/>
                            <w:sz w:val="18"/>
                            <w:szCs w:val="18"/>
                          </w:rPr>
                          <w:t>24 </w:t>
                        </w:r>
                        <w:r>
                          <w:rPr>
                            <w:rFonts w:ascii="宋体" w:hAnsi="宋体" w:cs="宋体" w:eastAsia="宋体" w:hint="default"/>
                            <w:spacing w:val="-6"/>
                            <w:sz w:val="18"/>
                            <w:szCs w:val="18"/>
                          </w:rPr>
                          <w:t>个月后、</w:t>
                        </w:r>
                        <w:r>
                          <w:rPr>
                            <w:rFonts w:ascii="Times New Roman" w:hAnsi="Times New Roman" w:cs="Times New Roman" w:eastAsia="Times New Roman" w:hint="default"/>
                            <w:spacing w:val="-6"/>
                            <w:sz w:val="18"/>
                            <w:szCs w:val="18"/>
                          </w:rPr>
                          <w:t>36</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个月 后各申请解锁授予限制性股票总量的</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1/3</w:t>
                        </w:r>
                        <w:r>
                          <w:rPr>
                            <w:rFonts w:ascii="宋体" w:hAnsi="宋体" w:cs="宋体" w:eastAsia="宋体" w:hint="default"/>
                            <w:sz w:val="18"/>
                            <w:szCs w:val="18"/>
                          </w:rPr>
                          <w:t>、</w:t>
                        </w:r>
                        <w:r>
                          <w:rPr>
                            <w:rFonts w:ascii="Times New Roman" w:hAnsi="Times New Roman" w:cs="Times New Roman" w:eastAsia="Times New Roman" w:hint="default"/>
                            <w:sz w:val="18"/>
                            <w:szCs w:val="18"/>
                          </w:rPr>
                          <w:t>1/3</w:t>
                        </w:r>
                        <w:r>
                          <w:rPr>
                            <w:rFonts w:ascii="宋体" w:hAnsi="宋体" w:cs="宋体" w:eastAsia="宋体" w:hint="default"/>
                            <w:sz w:val="18"/>
                            <w:szCs w:val="18"/>
                          </w:rPr>
                          <w:t>、</w:t>
                        </w:r>
                        <w:r>
                          <w:rPr>
                            <w:rFonts w:ascii="Times New Roman" w:hAnsi="Times New Roman" w:cs="Times New Roman" w:eastAsia="Times New Roman" w:hint="default"/>
                            <w:sz w:val="18"/>
                            <w:szCs w:val="18"/>
                          </w:rPr>
                          <w:t>1/3</w:t>
                        </w:r>
                        <w:r>
                          <w:rPr>
                            <w:rFonts w:ascii="宋体" w:hAnsi="宋体" w:cs="宋体" w:eastAsia="宋体" w:hint="default"/>
                            <w:sz w:val="18"/>
                            <w:szCs w:val="18"/>
                          </w:rPr>
                          <w:t>。其中首批</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股票 已于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pacing w:val="-3"/>
                            <w:sz w:val="18"/>
                            <w:szCs w:val="18"/>
                          </w:rPr>
                          <w:t>年解锁，解锁价格</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66,391,293.06</w:t>
                        </w:r>
                        <w:r>
                          <w:rPr>
                            <w:rFonts w:ascii="Times New Roman" w:hAnsi="Times New Roman" w:cs="Times New Roman" w:eastAsia="Times New Roman" w:hint="default"/>
                            <w:spacing w:val="2"/>
                            <w:sz w:val="18"/>
                            <w:szCs w:val="18"/>
                          </w:rPr>
                          <w:t> </w:t>
                        </w:r>
                        <w:r>
                          <w:rPr>
                            <w:rFonts w:ascii="宋体" w:hAnsi="宋体" w:cs="宋体" w:eastAsia="宋体" w:hint="default"/>
                            <w:spacing w:val="-5"/>
                            <w:sz w:val="18"/>
                            <w:szCs w:val="18"/>
                          </w:rPr>
                          <w:t>元，第二批</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已于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 解锁，解锁价格</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63,384,215.77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第三批</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 </w:t>
                        </w:r>
                        <w:r>
                          <w:rPr>
                            <w:rFonts w:ascii="宋体" w:hAnsi="宋体" w:cs="宋体" w:eastAsia="宋体" w:hint="default"/>
                            <w:sz w:val="18"/>
                            <w:szCs w:val="18"/>
                          </w:rPr>
                          <w:t>已于本年解锁，解锁价格 </w:t>
                        </w:r>
                        <w:r>
                          <w:rPr>
                            <w:rFonts w:ascii="Times New Roman" w:hAnsi="Times New Roman" w:cs="Times New Roman" w:eastAsia="Times New Roman" w:hint="default"/>
                            <w:sz w:val="18"/>
                            <w:szCs w:val="18"/>
                          </w:rPr>
                          <w:t>61,160,923.67</w:t>
                        </w:r>
                        <w:r>
                          <w:rPr>
                            <w:rFonts w:ascii="Times New Roman" w:hAnsi="Times New Roman" w:cs="Times New Roman" w:eastAsia="Times New Roman" w:hint="default"/>
                            <w:spacing w:val="3"/>
                            <w:sz w:val="18"/>
                            <w:szCs w:val="18"/>
                          </w:rPr>
                          <w:t> </w:t>
                        </w:r>
                        <w:r>
                          <w:rPr>
                            <w:rFonts w:ascii="宋体" w:hAnsi="宋体" w:cs="宋体" w:eastAsia="宋体" w:hint="default"/>
                            <w:spacing w:val="-4"/>
                            <w:sz w:val="18"/>
                            <w:szCs w:val="18"/>
                          </w:rPr>
                          <w:t>元。预留限制性股票的授予日为</w:t>
                        </w:r>
                        <w:r>
                          <w:rPr>
                            <w:rFonts w:ascii="宋体" w:hAnsi="宋体" w:cs="宋体" w:eastAsia="宋体" w:hint="default"/>
                            <w:spacing w:val="2"/>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pacing w:val="-11"/>
                            <w:sz w:val="18"/>
                            <w:szCs w:val="18"/>
                          </w:rPr>
                          <w:t>日，授予</w:t>
                        </w:r>
                      </w:p>
                      <w:p>
                        <w:pPr>
                          <w:pStyle w:val="TableParagraph"/>
                          <w:spacing w:line="304" w:lineRule="auto" w:before="13"/>
                          <w:ind w:left="23" w:right="17"/>
                          <w:jc w:val="left"/>
                          <w:rPr>
                            <w:rFonts w:ascii="宋体" w:hAnsi="宋体" w:cs="宋体" w:eastAsia="宋体" w:hint="default"/>
                            <w:sz w:val="18"/>
                            <w:szCs w:val="18"/>
                          </w:rPr>
                        </w:pPr>
                        <w:r>
                          <w:rPr>
                            <w:rFonts w:ascii="宋体" w:hAnsi="宋体" w:cs="宋体" w:eastAsia="宋体" w:hint="default"/>
                            <w:sz w:val="18"/>
                            <w:szCs w:val="18"/>
                          </w:rPr>
                          <w:t>数量</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2,033,000</w:t>
                        </w:r>
                        <w:r>
                          <w:rPr>
                            <w:rFonts w:ascii="Times New Roman" w:hAnsi="Times New Roman" w:cs="Times New Roman" w:eastAsia="Times New Roman" w:hint="default"/>
                            <w:spacing w:val="-15"/>
                            <w:sz w:val="18"/>
                            <w:szCs w:val="18"/>
                          </w:rPr>
                          <w:t> </w:t>
                        </w:r>
                        <w:r>
                          <w:rPr>
                            <w:rFonts w:ascii="宋体" w:hAnsi="宋体" w:cs="宋体" w:eastAsia="宋体" w:hint="default"/>
                            <w:spacing w:val="-16"/>
                            <w:sz w:val="18"/>
                            <w:szCs w:val="18"/>
                          </w:rPr>
                          <w:t>股，授予价格</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13.87</w:t>
                        </w:r>
                        <w:r>
                          <w:rPr>
                            <w:rFonts w:ascii="Times New Roman" w:hAnsi="Times New Roman" w:cs="Times New Roman" w:eastAsia="Times New Roman" w:hint="default"/>
                            <w:spacing w:val="-16"/>
                            <w:sz w:val="18"/>
                            <w:szCs w:val="18"/>
                          </w:rPr>
                          <w:t> </w:t>
                        </w:r>
                        <w:r>
                          <w:rPr>
                            <w:rFonts w:ascii="宋体" w:hAnsi="宋体" w:cs="宋体" w:eastAsia="宋体" w:hint="default"/>
                            <w:spacing w:val="-7"/>
                            <w:sz w:val="18"/>
                            <w:szCs w:val="18"/>
                          </w:rPr>
                          <w:t>元</w:t>
                        </w:r>
                        <w:r>
                          <w:rPr>
                            <w:rFonts w:ascii="Times New Roman" w:hAnsi="Times New Roman" w:cs="Times New Roman" w:eastAsia="Times New Roman" w:hint="default"/>
                            <w:spacing w:val="-7"/>
                            <w:sz w:val="18"/>
                            <w:szCs w:val="18"/>
                          </w:rPr>
                          <w:t>/</w:t>
                        </w:r>
                        <w:r>
                          <w:rPr>
                            <w:rFonts w:ascii="宋体" w:hAnsi="宋体" w:cs="宋体" w:eastAsia="宋体" w:hint="default"/>
                            <w:spacing w:val="-7"/>
                            <w:sz w:val="18"/>
                            <w:szCs w:val="18"/>
                          </w:rPr>
                          <w:t>股，锁定期为自本次授予日起</w:t>
                        </w:r>
                        <w:r>
                          <w:rPr>
                            <w:rFonts w:ascii="宋体" w:hAnsi="宋体" w:cs="宋体" w:eastAsia="宋体" w:hint="default"/>
                            <w:spacing w:val="-61"/>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个 </w:t>
                        </w:r>
                        <w:r>
                          <w:rPr>
                            <w:rFonts w:ascii="宋体" w:hAnsi="宋体" w:cs="宋体" w:eastAsia="宋体" w:hint="default"/>
                            <w:spacing w:val="-5"/>
                            <w:sz w:val="18"/>
                            <w:szCs w:val="18"/>
                          </w:rPr>
                          <w:t>月，锁定期后若达到计划规定的解锁条件，激励对象可分两次申请解锁</w:t>
                        </w:r>
                        <w:r>
                          <w:rPr>
                            <w:rFonts w:ascii="宋体" w:hAnsi="宋体" w:cs="宋体" w:eastAsia="宋体" w:hint="default"/>
                            <w:spacing w:val="-61"/>
                            <w:sz w:val="18"/>
                            <w:szCs w:val="18"/>
                          </w:rPr>
                          <w:t> </w:t>
                        </w:r>
                        <w:r>
                          <w:rPr>
                            <w:rFonts w:ascii="宋体" w:hAnsi="宋体" w:cs="宋体" w:eastAsia="宋体" w:hint="default"/>
                            <w:spacing w:val="-61"/>
                            <w:sz w:val="18"/>
                            <w:szCs w:val="18"/>
                          </w:rPr>
                        </w:r>
                        <w:r>
                          <w:rPr>
                            <w:rFonts w:ascii="宋体" w:hAnsi="宋体" w:cs="宋体" w:eastAsia="宋体" w:hint="default"/>
                            <w:sz w:val="18"/>
                            <w:szCs w:val="18"/>
                          </w:rPr>
                          <w:t>分别自该部分授予日起 </w:t>
                        </w:r>
                        <w:r>
                          <w:rPr>
                            <w:rFonts w:ascii="Times New Roman" w:hAnsi="Times New Roman" w:cs="Times New Roman" w:eastAsia="Times New Roman" w:hint="default"/>
                            <w:sz w:val="18"/>
                            <w:szCs w:val="18"/>
                          </w:rPr>
                          <w:t>12 </w:t>
                        </w:r>
                        <w:r>
                          <w:rPr>
                            <w:rFonts w:ascii="宋体" w:hAnsi="宋体" w:cs="宋体" w:eastAsia="宋体" w:hint="default"/>
                            <w:sz w:val="18"/>
                            <w:szCs w:val="18"/>
                          </w:rPr>
                          <w:t>个月后至授予日起 </w:t>
                        </w:r>
                        <w:r>
                          <w:rPr>
                            <w:rFonts w:ascii="Times New Roman" w:hAnsi="Times New Roman" w:cs="Times New Roman" w:eastAsia="Times New Roman" w:hint="default"/>
                            <w:sz w:val="18"/>
                            <w:szCs w:val="18"/>
                          </w:rPr>
                          <w:t>24 </w:t>
                        </w:r>
                        <w:r>
                          <w:rPr>
                            <w:rFonts w:ascii="宋体" w:hAnsi="宋体" w:cs="宋体" w:eastAsia="宋体" w:hint="default"/>
                            <w:sz w:val="18"/>
                            <w:szCs w:val="18"/>
                          </w:rPr>
                          <w:t>个月内、授予日起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 </w:t>
                        </w:r>
                        <w:r>
                          <w:rPr>
                            <w:rFonts w:ascii="宋体" w:hAnsi="宋体" w:cs="宋体" w:eastAsia="宋体" w:hint="default"/>
                            <w:sz w:val="18"/>
                            <w:szCs w:val="18"/>
                          </w:rPr>
                          <w:t>个月后至授予日起</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36 </w:t>
                        </w:r>
                        <w:r>
                          <w:rPr>
                            <w:rFonts w:ascii="宋体" w:hAnsi="宋体" w:cs="宋体" w:eastAsia="宋体" w:hint="default"/>
                            <w:sz w:val="18"/>
                            <w:szCs w:val="18"/>
                          </w:rPr>
                          <w:t>个月内各申请解锁授予限制性股票总量的</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1/2</w:t>
                        </w:r>
                        <w:r>
                          <w:rPr>
                            <w:rFonts w:ascii="宋体" w:hAnsi="宋体" w:cs="宋体" w:eastAsia="宋体" w:hint="default"/>
                            <w:sz w:val="18"/>
                            <w:szCs w:val="18"/>
                          </w:rPr>
                          <w:t>、 </w:t>
                        </w:r>
                        <w:r>
                          <w:rPr>
                            <w:rFonts w:ascii="Times New Roman" w:hAnsi="Times New Roman" w:cs="Times New Roman" w:eastAsia="Times New Roman" w:hint="default"/>
                            <w:sz w:val="18"/>
                            <w:szCs w:val="18"/>
                          </w:rPr>
                          <w:t>1/2</w:t>
                        </w:r>
                        <w:r>
                          <w:rPr>
                            <w:rFonts w:ascii="宋体" w:hAnsi="宋体" w:cs="宋体" w:eastAsia="宋体" w:hint="default"/>
                            <w:sz w:val="18"/>
                            <w:szCs w:val="18"/>
                          </w:rPr>
                          <w:t>，其中首批</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股票已于</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年解锁，解锁价格</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14,649,498.85</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元 第二批</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股票已于本年解锁，解锁价格</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13,903,974.75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p>
                        <w:pPr>
                          <w:pStyle w:val="TableParagraph"/>
                          <w:spacing w:line="240" w:lineRule="auto" w:before="9"/>
                          <w:ind w:left="23" w:right="0"/>
                          <w:jc w:val="both"/>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年限制性股票激励计划首次授予激励对象的授予日为</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p>
                      <w:p>
                        <w:pPr>
                          <w:pStyle w:val="TableParagraph"/>
                          <w:spacing w:line="240" w:lineRule="auto" w:before="63"/>
                          <w:ind w:left="23"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pacing w:val="2"/>
                            <w:sz w:val="18"/>
                            <w:szCs w:val="18"/>
                          </w:rPr>
                          <w:t> </w:t>
                        </w:r>
                        <w:r>
                          <w:rPr>
                            <w:rFonts w:ascii="宋体" w:hAnsi="宋体" w:cs="宋体" w:eastAsia="宋体" w:hint="default"/>
                            <w:spacing w:val="-5"/>
                            <w:sz w:val="18"/>
                            <w:szCs w:val="18"/>
                          </w:rPr>
                          <w:t>日，授予数量</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27,046,469</w:t>
                        </w:r>
                        <w:r>
                          <w:rPr>
                            <w:rFonts w:ascii="Times New Roman" w:hAnsi="Times New Roman" w:cs="Times New Roman" w:eastAsia="Times New Roman" w:hint="default"/>
                            <w:spacing w:val="3"/>
                            <w:sz w:val="18"/>
                            <w:szCs w:val="18"/>
                          </w:rPr>
                          <w:t> </w:t>
                        </w:r>
                        <w:r>
                          <w:rPr>
                            <w:rFonts w:ascii="宋体" w:hAnsi="宋体" w:cs="宋体" w:eastAsia="宋体" w:hint="default"/>
                            <w:spacing w:val="-5"/>
                            <w:sz w:val="18"/>
                            <w:szCs w:val="18"/>
                          </w:rPr>
                          <w:t>股，授予价格</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12.15</w:t>
                        </w:r>
                        <w:r>
                          <w:rPr>
                            <w:rFonts w:ascii="Times New Roman" w:hAnsi="Times New Roman" w:cs="Times New Roman" w:eastAsia="Times New Roman" w:hint="default"/>
                            <w:spacing w:val="3"/>
                            <w:sz w:val="18"/>
                            <w:szCs w:val="18"/>
                          </w:rPr>
                          <w:t> </w:t>
                        </w:r>
                        <w:r>
                          <w:rPr>
                            <w:rFonts w:ascii="宋体" w:hAnsi="宋体" w:cs="宋体" w:eastAsia="宋体" w:hint="default"/>
                            <w:spacing w:val="-4"/>
                            <w:sz w:val="18"/>
                            <w:szCs w:val="18"/>
                          </w:rPr>
                          <w:t>元</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股，锁定期为自</w:t>
                        </w:r>
                      </w:p>
                      <w:p>
                        <w:pPr>
                          <w:pStyle w:val="TableParagraph"/>
                          <w:spacing w:line="300" w:lineRule="auto" w:before="63"/>
                          <w:ind w:left="23" w:right="17"/>
                          <w:jc w:val="both"/>
                          <w:rPr>
                            <w:rFonts w:ascii="宋体" w:hAnsi="宋体" w:cs="宋体" w:eastAsia="宋体" w:hint="default"/>
                            <w:sz w:val="18"/>
                            <w:szCs w:val="18"/>
                          </w:rPr>
                        </w:pPr>
                        <w:r>
                          <w:rPr>
                            <w:rFonts w:ascii="宋体" w:hAnsi="宋体" w:cs="宋体" w:eastAsia="宋体" w:hint="default"/>
                            <w:sz w:val="18"/>
                            <w:szCs w:val="18"/>
                          </w:rPr>
                          <w:t>首次授予日起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个月，锁定期后若达到计划规定的解锁条件，激励对 象可分三次申请解锁，分别自首次授予日起 </w:t>
                        </w:r>
                        <w:r>
                          <w:rPr>
                            <w:rFonts w:ascii="Times New Roman" w:hAnsi="Times New Roman" w:cs="Times New Roman" w:eastAsia="Times New Roman" w:hint="default"/>
                            <w:sz w:val="18"/>
                            <w:szCs w:val="18"/>
                          </w:rPr>
                          <w:t>12 </w:t>
                        </w:r>
                        <w:r>
                          <w:rPr>
                            <w:rFonts w:ascii="宋体" w:hAnsi="宋体" w:cs="宋体" w:eastAsia="宋体" w:hint="default"/>
                            <w:spacing w:val="-3"/>
                            <w:sz w:val="18"/>
                            <w:szCs w:val="18"/>
                          </w:rPr>
                          <w:t>个月后、</w:t>
                        </w:r>
                        <w:r>
                          <w:rPr>
                            <w:rFonts w:ascii="Times New Roman" w:hAnsi="Times New Roman" w:cs="Times New Roman" w:eastAsia="Times New Roman" w:hint="default"/>
                            <w:spacing w:val="-3"/>
                            <w:sz w:val="18"/>
                            <w:szCs w:val="18"/>
                          </w:rPr>
                          <w:t>24</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个月后、</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个月后各申请解锁授予限制性股票总量的</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40%</w:t>
                        </w:r>
                        <w:r>
                          <w:rPr>
                            <w:rFonts w:ascii="宋体" w:hAnsi="宋体" w:cs="宋体" w:eastAsia="宋体" w:hint="default"/>
                            <w:sz w:val="18"/>
                            <w:szCs w:val="18"/>
                          </w:rPr>
                          <w:t>、</w:t>
                        </w:r>
                        <w:r>
                          <w:rPr>
                            <w:rFonts w:ascii="Times New Roman" w:hAnsi="Times New Roman" w:cs="Times New Roman" w:eastAsia="Times New Roman" w:hint="default"/>
                            <w:sz w:val="18"/>
                            <w:szCs w:val="18"/>
                          </w:rPr>
                          <w:t>30%</w:t>
                        </w:r>
                        <w:r>
                          <w:rPr>
                            <w:rFonts w:ascii="宋体" w:hAnsi="宋体" w:cs="宋体" w:eastAsia="宋体" w:hint="default"/>
                            <w:sz w:val="18"/>
                            <w:szCs w:val="18"/>
                          </w:rPr>
                          <w:t>、</w:t>
                        </w:r>
                        <w:r>
                          <w:rPr>
                            <w:rFonts w:ascii="Times New Roman" w:hAnsi="Times New Roman" w:cs="Times New Roman" w:eastAsia="Times New Roman" w:hint="default"/>
                            <w:sz w:val="18"/>
                            <w:szCs w:val="18"/>
                          </w:rPr>
                          <w:t>30%</w:t>
                        </w:r>
                        <w:r>
                          <w:rPr>
                            <w:rFonts w:ascii="宋体" w:hAnsi="宋体" w:cs="宋体" w:eastAsia="宋体" w:hint="default"/>
                            <w:sz w:val="18"/>
                            <w:szCs w:val="18"/>
                          </w:rPr>
                          <w:t>。</w:t>
                        </w:r>
                      </w:p>
                    </w:tc>
                  </w:tr>
                  <w:tr>
                    <w:trPr>
                      <w:trHeight w:val="713" w:hRule="exact"/>
                    </w:trPr>
                    <w:tc>
                      <w:tcPr>
                        <w:tcW w:w="3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22" w:right="156"/>
                          <w:jc w:val="left"/>
                          <w:rPr>
                            <w:rFonts w:ascii="宋体" w:hAnsi="宋体" w:cs="宋体" w:eastAsia="宋体" w:hint="default"/>
                            <w:sz w:val="18"/>
                            <w:szCs w:val="18"/>
                          </w:rPr>
                        </w:pPr>
                        <w:r>
                          <w:rPr>
                            <w:rFonts w:ascii="宋体" w:hAnsi="宋体" w:cs="宋体" w:eastAsia="宋体" w:hint="default"/>
                            <w:sz w:val="18"/>
                            <w:szCs w:val="18"/>
                          </w:rPr>
                          <w:t>公司期末发行在外的其他权益工具行权价格的范 围和合同剩余期限</w:t>
                        </w:r>
                      </w:p>
                    </w:tc>
                    <w:tc>
                      <w:tcPr>
                        <w:tcW w:w="5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p>
              </w:txbxContent>
            </v:textbox>
            <w10:wrap type="none"/>
          </v:shape>
        </w:pict>
      </w: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p>
      <w:pPr>
        <w:pStyle w:val="BodyText"/>
        <w:spacing w:line="240" w:lineRule="auto"/>
        <w:ind w:left="0" w:right="1136"/>
        <w:jc w:val="right"/>
      </w:pP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6"/>
          <w:szCs w:val="26"/>
        </w:rPr>
      </w:pPr>
    </w:p>
    <w:p>
      <w:pPr>
        <w:pStyle w:val="BodyText"/>
        <w:spacing w:line="240" w:lineRule="auto" w:before="44"/>
        <w:ind w:right="982"/>
        <w:jc w:val="left"/>
      </w:pPr>
      <w:r>
        <w:rPr/>
        <w:t>其他说明</w:t>
      </w:r>
    </w:p>
    <w:p>
      <w:pPr>
        <w:pStyle w:val="BodyText"/>
        <w:spacing w:line="240" w:lineRule="auto" w:before="117"/>
        <w:ind w:right="982"/>
        <w:jc w:val="left"/>
      </w:pPr>
      <w:r>
        <w:rPr>
          <w:rFonts w:ascii="Times New Roman" w:hAnsi="Times New Roman" w:cs="Times New Roman" w:eastAsia="Times New Roman" w:hint="default"/>
        </w:rPr>
        <w:t>2</w:t>
      </w:r>
      <w:r>
        <w:rPr/>
        <w:t>）本公司下属子公司中寰卫星导航通信有限公司股份支付总体情况</w:t>
      </w:r>
    </w:p>
    <w:p>
      <w:pPr>
        <w:spacing w:line="240" w:lineRule="auto" w:before="1"/>
        <w:rPr>
          <w:rFonts w:ascii="宋体" w:hAnsi="宋体" w:cs="宋体" w:eastAsia="宋体" w:hint="default"/>
          <w:sz w:val="7"/>
          <w:szCs w:val="7"/>
        </w:rPr>
      </w:pPr>
    </w:p>
    <w:tbl>
      <w:tblPr>
        <w:tblW w:w="0" w:type="auto"/>
        <w:jc w:val="left"/>
        <w:tblInd w:w="145" w:type="dxa"/>
        <w:tblLayout w:type="fixed"/>
        <w:tblCellMar>
          <w:top w:w="0" w:type="dxa"/>
          <w:left w:w="0" w:type="dxa"/>
          <w:bottom w:w="0" w:type="dxa"/>
          <w:right w:w="0" w:type="dxa"/>
        </w:tblCellMar>
        <w:tblLook w:val="01E0"/>
      </w:tblPr>
      <w:tblGrid>
        <w:gridCol w:w="3971"/>
        <w:gridCol w:w="5531"/>
      </w:tblGrid>
      <w:tr>
        <w:trPr>
          <w:trHeight w:val="350" w:hRule="exact"/>
        </w:trPr>
        <w:tc>
          <w:tcPr>
            <w:tcW w:w="3971" w:type="dxa"/>
            <w:tcBorders>
              <w:top w:val="single" w:sz="6" w:space="0" w:color="000000"/>
              <w:left w:val="single" w:sz="6" w:space="0" w:color="000000"/>
              <w:bottom w:val="single" w:sz="8" w:space="0" w:color="000000"/>
              <w:right w:val="single" w:sz="4" w:space="0" w:color="000000"/>
            </w:tcBorders>
            <w:shd w:val="clear" w:color="auto" w:fill="D9D9D9"/>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公司本年授予的各项权益工具总额</w:t>
            </w:r>
          </w:p>
        </w:tc>
        <w:tc>
          <w:tcPr>
            <w:tcW w:w="5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46" w:hRule="exact"/>
        </w:trPr>
        <w:tc>
          <w:tcPr>
            <w:tcW w:w="3971" w:type="dxa"/>
            <w:tcBorders>
              <w:top w:val="single" w:sz="8" w:space="0" w:color="000000"/>
              <w:left w:val="single" w:sz="6" w:space="0" w:color="000000"/>
              <w:bottom w:val="single" w:sz="8" w:space="0" w:color="000000"/>
              <w:right w:val="single" w:sz="4" w:space="0" w:color="000000"/>
            </w:tcBorders>
            <w:shd w:val="clear" w:color="auto" w:fill="D9D9D9"/>
          </w:tcPr>
          <w:p>
            <w:pPr>
              <w:pStyle w:val="TableParagraph"/>
              <w:spacing w:line="240" w:lineRule="auto" w:before="13"/>
              <w:ind w:left="4" w:right="0"/>
              <w:jc w:val="left"/>
              <w:rPr>
                <w:rFonts w:ascii="宋体" w:hAnsi="宋体" w:cs="宋体" w:eastAsia="宋体" w:hint="default"/>
                <w:sz w:val="18"/>
                <w:szCs w:val="18"/>
              </w:rPr>
            </w:pPr>
            <w:r>
              <w:rPr>
                <w:rFonts w:ascii="宋体" w:hAnsi="宋体" w:cs="宋体" w:eastAsia="宋体" w:hint="default"/>
                <w:sz w:val="18"/>
                <w:szCs w:val="18"/>
              </w:rPr>
              <w:t>公司本年行权的各项权益工具总额</w:t>
            </w:r>
          </w:p>
        </w:tc>
        <w:tc>
          <w:tcPr>
            <w:tcW w:w="5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48" w:hRule="exact"/>
        </w:trPr>
        <w:tc>
          <w:tcPr>
            <w:tcW w:w="3971" w:type="dxa"/>
            <w:tcBorders>
              <w:top w:val="single" w:sz="8" w:space="0" w:color="000000"/>
              <w:left w:val="single" w:sz="6" w:space="0" w:color="000000"/>
              <w:bottom w:val="single" w:sz="8" w:space="0" w:color="000000"/>
              <w:right w:val="single" w:sz="4" w:space="0" w:color="000000"/>
            </w:tcBorders>
            <w:shd w:val="clear" w:color="auto" w:fill="D9D9D9"/>
          </w:tcPr>
          <w:p>
            <w:pPr>
              <w:pStyle w:val="TableParagraph"/>
              <w:spacing w:line="240" w:lineRule="auto" w:before="15"/>
              <w:ind w:left="4" w:right="0"/>
              <w:jc w:val="left"/>
              <w:rPr>
                <w:rFonts w:ascii="宋体" w:hAnsi="宋体" w:cs="宋体" w:eastAsia="宋体" w:hint="default"/>
                <w:sz w:val="18"/>
                <w:szCs w:val="18"/>
              </w:rPr>
            </w:pPr>
            <w:r>
              <w:rPr>
                <w:rFonts w:ascii="宋体" w:hAnsi="宋体" w:cs="宋体" w:eastAsia="宋体" w:hint="default"/>
                <w:sz w:val="18"/>
                <w:szCs w:val="18"/>
              </w:rPr>
              <w:t>公司本年失效的各项权益工具总额</w:t>
            </w:r>
          </w:p>
        </w:tc>
        <w:tc>
          <w:tcPr>
            <w:tcW w:w="5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660" w:hRule="exact"/>
        </w:trPr>
        <w:tc>
          <w:tcPr>
            <w:tcW w:w="3971" w:type="dxa"/>
            <w:tcBorders>
              <w:top w:val="single" w:sz="8" w:space="0" w:color="000000"/>
              <w:left w:val="single" w:sz="6" w:space="0" w:color="000000"/>
              <w:bottom w:val="single" w:sz="8" w:space="0" w:color="000000"/>
              <w:right w:val="single" w:sz="4" w:space="0" w:color="000000"/>
            </w:tcBorders>
            <w:shd w:val="clear" w:color="auto" w:fill="D9D9D9"/>
          </w:tcPr>
          <w:p>
            <w:pPr>
              <w:pStyle w:val="TableParagraph"/>
              <w:spacing w:line="316" w:lineRule="auto" w:before="13"/>
              <w:ind w:left="4" w:right="171"/>
              <w:jc w:val="left"/>
              <w:rPr>
                <w:rFonts w:ascii="宋体" w:hAnsi="宋体" w:cs="宋体" w:eastAsia="宋体" w:hint="default"/>
                <w:sz w:val="18"/>
                <w:szCs w:val="18"/>
              </w:rPr>
            </w:pPr>
            <w:r>
              <w:rPr>
                <w:rFonts w:ascii="宋体" w:hAnsi="宋体" w:cs="宋体" w:eastAsia="宋体" w:hint="default"/>
                <w:sz w:val="18"/>
                <w:szCs w:val="18"/>
              </w:rPr>
              <w:t>公司年末发行在外的股份期权行权价格的范围和 合同剩余期限</w:t>
            </w:r>
          </w:p>
        </w:tc>
        <w:tc>
          <w:tcPr>
            <w:tcW w:w="5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after="0" w:line="240" w:lineRule="auto"/>
        <w:jc w:val="left"/>
        <w:rPr>
          <w:rFonts w:ascii="宋体" w:hAnsi="宋体" w:cs="宋体" w:eastAsia="宋体" w:hint="default"/>
          <w:sz w:val="18"/>
          <w:szCs w:val="18"/>
        </w:rPr>
        <w:sectPr>
          <w:type w:val="continuous"/>
          <w:pgSz w:w="11910" w:h="16840"/>
          <w:pgMar w:top="1060" w:bottom="1160" w:left="980" w:right="0"/>
        </w:sectPr>
      </w:pPr>
    </w:p>
    <w:p>
      <w:pPr>
        <w:spacing w:line="240" w:lineRule="auto" w:before="5"/>
        <w:rPr>
          <w:rFonts w:ascii="宋体" w:hAnsi="宋体" w:cs="宋体" w:eastAsia="宋体" w:hint="default"/>
          <w:sz w:val="3"/>
          <w:szCs w:val="3"/>
        </w:rPr>
      </w:pPr>
    </w:p>
    <w:tbl>
      <w:tblPr>
        <w:tblW w:w="0" w:type="auto"/>
        <w:jc w:val="left"/>
        <w:tblInd w:w="145" w:type="dxa"/>
        <w:tblLayout w:type="fixed"/>
        <w:tblCellMar>
          <w:top w:w="0" w:type="dxa"/>
          <w:left w:w="0" w:type="dxa"/>
          <w:bottom w:w="0" w:type="dxa"/>
          <w:right w:w="0" w:type="dxa"/>
        </w:tblCellMar>
        <w:tblLook w:val="01E0"/>
      </w:tblPr>
      <w:tblGrid>
        <w:gridCol w:w="3971"/>
        <w:gridCol w:w="5531"/>
      </w:tblGrid>
      <w:tr>
        <w:trPr>
          <w:trHeight w:val="336" w:hRule="exact"/>
        </w:trPr>
        <w:tc>
          <w:tcPr>
            <w:tcW w:w="3971" w:type="dxa"/>
            <w:tcBorders>
              <w:top w:val="nil" w:sz="6" w:space="0" w:color="auto"/>
              <w:left w:val="nil" w:sz="6" w:space="0" w:color="auto"/>
              <w:bottom w:val="single" w:sz="6" w:space="0" w:color="000000"/>
              <w:right w:val="nil" w:sz="6" w:space="0" w:color="auto"/>
            </w:tcBorders>
          </w:tcPr>
          <w:p>
            <w:pPr/>
          </w:p>
        </w:tc>
        <w:tc>
          <w:tcPr>
            <w:tcW w:w="5531" w:type="dxa"/>
            <w:tcBorders>
              <w:top w:val="nil" w:sz="6" w:space="0" w:color="auto"/>
              <w:left w:val="nil" w:sz="6" w:space="0" w:color="auto"/>
              <w:bottom w:val="single" w:sz="4" w:space="0" w:color="000000"/>
              <w:right w:val="nil" w:sz="6" w:space="0" w:color="auto"/>
            </w:tcBorders>
          </w:tcPr>
          <w:p>
            <w:pPr/>
          </w:p>
        </w:tc>
      </w:tr>
      <w:tr>
        <w:trPr>
          <w:trHeight w:val="663" w:hRule="exact"/>
        </w:trPr>
        <w:tc>
          <w:tcPr>
            <w:tcW w:w="3971" w:type="dxa"/>
            <w:tcBorders>
              <w:top w:val="single" w:sz="6" w:space="0" w:color="000000"/>
              <w:left w:val="single" w:sz="6" w:space="0" w:color="000000"/>
              <w:bottom w:val="single" w:sz="8" w:space="0" w:color="000000"/>
              <w:right w:val="single" w:sz="4" w:space="0" w:color="000000"/>
            </w:tcBorders>
            <w:shd w:val="clear" w:color="auto" w:fill="D9D9D9"/>
          </w:tcPr>
          <w:p>
            <w:pPr>
              <w:pStyle w:val="TableParagraph"/>
              <w:spacing w:line="319" w:lineRule="auto" w:before="17"/>
              <w:ind w:left="4" w:right="171"/>
              <w:jc w:val="left"/>
              <w:rPr>
                <w:rFonts w:ascii="宋体" w:hAnsi="宋体" w:cs="宋体" w:eastAsia="宋体" w:hint="default"/>
                <w:sz w:val="18"/>
                <w:szCs w:val="18"/>
              </w:rPr>
            </w:pPr>
            <w:r>
              <w:rPr>
                <w:rFonts w:ascii="宋体" w:hAnsi="宋体" w:cs="宋体" w:eastAsia="宋体" w:hint="default"/>
                <w:sz w:val="18"/>
                <w:szCs w:val="18"/>
              </w:rPr>
              <w:t>公司年末其他权益工具行权价格的范围和合同剩 余期限</w:t>
            </w:r>
          </w:p>
        </w:tc>
        <w:tc>
          <w:tcPr>
            <w:tcW w:w="5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pict>
          <v:group style="position:absolute;margin-left:55.200001pt;margin-top:-62.996342pt;width:484.9pt;height:.1pt;mso-position-horizontal-relative:page;mso-position-vertical-relative:paragraph;z-index:-1324480" coordorigin="1104,-1260" coordsize="9698,2">
            <v:shape style="position:absolute;left:1104;top:-1260;width:9698;height:2" coordorigin="1104,-1260" coordsize="9698,0" path="m1104,-1260l10802,-1260e" filled="false" stroked="true" strokeweight=".72pt" strokecolor="#000000">
              <v:path arrowok="t"/>
            </v:shape>
            <w10:wrap type="none"/>
          </v:group>
        </w:pict>
      </w:r>
      <w:r>
        <w:rPr>
          <w:rFonts w:ascii="Times New Roman" w:hAnsi="Times New Roman" w:cs="Times New Roman" w:eastAsia="Times New Roman" w:hint="default"/>
        </w:rPr>
        <w:t>2</w:t>
      </w:r>
      <w:r>
        <w:rPr/>
        <w:t>、以权益结算的股份支付情况</w:t>
      </w:r>
      <w:r>
        <w:rPr>
          <w:b w:val="0"/>
          <w:bCs w:val="0"/>
        </w:rPr>
      </w:r>
    </w:p>
    <w:p>
      <w:pPr>
        <w:spacing w:line="240" w:lineRule="auto" w:before="10"/>
        <w:rPr>
          <w:rFonts w:ascii="宋体" w:hAnsi="宋体" w:cs="宋体" w:eastAsia="宋体" w:hint="default"/>
          <w:b/>
          <w:bCs/>
          <w:sz w:val="22"/>
          <w:szCs w:val="22"/>
        </w:rPr>
      </w:pPr>
    </w:p>
    <w:p>
      <w:pPr>
        <w:spacing w:after="0" w:line="240" w:lineRule="auto"/>
        <w:rPr>
          <w:rFonts w:ascii="宋体" w:hAnsi="宋体" w:cs="宋体" w:eastAsia="宋体" w:hint="default"/>
          <w:sz w:val="22"/>
          <w:szCs w:val="22"/>
        </w:rPr>
        <w:sectPr>
          <w:pgSz w:w="11910" w:h="16840"/>
          <w:pgMar w:header="745" w:footer="979" w:top="1060" w:bottom="1160" w:left="980" w:right="0"/>
        </w:sectPr>
      </w:pPr>
    </w:p>
    <w:p>
      <w:pPr>
        <w:pStyle w:val="BodyText"/>
        <w:spacing w:line="240" w:lineRule="auto" w:before="44"/>
        <w:ind w:right="-18"/>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240" w:lineRule="auto" w:before="103"/>
        <w:ind w:right="-18"/>
        <w:jc w:val="left"/>
      </w:pPr>
      <w:r>
        <w:rPr>
          <w:rFonts w:ascii="Times New Roman" w:hAnsi="Times New Roman" w:cs="Times New Roman" w:eastAsia="Times New Roman" w:hint="default"/>
        </w:rPr>
        <w:t>1</w:t>
      </w:r>
      <w:r>
        <w:rPr/>
        <w:t>）本公司以权益结算的股份支付情况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21"/>
          <w:szCs w:val="21"/>
        </w:rPr>
      </w:pPr>
    </w:p>
    <w:p>
      <w:pPr>
        <w:pStyle w:val="BodyText"/>
        <w:spacing w:line="240" w:lineRule="auto"/>
        <w:ind w:right="0"/>
        <w:jc w:val="left"/>
      </w:pPr>
      <w:r>
        <w:rPr/>
        <w:t>单位：</w:t>
      </w:r>
      <w:r>
        <w:rPr>
          <w:spacing w:val="1"/>
        </w:rPr>
        <w:t> </w:t>
      </w:r>
      <w:r>
        <w:rPr/>
        <w:t>元</w:t>
      </w:r>
    </w:p>
    <w:p>
      <w:pPr>
        <w:spacing w:after="0" w:line="240" w:lineRule="auto"/>
        <w:jc w:val="left"/>
        <w:sectPr>
          <w:type w:val="continuous"/>
          <w:pgSz w:w="11910" w:h="16840"/>
          <w:pgMar w:top="1060" w:bottom="1160" w:left="980" w:right="0"/>
          <w:cols w:num="2" w:equalWidth="0">
            <w:col w:w="3125" w:space="5705"/>
            <w:col w:w="2100"/>
          </w:cols>
        </w:sectPr>
      </w:pPr>
    </w:p>
    <w:p>
      <w:pPr>
        <w:spacing w:line="240" w:lineRule="auto" w:before="2"/>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982"/>
        <w:gridCol w:w="4587"/>
      </w:tblGrid>
      <w:tr>
        <w:trPr>
          <w:trHeight w:val="403" w:hRule="exact"/>
        </w:trPr>
        <w:tc>
          <w:tcPr>
            <w:tcW w:w="49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授予日权益工具公允价值的确定方法</w:t>
            </w:r>
          </w:p>
        </w:tc>
        <w:tc>
          <w:tcPr>
            <w:tcW w:w="4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以布莱克</w:t>
            </w:r>
            <w:r>
              <w:rPr>
                <w:rFonts w:ascii="Times New Roman" w:hAnsi="Times New Roman" w:cs="Times New Roman" w:eastAsia="Times New Roman" w:hint="default"/>
                <w:sz w:val="18"/>
                <w:szCs w:val="18"/>
              </w:rPr>
              <w:t>-</w:t>
            </w:r>
            <w:r>
              <w:rPr>
                <w:rFonts w:ascii="宋体" w:hAnsi="宋体" w:cs="宋体" w:eastAsia="宋体" w:hint="default"/>
                <w:sz w:val="18"/>
                <w:szCs w:val="18"/>
              </w:rPr>
              <w:t>斯科尔斯期权定价模型为基础计算确定</w:t>
            </w:r>
          </w:p>
        </w:tc>
      </w:tr>
      <w:tr>
        <w:trPr>
          <w:trHeight w:val="715" w:hRule="exact"/>
        </w:trPr>
        <w:tc>
          <w:tcPr>
            <w:tcW w:w="49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可行权权益工具数量的确定依据</w:t>
            </w:r>
          </w:p>
        </w:tc>
        <w:tc>
          <w:tcPr>
            <w:tcW w:w="458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51"/>
              <w:jc w:val="left"/>
              <w:rPr>
                <w:rFonts w:ascii="宋体" w:hAnsi="宋体" w:cs="宋体" w:eastAsia="宋体" w:hint="default"/>
                <w:sz w:val="18"/>
                <w:szCs w:val="18"/>
              </w:rPr>
            </w:pPr>
            <w:r>
              <w:rPr>
                <w:rFonts w:ascii="宋体" w:hAnsi="宋体" w:cs="宋体" w:eastAsia="宋体" w:hint="default"/>
                <w:sz w:val="18"/>
                <w:szCs w:val="18"/>
              </w:rPr>
              <w:t>公司根据最新取得的可行权人数并预期后续变动，及对未 来年度业绩完成情况的预测进行确定</w:t>
            </w:r>
          </w:p>
        </w:tc>
      </w:tr>
      <w:tr>
        <w:trPr>
          <w:trHeight w:val="402" w:hRule="exact"/>
        </w:trPr>
        <w:tc>
          <w:tcPr>
            <w:tcW w:w="49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本期估计与上期估计有重大差异的原因</w:t>
            </w:r>
          </w:p>
        </w:tc>
        <w:tc>
          <w:tcPr>
            <w:tcW w:w="4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3"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402" w:hRule="exact"/>
        </w:trPr>
        <w:tc>
          <w:tcPr>
            <w:tcW w:w="49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以权益结算的股份支付计入资本公积的累计金额</w:t>
            </w:r>
          </w:p>
        </w:tc>
        <w:tc>
          <w:tcPr>
            <w:tcW w:w="4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148,479,309.19</w:t>
            </w:r>
          </w:p>
        </w:tc>
      </w:tr>
      <w:tr>
        <w:trPr>
          <w:trHeight w:val="402" w:hRule="exact"/>
        </w:trPr>
        <w:tc>
          <w:tcPr>
            <w:tcW w:w="49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本期以权益结算的股份支付确认的费用总额</w:t>
            </w:r>
          </w:p>
        </w:tc>
        <w:tc>
          <w:tcPr>
            <w:tcW w:w="4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27,590,209.50</w:t>
            </w:r>
          </w:p>
        </w:tc>
      </w:tr>
    </w:tbl>
    <w:p>
      <w:pPr>
        <w:pStyle w:val="BodyText"/>
        <w:spacing w:line="240" w:lineRule="auto" w:before="49"/>
        <w:ind w:right="982"/>
        <w:jc w:val="left"/>
      </w:pPr>
      <w:r>
        <w:rPr>
          <w:rFonts w:ascii="Times New Roman" w:hAnsi="Times New Roman" w:cs="Times New Roman" w:eastAsia="Times New Roman" w:hint="default"/>
        </w:rPr>
        <w:t>2</w:t>
      </w:r>
      <w:r>
        <w:rPr/>
        <w:t>）本公司下属子公司中寰卫星导航通信有限公司以权益结算的股份支付情况</w:t>
      </w:r>
    </w:p>
    <w:p>
      <w:pPr>
        <w:spacing w:line="240" w:lineRule="auto" w:before="1"/>
        <w:rPr>
          <w:rFonts w:ascii="宋体" w:hAnsi="宋体" w:cs="宋体" w:eastAsia="宋体" w:hint="default"/>
          <w:sz w:val="7"/>
          <w:szCs w:val="7"/>
        </w:rPr>
      </w:pPr>
    </w:p>
    <w:tbl>
      <w:tblPr>
        <w:tblW w:w="0" w:type="auto"/>
        <w:jc w:val="left"/>
        <w:tblInd w:w="145" w:type="dxa"/>
        <w:tblLayout w:type="fixed"/>
        <w:tblCellMar>
          <w:top w:w="0" w:type="dxa"/>
          <w:left w:w="0" w:type="dxa"/>
          <w:bottom w:w="0" w:type="dxa"/>
          <w:right w:w="0" w:type="dxa"/>
        </w:tblCellMar>
        <w:tblLook w:val="01E0"/>
      </w:tblPr>
      <w:tblGrid>
        <w:gridCol w:w="4964"/>
        <w:gridCol w:w="4537"/>
      </w:tblGrid>
      <w:tr>
        <w:trPr>
          <w:trHeight w:val="430" w:hRule="exact"/>
        </w:trPr>
        <w:tc>
          <w:tcPr>
            <w:tcW w:w="4964" w:type="dxa"/>
            <w:tcBorders>
              <w:top w:val="single" w:sz="6" w:space="0" w:color="000000"/>
              <w:left w:val="single" w:sz="6" w:space="0" w:color="000000"/>
              <w:bottom w:val="single" w:sz="8" w:space="0" w:color="000000"/>
              <w:right w:val="single" w:sz="4" w:space="0" w:color="000000"/>
            </w:tcBorders>
            <w:shd w:val="clear" w:color="auto" w:fill="D9D9D9"/>
          </w:tcPr>
          <w:p>
            <w:pPr>
              <w:pStyle w:val="TableParagraph"/>
              <w:spacing w:line="240" w:lineRule="auto" w:before="61"/>
              <w:ind w:left="4" w:right="0"/>
              <w:jc w:val="left"/>
              <w:rPr>
                <w:rFonts w:ascii="宋体" w:hAnsi="宋体" w:cs="宋体" w:eastAsia="宋体" w:hint="default"/>
                <w:sz w:val="18"/>
                <w:szCs w:val="18"/>
              </w:rPr>
            </w:pPr>
            <w:r>
              <w:rPr>
                <w:rFonts w:ascii="宋体" w:hAnsi="宋体" w:cs="宋体" w:eastAsia="宋体" w:hint="default"/>
                <w:sz w:val="18"/>
                <w:szCs w:val="18"/>
              </w:rPr>
              <w:t>授予日权益工具公允价值的确定方法</w:t>
            </w:r>
          </w:p>
        </w:tc>
        <w:tc>
          <w:tcPr>
            <w:tcW w:w="45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4" w:right="0"/>
              <w:jc w:val="left"/>
              <w:rPr>
                <w:rFonts w:ascii="宋体" w:hAnsi="宋体" w:cs="宋体" w:eastAsia="宋体" w:hint="default"/>
                <w:sz w:val="18"/>
                <w:szCs w:val="18"/>
              </w:rPr>
            </w:pPr>
            <w:r>
              <w:rPr>
                <w:rFonts w:ascii="宋体" w:hAnsi="宋体" w:cs="宋体" w:eastAsia="宋体" w:hint="default"/>
                <w:sz w:val="18"/>
                <w:szCs w:val="18"/>
              </w:rPr>
              <w:t>以布莱克</w:t>
            </w:r>
            <w:r>
              <w:rPr>
                <w:rFonts w:ascii="Times New Roman" w:hAnsi="Times New Roman" w:cs="Times New Roman" w:eastAsia="Times New Roman" w:hint="default"/>
                <w:sz w:val="18"/>
                <w:szCs w:val="18"/>
              </w:rPr>
              <w:t>-</w:t>
            </w:r>
            <w:r>
              <w:rPr>
                <w:rFonts w:ascii="宋体" w:hAnsi="宋体" w:cs="宋体" w:eastAsia="宋体" w:hint="default"/>
                <w:sz w:val="18"/>
                <w:szCs w:val="18"/>
              </w:rPr>
              <w:t>斯科尔斯期权定价模型为基础计算确定</w:t>
            </w:r>
          </w:p>
        </w:tc>
      </w:tr>
      <w:tr>
        <w:trPr>
          <w:trHeight w:val="739" w:hRule="exact"/>
        </w:trPr>
        <w:tc>
          <w:tcPr>
            <w:tcW w:w="4964" w:type="dxa"/>
            <w:tcBorders>
              <w:top w:val="single" w:sz="8" w:space="0" w:color="000000"/>
              <w:left w:val="single" w:sz="6" w:space="0" w:color="000000"/>
              <w:bottom w:val="single" w:sz="8" w:space="0" w:color="000000"/>
              <w:right w:val="single" w:sz="4" w:space="0" w:color="000000"/>
            </w:tcBorders>
            <w:shd w:val="clear" w:color="auto" w:fill="D9D9D9"/>
          </w:tcPr>
          <w:p>
            <w:pPr>
              <w:pStyle w:val="TableParagraph"/>
              <w:spacing w:line="240" w:lineRule="auto" w:before="56"/>
              <w:ind w:left="4" w:right="0"/>
              <w:jc w:val="left"/>
              <w:rPr>
                <w:rFonts w:ascii="宋体" w:hAnsi="宋体" w:cs="宋体" w:eastAsia="宋体" w:hint="default"/>
                <w:sz w:val="18"/>
                <w:szCs w:val="18"/>
              </w:rPr>
            </w:pPr>
            <w:r>
              <w:rPr>
                <w:rFonts w:ascii="宋体" w:hAnsi="宋体" w:cs="宋体" w:eastAsia="宋体" w:hint="default"/>
                <w:sz w:val="18"/>
                <w:szCs w:val="18"/>
              </w:rPr>
              <w:t>对可行权权益工具数量的确定依据</w:t>
            </w:r>
          </w:p>
        </w:tc>
        <w:tc>
          <w:tcPr>
            <w:tcW w:w="4537"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61"/>
              <w:ind w:left="4" w:right="7"/>
              <w:jc w:val="left"/>
              <w:rPr>
                <w:rFonts w:ascii="宋体" w:hAnsi="宋体" w:cs="宋体" w:eastAsia="宋体" w:hint="default"/>
                <w:sz w:val="18"/>
                <w:szCs w:val="18"/>
              </w:rPr>
            </w:pPr>
            <w:r>
              <w:rPr>
                <w:rFonts w:ascii="宋体" w:hAnsi="宋体" w:cs="宋体" w:eastAsia="宋体" w:hint="default"/>
                <w:sz w:val="18"/>
                <w:szCs w:val="18"/>
              </w:rPr>
              <w:t>公司根据最新取得的可行权人数并预期后续变动，及对未</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来年度业绩完成情况的预测进行确定</w:t>
            </w:r>
          </w:p>
        </w:tc>
      </w:tr>
      <w:tr>
        <w:trPr>
          <w:trHeight w:val="427" w:hRule="exact"/>
        </w:trPr>
        <w:tc>
          <w:tcPr>
            <w:tcW w:w="4964" w:type="dxa"/>
            <w:tcBorders>
              <w:top w:val="single" w:sz="8" w:space="0" w:color="000000"/>
              <w:left w:val="single" w:sz="6" w:space="0" w:color="000000"/>
              <w:bottom w:val="single" w:sz="8" w:space="0" w:color="000000"/>
              <w:right w:val="single" w:sz="4" w:space="0" w:color="000000"/>
            </w:tcBorders>
            <w:shd w:val="clear" w:color="auto" w:fill="D9D9D9"/>
          </w:tcPr>
          <w:p>
            <w:pPr>
              <w:pStyle w:val="TableParagraph"/>
              <w:spacing w:line="240" w:lineRule="auto" w:before="56"/>
              <w:ind w:left="4" w:right="0"/>
              <w:jc w:val="left"/>
              <w:rPr>
                <w:rFonts w:ascii="宋体" w:hAnsi="宋体" w:cs="宋体" w:eastAsia="宋体" w:hint="default"/>
                <w:sz w:val="18"/>
                <w:szCs w:val="18"/>
              </w:rPr>
            </w:pPr>
            <w:r>
              <w:rPr>
                <w:rFonts w:ascii="宋体" w:hAnsi="宋体" w:cs="宋体" w:eastAsia="宋体" w:hint="default"/>
                <w:sz w:val="18"/>
                <w:szCs w:val="18"/>
              </w:rPr>
              <w:t>本年估计与上年估计有重大差异的原因</w:t>
            </w:r>
          </w:p>
        </w:tc>
        <w:tc>
          <w:tcPr>
            <w:tcW w:w="45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4"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428" w:hRule="exact"/>
        </w:trPr>
        <w:tc>
          <w:tcPr>
            <w:tcW w:w="4964" w:type="dxa"/>
            <w:tcBorders>
              <w:top w:val="single" w:sz="8" w:space="0" w:color="000000"/>
              <w:left w:val="single" w:sz="6" w:space="0" w:color="000000"/>
              <w:bottom w:val="single" w:sz="8" w:space="0" w:color="000000"/>
              <w:right w:val="single" w:sz="4" w:space="0" w:color="000000"/>
            </w:tcBorders>
            <w:shd w:val="clear" w:color="auto" w:fill="D9D9D9"/>
          </w:tcPr>
          <w:p>
            <w:pPr>
              <w:pStyle w:val="TableParagraph"/>
              <w:spacing w:line="240" w:lineRule="auto" w:before="56"/>
              <w:ind w:left="4" w:right="0"/>
              <w:jc w:val="left"/>
              <w:rPr>
                <w:rFonts w:ascii="宋体" w:hAnsi="宋体" w:cs="宋体" w:eastAsia="宋体" w:hint="default"/>
                <w:sz w:val="18"/>
                <w:szCs w:val="18"/>
              </w:rPr>
            </w:pPr>
            <w:r>
              <w:rPr>
                <w:rFonts w:ascii="宋体" w:hAnsi="宋体" w:cs="宋体" w:eastAsia="宋体" w:hint="default"/>
                <w:sz w:val="18"/>
                <w:szCs w:val="18"/>
              </w:rPr>
              <w:t>以权益结算的股份支付计入资本公积的累计金额</w:t>
            </w:r>
          </w:p>
        </w:tc>
        <w:tc>
          <w:tcPr>
            <w:tcW w:w="45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2"/>
              <w:jc w:val="right"/>
              <w:rPr>
                <w:rFonts w:ascii="Times New Roman" w:hAnsi="Times New Roman" w:cs="Times New Roman" w:eastAsia="Times New Roman" w:hint="default"/>
                <w:sz w:val="18"/>
                <w:szCs w:val="18"/>
              </w:rPr>
            </w:pPr>
            <w:r>
              <w:rPr>
                <w:rFonts w:ascii="Times New Roman"/>
                <w:spacing w:val="-1"/>
                <w:sz w:val="18"/>
              </w:rPr>
              <w:t>777,100.00</w:t>
            </w:r>
          </w:p>
        </w:tc>
      </w:tr>
      <w:tr>
        <w:trPr>
          <w:trHeight w:val="427" w:hRule="exact"/>
        </w:trPr>
        <w:tc>
          <w:tcPr>
            <w:tcW w:w="4964" w:type="dxa"/>
            <w:tcBorders>
              <w:top w:val="single" w:sz="8" w:space="0" w:color="000000"/>
              <w:left w:val="single" w:sz="6" w:space="0" w:color="000000"/>
              <w:bottom w:val="single" w:sz="8" w:space="0" w:color="000000"/>
              <w:right w:val="single" w:sz="4" w:space="0" w:color="000000"/>
            </w:tcBorders>
            <w:shd w:val="clear" w:color="auto" w:fill="D9D9D9"/>
          </w:tcPr>
          <w:p>
            <w:pPr>
              <w:pStyle w:val="TableParagraph"/>
              <w:spacing w:line="240" w:lineRule="auto" w:before="56"/>
              <w:ind w:left="4" w:right="0"/>
              <w:jc w:val="left"/>
              <w:rPr>
                <w:rFonts w:ascii="宋体" w:hAnsi="宋体" w:cs="宋体" w:eastAsia="宋体" w:hint="default"/>
                <w:sz w:val="18"/>
                <w:szCs w:val="18"/>
              </w:rPr>
            </w:pPr>
            <w:r>
              <w:rPr>
                <w:rFonts w:ascii="宋体" w:hAnsi="宋体" w:cs="宋体" w:eastAsia="宋体" w:hint="default"/>
                <w:sz w:val="18"/>
                <w:szCs w:val="18"/>
              </w:rPr>
              <w:t>其中：归属于母公司资本公积</w:t>
            </w:r>
          </w:p>
        </w:tc>
        <w:tc>
          <w:tcPr>
            <w:tcW w:w="45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2"/>
              <w:jc w:val="right"/>
              <w:rPr>
                <w:rFonts w:ascii="Times New Roman" w:hAnsi="Times New Roman" w:cs="Times New Roman" w:eastAsia="Times New Roman" w:hint="default"/>
                <w:sz w:val="18"/>
                <w:szCs w:val="18"/>
              </w:rPr>
            </w:pPr>
            <w:r>
              <w:rPr>
                <w:rFonts w:ascii="Times New Roman"/>
                <w:spacing w:val="-1"/>
                <w:sz w:val="18"/>
              </w:rPr>
              <w:t>372,075.48</w:t>
            </w:r>
          </w:p>
        </w:tc>
      </w:tr>
      <w:tr>
        <w:trPr>
          <w:trHeight w:val="427" w:hRule="exact"/>
        </w:trPr>
        <w:tc>
          <w:tcPr>
            <w:tcW w:w="4964" w:type="dxa"/>
            <w:tcBorders>
              <w:top w:val="single" w:sz="8" w:space="0" w:color="000000"/>
              <w:left w:val="single" w:sz="6" w:space="0" w:color="000000"/>
              <w:bottom w:val="single" w:sz="8" w:space="0" w:color="000000"/>
              <w:right w:val="single" w:sz="4" w:space="0" w:color="000000"/>
            </w:tcBorders>
            <w:shd w:val="clear" w:color="auto" w:fill="D9D9D9"/>
          </w:tcPr>
          <w:p>
            <w:pPr>
              <w:pStyle w:val="TableParagraph"/>
              <w:spacing w:line="240" w:lineRule="auto" w:before="53"/>
              <w:ind w:left="4" w:right="0"/>
              <w:jc w:val="left"/>
              <w:rPr>
                <w:rFonts w:ascii="宋体" w:hAnsi="宋体" w:cs="宋体" w:eastAsia="宋体" w:hint="default"/>
                <w:sz w:val="18"/>
                <w:szCs w:val="18"/>
              </w:rPr>
            </w:pPr>
            <w:r>
              <w:rPr>
                <w:rFonts w:ascii="宋体" w:hAnsi="宋体" w:cs="宋体" w:eastAsia="宋体" w:hint="default"/>
                <w:sz w:val="18"/>
                <w:szCs w:val="18"/>
              </w:rPr>
              <w:t>本年以权益结算的股份支付确认的费用总额</w:t>
            </w:r>
          </w:p>
        </w:tc>
        <w:tc>
          <w:tcPr>
            <w:tcW w:w="45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
              <w:jc w:val="right"/>
              <w:rPr>
                <w:rFonts w:ascii="Times New Roman" w:hAnsi="Times New Roman" w:cs="Times New Roman" w:eastAsia="Times New Roman" w:hint="default"/>
                <w:sz w:val="18"/>
                <w:szCs w:val="18"/>
              </w:rPr>
            </w:pPr>
            <w:r>
              <w:rPr>
                <w:rFonts w:ascii="Times New Roman"/>
                <w:spacing w:val="-1"/>
                <w:sz w:val="18"/>
              </w:rPr>
              <w:t>777,100.00</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rFonts w:ascii="Times New Roman" w:hAnsi="Times New Roman" w:cs="Times New Roman" w:eastAsia="Times New Roman" w:hint="default"/>
        </w:rPr>
        <w:t>3</w:t>
      </w:r>
      <w:r>
        <w:rPr/>
        <w:t>、以现金结算的股份支付情况</w:t>
      </w:r>
      <w:r>
        <w:rPr>
          <w:b w:val="0"/>
          <w:bCs w:val="0"/>
        </w:rPr>
      </w:r>
    </w:p>
    <w:p>
      <w:pPr>
        <w:spacing w:line="240" w:lineRule="auto" w:before="4"/>
        <w:rPr>
          <w:rFonts w:ascii="宋体" w:hAnsi="宋体" w:cs="宋体" w:eastAsia="宋体" w:hint="default"/>
          <w:b/>
          <w:bCs/>
          <w:sz w:val="26"/>
          <w:szCs w:val="26"/>
        </w:rPr>
      </w:pPr>
    </w:p>
    <w:p>
      <w:pPr>
        <w:spacing w:line="544" w:lineRule="auto" w:before="0"/>
        <w:ind w:left="152" w:right="792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w:t>
      </w:r>
      <w:r>
        <w:rPr>
          <w:rFonts w:ascii="Times New Roman" w:hAnsi="Times New Roman" w:cs="Times New Roman" w:eastAsia="Times New Roman" w:hint="default"/>
          <w:b/>
          <w:bCs/>
          <w:spacing w:val="-1"/>
          <w:sz w:val="21"/>
          <w:szCs w:val="21"/>
        </w:rPr>
        <w:t>4</w:t>
      </w:r>
      <w:r>
        <w:rPr>
          <w:rFonts w:ascii="宋体" w:hAnsi="宋体" w:cs="宋体" w:eastAsia="宋体" w:hint="default"/>
          <w:b/>
          <w:bCs/>
          <w:spacing w:val="-1"/>
          <w:sz w:val="21"/>
          <w:szCs w:val="21"/>
        </w:rPr>
        <w:t>、股份支付的修改、终止情况</w:t>
      </w:r>
      <w:r>
        <w:rPr>
          <w:rFonts w:ascii="宋体" w:hAnsi="宋体" w:cs="宋体" w:eastAsia="宋体" w:hint="default"/>
          <w:b/>
          <w:bCs/>
          <w:spacing w:val="-93"/>
          <w:sz w:val="21"/>
          <w:szCs w:val="21"/>
        </w:rPr>
        <w:t> </w:t>
      </w:r>
      <w:r>
        <w:rPr>
          <w:rFonts w:ascii="宋体" w:hAnsi="宋体" w:cs="宋体" w:eastAsia="宋体" w:hint="default"/>
          <w:b/>
          <w:bCs/>
          <w:spacing w:val="-93"/>
          <w:sz w:val="21"/>
          <w:szCs w:val="21"/>
        </w:rPr>
      </w:r>
      <w:r>
        <w:rPr>
          <w:rFonts w:ascii="宋体" w:hAnsi="宋体" w:cs="宋体" w:eastAsia="宋体" w:hint="default"/>
          <w:sz w:val="18"/>
          <w:szCs w:val="18"/>
        </w:rPr>
        <w:t>无</w:t>
      </w:r>
    </w:p>
    <w:p>
      <w:pPr>
        <w:pStyle w:val="Heading4"/>
        <w:spacing w:line="240" w:lineRule="auto" w:before="128"/>
        <w:ind w:right="982"/>
        <w:jc w:val="left"/>
        <w:rPr>
          <w:b w:val="0"/>
          <w:bCs w:val="0"/>
        </w:rPr>
      </w:pPr>
      <w:r>
        <w:rPr>
          <w:rFonts w:ascii="Times New Roman" w:hAnsi="Times New Roman" w:cs="Times New Roman" w:eastAsia="Times New Roman" w:hint="default"/>
        </w:rPr>
        <w:t>5</w:t>
      </w:r>
      <w:r>
        <w:rPr/>
        <w:t>、其他</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3"/>
        <w:rPr>
          <w:rFonts w:ascii="宋体" w:hAnsi="宋体" w:cs="宋体" w:eastAsia="宋体" w:hint="default"/>
          <w:sz w:val="25"/>
          <w:szCs w:val="25"/>
        </w:rPr>
      </w:pPr>
    </w:p>
    <w:p>
      <w:pPr>
        <w:spacing w:line="506" w:lineRule="auto" w:before="0"/>
        <w:ind w:left="152" w:right="8345" w:firstLine="0"/>
        <w:jc w:val="left"/>
        <w:rPr>
          <w:rFonts w:ascii="宋体" w:hAnsi="宋体" w:cs="宋体" w:eastAsia="宋体" w:hint="default"/>
          <w:sz w:val="18"/>
          <w:szCs w:val="18"/>
        </w:rPr>
      </w:pPr>
      <w:r>
        <w:rPr>
          <w:rFonts w:ascii="宋体" w:hAnsi="宋体" w:cs="宋体" w:eastAsia="宋体" w:hint="default"/>
          <w:b/>
          <w:bCs/>
          <w:sz w:val="24"/>
          <w:szCs w:val="24"/>
        </w:rPr>
        <w:t>十四、承诺及或有事项</w:t>
      </w:r>
      <w:r>
        <w:rPr>
          <w:rFonts w:ascii="宋体" w:hAnsi="宋体" w:cs="宋体" w:eastAsia="宋体" w:hint="default"/>
          <w:b/>
          <w:bCs/>
          <w:w w:val="99"/>
          <w:sz w:val="24"/>
          <w:szCs w:val="24"/>
        </w:rPr>
        <w:t> </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、重要承诺事项</w:t>
      </w:r>
      <w:r>
        <w:rPr>
          <w:rFonts w:ascii="宋体" w:hAnsi="宋体" w:cs="宋体" w:eastAsia="宋体" w:hint="default"/>
          <w:b/>
          <w:bCs/>
          <w:spacing w:val="-103"/>
          <w:sz w:val="21"/>
          <w:szCs w:val="21"/>
        </w:rPr>
        <w:t> </w:t>
      </w:r>
      <w:r>
        <w:rPr>
          <w:rFonts w:ascii="宋体" w:hAnsi="宋体" w:cs="宋体" w:eastAsia="宋体" w:hint="default"/>
          <w:sz w:val="18"/>
          <w:szCs w:val="18"/>
        </w:rPr>
        <w:t>资产负债表日存在的重要承诺</w:t>
      </w:r>
    </w:p>
    <w:p>
      <w:pPr>
        <w:spacing w:after="0" w:line="506" w:lineRule="auto"/>
        <w:jc w:val="left"/>
        <w:rPr>
          <w:rFonts w:ascii="宋体" w:hAnsi="宋体" w:cs="宋体" w:eastAsia="宋体" w:hint="default"/>
          <w:sz w:val="18"/>
          <w:szCs w:val="18"/>
        </w:rPr>
        <w:sectPr>
          <w:type w:val="continuous"/>
          <w:pgSz w:w="11910" w:h="16840"/>
          <w:pgMar w:top="1060" w:bottom="1160" w:left="980" w:right="0"/>
        </w:sectPr>
      </w:pPr>
    </w:p>
    <w:p>
      <w:pPr>
        <w:spacing w:line="240" w:lineRule="auto" w:before="11"/>
        <w:rPr>
          <w:rFonts w:ascii="宋体" w:hAnsi="宋体" w:cs="宋体" w:eastAsia="宋体" w:hint="default"/>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65pt;height:.75pt;mso-position-horizontal-relative:char;mso-position-vertical-relative:line" coordorigin="0,0" coordsize="9713,15">
            <v:group style="position:absolute;left:7;top:7;width:9698;height:2" coordorigin="7,7" coordsize="9698,2">
              <v:shape style="position:absolute;left:7;top:7;width:9698;height:2" coordorigin="7,7" coordsize="9698,0" path="m7,7l9705,7e" filled="false" stroked="true" strokeweight=".72pt" strokecolor="#000000">
                <v:path arrowok="t"/>
              </v:shape>
            </v:group>
          </v:group>
        </w:pict>
      </w:r>
      <w:r>
        <w:rPr>
          <w:rFonts w:ascii="宋体" w:hAnsi="宋体" w:cs="宋体" w:eastAsia="宋体" w:hint="default"/>
          <w:sz w:val="2"/>
          <w:szCs w:val="2"/>
        </w:rPr>
      </w:r>
    </w:p>
    <w:p>
      <w:pPr>
        <w:spacing w:line="240" w:lineRule="auto" w:before="7"/>
        <w:rPr>
          <w:rFonts w:ascii="宋体" w:hAnsi="宋体" w:cs="宋体" w:eastAsia="宋体" w:hint="default"/>
          <w:sz w:val="21"/>
          <w:szCs w:val="21"/>
        </w:rPr>
      </w:pPr>
    </w:p>
    <w:p>
      <w:pPr>
        <w:pStyle w:val="BodyText"/>
        <w:spacing w:line="415" w:lineRule="auto" w:before="44"/>
        <w:ind w:left="513" w:right="1523"/>
        <w:jc w:val="left"/>
      </w:pPr>
      <w:r>
        <w:rPr/>
        <w:pict>
          <v:shape style="position:absolute;margin-left:56.279999pt;margin-top:39.851723pt;width:476.15pt;height:126.75pt;mso-position-horizontal-relative:page;mso-position-vertical-relative:paragraph;z-index:222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683"/>
                    <w:gridCol w:w="2909"/>
                    <w:gridCol w:w="2909"/>
                  </w:tblGrid>
                  <w:tr>
                    <w:trPr>
                      <w:trHeight w:val="365" w:hRule="exact"/>
                    </w:trPr>
                    <w:tc>
                      <w:tcPr>
                        <w:tcW w:w="368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7"/>
                          <w:ind w:left="581" w:right="0"/>
                          <w:jc w:val="left"/>
                          <w:rPr>
                            <w:rFonts w:ascii="宋体" w:hAnsi="宋体" w:cs="宋体" w:eastAsia="宋体" w:hint="default"/>
                            <w:sz w:val="18"/>
                            <w:szCs w:val="18"/>
                          </w:rPr>
                        </w:pPr>
                        <w:r>
                          <w:rPr>
                            <w:rFonts w:ascii="宋体" w:hAnsi="宋体" w:cs="宋体" w:eastAsia="宋体" w:hint="default"/>
                            <w:sz w:val="18"/>
                            <w:szCs w:val="18"/>
                          </w:rPr>
                          <w:t>期间</w:t>
                        </w:r>
                      </w:p>
                    </w:tc>
                    <w:tc>
                      <w:tcPr>
                        <w:tcW w:w="2909"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7"/>
                          <w:ind w:left="1375" w:right="0"/>
                          <w:jc w:val="left"/>
                          <w:rPr>
                            <w:rFonts w:ascii="宋体" w:hAnsi="宋体" w:cs="宋体" w:eastAsia="宋体" w:hint="default"/>
                            <w:sz w:val="18"/>
                            <w:szCs w:val="18"/>
                          </w:rPr>
                        </w:pPr>
                        <w:r>
                          <w:rPr>
                            <w:rFonts w:ascii="宋体" w:hAnsi="宋体" w:cs="宋体" w:eastAsia="宋体" w:hint="default"/>
                            <w:sz w:val="18"/>
                            <w:szCs w:val="18"/>
                          </w:rPr>
                          <w:t>经营租赁</w:t>
                        </w:r>
                      </w:p>
                    </w:tc>
                    <w:tc>
                      <w:tcPr>
                        <w:tcW w:w="2909"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7"/>
                          <w:ind w:right="3"/>
                          <w:jc w:val="center"/>
                          <w:rPr>
                            <w:rFonts w:ascii="宋体" w:hAnsi="宋体" w:cs="宋体" w:eastAsia="宋体" w:hint="default"/>
                            <w:sz w:val="18"/>
                            <w:szCs w:val="18"/>
                          </w:rPr>
                        </w:pPr>
                        <w:r>
                          <w:rPr>
                            <w:rFonts w:ascii="宋体" w:hAnsi="宋体" w:cs="宋体" w:eastAsia="宋体" w:hint="default"/>
                            <w:sz w:val="18"/>
                            <w:szCs w:val="18"/>
                          </w:rPr>
                          <w:t>融资租赁</w:t>
                        </w:r>
                      </w:p>
                    </w:tc>
                  </w:tr>
                  <w:tr>
                    <w:trPr>
                      <w:trHeight w:val="448" w:hRule="exact"/>
                    </w:trPr>
                    <w:tc>
                      <w:tcPr>
                        <w:tcW w:w="368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77"/>
                          <w:ind w:left="58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T+1</w:t>
                        </w:r>
                        <w:r>
                          <w:rPr>
                            <w:rFonts w:ascii="宋体" w:hAnsi="宋体" w:cs="宋体" w:eastAsia="宋体" w:hint="default"/>
                            <w:sz w:val="18"/>
                            <w:szCs w:val="18"/>
                          </w:rPr>
                          <w:t>年</w:t>
                        </w:r>
                      </w:p>
                    </w:tc>
                    <w:tc>
                      <w:tcPr>
                        <w:tcW w:w="2909" w:type="dxa"/>
                        <w:tcBorders>
                          <w:top w:val="single" w:sz="15" w:space="0" w:color="D9D9D9"/>
                          <w:left w:val="single" w:sz="6" w:space="0" w:color="000000"/>
                          <w:bottom w:val="single" w:sz="6" w:space="0" w:color="000000"/>
                          <w:right w:val="single" w:sz="6" w:space="0" w:color="000000"/>
                        </w:tcBorders>
                      </w:tcPr>
                      <w:p>
                        <w:pPr>
                          <w:pStyle w:val="TableParagraph"/>
                          <w:spacing w:line="240" w:lineRule="auto" w:before="99"/>
                          <w:ind w:right="1"/>
                          <w:jc w:val="right"/>
                          <w:rPr>
                            <w:rFonts w:ascii="Times New Roman" w:hAnsi="Times New Roman" w:cs="Times New Roman" w:eastAsia="Times New Roman" w:hint="default"/>
                            <w:sz w:val="20"/>
                            <w:szCs w:val="20"/>
                          </w:rPr>
                        </w:pPr>
                        <w:r>
                          <w:rPr>
                            <w:rFonts w:ascii="Times New Roman"/>
                            <w:w w:val="95"/>
                            <w:sz w:val="20"/>
                          </w:rPr>
                          <w:t>21,258,974.01</w:t>
                        </w:r>
                        <w:r>
                          <w:rPr>
                            <w:rFonts w:ascii="Times New Roman"/>
                            <w:sz w:val="20"/>
                          </w:rPr>
                        </w:r>
                      </w:p>
                    </w:tc>
                    <w:tc>
                      <w:tcPr>
                        <w:tcW w:w="2909" w:type="dxa"/>
                        <w:tcBorders>
                          <w:top w:val="single" w:sz="15" w:space="0" w:color="D9D9D9"/>
                          <w:left w:val="single" w:sz="6" w:space="0" w:color="000000"/>
                          <w:bottom w:val="single" w:sz="6" w:space="0" w:color="000000"/>
                          <w:right w:val="single" w:sz="6" w:space="0" w:color="000000"/>
                        </w:tcBorders>
                      </w:tcPr>
                      <w:p>
                        <w:pPr>
                          <w:pStyle w:val="TableParagraph"/>
                          <w:spacing w:line="240" w:lineRule="auto" w:before="99"/>
                          <w:ind w:right="2"/>
                          <w:jc w:val="right"/>
                          <w:rPr>
                            <w:rFonts w:ascii="Times New Roman" w:hAnsi="Times New Roman" w:cs="Times New Roman" w:eastAsia="Times New Roman" w:hint="default"/>
                            <w:sz w:val="20"/>
                            <w:szCs w:val="20"/>
                          </w:rPr>
                        </w:pPr>
                        <w:r>
                          <w:rPr>
                            <w:rFonts w:ascii="Times New Roman"/>
                            <w:sz w:val="20"/>
                          </w:rPr>
                          <w:t>0.00</w:t>
                        </w:r>
                      </w:p>
                    </w:tc>
                  </w:tr>
                  <w:tr>
                    <w:trPr>
                      <w:trHeight w:val="427" w:hRule="exact"/>
                    </w:trPr>
                    <w:tc>
                      <w:tcPr>
                        <w:tcW w:w="368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57"/>
                          <w:ind w:left="58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T+2</w:t>
                        </w:r>
                        <w:r>
                          <w:rPr>
                            <w:rFonts w:ascii="宋体" w:hAnsi="宋体" w:cs="宋体" w:eastAsia="宋体" w:hint="default"/>
                            <w:sz w:val="18"/>
                            <w:szCs w:val="18"/>
                          </w:rPr>
                          <w:t>年</w:t>
                        </w:r>
                      </w:p>
                    </w:tc>
                    <w:tc>
                      <w:tcPr>
                        <w:tcW w:w="29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right="1"/>
                          <w:jc w:val="right"/>
                          <w:rPr>
                            <w:rFonts w:ascii="Times New Roman" w:hAnsi="Times New Roman" w:cs="Times New Roman" w:eastAsia="Times New Roman" w:hint="default"/>
                            <w:sz w:val="20"/>
                            <w:szCs w:val="20"/>
                          </w:rPr>
                        </w:pPr>
                        <w:r>
                          <w:rPr>
                            <w:rFonts w:ascii="Times New Roman"/>
                            <w:w w:val="95"/>
                            <w:sz w:val="20"/>
                          </w:rPr>
                          <w:t>12,801,377.43</w:t>
                        </w:r>
                        <w:r>
                          <w:rPr>
                            <w:rFonts w:ascii="Times New Roman"/>
                            <w:sz w:val="20"/>
                          </w:rPr>
                        </w:r>
                      </w:p>
                    </w:tc>
                    <w:tc>
                      <w:tcPr>
                        <w:tcW w:w="29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right="2"/>
                          <w:jc w:val="right"/>
                          <w:rPr>
                            <w:rFonts w:ascii="Times New Roman" w:hAnsi="Times New Roman" w:cs="Times New Roman" w:eastAsia="Times New Roman" w:hint="default"/>
                            <w:sz w:val="20"/>
                            <w:szCs w:val="20"/>
                          </w:rPr>
                        </w:pPr>
                        <w:r>
                          <w:rPr>
                            <w:rFonts w:ascii="Times New Roman"/>
                            <w:sz w:val="20"/>
                          </w:rPr>
                          <w:t>0.00</w:t>
                        </w:r>
                      </w:p>
                    </w:tc>
                  </w:tr>
                  <w:tr>
                    <w:trPr>
                      <w:trHeight w:val="426" w:hRule="exact"/>
                    </w:trPr>
                    <w:tc>
                      <w:tcPr>
                        <w:tcW w:w="368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57"/>
                          <w:ind w:left="58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T+3</w:t>
                        </w:r>
                        <w:r>
                          <w:rPr>
                            <w:rFonts w:ascii="宋体" w:hAnsi="宋体" w:cs="宋体" w:eastAsia="宋体" w:hint="default"/>
                            <w:sz w:val="18"/>
                            <w:szCs w:val="18"/>
                          </w:rPr>
                          <w:t>年</w:t>
                        </w:r>
                      </w:p>
                    </w:tc>
                    <w:tc>
                      <w:tcPr>
                        <w:tcW w:w="29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right="1"/>
                          <w:jc w:val="right"/>
                          <w:rPr>
                            <w:rFonts w:ascii="Times New Roman" w:hAnsi="Times New Roman" w:cs="Times New Roman" w:eastAsia="Times New Roman" w:hint="default"/>
                            <w:sz w:val="20"/>
                            <w:szCs w:val="20"/>
                          </w:rPr>
                        </w:pPr>
                        <w:r>
                          <w:rPr>
                            <w:rFonts w:ascii="Times New Roman"/>
                            <w:w w:val="95"/>
                            <w:sz w:val="20"/>
                          </w:rPr>
                          <w:t>8,294,272.33</w:t>
                        </w:r>
                        <w:r>
                          <w:rPr>
                            <w:rFonts w:ascii="Times New Roman"/>
                            <w:sz w:val="20"/>
                          </w:rPr>
                        </w:r>
                      </w:p>
                    </w:tc>
                    <w:tc>
                      <w:tcPr>
                        <w:tcW w:w="29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right="2"/>
                          <w:jc w:val="right"/>
                          <w:rPr>
                            <w:rFonts w:ascii="Times New Roman" w:hAnsi="Times New Roman" w:cs="Times New Roman" w:eastAsia="Times New Roman" w:hint="default"/>
                            <w:sz w:val="20"/>
                            <w:szCs w:val="20"/>
                          </w:rPr>
                        </w:pPr>
                        <w:r>
                          <w:rPr>
                            <w:rFonts w:ascii="Times New Roman"/>
                            <w:sz w:val="20"/>
                          </w:rPr>
                          <w:t>0.00</w:t>
                        </w:r>
                      </w:p>
                    </w:tc>
                  </w:tr>
                  <w:tr>
                    <w:trPr>
                      <w:trHeight w:val="427" w:hRule="exact"/>
                    </w:trPr>
                    <w:tc>
                      <w:tcPr>
                        <w:tcW w:w="368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58"/>
                          <w:ind w:left="58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T+3</w:t>
                        </w:r>
                        <w:r>
                          <w:rPr>
                            <w:rFonts w:ascii="宋体" w:hAnsi="宋体" w:cs="宋体" w:eastAsia="宋体" w:hint="default"/>
                            <w:sz w:val="18"/>
                            <w:szCs w:val="18"/>
                          </w:rPr>
                          <w:t>年以后</w:t>
                        </w:r>
                      </w:p>
                    </w:tc>
                    <w:tc>
                      <w:tcPr>
                        <w:tcW w:w="29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9"/>
                          <w:ind w:right="1"/>
                          <w:jc w:val="right"/>
                          <w:rPr>
                            <w:rFonts w:ascii="Times New Roman" w:hAnsi="Times New Roman" w:cs="Times New Roman" w:eastAsia="Times New Roman" w:hint="default"/>
                            <w:sz w:val="20"/>
                            <w:szCs w:val="20"/>
                          </w:rPr>
                        </w:pPr>
                        <w:r>
                          <w:rPr>
                            <w:rFonts w:ascii="Times New Roman"/>
                            <w:w w:val="95"/>
                            <w:sz w:val="20"/>
                          </w:rPr>
                          <w:t>2,133,000.74</w:t>
                        </w:r>
                        <w:r>
                          <w:rPr>
                            <w:rFonts w:ascii="Times New Roman"/>
                            <w:sz w:val="20"/>
                          </w:rPr>
                        </w:r>
                      </w:p>
                    </w:tc>
                    <w:tc>
                      <w:tcPr>
                        <w:tcW w:w="29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9"/>
                          <w:ind w:right="2"/>
                          <w:jc w:val="right"/>
                          <w:rPr>
                            <w:rFonts w:ascii="Times New Roman" w:hAnsi="Times New Roman" w:cs="Times New Roman" w:eastAsia="Times New Roman" w:hint="default"/>
                            <w:sz w:val="20"/>
                            <w:szCs w:val="20"/>
                          </w:rPr>
                        </w:pPr>
                        <w:r>
                          <w:rPr>
                            <w:rFonts w:ascii="Times New Roman"/>
                            <w:sz w:val="20"/>
                          </w:rPr>
                          <w:t>0.00</w:t>
                        </w:r>
                      </w:p>
                    </w:tc>
                  </w:tr>
                  <w:tr>
                    <w:trPr>
                      <w:trHeight w:val="427" w:hRule="exact"/>
                    </w:trPr>
                    <w:tc>
                      <w:tcPr>
                        <w:tcW w:w="368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58"/>
                          <w:ind w:left="58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9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9"/>
                          <w:ind w:right="1"/>
                          <w:jc w:val="right"/>
                          <w:rPr>
                            <w:rFonts w:ascii="Times New Roman" w:hAnsi="Times New Roman" w:cs="Times New Roman" w:eastAsia="Times New Roman" w:hint="default"/>
                            <w:sz w:val="20"/>
                            <w:szCs w:val="20"/>
                          </w:rPr>
                        </w:pPr>
                        <w:r>
                          <w:rPr>
                            <w:rFonts w:ascii="Times New Roman"/>
                            <w:w w:val="95"/>
                            <w:sz w:val="20"/>
                          </w:rPr>
                          <w:t>44,487,624.51</w:t>
                        </w:r>
                        <w:r>
                          <w:rPr>
                            <w:rFonts w:ascii="Times New Roman"/>
                            <w:sz w:val="20"/>
                          </w:rPr>
                        </w:r>
                      </w:p>
                    </w:tc>
                    <w:tc>
                      <w:tcPr>
                        <w:tcW w:w="29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9"/>
                          <w:ind w:right="2"/>
                          <w:jc w:val="right"/>
                          <w:rPr>
                            <w:rFonts w:ascii="Times New Roman" w:hAnsi="Times New Roman" w:cs="Times New Roman" w:eastAsia="Times New Roman" w:hint="default"/>
                            <w:sz w:val="20"/>
                            <w:szCs w:val="20"/>
                          </w:rPr>
                        </w:pPr>
                        <w:r>
                          <w:rPr>
                            <w:rFonts w:ascii="Times New Roman"/>
                            <w:sz w:val="20"/>
                          </w:rPr>
                          <w:t>0.00</w:t>
                        </w:r>
                      </w:p>
                    </w:tc>
                  </w:tr>
                </w:tbl>
                <w:p>
                  <w:pPr/>
                </w:p>
              </w:txbxContent>
            </v:textbox>
            <w10:wrap type="none"/>
          </v:shape>
        </w:pict>
      </w:r>
      <w:r>
        <w:rPr/>
        <w:t>（</w:t>
      </w:r>
      <w:r>
        <w:rPr>
          <w:rFonts w:ascii="Times New Roman" w:hAnsi="Times New Roman" w:cs="Times New Roman" w:eastAsia="Times New Roman" w:hint="default"/>
        </w:rPr>
        <w:t>1</w:t>
      </w:r>
      <w:r>
        <w:rPr/>
        <w:t>）已签订的正在或准备履行的租赁合同及财务影响 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w:t>
      </w:r>
      <w:r>
        <w:rPr>
          <w:rFonts w:ascii="Times New Roman" w:hAnsi="Times New Roman" w:cs="Times New Roman" w:eastAsia="Times New Roman" w:hint="default"/>
        </w:rPr>
        <w:t>(T)</w:t>
      </w:r>
      <w:r>
        <w:rPr/>
        <w:t>，本集团就经营用房等项目之不可撤销经营租赁和融资租赁所需于下列期间承担款项如下：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4"/>
          <w:szCs w:val="14"/>
        </w:rPr>
      </w:pPr>
    </w:p>
    <w:p>
      <w:pPr>
        <w:pStyle w:val="BodyText"/>
        <w:spacing w:line="417" w:lineRule="auto" w:before="44"/>
        <w:ind w:left="513" w:right="3913"/>
        <w:jc w:val="left"/>
      </w:pPr>
      <w:r>
        <w:rPr/>
        <w:t>（</w:t>
      </w:r>
      <w:r>
        <w:rPr>
          <w:rFonts w:ascii="Times New Roman" w:hAnsi="Times New Roman" w:cs="Times New Roman" w:eastAsia="Times New Roman" w:hint="default"/>
        </w:rPr>
        <w:t>2</w:t>
      </w:r>
      <w:r>
        <w:rPr/>
        <w:t>）前期承诺履行情况 截止至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日，本集团未发生不履行已签订租赁合同等承诺事项的情况。</w:t>
      </w:r>
    </w:p>
    <w:p>
      <w:pPr>
        <w:pStyle w:val="BodyText"/>
        <w:spacing w:line="240" w:lineRule="auto" w:before="35"/>
        <w:ind w:left="513" w:right="982"/>
        <w:jc w:val="left"/>
      </w:pPr>
      <w:r>
        <w:rPr/>
        <w:t>（</w:t>
      </w:r>
      <w:r>
        <w:rPr>
          <w:rFonts w:ascii="Times New Roman" w:hAnsi="Times New Roman" w:cs="Times New Roman" w:eastAsia="Times New Roman" w:hint="default"/>
        </w:rPr>
        <w:t>3</w:t>
      </w:r>
      <w:r>
        <w:rPr/>
        <w:t>）除上述承诺事项外，截至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日，本集团不存在应披露未披露的其他重大承诺事项。</w:t>
      </w:r>
    </w:p>
    <w:p>
      <w:pPr>
        <w:spacing w:line="240" w:lineRule="auto" w:before="2"/>
        <w:rPr>
          <w:rFonts w:ascii="宋体" w:hAnsi="宋体" w:cs="宋体" w:eastAsia="宋体" w:hint="default"/>
          <w:sz w:val="26"/>
          <w:szCs w:val="26"/>
        </w:rPr>
      </w:pPr>
    </w:p>
    <w:p>
      <w:pPr>
        <w:pStyle w:val="Heading4"/>
        <w:spacing w:line="240" w:lineRule="auto"/>
        <w:ind w:right="982"/>
        <w:jc w:val="left"/>
        <w:rPr>
          <w:b w:val="0"/>
          <w:bCs w:val="0"/>
        </w:rPr>
      </w:pPr>
      <w:r>
        <w:rPr>
          <w:rFonts w:ascii="Times New Roman" w:hAnsi="Times New Roman" w:cs="Times New Roman" w:eastAsia="Times New Roman" w:hint="default"/>
        </w:rPr>
        <w:t>2</w:t>
      </w:r>
      <w:r>
        <w:rPr/>
        <w:t>、或有事项</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2"/>
        <w:jc w:val="left"/>
        <w:rPr>
          <w:b w:val="0"/>
          <w:bCs w:val="0"/>
        </w:rPr>
      </w:pPr>
      <w:r>
        <w:rPr/>
        <w:t>（</w:t>
      </w:r>
      <w:r>
        <w:rPr>
          <w:rFonts w:ascii="Times New Roman" w:hAnsi="Times New Roman" w:cs="Times New Roman" w:eastAsia="Times New Roman" w:hint="default"/>
        </w:rPr>
        <w:t>1</w:t>
      </w:r>
      <w:r>
        <w:rPr/>
        <w:t>）资产负债表日存在的重要或有事项</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t>（</w:t>
      </w:r>
      <w:r>
        <w:rPr>
          <w:rFonts w:ascii="Times New Roman" w:hAnsi="Times New Roman" w:cs="Times New Roman" w:eastAsia="Times New Roman" w:hint="default"/>
        </w:rPr>
        <w:t>2</w:t>
      </w:r>
      <w:r>
        <w:rPr/>
        <w:t>）公司没有需要披露的重要或有事项，也应予以说明</w:t>
      </w:r>
      <w:r>
        <w:rPr>
          <w:b w:val="0"/>
          <w:bCs w:val="0"/>
        </w:rPr>
      </w:r>
    </w:p>
    <w:p>
      <w:pPr>
        <w:spacing w:line="624" w:lineRule="exact" w:before="55"/>
        <w:ind w:left="152" w:right="7694" w:firstLine="0"/>
        <w:jc w:val="left"/>
        <w:rPr>
          <w:rFonts w:ascii="宋体" w:hAnsi="宋体" w:cs="宋体" w:eastAsia="宋体" w:hint="default"/>
          <w:sz w:val="24"/>
          <w:szCs w:val="24"/>
        </w:rPr>
      </w:pPr>
      <w:r>
        <w:rPr>
          <w:rFonts w:ascii="宋体" w:hAnsi="宋体" w:cs="宋体" w:eastAsia="宋体" w:hint="default"/>
          <w:sz w:val="18"/>
          <w:szCs w:val="18"/>
        </w:rPr>
        <w:t>公司不存在需要披露的重要或有事项。 </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、其他</w:t>
      </w:r>
      <w:r>
        <w:rPr>
          <w:rFonts w:ascii="宋体" w:hAnsi="宋体" w:cs="宋体" w:eastAsia="宋体" w:hint="default"/>
          <w:b/>
          <w:bCs/>
          <w:w w:val="100"/>
          <w:sz w:val="21"/>
          <w:szCs w:val="21"/>
        </w:rPr>
        <w:t> </w:t>
      </w:r>
      <w:r>
        <w:rPr>
          <w:rFonts w:ascii="宋体" w:hAnsi="宋体" w:cs="宋体" w:eastAsia="宋体" w:hint="default"/>
          <w:b/>
          <w:bCs/>
          <w:sz w:val="24"/>
          <w:szCs w:val="24"/>
        </w:rPr>
        <w:t>十五、资产负债表日后事项</w:t>
      </w:r>
      <w:r>
        <w:rPr>
          <w:rFonts w:ascii="宋体" w:hAnsi="宋体" w:cs="宋体" w:eastAsia="宋体" w:hint="default"/>
          <w:sz w:val="24"/>
          <w:szCs w:val="24"/>
        </w:rPr>
      </w:r>
    </w:p>
    <w:p>
      <w:pPr>
        <w:spacing w:line="240" w:lineRule="auto" w:before="12"/>
        <w:rPr>
          <w:rFonts w:ascii="宋体" w:hAnsi="宋体" w:cs="宋体" w:eastAsia="宋体" w:hint="default"/>
          <w:b/>
          <w:bCs/>
          <w:sz w:val="17"/>
          <w:szCs w:val="17"/>
        </w:rPr>
      </w:pPr>
    </w:p>
    <w:p>
      <w:pPr>
        <w:pStyle w:val="Heading4"/>
        <w:spacing w:line="240" w:lineRule="auto"/>
        <w:ind w:right="982"/>
        <w:jc w:val="left"/>
        <w:rPr>
          <w:b w:val="0"/>
          <w:bCs w:val="0"/>
        </w:rPr>
      </w:pPr>
      <w:r>
        <w:rPr>
          <w:rFonts w:ascii="Times New Roman" w:hAnsi="Times New Roman" w:cs="Times New Roman" w:eastAsia="Times New Roman" w:hint="default"/>
        </w:rPr>
        <w:t>1</w:t>
      </w:r>
      <w:r>
        <w:rPr/>
        <w:t>、重要的非调整事项</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21"/>
        <w:ind w:right="982"/>
        <w:jc w:val="left"/>
        <w:rPr>
          <w:b w:val="0"/>
          <w:bCs w:val="0"/>
        </w:rPr>
      </w:pPr>
      <w:r>
        <w:rPr>
          <w:rFonts w:ascii="Times New Roman" w:hAnsi="Times New Roman" w:cs="Times New Roman" w:eastAsia="Times New Roman" w:hint="default"/>
        </w:rPr>
        <w:t>2</w:t>
      </w:r>
      <w:r>
        <w:rPr/>
        <w:t>、利润分配情况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982"/>
        <w:gridCol w:w="4587"/>
      </w:tblGrid>
      <w:tr>
        <w:trPr>
          <w:trHeight w:val="401" w:hRule="exact"/>
        </w:trPr>
        <w:tc>
          <w:tcPr>
            <w:tcW w:w="49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拟分配的利润或股利</w:t>
            </w:r>
          </w:p>
        </w:tc>
        <w:tc>
          <w:tcPr>
            <w:tcW w:w="4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18,317,392.24</w:t>
            </w:r>
          </w:p>
        </w:tc>
      </w:tr>
      <w:tr>
        <w:trPr>
          <w:trHeight w:val="403" w:hRule="exact"/>
        </w:trPr>
        <w:tc>
          <w:tcPr>
            <w:tcW w:w="49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经审议批准宣告发放的利润或股利</w:t>
            </w:r>
          </w:p>
        </w:tc>
        <w:tc>
          <w:tcPr>
            <w:tcW w:w="4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18,317,392.24</w:t>
            </w:r>
          </w:p>
        </w:tc>
      </w:tr>
    </w:tbl>
    <w:p>
      <w:pPr>
        <w:spacing w:line="240" w:lineRule="auto" w:before="5"/>
        <w:rPr>
          <w:rFonts w:ascii="宋体" w:hAnsi="宋体" w:cs="宋体" w:eastAsia="宋体" w:hint="default"/>
          <w:sz w:val="6"/>
          <w:szCs w:val="6"/>
        </w:rPr>
      </w:pPr>
    </w:p>
    <w:p>
      <w:pPr>
        <w:pStyle w:val="BodyText"/>
        <w:spacing w:line="300" w:lineRule="auto" w:before="44"/>
        <w:ind w:right="982" w:firstLine="300"/>
        <w:jc w:val="left"/>
      </w:pPr>
      <w:r>
        <w:rPr/>
        <w:t>注：公司以权益分派实施股权登记日公司股份总数（预计股份总数为</w:t>
      </w:r>
      <w:r>
        <w:rPr>
          <w:rFonts w:ascii="Times New Roman" w:hAnsi="Times New Roman" w:cs="Times New Roman" w:eastAsia="Times New Roman" w:hint="default"/>
        </w:rPr>
        <w:t>1,308,385,160</w:t>
      </w:r>
      <w:r>
        <w:rPr/>
        <w:t>股）为基数，每</w:t>
      </w:r>
      <w:r>
        <w:rPr>
          <w:rFonts w:ascii="Times New Roman" w:hAnsi="Times New Roman" w:cs="Times New Roman" w:eastAsia="Times New Roman" w:hint="default"/>
        </w:rPr>
        <w:t>10</w:t>
      </w:r>
      <w:r>
        <w:rPr/>
        <w:t>股转增</w:t>
      </w:r>
      <w:r>
        <w:rPr>
          <w:rFonts w:ascii="Times New Roman" w:hAnsi="Times New Roman" w:cs="Times New Roman" w:eastAsia="Times New Roman" w:hint="default"/>
        </w:rPr>
        <w:t>5</w:t>
      </w:r>
      <w:r>
        <w:rPr/>
        <w:t>股，每</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股派发现金</w:t>
      </w:r>
      <w:r>
        <w:rPr>
          <w:rFonts w:ascii="Times New Roman" w:hAnsi="Times New Roman" w:cs="Times New Roman" w:eastAsia="Times New Roman" w:hint="default"/>
        </w:rPr>
        <w:t>0.14</w:t>
      </w:r>
      <w:r>
        <w:rPr/>
        <w:t>元（含税）（</w:t>
      </w:r>
      <w:r>
        <w:rPr>
          <w:rFonts w:ascii="Times New Roman" w:hAnsi="Times New Roman" w:cs="Times New Roman" w:eastAsia="Times New Roman" w:hint="default"/>
        </w:rPr>
        <w:t>2018</w:t>
      </w:r>
      <w:r>
        <w:rPr/>
        <w:t>年度执行的</w:t>
      </w:r>
      <w:r>
        <w:rPr>
          <w:rFonts w:ascii="Times New Roman" w:hAnsi="Times New Roman" w:cs="Times New Roman" w:eastAsia="Times New Roman" w:hint="default"/>
        </w:rPr>
        <w:t>30,001,482.59</w:t>
      </w:r>
      <w:r>
        <w:rPr/>
        <w:t>元社会公众股回购视同现金分红）。</w:t>
      </w:r>
    </w:p>
    <w:p>
      <w:pPr>
        <w:spacing w:after="0" w:line="300" w:lineRule="auto"/>
        <w:jc w:val="left"/>
        <w:sectPr>
          <w:pgSz w:w="11910" w:h="16840"/>
          <w:pgMar w:header="745" w:footer="979"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2"/>
        <w:jc w:val="left"/>
        <w:rPr>
          <w:b w:val="0"/>
          <w:bCs w:val="0"/>
        </w:rPr>
      </w:pPr>
      <w:r>
        <w:rPr>
          <w:rFonts w:ascii="Times New Roman" w:hAnsi="Times New Roman" w:cs="Times New Roman" w:eastAsia="Times New Roman" w:hint="default"/>
        </w:rPr>
        <w:t>3</w:t>
      </w:r>
      <w:r>
        <w:rPr/>
        <w:t>、销售退回</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rFonts w:ascii="Times New Roman" w:hAnsi="Times New Roman" w:cs="Times New Roman" w:eastAsia="Times New Roman" w:hint="default"/>
        </w:rPr>
        <w:t>4</w:t>
      </w:r>
      <w:r>
        <w:rPr/>
        <w:t>、其他资产负债表日后事项说明</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3"/>
        <w:rPr>
          <w:rFonts w:ascii="宋体" w:hAnsi="宋体" w:cs="宋体" w:eastAsia="宋体" w:hint="default"/>
          <w:sz w:val="25"/>
          <w:szCs w:val="25"/>
        </w:rPr>
      </w:pPr>
    </w:p>
    <w:p>
      <w:pPr>
        <w:pStyle w:val="Heading2"/>
        <w:spacing w:line="240" w:lineRule="auto"/>
        <w:ind w:right="982"/>
        <w:jc w:val="left"/>
        <w:rPr>
          <w:b w:val="0"/>
          <w:bCs w:val="0"/>
        </w:rPr>
      </w:pPr>
      <w:r>
        <w:rPr/>
        <w:t>十六、其他重要事项</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982"/>
        <w:jc w:val="left"/>
        <w:rPr>
          <w:b w:val="0"/>
          <w:bCs w:val="0"/>
        </w:rPr>
      </w:pPr>
      <w:r>
        <w:rPr>
          <w:rFonts w:ascii="Times New Roman" w:hAnsi="Times New Roman" w:cs="Times New Roman" w:eastAsia="Times New Roman" w:hint="default"/>
        </w:rPr>
        <w:t>1</w:t>
      </w:r>
      <w:r>
        <w:rPr/>
        <w:t>、前期会计差错更正</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982"/>
        <w:jc w:val="left"/>
        <w:rPr>
          <w:b w:val="0"/>
          <w:bCs w:val="0"/>
        </w:rPr>
      </w:pPr>
      <w:r>
        <w:rPr/>
        <w:t>（</w:t>
      </w:r>
      <w:r>
        <w:rPr>
          <w:rFonts w:ascii="Times New Roman" w:hAnsi="Times New Roman" w:cs="Times New Roman" w:eastAsia="Times New Roman" w:hint="default"/>
        </w:rPr>
        <w:t>1</w:t>
      </w:r>
      <w:r>
        <w:rPr/>
        <w:t>）追溯重述法</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18"/>
        <w:ind w:right="982"/>
        <w:jc w:val="left"/>
        <w:rPr>
          <w:b w:val="0"/>
          <w:bCs w:val="0"/>
        </w:rPr>
      </w:pPr>
      <w:r>
        <w:rPr/>
        <w:t>（</w:t>
      </w:r>
      <w:r>
        <w:rPr>
          <w:rFonts w:ascii="Times New Roman" w:hAnsi="Times New Roman" w:cs="Times New Roman" w:eastAsia="Times New Roman" w:hint="default"/>
        </w:rPr>
        <w:t>2</w:t>
      </w:r>
      <w:r>
        <w:rPr/>
        <w:t>）未来适用法</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rFonts w:ascii="Times New Roman" w:hAnsi="Times New Roman" w:cs="Times New Roman" w:eastAsia="Times New Roman" w:hint="default"/>
        </w:rPr>
        <w:t>2</w:t>
      </w:r>
      <w:r>
        <w:rPr/>
        <w:t>、债务重组</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rFonts w:ascii="Times New Roman" w:hAnsi="Times New Roman" w:cs="Times New Roman" w:eastAsia="Times New Roman" w:hint="default"/>
        </w:rPr>
        <w:t>3</w:t>
      </w:r>
      <w:r>
        <w:rPr/>
        <w:t>、资产置换</w:t>
      </w:r>
      <w:r>
        <w:rPr>
          <w:b w:val="0"/>
          <w:bCs w:val="0"/>
        </w:rPr>
      </w:r>
    </w:p>
    <w:p>
      <w:pPr>
        <w:spacing w:line="240" w:lineRule="auto" w:before="7"/>
        <w:rPr>
          <w:rFonts w:ascii="宋体" w:hAnsi="宋体" w:cs="宋体" w:eastAsia="宋体" w:hint="default"/>
          <w:b/>
          <w:bCs/>
          <w:sz w:val="24"/>
          <w:szCs w:val="24"/>
        </w:rPr>
      </w:pPr>
    </w:p>
    <w:p>
      <w:pPr>
        <w:pStyle w:val="Heading4"/>
        <w:spacing w:line="240" w:lineRule="auto"/>
        <w:ind w:right="982"/>
        <w:jc w:val="left"/>
        <w:rPr>
          <w:b w:val="0"/>
          <w:bCs w:val="0"/>
        </w:rPr>
      </w:pPr>
      <w:r>
        <w:rPr/>
        <w:t>（</w:t>
      </w:r>
      <w:r>
        <w:rPr>
          <w:rFonts w:ascii="Times New Roman" w:hAnsi="Times New Roman" w:cs="Times New Roman" w:eastAsia="Times New Roman" w:hint="default"/>
        </w:rPr>
        <w:t>1</w:t>
      </w:r>
      <w:r>
        <w:rPr/>
        <w:t>）非货币性资产交换</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t>（</w:t>
      </w:r>
      <w:r>
        <w:rPr>
          <w:rFonts w:ascii="Times New Roman" w:hAnsi="Times New Roman" w:cs="Times New Roman" w:eastAsia="Times New Roman" w:hint="default"/>
        </w:rPr>
        <w:t>2</w:t>
      </w:r>
      <w:r>
        <w:rPr/>
        <w:t>）其他资产置换</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21"/>
        <w:ind w:right="982"/>
        <w:jc w:val="left"/>
        <w:rPr>
          <w:b w:val="0"/>
          <w:bCs w:val="0"/>
        </w:rPr>
      </w:pPr>
      <w:r>
        <w:rPr>
          <w:rFonts w:ascii="Times New Roman" w:hAnsi="Times New Roman" w:cs="Times New Roman" w:eastAsia="Times New Roman" w:hint="default"/>
        </w:rPr>
        <w:t>4</w:t>
      </w:r>
      <w:r>
        <w:rPr/>
        <w:t>、年金计划</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rFonts w:ascii="Times New Roman" w:hAnsi="Times New Roman" w:cs="Times New Roman" w:eastAsia="Times New Roman" w:hint="default"/>
        </w:rPr>
        <w:t>5</w:t>
      </w:r>
      <w:r>
        <w:rPr/>
        <w:t>、终止经营</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982"/>
        <w:jc w:val="left"/>
      </w:pPr>
      <w:r>
        <w:rPr/>
        <w:t>无</w:t>
      </w:r>
    </w:p>
    <w:p>
      <w:pPr>
        <w:spacing w:after="0" w:line="240" w:lineRule="auto"/>
        <w:jc w:val="left"/>
        <w:sectPr>
          <w:pgSz w:w="11910" w:h="16840"/>
          <w:pgMar w:header="745" w:footer="979"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2"/>
        <w:jc w:val="left"/>
        <w:rPr>
          <w:b w:val="0"/>
          <w:bCs w:val="0"/>
        </w:rPr>
      </w:pPr>
      <w:r>
        <w:rPr>
          <w:rFonts w:ascii="Times New Roman" w:hAnsi="Times New Roman" w:cs="Times New Roman" w:eastAsia="Times New Roman" w:hint="default"/>
        </w:rPr>
        <w:t>6</w:t>
      </w:r>
      <w:r>
        <w:rPr/>
        <w:t>、分部信息</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2"/>
        <w:jc w:val="left"/>
        <w:rPr>
          <w:b w:val="0"/>
          <w:bCs w:val="0"/>
        </w:rPr>
      </w:pPr>
      <w:r>
        <w:rPr/>
        <w:t>（</w:t>
      </w:r>
      <w:r>
        <w:rPr>
          <w:rFonts w:ascii="Times New Roman" w:hAnsi="Times New Roman" w:cs="Times New Roman" w:eastAsia="Times New Roman" w:hint="default"/>
        </w:rPr>
        <w:t>1</w:t>
      </w:r>
      <w:r>
        <w:rPr/>
        <w:t>）报告分部的确定依据与会计政策</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t>（</w:t>
      </w:r>
      <w:r>
        <w:rPr>
          <w:rFonts w:ascii="Times New Roman" w:hAnsi="Times New Roman" w:cs="Times New Roman" w:eastAsia="Times New Roman" w:hint="default"/>
        </w:rPr>
        <w:t>2</w:t>
      </w:r>
      <w:r>
        <w:rPr/>
        <w:t>）报告分部的财务信息</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18"/>
        <w:ind w:right="982"/>
        <w:jc w:val="left"/>
        <w:rPr>
          <w:b w:val="0"/>
          <w:bCs w:val="0"/>
        </w:rPr>
      </w:pPr>
      <w:r>
        <w:rPr/>
        <w:t>（</w:t>
      </w:r>
      <w:r>
        <w:rPr>
          <w:rFonts w:ascii="Times New Roman" w:hAnsi="Times New Roman" w:cs="Times New Roman" w:eastAsia="Times New Roman" w:hint="default"/>
        </w:rPr>
        <w:t>3</w:t>
      </w:r>
      <w:r>
        <w:rPr/>
        <w:t>）公司无报告分部的，或者不能披露各报告分部的资产总额和负债总额的，应说明原因</w:t>
      </w:r>
      <w:r>
        <w:rPr>
          <w:b w:val="0"/>
          <w:bCs w:val="0"/>
        </w:rPr>
      </w:r>
    </w:p>
    <w:p>
      <w:pPr>
        <w:spacing w:line="240" w:lineRule="auto" w:before="5"/>
        <w:rPr>
          <w:rFonts w:ascii="宋体" w:hAnsi="宋体" w:cs="宋体" w:eastAsia="宋体" w:hint="default"/>
          <w:b/>
          <w:bCs/>
          <w:sz w:val="26"/>
          <w:szCs w:val="26"/>
        </w:rPr>
      </w:pPr>
    </w:p>
    <w:p>
      <w:pPr>
        <w:pStyle w:val="BodyText"/>
        <w:spacing w:line="316" w:lineRule="auto"/>
        <w:ind w:right="1133" w:firstLine="300"/>
        <w:jc w:val="both"/>
      </w:pPr>
      <w:r>
        <w:rPr>
          <w:spacing w:val="-4"/>
        </w:rPr>
        <w:t>本集团的业务均为以导航电子地图为主的相关销售及服务，整体性质相同，生产、定价、销售、使用等环节均密不可分，</w:t>
      </w:r>
      <w:r>
        <w:rPr/>
        <w:t> 因此，报告期内本集团无报告分部。</w:t>
      </w:r>
    </w:p>
    <w:p>
      <w:pPr>
        <w:spacing w:line="240" w:lineRule="auto" w:before="10"/>
        <w:rPr>
          <w:rFonts w:ascii="宋体" w:hAnsi="宋体" w:cs="宋体" w:eastAsia="宋体" w:hint="default"/>
          <w:sz w:val="22"/>
          <w:szCs w:val="22"/>
        </w:rPr>
      </w:pPr>
    </w:p>
    <w:p>
      <w:pPr>
        <w:pStyle w:val="Heading4"/>
        <w:spacing w:line="240" w:lineRule="auto"/>
        <w:ind w:right="982"/>
        <w:jc w:val="left"/>
        <w:rPr>
          <w:b w:val="0"/>
          <w:bCs w:val="0"/>
        </w:rPr>
      </w:pPr>
      <w:r>
        <w:rPr/>
        <w:t>（</w:t>
      </w:r>
      <w:r>
        <w:rPr>
          <w:rFonts w:ascii="Times New Roman" w:hAnsi="Times New Roman" w:cs="Times New Roman" w:eastAsia="Times New Roman" w:hint="default"/>
        </w:rPr>
        <w:t>4</w:t>
      </w:r>
      <w:r>
        <w:rPr/>
        <w:t>）其他说明</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rFonts w:ascii="Times New Roman" w:hAnsi="Times New Roman" w:cs="Times New Roman" w:eastAsia="Times New Roman" w:hint="default"/>
        </w:rPr>
        <w:t>7</w:t>
      </w:r>
      <w:r>
        <w:rPr/>
        <w:t>、其他对投资者决策有影响的重要交易和事项</w:t>
      </w:r>
      <w:r>
        <w:rPr>
          <w:b w:val="0"/>
          <w:bCs w:val="0"/>
        </w:rPr>
      </w:r>
    </w:p>
    <w:p>
      <w:pPr>
        <w:spacing w:line="240" w:lineRule="auto" w:before="2"/>
        <w:rPr>
          <w:rFonts w:ascii="宋体" w:hAnsi="宋体" w:cs="宋体" w:eastAsia="宋体" w:hint="default"/>
          <w:b/>
          <w:bCs/>
          <w:sz w:val="26"/>
          <w:szCs w:val="26"/>
        </w:rPr>
      </w:pPr>
    </w:p>
    <w:p>
      <w:pPr>
        <w:pStyle w:val="BodyText"/>
        <w:spacing w:line="300" w:lineRule="auto"/>
        <w:ind w:right="1129" w:firstLine="360"/>
        <w:jc w:val="both"/>
      </w:pPr>
      <w:r>
        <w:rPr>
          <w:spacing w:val="3"/>
        </w:rPr>
        <w:t>（</w:t>
      </w:r>
      <w:r>
        <w:rPr>
          <w:rFonts w:ascii="Times New Roman" w:hAnsi="Times New Roman" w:cs="Times New Roman" w:eastAsia="Times New Roman" w:hint="default"/>
          <w:spacing w:val="3"/>
        </w:rPr>
        <w:t>1</w:t>
      </w:r>
      <w:r>
        <w:rPr>
          <w:spacing w:val="3"/>
        </w:rPr>
        <w:t>）本公司于</w:t>
      </w:r>
      <w:r>
        <w:rPr>
          <w:rFonts w:ascii="Times New Roman" w:hAnsi="Times New Roman" w:cs="Times New Roman" w:eastAsia="Times New Roman" w:hint="default"/>
          <w:spacing w:val="3"/>
        </w:rPr>
        <w:t>2018</w:t>
      </w:r>
      <w:r>
        <w:rPr>
          <w:spacing w:val="3"/>
        </w:rPr>
        <w:t>年</w:t>
      </w:r>
      <w:r>
        <w:rPr>
          <w:rFonts w:ascii="Times New Roman" w:hAnsi="Times New Roman" w:cs="Times New Roman" w:eastAsia="Times New Roman" w:hint="default"/>
          <w:spacing w:val="3"/>
        </w:rPr>
        <w:t>9</w:t>
      </w:r>
      <w:r>
        <w:rPr>
          <w:spacing w:val="3"/>
        </w:rPr>
        <w:t>月</w:t>
      </w:r>
      <w:r>
        <w:rPr>
          <w:rFonts w:ascii="Times New Roman" w:hAnsi="Times New Roman" w:cs="Times New Roman" w:eastAsia="Times New Roman" w:hint="default"/>
          <w:spacing w:val="3"/>
        </w:rPr>
        <w:t>27</w:t>
      </w:r>
      <w:r>
        <w:rPr>
          <w:spacing w:val="3"/>
        </w:rPr>
        <w:t>日召开</w:t>
      </w:r>
      <w:r>
        <w:rPr>
          <w:rFonts w:ascii="Times New Roman" w:hAnsi="Times New Roman" w:cs="Times New Roman" w:eastAsia="Times New Roman" w:hint="default"/>
          <w:spacing w:val="3"/>
        </w:rPr>
        <w:t>2018</w:t>
      </w:r>
      <w:r>
        <w:rPr>
          <w:spacing w:val="3"/>
        </w:rPr>
        <w:t>年第二次临时股东大会，会议通过决议，同意下属子公司</w:t>
      </w:r>
      <w:r>
        <w:rPr>
          <w:rFonts w:ascii="Times New Roman" w:hAnsi="Times New Roman" w:cs="Times New Roman" w:eastAsia="Times New Roman" w:hint="default"/>
          <w:spacing w:val="3"/>
        </w:rPr>
        <w:t>Mapbar</w:t>
      </w:r>
      <w:r>
        <w:rPr>
          <w:rFonts w:ascii="Times New Roman" w:hAnsi="Times New Roman" w:cs="Times New Roman" w:eastAsia="Times New Roman" w:hint="default"/>
          <w:spacing w:val="7"/>
        </w:rPr>
        <w:t> </w:t>
      </w:r>
      <w:r>
        <w:rPr>
          <w:rFonts w:ascii="Times New Roman" w:hAnsi="Times New Roman" w:cs="Times New Roman" w:eastAsia="Times New Roman" w:hint="default"/>
        </w:rPr>
        <w:t>Technology</w:t>
      </w:r>
      <w:r>
        <w:rPr>
          <w:rFonts w:ascii="Times New Roman" w:hAnsi="Times New Roman" w:cs="Times New Roman" w:eastAsia="Times New Roman" w:hint="default"/>
        </w:rPr>
        <w:t> Limited</w:t>
      </w:r>
      <w:r>
        <w:rPr/>
        <w:t>（以下简称 图吧</w:t>
      </w:r>
      <w:r>
        <w:rPr>
          <w:rFonts w:ascii="Times New Roman" w:hAnsi="Times New Roman" w:cs="Times New Roman" w:eastAsia="Times New Roman" w:hint="default"/>
        </w:rPr>
        <w:t>BVI</w:t>
      </w:r>
      <w:r>
        <w:rPr/>
        <w:t>）与</w:t>
      </w:r>
      <w:r>
        <w:rPr>
          <w:rFonts w:ascii="Times New Roman" w:hAnsi="Times New Roman" w:cs="Times New Roman" w:eastAsia="Times New Roman" w:hint="default"/>
        </w:rPr>
        <w:t>Image Cyber Investmet (HK) Limited </w:t>
      </w:r>
      <w:r>
        <w:rPr/>
        <w:t>（以下简称 </w:t>
      </w:r>
      <w:r>
        <w:rPr>
          <w:rFonts w:ascii="Times New Roman" w:hAnsi="Times New Roman" w:cs="Times New Roman" w:eastAsia="Times New Roman" w:hint="default"/>
        </w:rPr>
        <w:t>Image Cyber</w:t>
      </w:r>
      <w:r>
        <w:rPr/>
        <w:t>）、</w:t>
      </w:r>
      <w:r>
        <w:rPr>
          <w:rFonts w:ascii="Times New Roman" w:hAnsi="Times New Roman" w:cs="Times New Roman" w:eastAsia="Times New Roman" w:hint="default"/>
        </w:rPr>
        <w:t>Top Grove</w:t>
      </w:r>
      <w:r>
        <w:rPr>
          <w:rFonts w:ascii="Times New Roman" w:hAnsi="Times New Roman" w:cs="Times New Roman" w:eastAsia="Times New Roman" w:hint="default"/>
          <w:spacing w:val="-16"/>
        </w:rPr>
        <w:t> </w:t>
      </w:r>
      <w:r>
        <w:rPr>
          <w:rFonts w:ascii="Times New Roman" w:hAnsi="Times New Roman" w:cs="Times New Roman" w:eastAsia="Times New Roman" w:hint="default"/>
        </w:rPr>
        <w:t>Limited</w:t>
      </w:r>
      <w:r>
        <w:rPr/>
        <w:t>（以下</w:t>
      </w:r>
      <w:r>
        <w:rPr>
          <w:w w:val="99"/>
        </w:rPr>
        <w:t> </w:t>
      </w:r>
      <w:r>
        <w:rPr/>
        <w:t>简称 </w:t>
      </w:r>
      <w:r>
        <w:rPr>
          <w:rFonts w:ascii="Times New Roman" w:hAnsi="Times New Roman" w:cs="Times New Roman" w:eastAsia="Times New Roman" w:hint="default"/>
        </w:rPr>
        <w:t>Top Grove</w:t>
      </w:r>
      <w:r>
        <w:rPr/>
        <w:t>）、湖北联河股权投资合伙企业（有限合伙）、</w:t>
      </w:r>
      <w:r>
        <w:rPr>
          <w:rFonts w:ascii="Times New Roman" w:hAnsi="Times New Roman" w:cs="Times New Roman" w:eastAsia="Times New Roman" w:hint="default"/>
        </w:rPr>
        <w:t>Nio Changjiang 1st Investment </w:t>
      </w:r>
      <w:r>
        <w:rPr/>
        <w:t>（以下简称</w:t>
      </w:r>
      <w:r>
        <w:rPr>
          <w:spacing w:val="-61"/>
        </w:rPr>
        <w:t> </w:t>
      </w:r>
      <w:r>
        <w:rPr/>
        <w:t>蔚来资本）以及</w:t>
      </w:r>
      <w:r>
        <w:rPr/>
        <w:t> </w:t>
      </w:r>
      <w:r>
        <w:rPr>
          <w:rFonts w:ascii="Times New Roman" w:hAnsi="Times New Roman" w:cs="Times New Roman" w:eastAsia="Times New Roman" w:hint="default"/>
        </w:rPr>
        <w:t>Advantech Capital Investmemt IV Limited</w:t>
      </w:r>
      <w:r>
        <w:rPr/>
        <w:t>（以下简称 </w:t>
      </w:r>
      <w:r>
        <w:rPr>
          <w:rFonts w:ascii="Times New Roman" w:hAnsi="Times New Roman" w:cs="Times New Roman" w:eastAsia="Times New Roman" w:hint="default"/>
        </w:rPr>
        <w:t>Advantech</w:t>
      </w:r>
      <w:r>
        <w:rPr/>
        <w:t>）签署《认购协议》，</w:t>
      </w:r>
      <w:r>
        <w:rPr>
          <w:rFonts w:ascii="Times New Roman" w:hAnsi="Times New Roman" w:cs="Times New Roman" w:eastAsia="Times New Roman" w:hint="default"/>
        </w:rPr>
        <w:t>Image Cyber</w:t>
      </w:r>
      <w:r>
        <w:rPr/>
        <w:t>、</w:t>
      </w:r>
      <w:r>
        <w:rPr>
          <w:rFonts w:ascii="Times New Roman" w:hAnsi="Times New Roman" w:cs="Times New Roman" w:eastAsia="Times New Roman" w:hint="default"/>
        </w:rPr>
        <w:t>Top</w:t>
      </w:r>
      <w:r>
        <w:rPr>
          <w:rFonts w:ascii="Times New Roman" w:hAnsi="Times New Roman" w:cs="Times New Roman" w:eastAsia="Times New Roman" w:hint="default"/>
          <w:spacing w:val="-15"/>
        </w:rPr>
        <w:t> </w:t>
      </w:r>
      <w:r>
        <w:rPr>
          <w:rFonts w:ascii="Times New Roman" w:hAnsi="Times New Roman" w:cs="Times New Roman" w:eastAsia="Times New Roman" w:hint="default"/>
        </w:rPr>
        <w:t>Grove</w:t>
      </w:r>
      <w:r>
        <w:rPr/>
        <w:t>、蔚来资本以</w:t>
      </w:r>
      <w:r>
        <w:rPr>
          <w:w w:val="99"/>
        </w:rPr>
        <w:t> </w:t>
      </w:r>
      <w:r>
        <w:rPr/>
        <w:t>及</w:t>
      </w:r>
      <w:r>
        <w:rPr>
          <w:rFonts w:ascii="Times New Roman" w:hAnsi="Times New Roman" w:cs="Times New Roman" w:eastAsia="Times New Roman" w:hint="default"/>
        </w:rPr>
        <w:t>Advantech</w:t>
      </w:r>
      <w:r>
        <w:rPr/>
        <w:t>四位投资人同意认购</w:t>
      </w:r>
      <w:r>
        <w:rPr>
          <w:rFonts w:ascii="Times New Roman" w:hAnsi="Times New Roman" w:cs="Times New Roman" w:eastAsia="Times New Roman" w:hint="default"/>
        </w:rPr>
        <w:t>BVI </w:t>
      </w:r>
      <w:r>
        <w:rPr/>
        <w:t>新发行的股份。与此同时，四位投资人与股东图吧</w:t>
      </w:r>
      <w:r>
        <w:rPr>
          <w:rFonts w:ascii="Times New Roman" w:hAnsi="Times New Roman" w:cs="Times New Roman" w:eastAsia="Times New Roman" w:hint="default"/>
        </w:rPr>
        <w:t>BVI</w:t>
      </w:r>
      <w:r>
        <w:rPr/>
        <w:t>共同签署了《股东协议》，对</w:t>
      </w:r>
      <w:r>
        <w:rPr>
          <w:spacing w:val="-52"/>
        </w:rPr>
        <w:t> </w:t>
      </w:r>
      <w:r>
        <w:rPr>
          <w:spacing w:val="-52"/>
        </w:rPr>
      </w:r>
      <w:r>
        <w:rPr/>
        <w:t>引进投资人后各方股东的权利义务进行了约定。</w:t>
      </w:r>
    </w:p>
    <w:p>
      <w:pPr>
        <w:pStyle w:val="BodyText"/>
        <w:spacing w:line="300" w:lineRule="auto" w:before="151"/>
        <w:ind w:right="504" w:firstLine="360"/>
        <w:jc w:val="left"/>
      </w:pPr>
      <w:r>
        <w:rPr/>
        <w:t>认购协议约定，</w:t>
      </w:r>
      <w:r>
        <w:rPr>
          <w:rFonts w:ascii="Times New Roman" w:hAnsi="Times New Roman" w:cs="Times New Roman" w:eastAsia="Times New Roman" w:hint="default"/>
        </w:rPr>
        <w:t>Image Cyber</w:t>
      </w:r>
      <w:r>
        <w:rPr/>
        <w:t>及</w:t>
      </w:r>
      <w:r>
        <w:rPr>
          <w:rFonts w:ascii="Times New Roman" w:hAnsi="Times New Roman" w:cs="Times New Roman" w:eastAsia="Times New Roman" w:hint="default"/>
        </w:rPr>
        <w:t>Top</w:t>
      </w:r>
      <w:r>
        <w:rPr>
          <w:rFonts w:ascii="Times New Roman" w:hAnsi="Times New Roman" w:cs="Times New Roman" w:eastAsia="Times New Roman" w:hint="default"/>
          <w:spacing w:val="-26"/>
        </w:rPr>
        <w:t> </w:t>
      </w:r>
      <w:r>
        <w:rPr>
          <w:rFonts w:ascii="Times New Roman" w:hAnsi="Times New Roman" w:cs="Times New Roman" w:eastAsia="Times New Roman" w:hint="default"/>
        </w:rPr>
        <w:t>Grove</w:t>
      </w:r>
      <w:r>
        <w:rPr/>
        <w:t>各以</w:t>
      </w:r>
      <w:r>
        <w:rPr>
          <w:rFonts w:ascii="Times New Roman" w:hAnsi="Times New Roman" w:cs="Times New Roman" w:eastAsia="Times New Roman" w:hint="default"/>
        </w:rPr>
        <w:t>29,262,440.00</w:t>
      </w:r>
      <w:r>
        <w:rPr/>
        <w:t>美元认购图吧</w:t>
      </w:r>
      <w:r>
        <w:rPr>
          <w:rFonts w:ascii="Times New Roman" w:hAnsi="Times New Roman" w:cs="Times New Roman" w:eastAsia="Times New Roman" w:hint="default"/>
        </w:rPr>
        <w:t>BVI</w:t>
      </w:r>
      <w:r>
        <w:rPr/>
        <w:t>新发行的</w:t>
      </w:r>
      <w:r>
        <w:rPr>
          <w:rFonts w:ascii="Times New Roman" w:hAnsi="Times New Roman" w:cs="Times New Roman" w:eastAsia="Times New Roman" w:hint="default"/>
        </w:rPr>
        <w:t>7,449,705</w:t>
      </w:r>
      <w:r>
        <w:rPr/>
        <w:t>股</w:t>
      </w:r>
      <w:r>
        <w:rPr>
          <w:rFonts w:ascii="Times New Roman" w:hAnsi="Times New Roman" w:cs="Times New Roman" w:eastAsia="Times New Roman" w:hint="default"/>
        </w:rPr>
        <w:t>A</w:t>
      </w:r>
      <w:r>
        <w:rPr/>
        <w:t>轮优先股，认购后持 股比例各位</w:t>
      </w:r>
      <w:r>
        <w:rPr>
          <w:rFonts w:ascii="Times New Roman" w:hAnsi="Times New Roman" w:cs="Times New Roman" w:eastAsia="Times New Roman" w:hint="default"/>
        </w:rPr>
        <w:t>7.488%</w:t>
      </w:r>
      <w:r>
        <w:rPr/>
        <w:t>；</w:t>
      </w:r>
      <w:r>
        <w:rPr>
          <w:spacing w:val="-70"/>
        </w:rPr>
        <w:t> </w:t>
      </w:r>
      <w:r>
        <w:rPr>
          <w:rFonts w:ascii="Times New Roman" w:hAnsi="Times New Roman" w:cs="Times New Roman" w:eastAsia="Times New Roman" w:hint="default"/>
          <w:spacing w:val="-1"/>
        </w:rPr>
        <w:t>Advantech</w:t>
      </w:r>
      <w:r>
        <w:rPr>
          <w:spacing w:val="-1"/>
        </w:rPr>
        <w:t>以</w:t>
      </w:r>
      <w:r>
        <w:rPr>
          <w:rFonts w:ascii="Times New Roman" w:hAnsi="Times New Roman" w:cs="Times New Roman" w:eastAsia="Times New Roman" w:hint="default"/>
          <w:spacing w:val="-1"/>
        </w:rPr>
        <w:t>25,000,000.00</w:t>
      </w:r>
      <w:r>
        <w:rPr>
          <w:spacing w:val="-1"/>
        </w:rPr>
        <w:t>美元认购图吧</w:t>
      </w:r>
      <w:r>
        <w:rPr>
          <w:rFonts w:ascii="Times New Roman" w:hAnsi="Times New Roman" w:cs="Times New Roman" w:eastAsia="Times New Roman" w:hint="default"/>
          <w:spacing w:val="-1"/>
        </w:rPr>
        <w:t>BVI</w:t>
      </w:r>
      <w:r>
        <w:rPr>
          <w:spacing w:val="-1"/>
        </w:rPr>
        <w:t>新发行的</w:t>
      </w:r>
      <w:r>
        <w:rPr>
          <w:rFonts w:ascii="Times New Roman" w:hAnsi="Times New Roman" w:cs="Times New Roman" w:eastAsia="Times New Roman" w:hint="default"/>
          <w:spacing w:val="-1"/>
        </w:rPr>
        <w:t>6,364,562</w:t>
      </w:r>
      <w:r>
        <w:rPr>
          <w:spacing w:val="-1"/>
        </w:rPr>
        <w:t>股</w:t>
      </w:r>
      <w:r>
        <w:rPr>
          <w:rFonts w:ascii="Times New Roman" w:hAnsi="Times New Roman" w:cs="Times New Roman" w:eastAsia="Times New Roman" w:hint="default"/>
          <w:spacing w:val="-1"/>
        </w:rPr>
        <w:t>A</w:t>
      </w:r>
      <w:r>
        <w:rPr>
          <w:spacing w:val="-1"/>
        </w:rPr>
        <w:t>轮优先股，认购后持股比例为</w:t>
      </w:r>
      <w:r>
        <w:rPr>
          <w:rFonts w:ascii="Times New Roman" w:hAnsi="Times New Roman" w:cs="Times New Roman" w:eastAsia="Times New Roman" w:hint="default"/>
          <w:spacing w:val="-1"/>
        </w:rPr>
        <w:t>6.397%</w:t>
      </w:r>
      <w:r>
        <w:rPr>
          <w:spacing w:val="-1"/>
        </w:rPr>
        <w:t>。</w:t>
      </w:r>
      <w:r>
        <w:rPr/>
        <w:t> 蔚来资本拟以</w:t>
      </w:r>
      <w:r>
        <w:rPr>
          <w:rFonts w:ascii="Times New Roman" w:hAnsi="Times New Roman" w:cs="Times New Roman" w:eastAsia="Times New Roman" w:hint="default"/>
        </w:rPr>
        <w:t>14,631,220.00</w:t>
      </w:r>
      <w:r>
        <w:rPr/>
        <w:t>美元（折合人民币</w:t>
      </w:r>
      <w:r>
        <w:rPr>
          <w:rFonts w:ascii="Times New Roman" w:hAnsi="Times New Roman" w:cs="Times New Roman" w:eastAsia="Times New Roman" w:hint="default"/>
        </w:rPr>
        <w:t>10,000.00</w:t>
      </w:r>
      <w:r>
        <w:rPr/>
        <w:t>万元）通过境内可转债方式投资北京图吧科技有限公司，同时获得图 吧</w:t>
      </w:r>
      <w:r>
        <w:rPr>
          <w:rFonts w:ascii="Times New Roman" w:hAnsi="Times New Roman" w:cs="Times New Roman" w:eastAsia="Times New Roman" w:hint="default"/>
        </w:rPr>
        <w:t>BVI</w:t>
      </w:r>
      <w:r>
        <w:rPr/>
        <w:t>境外相当于</w:t>
      </w:r>
      <w:r>
        <w:rPr>
          <w:rFonts w:ascii="Times New Roman" w:hAnsi="Times New Roman" w:cs="Times New Roman" w:eastAsia="Times New Roman" w:hint="default"/>
        </w:rPr>
        <w:t>10,000.00</w:t>
      </w:r>
      <w:r>
        <w:rPr/>
        <w:t>万元人民币的</w:t>
      </w:r>
      <w:r>
        <w:rPr>
          <w:rFonts w:ascii="Times New Roman" w:hAnsi="Times New Roman" w:cs="Times New Roman" w:eastAsia="Times New Roman" w:hint="default"/>
        </w:rPr>
        <w:t>1</w:t>
      </w:r>
      <w:r>
        <w:rPr/>
        <w:t>股</w:t>
      </w:r>
      <w:r>
        <w:rPr>
          <w:rFonts w:ascii="Times New Roman" w:hAnsi="Times New Roman" w:cs="Times New Roman" w:eastAsia="Times New Roman" w:hint="default"/>
        </w:rPr>
        <w:t>A</w:t>
      </w:r>
      <w:r>
        <w:rPr/>
        <w:t>类优先股和认股权证，在蔚来资本获得境内监管机构批准后，将行使该认股权 证，届时蔚来资本将持有图吧</w:t>
      </w:r>
      <w:r>
        <w:rPr>
          <w:rFonts w:ascii="Times New Roman" w:hAnsi="Times New Roman" w:cs="Times New Roman" w:eastAsia="Times New Roman" w:hint="default"/>
        </w:rPr>
        <w:t>BVI3,725,852</w:t>
      </w:r>
      <w:r>
        <w:rPr/>
        <w:t>股</w:t>
      </w:r>
      <w:r>
        <w:rPr>
          <w:rFonts w:ascii="Times New Roman" w:hAnsi="Times New Roman" w:cs="Times New Roman" w:eastAsia="Times New Roman" w:hint="default"/>
        </w:rPr>
        <w:t>A</w:t>
      </w:r>
      <w:r>
        <w:rPr/>
        <w:t>类优先股。</w:t>
      </w:r>
      <w:r>
        <w:rPr>
          <w:rFonts w:ascii="Times New Roman" w:hAnsi="Times New Roman" w:cs="Times New Roman" w:eastAsia="Times New Roman" w:hint="default"/>
        </w:rPr>
        <w:t>Image Cyber</w:t>
      </w:r>
      <w:r>
        <w:rPr/>
        <w:t>、</w:t>
      </w:r>
      <w:r>
        <w:rPr>
          <w:rFonts w:ascii="Times New Roman" w:hAnsi="Times New Roman" w:cs="Times New Roman" w:eastAsia="Times New Roman" w:hint="default"/>
        </w:rPr>
        <w:t>Top</w:t>
      </w:r>
      <w:r>
        <w:rPr>
          <w:rFonts w:ascii="Times New Roman" w:hAnsi="Times New Roman" w:cs="Times New Roman" w:eastAsia="Times New Roman" w:hint="default"/>
          <w:spacing w:val="32"/>
        </w:rPr>
        <w:t> </w:t>
      </w:r>
      <w:r>
        <w:rPr>
          <w:rFonts w:ascii="Times New Roman" w:hAnsi="Times New Roman" w:cs="Times New Roman" w:eastAsia="Times New Roman" w:hint="default"/>
        </w:rPr>
        <w:t>Grove</w:t>
      </w:r>
      <w:r>
        <w:rPr/>
        <w:t>和</w:t>
      </w:r>
      <w:r>
        <w:rPr>
          <w:rFonts w:ascii="Times New Roman" w:hAnsi="Times New Roman" w:cs="Times New Roman" w:eastAsia="Times New Roman" w:hint="default"/>
        </w:rPr>
        <w:t>Advantech</w:t>
      </w:r>
      <w:r>
        <w:rPr/>
        <w:t>的增资完成后，公司对图吧 </w:t>
      </w:r>
      <w:r>
        <w:rPr>
          <w:rFonts w:ascii="Times New Roman" w:hAnsi="Times New Roman" w:cs="Times New Roman" w:eastAsia="Times New Roman" w:hint="default"/>
        </w:rPr>
        <w:t>BVI</w:t>
      </w:r>
      <w:r>
        <w:rPr/>
        <w:t>的持股比例降为</w:t>
      </w:r>
      <w:r>
        <w:rPr>
          <w:rFonts w:ascii="Times New Roman" w:hAnsi="Times New Roman" w:cs="Times New Roman" w:eastAsia="Times New Roman" w:hint="default"/>
        </w:rPr>
        <w:t>46.930%</w:t>
      </w:r>
      <w:r>
        <w:rPr/>
        <w:t>，图吧</w:t>
      </w:r>
      <w:r>
        <w:rPr>
          <w:rFonts w:ascii="Times New Roman" w:hAnsi="Times New Roman" w:cs="Times New Roman" w:eastAsia="Times New Roman" w:hint="default"/>
        </w:rPr>
        <w:t>BVI</w:t>
      </w:r>
      <w:r>
        <w:rPr/>
        <w:t>、北京图吧及其协议控制的境内公司北京四维智联科技有限公司（原名北京图为先科</w:t>
      </w:r>
      <w:r>
        <w:rPr>
          <w:w w:val="99"/>
        </w:rPr>
        <w:t> </w:t>
      </w:r>
      <w:r>
        <w:rPr/>
        <w:t>技有限公司，以下简称</w:t>
      </w:r>
      <w:r>
        <w:rPr>
          <w:rFonts w:ascii="Times New Roman" w:hAnsi="Times New Roman" w:cs="Times New Roman" w:eastAsia="Times New Roman" w:hint="default"/>
        </w:rPr>
        <w:t>“</w:t>
      </w:r>
      <w:r>
        <w:rPr/>
        <w:t>四维智联</w:t>
      </w:r>
      <w:r>
        <w:rPr>
          <w:rFonts w:ascii="Times New Roman" w:hAnsi="Times New Roman" w:cs="Times New Roman" w:eastAsia="Times New Roman" w:hint="default"/>
        </w:rPr>
        <w:t>”</w:t>
      </w:r>
      <w:r>
        <w:rPr/>
        <w:t>）以及四维智联子公司北京腾瑞万里科技有限公司、北京腾瑞万里信息技术有限公司、和 骊安（中国）汽车信息系统有限公司、上海趣驾信息科技有限公司、大连车为先科技有限公司（作为整体，下文简称为</w:t>
      </w:r>
      <w:r>
        <w:rPr>
          <w:rFonts w:ascii="Times New Roman" w:hAnsi="Times New Roman" w:cs="Times New Roman" w:eastAsia="Times New Roman" w:hint="default"/>
        </w:rPr>
        <w:t>“</w:t>
      </w:r>
      <w:r>
        <w:rPr/>
        <w:t>图</w:t>
      </w:r>
      <w:r>
        <w:rPr>
          <w:spacing w:val="-73"/>
        </w:rPr>
        <w:t> </w:t>
      </w:r>
      <w:r>
        <w:rPr>
          <w:spacing w:val="5"/>
        </w:rPr>
        <w:t>吧集团</w:t>
      </w:r>
      <w:r>
        <w:rPr>
          <w:rFonts w:ascii="Times New Roman" w:hAnsi="Times New Roman" w:cs="Times New Roman" w:eastAsia="Times New Roman" w:hint="default"/>
          <w:spacing w:val="5"/>
        </w:rPr>
        <w:t>”</w:t>
      </w:r>
      <w:r>
        <w:rPr>
          <w:spacing w:val="5"/>
        </w:rPr>
        <w:t>）不再纳入公司合并范围。在蔚来资本行使对图吧</w:t>
      </w:r>
      <w:r>
        <w:rPr>
          <w:rFonts w:ascii="Times New Roman" w:hAnsi="Times New Roman" w:cs="Times New Roman" w:eastAsia="Times New Roman" w:hint="default"/>
          <w:spacing w:val="5"/>
        </w:rPr>
        <w:t>BVI</w:t>
      </w:r>
      <w:r>
        <w:rPr>
          <w:spacing w:val="5"/>
        </w:rPr>
        <w:t>的认股权后，公司对图吧</w:t>
      </w:r>
      <w:r>
        <w:rPr>
          <w:rFonts w:ascii="Times New Roman" w:hAnsi="Times New Roman" w:cs="Times New Roman" w:eastAsia="Times New Roman" w:hint="default"/>
          <w:spacing w:val="5"/>
        </w:rPr>
        <w:t>BVI</w:t>
      </w:r>
      <w:r>
        <w:rPr>
          <w:spacing w:val="5"/>
        </w:rPr>
        <w:t>的持股比例将进一步降至约</w:t>
      </w:r>
      <w:r>
        <w:rPr>
          <w:w w:val="99"/>
        </w:rPr>
        <w:t> </w:t>
      </w:r>
      <w:r>
        <w:rPr>
          <w:rFonts w:ascii="Times New Roman" w:hAnsi="Times New Roman" w:cs="Times New Roman" w:eastAsia="Times New Roman" w:hint="default"/>
        </w:rPr>
        <w:t>45.173%</w:t>
      </w:r>
      <w:r>
        <w:rPr/>
        <w:t>。</w:t>
      </w:r>
    </w:p>
    <w:p>
      <w:pPr>
        <w:pStyle w:val="BodyText"/>
        <w:spacing w:line="300" w:lineRule="auto" w:before="133"/>
        <w:ind w:right="1131" w:firstLine="360"/>
        <w:jc w:val="both"/>
      </w:pPr>
      <w:r>
        <w:rPr>
          <w:spacing w:val="-2"/>
        </w:rPr>
        <w:t>根据</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27</w:t>
      </w:r>
      <w:r>
        <w:rPr>
          <w:spacing w:val="-2"/>
        </w:rPr>
        <w:t>日股东会书面决议修订及重述的图吧</w:t>
      </w:r>
      <w:r>
        <w:rPr>
          <w:rFonts w:ascii="Times New Roman" w:hAnsi="Times New Roman" w:cs="Times New Roman" w:eastAsia="Times New Roman" w:hint="default"/>
          <w:spacing w:val="-2"/>
        </w:rPr>
        <w:t>BVI</w:t>
      </w:r>
      <w:r>
        <w:rPr>
          <w:spacing w:val="-2"/>
        </w:rPr>
        <w:t>公司章程约定，图吧</w:t>
      </w:r>
      <w:r>
        <w:rPr>
          <w:rFonts w:ascii="Times New Roman" w:hAnsi="Times New Roman" w:cs="Times New Roman" w:eastAsia="Times New Roman" w:hint="default"/>
          <w:spacing w:val="-2"/>
        </w:rPr>
        <w:t>BVI</w:t>
      </w:r>
      <w:r>
        <w:rPr>
          <w:spacing w:val="-2"/>
        </w:rPr>
        <w:t>董事会共设有</w:t>
      </w:r>
      <w:r>
        <w:rPr>
          <w:rFonts w:ascii="Times New Roman" w:hAnsi="Times New Roman" w:cs="Times New Roman" w:eastAsia="Times New Roman" w:hint="default"/>
          <w:spacing w:val="-2"/>
        </w:rPr>
        <w:t>7</w:t>
      </w:r>
      <w:r>
        <w:rPr>
          <w:spacing w:val="-2"/>
        </w:rPr>
        <w:t>位董事，其中四维图</w:t>
      </w:r>
      <w:r>
        <w:rPr>
          <w:w w:val="99"/>
        </w:rPr>
        <w:t> </w:t>
      </w:r>
      <w:r>
        <w:rPr/>
        <w:t>新（香港）有限公司有权任命及选举其中的三位，其余四位股东</w:t>
      </w:r>
      <w:r>
        <w:rPr>
          <w:rFonts w:ascii="Times New Roman" w:hAnsi="Times New Roman" w:cs="Times New Roman" w:eastAsia="Times New Roman" w:hint="default"/>
        </w:rPr>
        <w:t>Image</w:t>
      </w:r>
      <w:r>
        <w:rPr>
          <w:rFonts w:ascii="Times New Roman" w:hAnsi="Times New Roman" w:cs="Times New Roman" w:eastAsia="Times New Roman" w:hint="default"/>
          <w:spacing w:val="-31"/>
        </w:rPr>
        <w:t> </w:t>
      </w:r>
      <w:r>
        <w:rPr>
          <w:rFonts w:ascii="Times New Roman" w:hAnsi="Times New Roman" w:cs="Times New Roman" w:eastAsia="Times New Roman" w:hint="default"/>
        </w:rPr>
        <w:t>Cyber</w:t>
      </w:r>
      <w:r>
        <w:rPr/>
        <w:t>、</w:t>
      </w:r>
      <w:r>
        <w:rPr>
          <w:rFonts w:ascii="Times New Roman" w:hAnsi="Times New Roman" w:cs="Times New Roman" w:eastAsia="Times New Roman" w:hint="default"/>
        </w:rPr>
        <w:t>Top</w:t>
      </w:r>
      <w:r>
        <w:rPr>
          <w:rFonts w:ascii="Times New Roman" w:hAnsi="Times New Roman" w:cs="Times New Roman" w:eastAsia="Times New Roman" w:hint="default"/>
          <w:spacing w:val="-30"/>
        </w:rPr>
        <w:t> </w:t>
      </w:r>
      <w:r>
        <w:rPr>
          <w:rFonts w:ascii="Times New Roman" w:hAnsi="Times New Roman" w:cs="Times New Roman" w:eastAsia="Times New Roman" w:hint="default"/>
        </w:rPr>
        <w:t>Grove</w:t>
      </w:r>
      <w:r>
        <w:rPr/>
        <w:t>、蔚来资本以及</w:t>
      </w:r>
      <w:r>
        <w:rPr>
          <w:rFonts w:ascii="Times New Roman" w:hAnsi="Times New Roman" w:cs="Times New Roman" w:eastAsia="Times New Roman" w:hint="default"/>
        </w:rPr>
        <w:t>Advantech</w:t>
      </w:r>
      <w:r>
        <w:rPr/>
        <w:t>各有权力 任命一位董事。</w:t>
      </w:r>
    </w:p>
    <w:p>
      <w:pPr>
        <w:pStyle w:val="BodyText"/>
        <w:spacing w:line="300" w:lineRule="auto" w:before="151"/>
        <w:ind w:right="1131" w:firstLine="360"/>
        <w:jc w:val="both"/>
      </w:pPr>
      <w:r>
        <w:rPr/>
        <w:t>此外，图吧</w:t>
      </w:r>
      <w:r>
        <w:rPr>
          <w:rFonts w:ascii="Times New Roman" w:hAnsi="Times New Roman" w:cs="Times New Roman" w:eastAsia="Times New Roman" w:hint="default"/>
        </w:rPr>
        <w:t>BVI</w:t>
      </w:r>
      <w:r>
        <w:rPr/>
        <w:t>股东</w:t>
      </w:r>
      <w:r>
        <w:rPr>
          <w:rFonts w:ascii="Times New Roman" w:hAnsi="Times New Roman" w:cs="Times New Roman" w:eastAsia="Times New Roman" w:hint="default"/>
        </w:rPr>
        <w:t>Gaintech</w:t>
      </w:r>
      <w:r>
        <w:rPr/>
        <w:t>在持有图吧</w:t>
      </w:r>
      <w:r>
        <w:rPr>
          <w:rFonts w:ascii="Times New Roman" w:hAnsi="Times New Roman" w:cs="Times New Roman" w:eastAsia="Times New Roman" w:hint="default"/>
        </w:rPr>
        <w:t>BVI</w:t>
      </w:r>
      <w:r>
        <w:rPr/>
        <w:t>股权期间，图吧</w:t>
      </w:r>
      <w:r>
        <w:rPr>
          <w:rFonts w:ascii="Times New Roman" w:hAnsi="Times New Roman" w:cs="Times New Roman" w:eastAsia="Times New Roman" w:hint="default"/>
        </w:rPr>
        <w:t>BVI</w:t>
      </w:r>
      <w:r>
        <w:rPr/>
        <w:t>允许其以无投票权的观察员身份参加图吧</w:t>
      </w:r>
      <w:r>
        <w:rPr>
          <w:rFonts w:ascii="Times New Roman" w:hAnsi="Times New Roman" w:cs="Times New Roman" w:eastAsia="Times New Roman" w:hint="default"/>
        </w:rPr>
        <w:t>BVI</w:t>
      </w:r>
      <w:r>
        <w:rPr/>
        <w:t>任何形式</w:t>
      </w:r>
      <w:r>
        <w:rPr>
          <w:w w:val="99"/>
        </w:rPr>
        <w:t> </w:t>
      </w:r>
      <w:r>
        <w:rPr/>
        <w:t>的董事会会议，并取得会议相关的任何材料。</w:t>
      </w:r>
    </w:p>
    <w:p>
      <w:pPr>
        <w:pStyle w:val="BodyText"/>
        <w:spacing w:line="240" w:lineRule="auto" w:before="151"/>
        <w:ind w:left="513" w:right="982"/>
        <w:jc w:val="left"/>
      </w:pPr>
      <w:r>
        <w:rPr/>
        <w:t>鉴于任何图吧</w:t>
      </w:r>
      <w:r>
        <w:rPr>
          <w:rFonts w:ascii="Times New Roman" w:hAnsi="Times New Roman" w:cs="Times New Roman" w:eastAsia="Times New Roman" w:hint="default"/>
        </w:rPr>
        <w:t>BVI</w:t>
      </w:r>
      <w:r>
        <w:rPr/>
        <w:t>股东均无法任命超过半数的董事席位，因此本公司判断经过此次增资，本公司已失去对图吧</w:t>
      </w:r>
      <w:r>
        <w:rPr>
          <w:rFonts w:ascii="Times New Roman" w:hAnsi="Times New Roman" w:cs="Times New Roman" w:eastAsia="Times New Roman" w:hint="default"/>
        </w:rPr>
        <w:t>BVI</w:t>
      </w:r>
      <w:r>
        <w:rPr/>
        <w:t>控制</w:t>
      </w:r>
    </w:p>
    <w:p>
      <w:pPr>
        <w:spacing w:after="0" w:line="240" w:lineRule="auto"/>
        <w:jc w:val="left"/>
        <w:sectPr>
          <w:pgSz w:w="11910" w:h="16840"/>
          <w:pgMar w:header="745" w:footer="979" w:top="1060" w:bottom="1160" w:left="980" w:right="0"/>
        </w:sectPr>
      </w:pPr>
    </w:p>
    <w:p>
      <w:pPr>
        <w:spacing w:line="240" w:lineRule="auto" w:before="9"/>
        <w:rPr>
          <w:rFonts w:ascii="宋体" w:hAnsi="宋体" w:cs="宋体" w:eastAsia="宋体" w:hint="default"/>
          <w:sz w:val="25"/>
          <w:szCs w:val="25"/>
        </w:rPr>
      </w:pPr>
    </w:p>
    <w:p>
      <w:pPr>
        <w:pStyle w:val="BodyText"/>
        <w:spacing w:line="240" w:lineRule="auto" w:before="44"/>
        <w:ind w:right="982"/>
        <w:jc w:val="left"/>
      </w:pPr>
      <w:r>
        <w:rPr/>
        <w:t>权，自</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月起，不再将图吧集团纳入合并范围。</w:t>
      </w:r>
    </w:p>
    <w:p>
      <w:pPr>
        <w:spacing w:line="240" w:lineRule="auto" w:before="0"/>
        <w:rPr>
          <w:rFonts w:ascii="宋体" w:hAnsi="宋体" w:cs="宋体" w:eastAsia="宋体" w:hint="default"/>
          <w:sz w:val="14"/>
          <w:szCs w:val="14"/>
        </w:rPr>
      </w:pPr>
    </w:p>
    <w:p>
      <w:pPr>
        <w:pStyle w:val="BodyText"/>
        <w:spacing w:line="300" w:lineRule="auto"/>
        <w:ind w:right="1128" w:firstLine="360"/>
        <w:jc w:val="both"/>
      </w:pPr>
      <w:r>
        <w:rPr/>
        <w:t>（</w:t>
      </w:r>
      <w:r>
        <w:rPr>
          <w:rFonts w:ascii="Times New Roman" w:hAnsi="Times New Roman" w:cs="Times New Roman" w:eastAsia="Times New Roman" w:hint="default"/>
        </w:rPr>
        <w:t>2</w:t>
      </w:r>
      <w:r>
        <w:rPr/>
        <w:t>）本公司与合肥杰发科技有限公司（以下简称</w:t>
      </w:r>
      <w:r>
        <w:rPr>
          <w:spacing w:val="-1"/>
        </w:rPr>
        <w:t> </w:t>
      </w:r>
      <w:r>
        <w:rPr/>
        <w:t>杰发科技）原股东于</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6</w:t>
      </w:r>
      <w:r>
        <w:rPr/>
        <w:t>月签订了《发行股份及支付现金购买资 </w:t>
      </w:r>
      <w:r>
        <w:rPr>
          <w:spacing w:val="-2"/>
        </w:rPr>
        <w:t>产暨利润补偿协议》。根据协议约定，本公司收购杰发科技股权对价款共计</w:t>
      </w:r>
      <w:r>
        <w:rPr>
          <w:rFonts w:ascii="Times New Roman" w:hAnsi="Times New Roman" w:cs="Times New Roman" w:eastAsia="Times New Roman" w:hint="default"/>
          <w:spacing w:val="-2"/>
        </w:rPr>
        <w:t>387,510.00</w:t>
      </w:r>
      <w:r>
        <w:rPr>
          <w:spacing w:val="-2"/>
        </w:rPr>
        <w:t>万元，其中现金对价人民币</w:t>
      </w:r>
      <w:r>
        <w:rPr>
          <w:rFonts w:ascii="Times New Roman" w:hAnsi="Times New Roman" w:cs="Times New Roman" w:eastAsia="Times New Roman" w:hint="default"/>
          <w:spacing w:val="-2"/>
        </w:rPr>
        <w:t>354,459.33</w:t>
      </w:r>
      <w:r>
        <w:rPr>
          <w:rFonts w:ascii="Times New Roman" w:hAnsi="Times New Roman" w:cs="Times New Roman" w:eastAsia="Times New Roman" w:hint="default"/>
        </w:rPr>
        <w:t> </w:t>
      </w:r>
      <w:r>
        <w:rPr>
          <w:rFonts w:ascii="Times New Roman" w:hAnsi="Times New Roman" w:cs="Times New Roman" w:eastAsia="Times New Roman" w:hint="default"/>
        </w:rPr>
      </w:r>
      <w:r>
        <w:rPr/>
        <w:t>万元，股份对价人民币</w:t>
      </w:r>
      <w:r>
        <w:rPr>
          <w:rFonts w:ascii="Times New Roman" w:hAnsi="Times New Roman" w:cs="Times New Roman" w:eastAsia="Times New Roman" w:hint="default"/>
        </w:rPr>
        <w:t>33,050.67</w:t>
      </w:r>
      <w:r>
        <w:rPr/>
        <w:t>万元。</w:t>
      </w:r>
    </w:p>
    <w:p>
      <w:pPr>
        <w:pStyle w:val="BodyText"/>
        <w:spacing w:line="240" w:lineRule="auto" w:before="133"/>
        <w:ind w:left="513" w:right="982"/>
        <w:jc w:val="left"/>
      </w:pPr>
      <w:r>
        <w:rPr/>
        <w:t>此外，根据协议约定，本公司与杰发科技</w:t>
      </w:r>
      <w:r>
        <w:rPr>
          <w:rFonts w:ascii="Times New Roman" w:hAnsi="Times New Roman" w:cs="Times New Roman" w:eastAsia="Times New Roman" w:hint="default"/>
        </w:rPr>
        <w:t>11</w:t>
      </w:r>
      <w:r>
        <w:rPr/>
        <w:t>位原股东对杰发科技</w:t>
      </w:r>
      <w:r>
        <w:rPr>
          <w:rFonts w:ascii="Times New Roman" w:hAnsi="Times New Roman" w:cs="Times New Roman" w:eastAsia="Times New Roman" w:hint="default"/>
        </w:rPr>
        <w:t>2016</w:t>
      </w:r>
      <w:r>
        <w:rPr/>
        <w:t>年度至</w:t>
      </w:r>
      <w:r>
        <w:rPr>
          <w:rFonts w:ascii="Times New Roman" w:hAnsi="Times New Roman" w:cs="Times New Roman" w:eastAsia="Times New Roman" w:hint="default"/>
        </w:rPr>
        <w:t>2018</w:t>
      </w:r>
      <w:r>
        <w:rPr/>
        <w:t>年度的预测净利润进行承诺如下：</w:t>
      </w:r>
    </w:p>
    <w:p>
      <w:pPr>
        <w:spacing w:line="240" w:lineRule="auto" w:before="13"/>
        <w:rPr>
          <w:rFonts w:ascii="宋体" w:hAnsi="宋体" w:cs="宋体" w:eastAsia="宋体" w:hint="default"/>
          <w:sz w:val="13"/>
          <w:szCs w:val="13"/>
        </w:rPr>
      </w:pPr>
    </w:p>
    <w:p>
      <w:pPr>
        <w:pStyle w:val="BodyText"/>
        <w:spacing w:line="240" w:lineRule="auto"/>
        <w:ind w:left="0" w:right="1131"/>
        <w:jc w:val="right"/>
      </w:pPr>
      <w:r>
        <w:rPr/>
        <w:t>单位：人民币万元</w:t>
      </w:r>
    </w:p>
    <w:p>
      <w:pPr>
        <w:spacing w:line="240" w:lineRule="auto" w:before="3"/>
        <w:rPr>
          <w:rFonts w:ascii="宋体" w:hAnsi="宋体" w:cs="宋体" w:eastAsia="宋体" w:hint="default"/>
          <w:sz w:val="5"/>
          <w:szCs w:val="5"/>
        </w:rPr>
      </w:pPr>
    </w:p>
    <w:tbl>
      <w:tblPr>
        <w:tblW w:w="0" w:type="auto"/>
        <w:jc w:val="left"/>
        <w:tblInd w:w="145" w:type="dxa"/>
        <w:tblLayout w:type="fixed"/>
        <w:tblCellMar>
          <w:top w:w="0" w:type="dxa"/>
          <w:left w:w="0" w:type="dxa"/>
          <w:bottom w:w="0" w:type="dxa"/>
          <w:right w:w="0" w:type="dxa"/>
        </w:tblCellMar>
        <w:tblLook w:val="01E0"/>
      </w:tblPr>
      <w:tblGrid>
        <w:gridCol w:w="2432"/>
        <w:gridCol w:w="1676"/>
        <w:gridCol w:w="1673"/>
        <w:gridCol w:w="1370"/>
        <w:gridCol w:w="2489"/>
      </w:tblGrid>
      <w:tr>
        <w:trPr>
          <w:trHeight w:val="348" w:hRule="exact"/>
        </w:trPr>
        <w:tc>
          <w:tcPr>
            <w:tcW w:w="24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6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3"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宋体" w:hAnsi="宋体" w:cs="宋体" w:eastAsia="宋体" w:hint="default"/>
                <w:sz w:val="18"/>
                <w:szCs w:val="18"/>
              </w:rPr>
              <w:t>年度</w:t>
            </w:r>
          </w:p>
        </w:tc>
        <w:tc>
          <w:tcPr>
            <w:tcW w:w="16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47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年度</w:t>
            </w: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年度</w:t>
            </w:r>
          </w:p>
        </w:tc>
        <w:tc>
          <w:tcPr>
            <w:tcW w:w="24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1" w:right="0"/>
              <w:jc w:val="center"/>
              <w:rPr>
                <w:rFonts w:ascii="宋体" w:hAnsi="宋体" w:cs="宋体" w:eastAsia="宋体" w:hint="default"/>
                <w:sz w:val="18"/>
                <w:szCs w:val="18"/>
              </w:rPr>
            </w:pPr>
            <w:r>
              <w:rPr>
                <w:rFonts w:ascii="宋体" w:hAnsi="宋体" w:cs="宋体" w:eastAsia="宋体" w:hint="default"/>
                <w:sz w:val="18"/>
                <w:szCs w:val="18"/>
              </w:rPr>
              <w:t>三年累计</w:t>
            </w:r>
          </w:p>
        </w:tc>
      </w:tr>
      <w:tr>
        <w:trPr>
          <w:trHeight w:val="346" w:hRule="exact"/>
        </w:trPr>
        <w:tc>
          <w:tcPr>
            <w:tcW w:w="24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 w:right="0"/>
              <w:jc w:val="center"/>
              <w:rPr>
                <w:rFonts w:ascii="宋体" w:hAnsi="宋体" w:cs="宋体" w:eastAsia="宋体" w:hint="default"/>
                <w:sz w:val="18"/>
                <w:szCs w:val="18"/>
              </w:rPr>
            </w:pPr>
            <w:r>
              <w:rPr>
                <w:rFonts w:ascii="宋体" w:hAnsi="宋体" w:cs="宋体" w:eastAsia="宋体" w:hint="default"/>
                <w:sz w:val="18"/>
                <w:szCs w:val="18"/>
              </w:rPr>
              <w:t>承诺的杰发科技净利润</w:t>
            </w:r>
          </w:p>
        </w:tc>
        <w:tc>
          <w:tcPr>
            <w:tcW w:w="16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18,665.07</w:t>
            </w:r>
          </w:p>
        </w:tc>
        <w:tc>
          <w:tcPr>
            <w:tcW w:w="16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470" w:right="0"/>
              <w:jc w:val="left"/>
              <w:rPr>
                <w:rFonts w:ascii="Times New Roman" w:hAnsi="Times New Roman" w:cs="Times New Roman" w:eastAsia="Times New Roman" w:hint="default"/>
                <w:sz w:val="18"/>
                <w:szCs w:val="18"/>
              </w:rPr>
            </w:pPr>
            <w:r>
              <w:rPr>
                <w:rFonts w:ascii="Times New Roman"/>
                <w:sz w:val="18"/>
              </w:rPr>
              <w:t>22,798.51</w:t>
            </w: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center"/>
              <w:rPr>
                <w:rFonts w:ascii="Times New Roman" w:hAnsi="Times New Roman" w:cs="Times New Roman" w:eastAsia="Times New Roman" w:hint="default"/>
                <w:sz w:val="18"/>
                <w:szCs w:val="18"/>
              </w:rPr>
            </w:pPr>
            <w:r>
              <w:rPr>
                <w:rFonts w:ascii="Times New Roman"/>
                <w:sz w:val="18"/>
              </w:rPr>
              <w:t>30,290.37</w:t>
            </w:r>
          </w:p>
        </w:tc>
        <w:tc>
          <w:tcPr>
            <w:tcW w:w="24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center"/>
              <w:rPr>
                <w:rFonts w:ascii="Times New Roman" w:hAnsi="Times New Roman" w:cs="Times New Roman" w:eastAsia="Times New Roman" w:hint="default"/>
                <w:sz w:val="18"/>
                <w:szCs w:val="18"/>
              </w:rPr>
            </w:pPr>
            <w:r>
              <w:rPr>
                <w:rFonts w:ascii="Times New Roman"/>
                <w:sz w:val="18"/>
              </w:rPr>
              <w:t>71,753.94</w:t>
            </w:r>
          </w:p>
        </w:tc>
      </w:tr>
    </w:tbl>
    <w:p>
      <w:pPr>
        <w:spacing w:line="240" w:lineRule="auto" w:before="5"/>
        <w:rPr>
          <w:rFonts w:ascii="宋体" w:hAnsi="宋体" w:cs="宋体" w:eastAsia="宋体" w:hint="default"/>
          <w:sz w:val="6"/>
          <w:szCs w:val="6"/>
        </w:rPr>
      </w:pPr>
    </w:p>
    <w:p>
      <w:pPr>
        <w:pStyle w:val="BodyText"/>
        <w:spacing w:line="300" w:lineRule="auto" w:before="44"/>
        <w:ind w:right="1132" w:firstLine="360"/>
        <w:jc w:val="both"/>
      </w:pPr>
      <w:r>
        <w:rPr>
          <w:spacing w:val="-2"/>
        </w:rPr>
        <w:t>如果杰发科技</w:t>
      </w:r>
      <w:r>
        <w:rPr>
          <w:rFonts w:ascii="Times New Roman" w:hAnsi="Times New Roman" w:cs="Times New Roman" w:eastAsia="Times New Roman" w:hint="default"/>
          <w:spacing w:val="-2"/>
        </w:rPr>
        <w:t>2016</w:t>
      </w:r>
      <w:r>
        <w:rPr>
          <w:spacing w:val="-2"/>
        </w:rPr>
        <w:t>年至</w:t>
      </w:r>
      <w:r>
        <w:rPr>
          <w:rFonts w:ascii="Times New Roman" w:hAnsi="Times New Roman" w:cs="Times New Roman" w:eastAsia="Times New Roman" w:hint="default"/>
          <w:spacing w:val="-2"/>
        </w:rPr>
        <w:t>2018</w:t>
      </w:r>
      <w:r>
        <w:rPr>
          <w:spacing w:val="-2"/>
        </w:rPr>
        <w:t>年三个年度实际累计实现净利润与三年预测累计净利润存在差异，则股权转让现金对价按照</w:t>
      </w:r>
      <w:r>
        <w:rPr/>
        <w:t> 下述方式和原则进行调整：</w:t>
      </w:r>
    </w:p>
    <w:p>
      <w:pPr>
        <w:pStyle w:val="BodyText"/>
        <w:spacing w:line="300" w:lineRule="auto" w:before="152"/>
        <w:ind w:right="1129" w:firstLine="360"/>
        <w:jc w:val="both"/>
      </w:pPr>
      <w:r>
        <w:rPr/>
        <w:t>交易对价调整公式为：调整后的交易对价 </w:t>
      </w:r>
      <w:r>
        <w:rPr>
          <w:rFonts w:ascii="Times New Roman" w:hAnsi="Times New Roman" w:cs="Times New Roman" w:eastAsia="Times New Roman" w:hint="default"/>
        </w:rPr>
        <w:t>= </w:t>
      </w:r>
      <w:r>
        <w:rPr/>
        <w:t>原交易对价（即</w:t>
      </w:r>
      <w:r>
        <w:rPr>
          <w:rFonts w:ascii="Times New Roman" w:hAnsi="Times New Roman" w:cs="Times New Roman" w:eastAsia="Times New Roman" w:hint="default"/>
        </w:rPr>
        <w:t>387,510.00</w:t>
      </w:r>
      <w:r>
        <w:rPr/>
        <w:t>万元）</w:t>
      </w:r>
      <w:r>
        <w:rPr>
          <w:rFonts w:ascii="Times New Roman" w:hAnsi="Times New Roman" w:cs="Times New Roman" w:eastAsia="Times New Roman" w:hint="default"/>
        </w:rPr>
        <w:t>× </w:t>
      </w:r>
      <w:r>
        <w:rPr/>
        <w:t>三年累计实现净利润 </w:t>
      </w:r>
      <w:r>
        <w:rPr>
          <w:rFonts w:ascii="Times New Roman" w:hAnsi="Times New Roman" w:cs="Times New Roman" w:eastAsia="Times New Roman" w:hint="default"/>
        </w:rPr>
        <w:t>÷</w:t>
      </w:r>
      <w:r>
        <w:rPr>
          <w:rFonts w:ascii="Times New Roman" w:hAnsi="Times New Roman" w:cs="Times New Roman" w:eastAsia="Times New Roman" w:hint="default"/>
          <w:spacing w:val="10"/>
        </w:rPr>
        <w:t> </w:t>
      </w:r>
      <w:r>
        <w:rPr/>
        <w:t>三年累计预测 净利润。</w:t>
      </w:r>
    </w:p>
    <w:p>
      <w:pPr>
        <w:pStyle w:val="BodyText"/>
        <w:spacing w:line="300" w:lineRule="auto" w:before="151"/>
        <w:ind w:right="1135" w:firstLine="360"/>
        <w:jc w:val="both"/>
      </w:pPr>
      <w:r>
        <w:rPr/>
        <w:t>根据上述公式计算的对价调增金额最高不超过</w:t>
      </w:r>
      <w:r>
        <w:rPr>
          <w:rFonts w:ascii="Times New Roman" w:hAnsi="Times New Roman" w:cs="Times New Roman" w:eastAsia="Times New Roman" w:hint="default"/>
        </w:rPr>
        <w:t>64,585.00</w:t>
      </w:r>
      <w:r>
        <w:rPr/>
        <w:t>万元且不超过三年累计实现净利润扣减三年累计预测净利润的 差额，调减金额最高不超过</w:t>
      </w:r>
      <w:r>
        <w:rPr>
          <w:rFonts w:ascii="Times New Roman" w:hAnsi="Times New Roman" w:cs="Times New Roman" w:eastAsia="Times New Roman" w:hint="default"/>
        </w:rPr>
        <w:t>64,585.00</w:t>
      </w:r>
      <w:r>
        <w:rPr/>
        <w:t>万元。</w:t>
      </w:r>
    </w:p>
    <w:p>
      <w:pPr>
        <w:pStyle w:val="BodyText"/>
        <w:spacing w:line="300" w:lineRule="auto" w:before="133"/>
        <w:ind w:right="1131" w:firstLine="360"/>
        <w:jc w:val="both"/>
      </w:pPr>
      <w:r>
        <w:rPr>
          <w:rFonts w:ascii="Times New Roman" w:hAnsi="Times New Roman" w:cs="Times New Roman" w:eastAsia="Times New Roman" w:hint="default"/>
        </w:rPr>
        <w:t>2015</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30</w:t>
      </w:r>
      <w:r>
        <w:rPr/>
        <w:t>日，雷凌科技、联发科技股份有限公司出具补充承诺，如果根据《发行股份及支付现金购买资产暨利润补 偿协议》中约定公式计算的交易对价调减金额超过</w:t>
      </w:r>
      <w:r>
        <w:rPr>
          <w:rFonts w:ascii="Times New Roman" w:hAnsi="Times New Roman" w:cs="Times New Roman" w:eastAsia="Times New Roman" w:hint="default"/>
        </w:rPr>
        <w:t>6.4585</w:t>
      </w:r>
      <w:r>
        <w:rPr/>
        <w:t>亿元，除其中</w:t>
      </w:r>
      <w:r>
        <w:rPr>
          <w:rFonts w:ascii="Times New Roman" w:hAnsi="Times New Roman" w:cs="Times New Roman" w:eastAsia="Times New Roman" w:hint="default"/>
        </w:rPr>
        <w:t>6.4585</w:t>
      </w:r>
      <w:r>
        <w:rPr/>
        <w:t>亿元部分仍按《发行股份及支付现金购买资产</w:t>
      </w:r>
      <w:r>
        <w:rPr>
          <w:spacing w:val="-87"/>
        </w:rPr>
        <w:t> </w:t>
      </w:r>
      <w:r>
        <w:rPr>
          <w:spacing w:val="-87"/>
        </w:rPr>
      </w:r>
      <w:r>
        <w:rPr>
          <w:spacing w:val="-1"/>
        </w:rPr>
        <w:t>暨利润补偿协议》的约定由杰发科技全体股东对本公司予以补偿外，超出</w:t>
      </w:r>
      <w:r>
        <w:rPr>
          <w:rFonts w:ascii="Times New Roman" w:hAnsi="Times New Roman" w:cs="Times New Roman" w:eastAsia="Times New Roman" w:hint="default"/>
          <w:spacing w:val="-1"/>
        </w:rPr>
        <w:t>6.4585</w:t>
      </w:r>
      <w:r>
        <w:rPr>
          <w:spacing w:val="-1"/>
        </w:rPr>
        <w:t>亿元部分的</w:t>
      </w:r>
      <w:r>
        <w:rPr>
          <w:rFonts w:ascii="Times New Roman" w:hAnsi="Times New Roman" w:cs="Times New Roman" w:eastAsia="Times New Roman" w:hint="default"/>
          <w:spacing w:val="-1"/>
        </w:rPr>
        <w:t>82.90%</w:t>
      </w:r>
      <w:r>
        <w:rPr>
          <w:spacing w:val="-1"/>
        </w:rPr>
        <w:t>由雷凌科技以人民币现金</w:t>
      </w:r>
      <w:r>
        <w:rPr>
          <w:spacing w:val="-86"/>
        </w:rPr>
        <w:t> </w:t>
      </w:r>
      <w:r>
        <w:rPr>
          <w:spacing w:val="-86"/>
        </w:rPr>
      </w:r>
      <w:r>
        <w:rPr>
          <w:spacing w:val="-2"/>
        </w:rPr>
        <w:t>对本公司予以补偿，雷凌科技将在交易对价调减金额经计算确定后的</w:t>
      </w:r>
      <w:r>
        <w:rPr>
          <w:rFonts w:ascii="Times New Roman" w:hAnsi="Times New Roman" w:cs="Times New Roman" w:eastAsia="Times New Roman" w:hint="default"/>
          <w:spacing w:val="-2"/>
        </w:rPr>
        <w:t>60</w:t>
      </w:r>
      <w:r>
        <w:rPr>
          <w:spacing w:val="-2"/>
        </w:rPr>
        <w:t>日内一次性向本公司支付，联发科技股份有限公司将</w:t>
      </w:r>
      <w:r>
        <w:rPr>
          <w:spacing w:val="-62"/>
        </w:rPr>
        <w:t> </w:t>
      </w:r>
      <w:r>
        <w:rPr>
          <w:spacing w:val="-62"/>
        </w:rPr>
      </w:r>
      <w:r>
        <w:rPr/>
        <w:t>以连带责任方式承担前述补偿责任。</w:t>
      </w:r>
    </w:p>
    <w:p>
      <w:pPr>
        <w:pStyle w:val="BodyText"/>
        <w:spacing w:line="240" w:lineRule="auto" w:before="152"/>
        <w:ind w:left="513" w:right="982"/>
        <w:jc w:val="left"/>
      </w:pPr>
      <w:r>
        <w:rPr>
          <w:rFonts w:ascii="Times New Roman" w:hAnsi="Times New Roman" w:cs="Times New Roman" w:eastAsia="Times New Roman" w:hint="default"/>
        </w:rPr>
        <w:t>2016-2018</w:t>
      </w:r>
      <w:r>
        <w:rPr/>
        <w:t>年度，杰发科技经信永中和会计师事务所（特殊普通合伙）审计的归属于母公司净利润实现情况如下：</w:t>
      </w:r>
    </w:p>
    <w:p>
      <w:pPr>
        <w:spacing w:line="240" w:lineRule="auto" w:before="5"/>
        <w:rPr>
          <w:rFonts w:ascii="宋体" w:hAnsi="宋体" w:cs="宋体" w:eastAsia="宋体" w:hint="default"/>
          <w:sz w:val="13"/>
          <w:szCs w:val="13"/>
        </w:rPr>
      </w:pPr>
    </w:p>
    <w:tbl>
      <w:tblPr>
        <w:tblW w:w="0" w:type="auto"/>
        <w:jc w:val="left"/>
        <w:tblInd w:w="145" w:type="dxa"/>
        <w:tblLayout w:type="fixed"/>
        <w:tblCellMar>
          <w:top w:w="0" w:type="dxa"/>
          <w:left w:w="0" w:type="dxa"/>
          <w:bottom w:w="0" w:type="dxa"/>
          <w:right w:w="0" w:type="dxa"/>
        </w:tblCellMar>
        <w:tblLook w:val="01E0"/>
      </w:tblPr>
      <w:tblGrid>
        <w:gridCol w:w="2206"/>
        <w:gridCol w:w="2110"/>
        <w:gridCol w:w="2108"/>
        <w:gridCol w:w="3217"/>
      </w:tblGrid>
      <w:tr>
        <w:trPr>
          <w:trHeight w:val="348" w:hRule="exact"/>
        </w:trPr>
        <w:tc>
          <w:tcPr>
            <w:tcW w:w="2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center"/>
              <w:rPr>
                <w:rFonts w:ascii="宋体" w:hAnsi="宋体" w:cs="宋体" w:eastAsia="宋体" w:hint="default"/>
                <w:sz w:val="18"/>
                <w:szCs w:val="18"/>
              </w:rPr>
            </w:pPr>
            <w:r>
              <w:rPr>
                <w:rFonts w:ascii="宋体" w:hAnsi="宋体" w:cs="宋体" w:eastAsia="宋体" w:hint="default"/>
                <w:sz w:val="18"/>
                <w:szCs w:val="18"/>
              </w:rPr>
              <w:t>期间</w:t>
            </w:r>
          </w:p>
        </w:tc>
        <w:tc>
          <w:tcPr>
            <w:tcW w:w="21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3" w:right="0"/>
              <w:jc w:val="center"/>
              <w:rPr>
                <w:rFonts w:ascii="宋体" w:hAnsi="宋体" w:cs="宋体" w:eastAsia="宋体" w:hint="default"/>
                <w:sz w:val="18"/>
                <w:szCs w:val="18"/>
              </w:rPr>
            </w:pPr>
            <w:r>
              <w:rPr>
                <w:rFonts w:ascii="宋体" w:hAnsi="宋体" w:cs="宋体" w:eastAsia="宋体" w:hint="default"/>
                <w:sz w:val="18"/>
                <w:szCs w:val="18"/>
              </w:rPr>
              <w:t>承诺金额</w:t>
            </w:r>
          </w:p>
        </w:tc>
        <w:tc>
          <w:tcPr>
            <w:tcW w:w="21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实现金额</w:t>
            </w:r>
          </w:p>
        </w:tc>
        <w:tc>
          <w:tcPr>
            <w:tcW w:w="3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 w:right="0"/>
              <w:jc w:val="center"/>
              <w:rPr>
                <w:rFonts w:ascii="宋体" w:hAnsi="宋体" w:cs="宋体" w:eastAsia="宋体" w:hint="default"/>
                <w:sz w:val="18"/>
                <w:szCs w:val="18"/>
              </w:rPr>
            </w:pPr>
            <w:r>
              <w:rPr>
                <w:rFonts w:ascii="宋体" w:hAnsi="宋体" w:cs="宋体" w:eastAsia="宋体" w:hint="default"/>
                <w:sz w:val="18"/>
                <w:szCs w:val="18"/>
              </w:rPr>
              <w:t>实现率</w:t>
            </w:r>
          </w:p>
        </w:tc>
      </w:tr>
      <w:tr>
        <w:trPr>
          <w:trHeight w:val="348" w:hRule="exact"/>
        </w:trPr>
        <w:tc>
          <w:tcPr>
            <w:tcW w:w="2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5"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宋体" w:hAnsi="宋体" w:cs="宋体" w:eastAsia="宋体" w:hint="default"/>
                <w:sz w:val="18"/>
                <w:szCs w:val="18"/>
              </w:rPr>
              <w:t>年度</w:t>
            </w:r>
          </w:p>
        </w:tc>
        <w:tc>
          <w:tcPr>
            <w:tcW w:w="21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186,650,650.00</w:t>
            </w:r>
          </w:p>
        </w:tc>
        <w:tc>
          <w:tcPr>
            <w:tcW w:w="21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196,260,498.96</w:t>
            </w:r>
          </w:p>
        </w:tc>
        <w:tc>
          <w:tcPr>
            <w:tcW w:w="3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center"/>
              <w:rPr>
                <w:rFonts w:ascii="Times New Roman" w:hAnsi="Times New Roman" w:cs="Times New Roman" w:eastAsia="Times New Roman" w:hint="default"/>
                <w:sz w:val="18"/>
                <w:szCs w:val="18"/>
              </w:rPr>
            </w:pPr>
            <w:r>
              <w:rPr>
                <w:rFonts w:ascii="Times New Roman"/>
                <w:sz w:val="18"/>
              </w:rPr>
              <w:t>105.15%</w:t>
            </w:r>
          </w:p>
        </w:tc>
      </w:tr>
      <w:tr>
        <w:trPr>
          <w:trHeight w:val="346" w:hRule="exact"/>
        </w:trPr>
        <w:tc>
          <w:tcPr>
            <w:tcW w:w="2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5"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年度</w:t>
            </w:r>
          </w:p>
        </w:tc>
        <w:tc>
          <w:tcPr>
            <w:tcW w:w="21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227,985,050.00</w:t>
            </w:r>
          </w:p>
        </w:tc>
        <w:tc>
          <w:tcPr>
            <w:tcW w:w="21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208,169,499.36</w:t>
            </w:r>
          </w:p>
        </w:tc>
        <w:tc>
          <w:tcPr>
            <w:tcW w:w="3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4" w:right="0"/>
              <w:jc w:val="center"/>
              <w:rPr>
                <w:rFonts w:ascii="Times New Roman" w:hAnsi="Times New Roman" w:cs="Times New Roman" w:eastAsia="Times New Roman" w:hint="default"/>
                <w:sz w:val="18"/>
                <w:szCs w:val="18"/>
              </w:rPr>
            </w:pPr>
            <w:r>
              <w:rPr>
                <w:rFonts w:ascii="Times New Roman"/>
                <w:sz w:val="18"/>
              </w:rPr>
              <w:t>91.31%</w:t>
            </w:r>
          </w:p>
        </w:tc>
      </w:tr>
      <w:tr>
        <w:trPr>
          <w:trHeight w:val="348" w:hRule="exact"/>
        </w:trPr>
        <w:tc>
          <w:tcPr>
            <w:tcW w:w="2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5"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年度</w:t>
            </w:r>
          </w:p>
        </w:tc>
        <w:tc>
          <w:tcPr>
            <w:tcW w:w="21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center"/>
              <w:rPr>
                <w:rFonts w:ascii="Times New Roman" w:hAnsi="Times New Roman" w:cs="Times New Roman" w:eastAsia="Times New Roman" w:hint="default"/>
                <w:sz w:val="18"/>
                <w:szCs w:val="18"/>
              </w:rPr>
            </w:pPr>
            <w:r>
              <w:rPr>
                <w:rFonts w:ascii="Times New Roman"/>
                <w:sz w:val="18"/>
              </w:rPr>
              <w:t>302,903,650.00</w:t>
            </w:r>
          </w:p>
        </w:tc>
        <w:tc>
          <w:tcPr>
            <w:tcW w:w="21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center"/>
              <w:rPr>
                <w:rFonts w:ascii="Times New Roman" w:hAnsi="Times New Roman" w:cs="Times New Roman" w:eastAsia="Times New Roman" w:hint="default"/>
                <w:sz w:val="18"/>
                <w:szCs w:val="18"/>
              </w:rPr>
            </w:pPr>
            <w:r>
              <w:rPr>
                <w:rFonts w:ascii="Times New Roman"/>
                <w:sz w:val="18"/>
              </w:rPr>
              <w:t>199,061,172.47</w:t>
            </w:r>
          </w:p>
        </w:tc>
        <w:tc>
          <w:tcPr>
            <w:tcW w:w="3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4" w:right="0"/>
              <w:jc w:val="center"/>
              <w:rPr>
                <w:rFonts w:ascii="Times New Roman" w:hAnsi="Times New Roman" w:cs="Times New Roman" w:eastAsia="Times New Roman" w:hint="default"/>
                <w:sz w:val="18"/>
                <w:szCs w:val="18"/>
              </w:rPr>
            </w:pPr>
            <w:r>
              <w:rPr>
                <w:rFonts w:ascii="Times New Roman"/>
                <w:sz w:val="18"/>
              </w:rPr>
              <w:t>65.72%</w:t>
            </w:r>
          </w:p>
        </w:tc>
      </w:tr>
      <w:tr>
        <w:trPr>
          <w:trHeight w:val="348" w:hRule="exact"/>
        </w:trPr>
        <w:tc>
          <w:tcPr>
            <w:tcW w:w="2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 w:right="0"/>
              <w:jc w:val="center"/>
              <w:rPr>
                <w:rFonts w:ascii="宋体" w:hAnsi="宋体" w:cs="宋体" w:eastAsia="宋体" w:hint="default"/>
                <w:sz w:val="18"/>
                <w:szCs w:val="18"/>
              </w:rPr>
            </w:pPr>
            <w:r>
              <w:rPr>
                <w:rFonts w:ascii="宋体" w:hAnsi="宋体" w:cs="宋体" w:eastAsia="宋体" w:hint="default"/>
                <w:sz w:val="18"/>
                <w:szCs w:val="18"/>
              </w:rPr>
              <w:t>合计金额</w:t>
            </w:r>
          </w:p>
        </w:tc>
        <w:tc>
          <w:tcPr>
            <w:tcW w:w="21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717,539,350.00</w:t>
            </w:r>
          </w:p>
        </w:tc>
        <w:tc>
          <w:tcPr>
            <w:tcW w:w="21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603,491,170.79</w:t>
            </w:r>
          </w:p>
        </w:tc>
        <w:tc>
          <w:tcPr>
            <w:tcW w:w="3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4" w:right="0"/>
              <w:jc w:val="center"/>
              <w:rPr>
                <w:rFonts w:ascii="Times New Roman" w:hAnsi="Times New Roman" w:cs="Times New Roman" w:eastAsia="Times New Roman" w:hint="default"/>
                <w:sz w:val="18"/>
                <w:szCs w:val="18"/>
              </w:rPr>
            </w:pPr>
            <w:r>
              <w:rPr>
                <w:rFonts w:ascii="Times New Roman"/>
                <w:sz w:val="18"/>
              </w:rPr>
              <w:t>84.11%</w:t>
            </w:r>
          </w:p>
        </w:tc>
      </w:tr>
    </w:tbl>
    <w:p>
      <w:pPr>
        <w:spacing w:line="240" w:lineRule="auto" w:before="5"/>
        <w:rPr>
          <w:rFonts w:ascii="宋体" w:hAnsi="宋体" w:cs="宋体" w:eastAsia="宋体" w:hint="default"/>
          <w:sz w:val="6"/>
          <w:szCs w:val="6"/>
        </w:rPr>
      </w:pPr>
    </w:p>
    <w:p>
      <w:pPr>
        <w:pStyle w:val="BodyText"/>
        <w:spacing w:line="300" w:lineRule="auto" w:before="44"/>
        <w:ind w:right="1129" w:firstLine="360"/>
        <w:jc w:val="both"/>
      </w:pPr>
      <w:r>
        <w:rPr/>
        <w:t>经计算，本公司收购杰发科技股权调整后的交易对价为</w:t>
      </w:r>
      <w:r>
        <w:rPr>
          <w:rFonts w:ascii="Times New Roman" w:hAnsi="Times New Roman" w:cs="Times New Roman" w:eastAsia="Times New Roman" w:hint="default"/>
        </w:rPr>
        <w:t>3,259,178,240.09</w:t>
      </w:r>
      <w:r>
        <w:rPr/>
        <w:t>元，调减金额</w:t>
      </w:r>
      <w:r>
        <w:rPr>
          <w:rFonts w:ascii="Times New Roman" w:hAnsi="Times New Roman" w:cs="Times New Roman" w:eastAsia="Times New Roman" w:hint="default"/>
        </w:rPr>
        <w:t>615,921,759.91</w:t>
      </w:r>
      <w:r>
        <w:rPr/>
        <w:t>元，计入本年度投 资收益</w:t>
      </w:r>
      <w:r>
        <w:rPr>
          <w:rFonts w:ascii="Times New Roman" w:hAnsi="Times New Roman" w:cs="Times New Roman" w:eastAsia="Times New Roman" w:hint="default"/>
        </w:rPr>
        <w:t>-</w:t>
      </w:r>
      <w:r>
        <w:rPr/>
        <w:t>处置以公允价值计量且其变动计入当期损益的金融负债取得的投资收益。截至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日，本公司将剩余尚未</w:t>
      </w:r>
      <w:r>
        <w:rPr>
          <w:spacing w:val="-56"/>
        </w:rPr>
        <w:t> </w:t>
      </w:r>
      <w:r>
        <w:rPr>
          <w:spacing w:val="-56"/>
        </w:rPr>
      </w:r>
      <w:r>
        <w:rPr/>
        <w:t>支付的股权对价款</w:t>
      </w:r>
      <w:r>
        <w:rPr>
          <w:rFonts w:ascii="Times New Roman" w:hAnsi="Times New Roman" w:cs="Times New Roman" w:eastAsia="Times New Roman" w:hint="default"/>
        </w:rPr>
        <w:t>29,928,239.11</w:t>
      </w:r>
      <w:r>
        <w:rPr/>
        <w:t>元在公允价值计量且其变动计入当期损益的金融负债科目列示。</w:t>
      </w:r>
    </w:p>
    <w:p>
      <w:pPr>
        <w:spacing w:line="240" w:lineRule="auto" w:before="5"/>
        <w:rPr>
          <w:rFonts w:ascii="宋体" w:hAnsi="宋体" w:cs="宋体" w:eastAsia="宋体" w:hint="default"/>
          <w:sz w:val="22"/>
          <w:szCs w:val="22"/>
        </w:rPr>
      </w:pPr>
    </w:p>
    <w:p>
      <w:pPr>
        <w:pStyle w:val="Heading4"/>
        <w:spacing w:line="240" w:lineRule="auto"/>
        <w:ind w:right="982"/>
        <w:jc w:val="left"/>
        <w:rPr>
          <w:b w:val="0"/>
          <w:bCs w:val="0"/>
        </w:rPr>
      </w:pPr>
      <w:r>
        <w:rPr>
          <w:rFonts w:ascii="Times New Roman" w:hAnsi="Times New Roman" w:cs="Times New Roman" w:eastAsia="Times New Roman" w:hint="default"/>
        </w:rPr>
        <w:t>8</w:t>
      </w:r>
      <w:r>
        <w:rPr/>
        <w:t>、其他</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3"/>
        <w:rPr>
          <w:rFonts w:ascii="宋体" w:hAnsi="宋体" w:cs="宋体" w:eastAsia="宋体" w:hint="default"/>
          <w:sz w:val="25"/>
          <w:szCs w:val="25"/>
        </w:rPr>
      </w:pPr>
    </w:p>
    <w:p>
      <w:pPr>
        <w:pStyle w:val="Heading2"/>
        <w:spacing w:line="240" w:lineRule="auto"/>
        <w:ind w:right="982"/>
        <w:jc w:val="left"/>
        <w:rPr>
          <w:b w:val="0"/>
          <w:bCs w:val="0"/>
        </w:rPr>
      </w:pPr>
      <w:r>
        <w:rPr/>
        <w:t>十七、母公司财务报表主要项目注释</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982"/>
        <w:jc w:val="left"/>
        <w:rPr>
          <w:b w:val="0"/>
          <w:bCs w:val="0"/>
        </w:rPr>
      </w:pPr>
      <w:r>
        <w:rPr>
          <w:rFonts w:ascii="Times New Roman" w:hAnsi="Times New Roman" w:cs="Times New Roman" w:eastAsia="Times New Roman" w:hint="default"/>
        </w:rPr>
        <w:t>1</w:t>
      </w:r>
      <w:r>
        <w:rPr/>
        <w:t>、应收票据及应收账款</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9"/>
        <w:gridCol w:w="3190"/>
        <w:gridCol w:w="3179"/>
      </w:tblGrid>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after="0" w:line="240" w:lineRule="auto"/>
        <w:jc w:val="center"/>
        <w:rPr>
          <w:rFonts w:ascii="宋体" w:hAnsi="宋体" w:cs="宋体" w:eastAsia="宋体"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89"/>
        <w:gridCol w:w="3190"/>
        <w:gridCol w:w="3190"/>
      </w:tblGrid>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32,144,092.32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55,368,510.91</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94,833,385.37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243,558,092.30</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126,977,477.69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298,926,603.21</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t>（</w:t>
      </w:r>
      <w:r>
        <w:rPr>
          <w:rFonts w:ascii="Times New Roman" w:hAnsi="Times New Roman" w:cs="Times New Roman" w:eastAsia="Times New Roman" w:hint="default"/>
        </w:rPr>
        <w:t>1</w:t>
      </w:r>
      <w:r>
        <w:rPr/>
        <w:t>）应收票据</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right="982"/>
        <w:jc w:val="left"/>
      </w:pPr>
      <w:r>
        <w:rPr>
          <w:rFonts w:ascii="Times New Roman" w:hAnsi="Times New Roman" w:cs="Times New Roman" w:eastAsia="Times New Roman" w:hint="default"/>
        </w:rPr>
        <w:t>1)</w:t>
      </w:r>
      <w:r>
        <w:rPr/>
        <w:t>应收票据分类列示</w:t>
      </w:r>
    </w:p>
    <w:p>
      <w:pPr>
        <w:pStyle w:val="BodyText"/>
        <w:spacing w:line="240" w:lineRule="auto" w:before="103"/>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8"/>
        <w:gridCol w:w="3201"/>
        <w:gridCol w:w="3190"/>
      </w:tblGrid>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银行承兑票据</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32,144,092.32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55,368,510.91</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商业承兑票据</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32,144,092.32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55,368,510.91</w:t>
            </w:r>
          </w:p>
        </w:tc>
      </w:tr>
    </w:tbl>
    <w:p>
      <w:pPr>
        <w:pStyle w:val="BodyText"/>
        <w:spacing w:line="240" w:lineRule="auto" w:before="49"/>
        <w:ind w:right="982"/>
        <w:jc w:val="left"/>
      </w:pPr>
      <w:r>
        <w:rPr>
          <w:rFonts w:ascii="Times New Roman" w:hAnsi="Times New Roman" w:cs="Times New Roman" w:eastAsia="Times New Roman" w:hint="default"/>
        </w:rPr>
        <w:t>2)</w:t>
      </w:r>
      <w:r>
        <w:rPr/>
        <w:t>期末公司已质押的应收票据</w:t>
      </w:r>
    </w:p>
    <w:p>
      <w:pPr>
        <w:pStyle w:val="BodyText"/>
        <w:spacing w:line="240" w:lineRule="auto" w:before="101"/>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4761"/>
        <w:gridCol w:w="4797"/>
      </w:tblGrid>
      <w:tr>
        <w:trPr>
          <w:trHeight w:val="401"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8" w:right="0"/>
              <w:jc w:val="center"/>
              <w:rPr>
                <w:rFonts w:ascii="宋体" w:hAnsi="宋体" w:cs="宋体" w:eastAsia="宋体" w:hint="default"/>
                <w:sz w:val="18"/>
                <w:szCs w:val="18"/>
              </w:rPr>
            </w:pPr>
            <w:r>
              <w:rPr>
                <w:rFonts w:ascii="宋体" w:hAnsi="宋体" w:cs="宋体" w:eastAsia="宋体" w:hint="default"/>
                <w:sz w:val="18"/>
                <w:szCs w:val="18"/>
              </w:rPr>
              <w:t>期末已质押金额</w:t>
            </w:r>
          </w:p>
        </w:tc>
      </w:tr>
      <w:tr>
        <w:trPr>
          <w:trHeight w:val="403"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银行承兑票据</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商业承兑票据</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bl>
    <w:p>
      <w:pPr>
        <w:pStyle w:val="BodyText"/>
        <w:spacing w:line="240" w:lineRule="auto" w:before="49"/>
        <w:ind w:right="982"/>
        <w:jc w:val="left"/>
      </w:pPr>
      <w:r>
        <w:rPr>
          <w:rFonts w:ascii="Times New Roman" w:hAnsi="Times New Roman" w:cs="Times New Roman" w:eastAsia="Times New Roman" w:hint="default"/>
        </w:rPr>
        <w:t>3)</w:t>
      </w:r>
      <w:r>
        <w:rPr/>
        <w:t>期末公司已背书或贴现且在资产负债表日尚未到期的应收票据</w:t>
      </w:r>
    </w:p>
    <w:p>
      <w:pPr>
        <w:pStyle w:val="BodyText"/>
        <w:spacing w:line="240" w:lineRule="auto" w:before="101"/>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8"/>
        <w:gridCol w:w="3201"/>
        <w:gridCol w:w="3190"/>
      </w:tblGrid>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882" w:right="0"/>
              <w:jc w:val="left"/>
              <w:rPr>
                <w:rFonts w:ascii="宋体" w:hAnsi="宋体" w:cs="宋体" w:eastAsia="宋体" w:hint="default"/>
                <w:sz w:val="18"/>
                <w:szCs w:val="18"/>
              </w:rPr>
            </w:pPr>
            <w:r>
              <w:rPr>
                <w:rFonts w:ascii="宋体" w:hAnsi="宋体" w:cs="宋体" w:eastAsia="宋体" w:hint="default"/>
                <w:sz w:val="18"/>
                <w:szCs w:val="18"/>
              </w:rPr>
              <w:t>期末终止确认金额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79" w:right="0"/>
              <w:jc w:val="left"/>
              <w:rPr>
                <w:rFonts w:ascii="宋体" w:hAnsi="宋体" w:cs="宋体" w:eastAsia="宋体" w:hint="default"/>
                <w:sz w:val="18"/>
                <w:szCs w:val="18"/>
              </w:rPr>
            </w:pPr>
            <w:r>
              <w:rPr>
                <w:rFonts w:ascii="宋体" w:hAnsi="宋体" w:cs="宋体" w:eastAsia="宋体" w:hint="default"/>
                <w:sz w:val="18"/>
                <w:szCs w:val="18"/>
              </w:rPr>
              <w:t>期末未终止确认金额</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银行承兑票据</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商业承兑票据</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rFonts w:ascii="Times New Roman" w:hAnsi="Times New Roman" w:cs="Times New Roman" w:eastAsia="Times New Roman" w:hint="default"/>
        </w:rPr>
        <w:t>4)</w:t>
      </w:r>
      <w:r>
        <w:rPr/>
        <w:t>期末公司因出票人未履约而将其转应收账款的票据</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4761"/>
        <w:gridCol w:w="4797"/>
      </w:tblGrid>
      <w:tr>
        <w:trPr>
          <w:trHeight w:val="404"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587" w:right="0"/>
              <w:jc w:val="left"/>
              <w:rPr>
                <w:rFonts w:ascii="宋体" w:hAnsi="宋体" w:cs="宋体" w:eastAsia="宋体" w:hint="default"/>
                <w:sz w:val="18"/>
                <w:szCs w:val="18"/>
              </w:rPr>
            </w:pPr>
            <w:r>
              <w:rPr>
                <w:rFonts w:ascii="宋体" w:hAnsi="宋体" w:cs="宋体" w:eastAsia="宋体" w:hint="default"/>
                <w:sz w:val="18"/>
                <w:szCs w:val="18"/>
              </w:rPr>
              <w:t>期末转应收账款金额</w:t>
            </w:r>
          </w:p>
        </w:tc>
      </w:tr>
      <w:tr>
        <w:trPr>
          <w:trHeight w:val="401"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商业承兑票据</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t>（</w:t>
      </w:r>
      <w:r>
        <w:rPr>
          <w:rFonts w:ascii="Times New Roman" w:hAnsi="Times New Roman" w:cs="Times New Roman" w:eastAsia="Times New Roman" w:hint="default"/>
        </w:rPr>
        <w:t>2</w:t>
      </w:r>
      <w:r>
        <w:rPr/>
        <w:t>）应收账款</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right="982"/>
        <w:jc w:val="left"/>
      </w:pPr>
      <w:r>
        <w:rPr>
          <w:rFonts w:ascii="Times New Roman" w:hAnsi="Times New Roman" w:cs="Times New Roman" w:eastAsia="Times New Roman" w:hint="default"/>
        </w:rPr>
        <w:t>1)</w:t>
      </w:r>
      <w:r>
        <w:rPr/>
        <w:t>应收账款分类披露</w:t>
      </w:r>
    </w:p>
    <w:p>
      <w:pPr>
        <w:pStyle w:val="BodyText"/>
        <w:spacing w:line="240" w:lineRule="auto" w:before="103"/>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634"/>
        <w:gridCol w:w="3839"/>
        <w:gridCol w:w="4084"/>
      </w:tblGrid>
      <w:tr>
        <w:trPr>
          <w:trHeight w:val="401" w:hRule="exact"/>
        </w:trPr>
        <w:tc>
          <w:tcPr>
            <w:tcW w:w="16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38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5"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after="0" w:line="240" w:lineRule="auto"/>
        <w:jc w:val="center"/>
        <w:rPr>
          <w:rFonts w:ascii="宋体" w:hAnsi="宋体" w:cs="宋体" w:eastAsia="宋体"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1612"/>
        <w:gridCol w:w="774"/>
        <w:gridCol w:w="761"/>
        <w:gridCol w:w="763"/>
        <w:gridCol w:w="763"/>
        <w:gridCol w:w="788"/>
        <w:gridCol w:w="655"/>
        <w:gridCol w:w="761"/>
        <w:gridCol w:w="814"/>
        <w:gridCol w:w="934"/>
        <w:gridCol w:w="931"/>
      </w:tblGrid>
      <w:tr>
        <w:trPr>
          <w:trHeight w:val="402" w:hRule="exact"/>
        </w:trPr>
        <w:tc>
          <w:tcPr>
            <w:tcW w:w="1612" w:type="dxa"/>
            <w:vMerge w:val="restart"/>
            <w:tcBorders>
              <w:top w:val="single" w:sz="4" w:space="0" w:color="000000"/>
              <w:left w:val="single" w:sz="4" w:space="0" w:color="000000"/>
              <w:right w:val="single" w:sz="4" w:space="0" w:color="000000"/>
            </w:tcBorders>
            <w:shd w:val="clear" w:color="auto" w:fill="D2D2D2"/>
          </w:tcPr>
          <w:p>
            <w:pPr/>
          </w:p>
        </w:tc>
        <w:tc>
          <w:tcPr>
            <w:tcW w:w="153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0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9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88" w:type="dxa"/>
            <w:tcBorders>
              <w:top w:val="single" w:sz="4" w:space="0" w:color="000000"/>
              <w:left w:val="single" w:sz="4" w:space="0" w:color="000000"/>
              <w:bottom w:val="nil" w:sz="6" w:space="0" w:color="auto"/>
              <w:right w:val="single" w:sz="4" w:space="0" w:color="000000"/>
            </w:tcBorders>
            <w:shd w:val="clear" w:color="auto" w:fill="D2D2D2"/>
          </w:tcPr>
          <w:p>
            <w:pPr/>
          </w:p>
        </w:tc>
        <w:tc>
          <w:tcPr>
            <w:tcW w:w="141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4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1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1"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62" w:hRule="exact"/>
        </w:trPr>
        <w:tc>
          <w:tcPr>
            <w:tcW w:w="1612" w:type="dxa"/>
            <w:vMerge/>
            <w:tcBorders>
              <w:left w:val="single" w:sz="4" w:space="0" w:color="000000"/>
              <w:right w:val="single" w:sz="4" w:space="0" w:color="000000"/>
            </w:tcBorders>
            <w:shd w:val="clear" w:color="auto" w:fill="D2D2D2"/>
          </w:tcPr>
          <w:p>
            <w:pPr/>
          </w:p>
        </w:tc>
        <w:tc>
          <w:tcPr>
            <w:tcW w:w="774" w:type="dxa"/>
            <w:tcBorders>
              <w:top w:val="single" w:sz="4" w:space="0" w:color="000000"/>
              <w:left w:val="single" w:sz="4" w:space="0" w:color="000000"/>
              <w:bottom w:val="nil" w:sz="6" w:space="0" w:color="auto"/>
              <w:right w:val="single" w:sz="4" w:space="0" w:color="000000"/>
            </w:tcBorders>
            <w:shd w:val="clear" w:color="auto" w:fill="D2D2D2"/>
          </w:tcPr>
          <w:p>
            <w:pPr/>
          </w:p>
        </w:tc>
        <w:tc>
          <w:tcPr>
            <w:tcW w:w="761" w:type="dxa"/>
            <w:tcBorders>
              <w:top w:val="single" w:sz="4" w:space="0" w:color="000000"/>
              <w:left w:val="single" w:sz="4" w:space="0" w:color="000000"/>
              <w:bottom w:val="nil" w:sz="6" w:space="0" w:color="auto"/>
              <w:right w:val="single" w:sz="4" w:space="0" w:color="000000"/>
            </w:tcBorders>
            <w:shd w:val="clear" w:color="auto" w:fill="D2D2D2"/>
          </w:tcPr>
          <w:p>
            <w:pPr/>
          </w:p>
        </w:tc>
        <w:tc>
          <w:tcPr>
            <w:tcW w:w="763" w:type="dxa"/>
            <w:tcBorders>
              <w:top w:val="single" w:sz="4" w:space="0" w:color="000000"/>
              <w:left w:val="single" w:sz="4" w:space="0" w:color="000000"/>
              <w:bottom w:val="nil" w:sz="6" w:space="0" w:color="auto"/>
              <w:right w:val="single" w:sz="4" w:space="0" w:color="000000"/>
            </w:tcBorders>
            <w:shd w:val="clear" w:color="auto" w:fill="D2D2D2"/>
          </w:tcPr>
          <w:p>
            <w:pPr/>
          </w:p>
        </w:tc>
        <w:tc>
          <w:tcPr>
            <w:tcW w:w="763"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50"/>
              <w:ind w:left="288" w:right="103"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8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9"/>
              <w:ind w:left="2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655" w:type="dxa"/>
            <w:tcBorders>
              <w:top w:val="single" w:sz="4" w:space="0" w:color="000000"/>
              <w:left w:val="single" w:sz="4" w:space="0" w:color="000000"/>
              <w:bottom w:val="nil" w:sz="6" w:space="0" w:color="auto"/>
              <w:right w:val="single" w:sz="4" w:space="0" w:color="000000"/>
            </w:tcBorders>
            <w:shd w:val="clear" w:color="auto" w:fill="D2D2D2"/>
          </w:tcPr>
          <w:p>
            <w:pPr/>
          </w:p>
        </w:tc>
        <w:tc>
          <w:tcPr>
            <w:tcW w:w="761" w:type="dxa"/>
            <w:tcBorders>
              <w:top w:val="single" w:sz="4" w:space="0" w:color="000000"/>
              <w:left w:val="single" w:sz="4" w:space="0" w:color="000000"/>
              <w:bottom w:val="nil" w:sz="6" w:space="0" w:color="auto"/>
              <w:right w:val="single" w:sz="4" w:space="0" w:color="000000"/>
            </w:tcBorders>
            <w:shd w:val="clear" w:color="auto" w:fill="D2D2D2"/>
          </w:tcPr>
          <w:p>
            <w:pPr/>
          </w:p>
        </w:tc>
        <w:tc>
          <w:tcPr>
            <w:tcW w:w="814" w:type="dxa"/>
            <w:tcBorders>
              <w:top w:val="single" w:sz="4" w:space="0" w:color="000000"/>
              <w:left w:val="single" w:sz="4" w:space="0" w:color="000000"/>
              <w:bottom w:val="nil" w:sz="6" w:space="0" w:color="auto"/>
              <w:right w:val="single" w:sz="4" w:space="0" w:color="000000"/>
            </w:tcBorders>
            <w:shd w:val="clear" w:color="auto" w:fill="D2D2D2"/>
          </w:tcPr>
          <w:p>
            <w:pPr/>
          </w:p>
        </w:tc>
        <w:tc>
          <w:tcPr>
            <w:tcW w:w="934" w:type="dxa"/>
            <w:tcBorders>
              <w:top w:val="single" w:sz="4" w:space="0" w:color="000000"/>
              <w:left w:val="single" w:sz="4" w:space="0" w:color="000000"/>
              <w:bottom w:val="nil" w:sz="6" w:space="0" w:color="auto"/>
              <w:right w:val="single" w:sz="4" w:space="0" w:color="000000"/>
            </w:tcBorders>
            <w:shd w:val="clear" w:color="auto" w:fill="D2D2D2"/>
          </w:tcPr>
          <w:p>
            <w:pPr/>
          </w:p>
        </w:tc>
        <w:tc>
          <w:tcPr>
            <w:tcW w:w="93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9"/>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90" w:hRule="exact"/>
        </w:trPr>
        <w:tc>
          <w:tcPr>
            <w:tcW w:w="1612" w:type="dxa"/>
            <w:vMerge/>
            <w:tcBorders>
              <w:left w:val="single" w:sz="4" w:space="0" w:color="000000"/>
              <w:right w:val="single" w:sz="4" w:space="0" w:color="000000"/>
            </w:tcBorders>
            <w:shd w:val="clear" w:color="auto" w:fill="D2D2D2"/>
          </w:tcPr>
          <w:p>
            <w:pPr/>
          </w:p>
        </w:tc>
        <w:tc>
          <w:tcPr>
            <w:tcW w:w="77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207"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19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3" w:type="dxa"/>
            <w:vMerge/>
            <w:tcBorders>
              <w:left w:val="single" w:sz="4" w:space="0" w:color="000000"/>
              <w:right w:val="single" w:sz="4" w:space="0" w:color="000000"/>
            </w:tcBorders>
            <w:shd w:val="clear" w:color="auto" w:fill="D2D2D2"/>
          </w:tcPr>
          <w:p>
            <w:pPr/>
          </w:p>
        </w:tc>
        <w:tc>
          <w:tcPr>
            <w:tcW w:w="788" w:type="dxa"/>
            <w:vMerge/>
            <w:tcBorders>
              <w:left w:val="single" w:sz="4" w:space="0" w:color="000000"/>
              <w:bottom w:val="nil" w:sz="6" w:space="0" w:color="auto"/>
              <w:right w:val="single" w:sz="4" w:space="0" w:color="000000"/>
            </w:tcBorders>
            <w:shd w:val="clear" w:color="auto" w:fill="D2D2D2"/>
          </w:tcPr>
          <w:p>
            <w:pPr/>
          </w:p>
        </w:tc>
        <w:tc>
          <w:tcPr>
            <w:tcW w:w="65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14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22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1" w:type="dxa"/>
            <w:vMerge/>
            <w:tcBorders>
              <w:left w:val="single" w:sz="4" w:space="0" w:color="000000"/>
              <w:bottom w:val="nil" w:sz="6" w:space="0" w:color="auto"/>
              <w:right w:val="single" w:sz="4" w:space="0" w:color="000000"/>
            </w:tcBorders>
            <w:shd w:val="clear" w:color="auto" w:fill="D2D2D2"/>
          </w:tcPr>
          <w:p>
            <w:pPr/>
          </w:p>
        </w:tc>
      </w:tr>
      <w:tr>
        <w:trPr>
          <w:trHeight w:val="202" w:hRule="exact"/>
        </w:trPr>
        <w:tc>
          <w:tcPr>
            <w:tcW w:w="1612" w:type="dxa"/>
            <w:vMerge/>
            <w:tcBorders>
              <w:left w:val="single" w:sz="4" w:space="0" w:color="000000"/>
              <w:right w:val="single" w:sz="4" w:space="0" w:color="000000"/>
            </w:tcBorders>
            <w:shd w:val="clear" w:color="auto" w:fill="D2D2D2"/>
          </w:tcPr>
          <w:p>
            <w:pPr/>
          </w:p>
        </w:tc>
        <w:tc>
          <w:tcPr>
            <w:tcW w:w="774" w:type="dxa"/>
            <w:vMerge/>
            <w:tcBorders>
              <w:left w:val="single" w:sz="4" w:space="0" w:color="000000"/>
              <w:bottom w:val="nil" w:sz="6" w:space="0" w:color="auto"/>
              <w:right w:val="single" w:sz="4" w:space="0" w:color="000000"/>
            </w:tcBorders>
            <w:shd w:val="clear" w:color="auto" w:fill="D2D2D2"/>
          </w:tcPr>
          <w:p>
            <w:pPr/>
          </w:p>
        </w:tc>
        <w:tc>
          <w:tcPr>
            <w:tcW w:w="761" w:type="dxa"/>
            <w:vMerge/>
            <w:tcBorders>
              <w:left w:val="single" w:sz="4" w:space="0" w:color="000000"/>
              <w:bottom w:val="nil" w:sz="6" w:space="0" w:color="auto"/>
              <w:right w:val="single" w:sz="4" w:space="0" w:color="000000"/>
            </w:tcBorders>
            <w:shd w:val="clear" w:color="auto" w:fill="D2D2D2"/>
          </w:tcPr>
          <w:p>
            <w:pPr/>
          </w:p>
        </w:tc>
        <w:tc>
          <w:tcPr>
            <w:tcW w:w="763" w:type="dxa"/>
            <w:vMerge/>
            <w:tcBorders>
              <w:left w:val="single" w:sz="4" w:space="0" w:color="000000"/>
              <w:bottom w:val="nil" w:sz="6" w:space="0" w:color="auto"/>
              <w:right w:val="single" w:sz="4" w:space="0" w:color="000000"/>
            </w:tcBorders>
            <w:shd w:val="clear" w:color="auto" w:fill="D2D2D2"/>
          </w:tcPr>
          <w:p>
            <w:pPr/>
          </w:p>
        </w:tc>
        <w:tc>
          <w:tcPr>
            <w:tcW w:w="763" w:type="dxa"/>
            <w:vMerge/>
            <w:tcBorders>
              <w:left w:val="single" w:sz="4" w:space="0" w:color="000000"/>
              <w:right w:val="single" w:sz="4" w:space="0" w:color="000000"/>
            </w:tcBorders>
            <w:shd w:val="clear" w:color="auto" w:fill="D2D2D2"/>
          </w:tcPr>
          <w:p>
            <w:pPr/>
          </w:p>
        </w:tc>
        <w:tc>
          <w:tcPr>
            <w:tcW w:w="788" w:type="dxa"/>
            <w:vMerge w:val="restart"/>
            <w:tcBorders>
              <w:top w:val="nil" w:sz="6" w:space="0" w:color="auto"/>
              <w:left w:val="single" w:sz="4" w:space="0" w:color="000000"/>
              <w:right w:val="single" w:sz="4" w:space="0" w:color="000000"/>
            </w:tcBorders>
            <w:shd w:val="clear" w:color="auto" w:fill="D2D2D2"/>
          </w:tcPr>
          <w:p>
            <w:pPr/>
          </w:p>
        </w:tc>
        <w:tc>
          <w:tcPr>
            <w:tcW w:w="655" w:type="dxa"/>
            <w:vMerge/>
            <w:tcBorders>
              <w:left w:val="single" w:sz="4" w:space="0" w:color="000000"/>
              <w:bottom w:val="nil" w:sz="6" w:space="0" w:color="auto"/>
              <w:right w:val="single" w:sz="4" w:space="0" w:color="000000"/>
            </w:tcBorders>
            <w:shd w:val="clear" w:color="auto" w:fill="D2D2D2"/>
          </w:tcPr>
          <w:p>
            <w:pPr/>
          </w:p>
        </w:tc>
        <w:tc>
          <w:tcPr>
            <w:tcW w:w="761" w:type="dxa"/>
            <w:vMerge/>
            <w:tcBorders>
              <w:left w:val="single" w:sz="4" w:space="0" w:color="000000"/>
              <w:bottom w:val="nil" w:sz="6" w:space="0" w:color="auto"/>
              <w:right w:val="single" w:sz="4" w:space="0" w:color="000000"/>
            </w:tcBorders>
            <w:shd w:val="clear" w:color="auto" w:fill="D2D2D2"/>
          </w:tcPr>
          <w:p>
            <w:pPr/>
          </w:p>
        </w:tc>
        <w:tc>
          <w:tcPr>
            <w:tcW w:w="814" w:type="dxa"/>
            <w:vMerge/>
            <w:tcBorders>
              <w:left w:val="single" w:sz="4" w:space="0" w:color="000000"/>
              <w:bottom w:val="nil" w:sz="6" w:space="0" w:color="auto"/>
              <w:right w:val="single" w:sz="4" w:space="0" w:color="000000"/>
            </w:tcBorders>
            <w:shd w:val="clear" w:color="auto" w:fill="D2D2D2"/>
          </w:tcPr>
          <w:p>
            <w:pPr/>
          </w:p>
        </w:tc>
        <w:tc>
          <w:tcPr>
            <w:tcW w:w="934" w:type="dxa"/>
            <w:vMerge/>
            <w:tcBorders>
              <w:left w:val="single" w:sz="4" w:space="0" w:color="000000"/>
              <w:bottom w:val="nil" w:sz="6" w:space="0" w:color="auto"/>
              <w:right w:val="single" w:sz="4" w:space="0" w:color="000000"/>
            </w:tcBorders>
            <w:shd w:val="clear" w:color="auto" w:fill="D2D2D2"/>
          </w:tcPr>
          <w:p>
            <w:pPr/>
          </w:p>
        </w:tc>
        <w:tc>
          <w:tcPr>
            <w:tcW w:w="931"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612" w:type="dxa"/>
            <w:vMerge/>
            <w:tcBorders>
              <w:left w:val="single" w:sz="4" w:space="0" w:color="000000"/>
              <w:bottom w:val="single" w:sz="4" w:space="0" w:color="000000"/>
              <w:right w:val="single" w:sz="4" w:space="0" w:color="000000"/>
            </w:tcBorders>
            <w:shd w:val="clear" w:color="auto" w:fill="D2D2D2"/>
          </w:tcPr>
          <w:p>
            <w:pPr/>
          </w:p>
        </w:tc>
        <w:tc>
          <w:tcPr>
            <w:tcW w:w="774" w:type="dxa"/>
            <w:tcBorders>
              <w:top w:val="nil" w:sz="6" w:space="0" w:color="auto"/>
              <w:left w:val="single" w:sz="4" w:space="0" w:color="000000"/>
              <w:bottom w:val="single" w:sz="4" w:space="0" w:color="000000"/>
              <w:right w:val="single" w:sz="4" w:space="0" w:color="000000"/>
            </w:tcBorders>
            <w:shd w:val="clear" w:color="auto" w:fill="D2D2D2"/>
          </w:tcPr>
          <w:p>
            <w:pPr/>
          </w:p>
        </w:tc>
        <w:tc>
          <w:tcPr>
            <w:tcW w:w="761"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vMerge/>
            <w:tcBorders>
              <w:left w:val="single" w:sz="4" w:space="0" w:color="000000"/>
              <w:bottom w:val="single" w:sz="4" w:space="0" w:color="000000"/>
              <w:right w:val="single" w:sz="4" w:space="0" w:color="000000"/>
            </w:tcBorders>
            <w:shd w:val="clear" w:color="auto" w:fill="D2D2D2"/>
          </w:tcPr>
          <w:p>
            <w:pPr/>
          </w:p>
        </w:tc>
        <w:tc>
          <w:tcPr>
            <w:tcW w:w="788" w:type="dxa"/>
            <w:vMerge/>
            <w:tcBorders>
              <w:left w:val="single" w:sz="4" w:space="0" w:color="000000"/>
              <w:bottom w:val="single" w:sz="4" w:space="0" w:color="000000"/>
              <w:right w:val="single" w:sz="4" w:space="0" w:color="000000"/>
            </w:tcBorders>
            <w:shd w:val="clear" w:color="auto" w:fill="D2D2D2"/>
          </w:tcPr>
          <w:p>
            <w:pPr/>
          </w:p>
        </w:tc>
        <w:tc>
          <w:tcPr>
            <w:tcW w:w="655" w:type="dxa"/>
            <w:tcBorders>
              <w:top w:val="nil" w:sz="6" w:space="0" w:color="auto"/>
              <w:left w:val="single" w:sz="4" w:space="0" w:color="000000"/>
              <w:bottom w:val="single" w:sz="4" w:space="0" w:color="000000"/>
              <w:right w:val="single" w:sz="4" w:space="0" w:color="000000"/>
            </w:tcBorders>
            <w:shd w:val="clear" w:color="auto" w:fill="D2D2D2"/>
          </w:tcPr>
          <w:p>
            <w:pPr/>
          </w:p>
        </w:tc>
        <w:tc>
          <w:tcPr>
            <w:tcW w:w="761" w:type="dxa"/>
            <w:tcBorders>
              <w:top w:val="nil" w:sz="6" w:space="0" w:color="auto"/>
              <w:left w:val="single" w:sz="4" w:space="0" w:color="000000"/>
              <w:bottom w:val="single" w:sz="4" w:space="0" w:color="000000"/>
              <w:right w:val="single" w:sz="4" w:space="0" w:color="000000"/>
            </w:tcBorders>
            <w:shd w:val="clear" w:color="auto" w:fill="D2D2D2"/>
          </w:tcPr>
          <w:p>
            <w:pPr/>
          </w:p>
        </w:tc>
        <w:tc>
          <w:tcPr>
            <w:tcW w:w="814" w:type="dxa"/>
            <w:tcBorders>
              <w:top w:val="nil" w:sz="6" w:space="0" w:color="auto"/>
              <w:left w:val="single" w:sz="4" w:space="0" w:color="000000"/>
              <w:bottom w:val="single" w:sz="4" w:space="0" w:color="000000"/>
              <w:right w:val="single" w:sz="4" w:space="0" w:color="000000"/>
            </w:tcBorders>
            <w:shd w:val="clear" w:color="auto" w:fill="D2D2D2"/>
          </w:tcPr>
          <w:p>
            <w:pPr/>
          </w:p>
        </w:tc>
        <w:tc>
          <w:tcPr>
            <w:tcW w:w="934" w:type="dxa"/>
            <w:tcBorders>
              <w:top w:val="nil" w:sz="6" w:space="0" w:color="auto"/>
              <w:left w:val="single" w:sz="4" w:space="0" w:color="000000"/>
              <w:bottom w:val="single" w:sz="4" w:space="0" w:color="000000"/>
              <w:right w:val="single" w:sz="4" w:space="0" w:color="000000"/>
            </w:tcBorders>
            <w:shd w:val="clear" w:color="auto" w:fill="D2D2D2"/>
          </w:tcPr>
          <w:p>
            <w:pPr/>
          </w:p>
        </w:tc>
        <w:tc>
          <w:tcPr>
            <w:tcW w:w="931" w:type="dxa"/>
            <w:vMerge/>
            <w:tcBorders>
              <w:left w:val="single" w:sz="4" w:space="0" w:color="000000"/>
              <w:bottom w:val="single" w:sz="4" w:space="0" w:color="000000"/>
              <w:right w:val="single" w:sz="4" w:space="0" w:color="000000"/>
            </w:tcBorders>
            <w:shd w:val="clear" w:color="auto" w:fill="D2D2D2"/>
          </w:tcPr>
          <w:p>
            <w:pPr/>
          </w:p>
        </w:tc>
      </w:tr>
      <w:tr>
        <w:trPr>
          <w:trHeight w:val="1025" w:hRule="exact"/>
        </w:trPr>
        <w:tc>
          <w:tcPr>
            <w:tcW w:w="16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48"/>
              <w:jc w:val="both"/>
              <w:rPr>
                <w:rFonts w:ascii="宋体" w:hAnsi="宋体" w:cs="宋体" w:eastAsia="宋体" w:hint="default"/>
                <w:sz w:val="18"/>
                <w:szCs w:val="18"/>
              </w:rPr>
            </w:pPr>
            <w:r>
              <w:rPr>
                <w:rFonts w:ascii="宋体" w:hAnsi="宋体" w:cs="宋体" w:eastAsia="宋体" w:hint="default"/>
                <w:sz w:val="18"/>
                <w:szCs w:val="18"/>
              </w:rPr>
              <w:t>单项金额重大并单 独计提坏账准备的 应收账款</w:t>
            </w:r>
          </w:p>
        </w:tc>
        <w:tc>
          <w:tcPr>
            <w:tcW w:w="77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0.00%</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7" w:hRule="exact"/>
        </w:trPr>
        <w:tc>
          <w:tcPr>
            <w:tcW w:w="16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2" w:right="148"/>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应收账款</w:t>
            </w:r>
          </w:p>
        </w:tc>
        <w:tc>
          <w:tcPr>
            <w:tcW w:w="77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84" w:right="0"/>
              <w:jc w:val="center"/>
              <w:rPr>
                <w:rFonts w:ascii="Times New Roman" w:hAnsi="Times New Roman" w:cs="Times New Roman" w:eastAsia="Times New Roman" w:hint="default"/>
                <w:sz w:val="18"/>
                <w:szCs w:val="18"/>
              </w:rPr>
            </w:pPr>
            <w:r>
              <w:rPr>
                <w:rFonts w:ascii="Times New Roman"/>
                <w:sz w:val="18"/>
              </w:rPr>
              <w:t>105,978,</w:t>
            </w:r>
          </w:p>
          <w:p>
            <w:pPr>
              <w:pStyle w:val="TableParagraph"/>
              <w:spacing w:line="240" w:lineRule="auto" w:before="102"/>
              <w:ind w:left="221" w:right="0"/>
              <w:jc w:val="center"/>
              <w:rPr>
                <w:rFonts w:ascii="Times New Roman" w:hAnsi="Times New Roman" w:cs="Times New Roman" w:eastAsia="Times New Roman" w:hint="default"/>
                <w:sz w:val="18"/>
                <w:szCs w:val="18"/>
              </w:rPr>
            </w:pPr>
            <w:r>
              <w:rPr>
                <w:rFonts w:ascii="Times New Roman"/>
                <w:sz w:val="18"/>
              </w:rPr>
              <w:t>848.98</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05" w:right="0"/>
              <w:jc w:val="left"/>
              <w:rPr>
                <w:rFonts w:ascii="Times New Roman" w:hAnsi="Times New Roman" w:cs="Times New Roman" w:eastAsia="Times New Roman" w:hint="default"/>
                <w:sz w:val="18"/>
                <w:szCs w:val="18"/>
              </w:rPr>
            </w:pPr>
            <w:r>
              <w:rPr>
                <w:rFonts w:ascii="Times New Roman"/>
                <w:sz w:val="18"/>
              </w:rPr>
              <w:t>11,145,4</w:t>
            </w:r>
          </w:p>
          <w:p>
            <w:pPr>
              <w:pStyle w:val="TableParagraph"/>
              <w:spacing w:line="240" w:lineRule="auto" w:before="102"/>
              <w:ind w:left="323" w:right="0"/>
              <w:jc w:val="left"/>
              <w:rPr>
                <w:rFonts w:ascii="Times New Roman" w:hAnsi="Times New Roman" w:cs="Times New Roman" w:eastAsia="Times New Roman" w:hint="default"/>
                <w:sz w:val="18"/>
                <w:szCs w:val="18"/>
              </w:rPr>
            </w:pPr>
            <w:r>
              <w:rPr>
                <w:rFonts w:ascii="Times New Roman"/>
                <w:sz w:val="18"/>
              </w:rPr>
              <w:t>63.61</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10.52%</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35" w:right="0"/>
              <w:jc w:val="left"/>
              <w:rPr>
                <w:rFonts w:ascii="Times New Roman" w:hAnsi="Times New Roman" w:cs="Times New Roman" w:eastAsia="Times New Roman" w:hint="default"/>
                <w:sz w:val="18"/>
                <w:szCs w:val="18"/>
              </w:rPr>
            </w:pPr>
            <w:r>
              <w:rPr>
                <w:rFonts w:ascii="Times New Roman"/>
                <w:sz w:val="18"/>
              </w:rPr>
              <w:t>94,833,38</w:t>
            </w:r>
          </w:p>
          <w:p>
            <w:pPr>
              <w:pStyle w:val="TableParagraph"/>
              <w:spacing w:line="240" w:lineRule="auto" w:before="102"/>
              <w:ind w:left="441" w:right="0"/>
              <w:jc w:val="left"/>
              <w:rPr>
                <w:rFonts w:ascii="Times New Roman" w:hAnsi="Times New Roman" w:cs="Times New Roman" w:eastAsia="Times New Roman" w:hint="default"/>
                <w:sz w:val="18"/>
                <w:szCs w:val="18"/>
              </w:rPr>
            </w:pPr>
            <w:r>
              <w:rPr>
                <w:rFonts w:ascii="Times New Roman"/>
                <w:sz w:val="18"/>
              </w:rPr>
              <w:t>5.37</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38" w:right="0"/>
              <w:jc w:val="left"/>
              <w:rPr>
                <w:rFonts w:ascii="Times New Roman" w:hAnsi="Times New Roman" w:cs="Times New Roman" w:eastAsia="Times New Roman" w:hint="default"/>
                <w:sz w:val="18"/>
                <w:szCs w:val="18"/>
              </w:rPr>
            </w:pPr>
            <w:r>
              <w:rPr>
                <w:rFonts w:ascii="Times New Roman"/>
                <w:sz w:val="18"/>
              </w:rPr>
              <w:t>254,295</w:t>
            </w:r>
          </w:p>
          <w:p>
            <w:pPr>
              <w:pStyle w:val="TableParagraph"/>
              <w:spacing w:line="240" w:lineRule="auto" w:before="102"/>
              <w:ind w:left="83" w:right="0"/>
              <w:jc w:val="left"/>
              <w:rPr>
                <w:rFonts w:ascii="Times New Roman" w:hAnsi="Times New Roman" w:cs="Times New Roman" w:eastAsia="Times New Roman" w:hint="default"/>
                <w:sz w:val="18"/>
                <w:szCs w:val="18"/>
              </w:rPr>
            </w:pPr>
            <w:r>
              <w:rPr>
                <w:rFonts w:ascii="Times New Roman"/>
                <w:sz w:val="18"/>
              </w:rPr>
              <w:t>,097.48</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62" w:right="0"/>
              <w:jc w:val="left"/>
              <w:rPr>
                <w:rFonts w:ascii="Times New Roman" w:hAnsi="Times New Roman" w:cs="Times New Roman" w:eastAsia="Times New Roman" w:hint="default"/>
                <w:sz w:val="18"/>
                <w:szCs w:val="18"/>
              </w:rPr>
            </w:pPr>
            <w:r>
              <w:rPr>
                <w:rFonts w:ascii="Times New Roman"/>
                <w:sz w:val="18"/>
              </w:rPr>
              <w:t>10,737,00</w:t>
            </w:r>
          </w:p>
          <w:p>
            <w:pPr>
              <w:pStyle w:val="TableParagraph"/>
              <w:spacing w:line="240" w:lineRule="auto" w:before="102"/>
              <w:ind w:left="468" w:right="0"/>
              <w:jc w:val="left"/>
              <w:rPr>
                <w:rFonts w:ascii="Times New Roman" w:hAnsi="Times New Roman" w:cs="Times New Roman" w:eastAsia="Times New Roman" w:hint="default"/>
                <w:sz w:val="18"/>
                <w:szCs w:val="18"/>
              </w:rPr>
            </w:pPr>
            <w:r>
              <w:rPr>
                <w:rFonts w:ascii="Times New Roman"/>
                <w:sz w:val="18"/>
              </w:rPr>
              <w:t>5.18</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4.22%</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88" w:right="0"/>
              <w:jc w:val="left"/>
              <w:rPr>
                <w:rFonts w:ascii="Times New Roman" w:hAnsi="Times New Roman" w:cs="Times New Roman" w:eastAsia="Times New Roman" w:hint="default"/>
                <w:sz w:val="18"/>
                <w:szCs w:val="18"/>
              </w:rPr>
            </w:pPr>
            <w:r>
              <w:rPr>
                <w:rFonts w:ascii="Times New Roman"/>
                <w:sz w:val="18"/>
              </w:rPr>
              <w:t>243,558,09</w:t>
            </w:r>
          </w:p>
          <w:p>
            <w:pPr>
              <w:pStyle w:val="TableParagraph"/>
              <w:spacing w:line="240" w:lineRule="auto" w:before="102"/>
              <w:ind w:left="585" w:right="0"/>
              <w:jc w:val="left"/>
              <w:rPr>
                <w:rFonts w:ascii="Times New Roman" w:hAnsi="Times New Roman" w:cs="Times New Roman" w:eastAsia="Times New Roman" w:hint="default"/>
                <w:sz w:val="18"/>
                <w:szCs w:val="18"/>
              </w:rPr>
            </w:pPr>
            <w:r>
              <w:rPr>
                <w:rFonts w:ascii="Times New Roman"/>
                <w:sz w:val="18"/>
              </w:rPr>
              <w:t>2.30</w:t>
            </w:r>
          </w:p>
        </w:tc>
      </w:tr>
      <w:tr>
        <w:trPr>
          <w:trHeight w:val="1025" w:hRule="exact"/>
        </w:trPr>
        <w:tc>
          <w:tcPr>
            <w:tcW w:w="16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12" w:right="148"/>
              <w:jc w:val="both"/>
              <w:rPr>
                <w:rFonts w:ascii="宋体" w:hAnsi="宋体" w:cs="宋体" w:eastAsia="宋体" w:hint="default"/>
                <w:sz w:val="18"/>
                <w:szCs w:val="18"/>
              </w:rPr>
            </w:pPr>
            <w:r>
              <w:rPr>
                <w:rFonts w:ascii="宋体" w:hAnsi="宋体" w:cs="宋体" w:eastAsia="宋体" w:hint="default"/>
                <w:sz w:val="18"/>
                <w:szCs w:val="18"/>
              </w:rPr>
              <w:t>单项金额不重大但 单独计提坏账准备 的应收账款</w:t>
            </w:r>
          </w:p>
        </w:tc>
        <w:tc>
          <w:tcPr>
            <w:tcW w:w="77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0.00%</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63" w:hRule="exact"/>
        </w:trPr>
        <w:tc>
          <w:tcPr>
            <w:tcW w:w="1612" w:type="dxa"/>
            <w:tcBorders>
              <w:top w:val="single" w:sz="4" w:space="0" w:color="000000"/>
              <w:left w:val="single" w:sz="4" w:space="0" w:color="000000"/>
              <w:bottom w:val="nil" w:sz="6" w:space="0" w:color="auto"/>
              <w:right w:val="single" w:sz="4" w:space="0" w:color="000000"/>
            </w:tcBorders>
            <w:shd w:val="clear" w:color="auto" w:fill="D2D2D2"/>
          </w:tcPr>
          <w:p>
            <w:pPr/>
          </w:p>
        </w:tc>
        <w:tc>
          <w:tcPr>
            <w:tcW w:w="774" w:type="dxa"/>
            <w:vMerge w:val="restart"/>
            <w:tcBorders>
              <w:top w:val="single" w:sz="4" w:space="0" w:color="000000"/>
              <w:left w:val="single" w:sz="9" w:space="0" w:color="D2D2D2"/>
              <w:right w:val="single" w:sz="4" w:space="0" w:color="000000"/>
            </w:tcBorders>
          </w:tcPr>
          <w:p>
            <w:pPr>
              <w:pStyle w:val="TableParagraph"/>
              <w:spacing w:line="240" w:lineRule="auto" w:before="93"/>
              <w:ind w:left="84" w:right="0"/>
              <w:jc w:val="center"/>
              <w:rPr>
                <w:rFonts w:ascii="Times New Roman" w:hAnsi="Times New Roman" w:cs="Times New Roman" w:eastAsia="Times New Roman" w:hint="default"/>
                <w:sz w:val="18"/>
                <w:szCs w:val="18"/>
              </w:rPr>
            </w:pPr>
            <w:r>
              <w:rPr>
                <w:rFonts w:ascii="Times New Roman"/>
                <w:sz w:val="18"/>
              </w:rPr>
              <w:t>105,978,</w:t>
            </w:r>
          </w:p>
          <w:p>
            <w:pPr>
              <w:pStyle w:val="TableParagraph"/>
              <w:spacing w:line="240" w:lineRule="auto" w:before="102"/>
              <w:ind w:left="221" w:right="0"/>
              <w:jc w:val="center"/>
              <w:rPr>
                <w:rFonts w:ascii="Times New Roman" w:hAnsi="Times New Roman" w:cs="Times New Roman" w:eastAsia="Times New Roman" w:hint="default"/>
                <w:sz w:val="18"/>
                <w:szCs w:val="18"/>
              </w:rPr>
            </w:pPr>
            <w:r>
              <w:rPr>
                <w:rFonts w:ascii="Times New Roman"/>
                <w:sz w:val="18"/>
              </w:rPr>
              <w:t>848.98</w:t>
            </w:r>
          </w:p>
        </w:tc>
        <w:tc>
          <w:tcPr>
            <w:tcW w:w="761"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3" w:type="dxa"/>
            <w:vMerge w:val="restart"/>
            <w:tcBorders>
              <w:top w:val="single" w:sz="4" w:space="0" w:color="000000"/>
              <w:left w:val="single" w:sz="4" w:space="0" w:color="000000"/>
              <w:right w:val="single" w:sz="4" w:space="0" w:color="000000"/>
            </w:tcBorders>
          </w:tcPr>
          <w:p>
            <w:pPr>
              <w:pStyle w:val="TableParagraph"/>
              <w:spacing w:line="240" w:lineRule="auto" w:before="93"/>
              <w:ind w:left="105" w:right="0"/>
              <w:jc w:val="left"/>
              <w:rPr>
                <w:rFonts w:ascii="Times New Roman" w:hAnsi="Times New Roman" w:cs="Times New Roman" w:eastAsia="Times New Roman" w:hint="default"/>
                <w:sz w:val="18"/>
                <w:szCs w:val="18"/>
              </w:rPr>
            </w:pPr>
            <w:r>
              <w:rPr>
                <w:rFonts w:ascii="Times New Roman"/>
                <w:sz w:val="18"/>
              </w:rPr>
              <w:t>11,145,4</w:t>
            </w:r>
          </w:p>
          <w:p>
            <w:pPr>
              <w:pStyle w:val="TableParagraph"/>
              <w:spacing w:line="240" w:lineRule="auto" w:before="102"/>
              <w:ind w:left="323" w:right="0"/>
              <w:jc w:val="left"/>
              <w:rPr>
                <w:rFonts w:ascii="Times New Roman" w:hAnsi="Times New Roman" w:cs="Times New Roman" w:eastAsia="Times New Roman" w:hint="default"/>
                <w:sz w:val="18"/>
                <w:szCs w:val="18"/>
              </w:rPr>
            </w:pPr>
            <w:r>
              <w:rPr>
                <w:rFonts w:ascii="Times New Roman"/>
                <w:sz w:val="18"/>
              </w:rPr>
              <w:t>63.61</w:t>
            </w:r>
          </w:p>
        </w:tc>
        <w:tc>
          <w:tcPr>
            <w:tcW w:w="763"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788" w:type="dxa"/>
            <w:vMerge w:val="restart"/>
            <w:tcBorders>
              <w:top w:val="single" w:sz="4" w:space="0" w:color="000000"/>
              <w:left w:val="single" w:sz="4" w:space="0" w:color="000000"/>
              <w:right w:val="single" w:sz="4" w:space="0" w:color="000000"/>
            </w:tcBorders>
          </w:tcPr>
          <w:p>
            <w:pPr>
              <w:pStyle w:val="TableParagraph"/>
              <w:spacing w:line="240" w:lineRule="auto" w:before="93"/>
              <w:ind w:left="35" w:right="0"/>
              <w:jc w:val="left"/>
              <w:rPr>
                <w:rFonts w:ascii="Times New Roman" w:hAnsi="Times New Roman" w:cs="Times New Roman" w:eastAsia="Times New Roman" w:hint="default"/>
                <w:sz w:val="18"/>
                <w:szCs w:val="18"/>
              </w:rPr>
            </w:pPr>
            <w:r>
              <w:rPr>
                <w:rFonts w:ascii="Times New Roman"/>
                <w:sz w:val="18"/>
              </w:rPr>
              <w:t>94,833,38</w:t>
            </w:r>
          </w:p>
          <w:p>
            <w:pPr>
              <w:pStyle w:val="TableParagraph"/>
              <w:spacing w:line="240" w:lineRule="auto" w:before="102"/>
              <w:ind w:left="441" w:right="0"/>
              <w:jc w:val="left"/>
              <w:rPr>
                <w:rFonts w:ascii="Times New Roman" w:hAnsi="Times New Roman" w:cs="Times New Roman" w:eastAsia="Times New Roman" w:hint="default"/>
                <w:sz w:val="18"/>
                <w:szCs w:val="18"/>
              </w:rPr>
            </w:pPr>
            <w:r>
              <w:rPr>
                <w:rFonts w:ascii="Times New Roman"/>
                <w:sz w:val="18"/>
              </w:rPr>
              <w:t>5.37</w:t>
            </w:r>
          </w:p>
        </w:tc>
        <w:tc>
          <w:tcPr>
            <w:tcW w:w="655" w:type="dxa"/>
            <w:vMerge w:val="restart"/>
            <w:tcBorders>
              <w:top w:val="single" w:sz="4" w:space="0" w:color="000000"/>
              <w:left w:val="single" w:sz="4" w:space="0" w:color="000000"/>
              <w:right w:val="single" w:sz="4" w:space="0" w:color="000000"/>
            </w:tcBorders>
          </w:tcPr>
          <w:p>
            <w:pPr>
              <w:pStyle w:val="TableParagraph"/>
              <w:spacing w:line="240" w:lineRule="auto" w:before="93"/>
              <w:ind w:left="38" w:right="0"/>
              <w:jc w:val="left"/>
              <w:rPr>
                <w:rFonts w:ascii="Times New Roman" w:hAnsi="Times New Roman" w:cs="Times New Roman" w:eastAsia="Times New Roman" w:hint="default"/>
                <w:sz w:val="18"/>
                <w:szCs w:val="18"/>
              </w:rPr>
            </w:pPr>
            <w:r>
              <w:rPr>
                <w:rFonts w:ascii="Times New Roman"/>
                <w:sz w:val="18"/>
              </w:rPr>
              <w:t>254,295</w:t>
            </w:r>
          </w:p>
          <w:p>
            <w:pPr>
              <w:pStyle w:val="TableParagraph"/>
              <w:spacing w:line="240" w:lineRule="auto" w:before="102"/>
              <w:ind w:left="83" w:right="0"/>
              <w:jc w:val="left"/>
              <w:rPr>
                <w:rFonts w:ascii="Times New Roman" w:hAnsi="Times New Roman" w:cs="Times New Roman" w:eastAsia="Times New Roman" w:hint="default"/>
                <w:sz w:val="18"/>
                <w:szCs w:val="18"/>
              </w:rPr>
            </w:pPr>
            <w:r>
              <w:rPr>
                <w:rFonts w:ascii="Times New Roman"/>
                <w:sz w:val="18"/>
              </w:rPr>
              <w:t>,097.48</w:t>
            </w:r>
          </w:p>
        </w:tc>
        <w:tc>
          <w:tcPr>
            <w:tcW w:w="761"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4" w:type="dxa"/>
            <w:vMerge w:val="restart"/>
            <w:tcBorders>
              <w:top w:val="single" w:sz="4" w:space="0" w:color="000000"/>
              <w:left w:val="single" w:sz="4" w:space="0" w:color="000000"/>
              <w:right w:val="single" w:sz="4" w:space="0" w:color="000000"/>
            </w:tcBorders>
          </w:tcPr>
          <w:p>
            <w:pPr>
              <w:pStyle w:val="TableParagraph"/>
              <w:spacing w:line="240" w:lineRule="auto" w:before="93"/>
              <w:ind w:left="62" w:right="0"/>
              <w:jc w:val="left"/>
              <w:rPr>
                <w:rFonts w:ascii="Times New Roman" w:hAnsi="Times New Roman" w:cs="Times New Roman" w:eastAsia="Times New Roman" w:hint="default"/>
                <w:sz w:val="18"/>
                <w:szCs w:val="18"/>
              </w:rPr>
            </w:pPr>
            <w:r>
              <w:rPr>
                <w:rFonts w:ascii="Times New Roman"/>
                <w:sz w:val="18"/>
              </w:rPr>
              <w:t>10,737,00</w:t>
            </w:r>
          </w:p>
          <w:p>
            <w:pPr>
              <w:pStyle w:val="TableParagraph"/>
              <w:spacing w:line="240" w:lineRule="auto" w:before="102"/>
              <w:ind w:left="468" w:right="0"/>
              <w:jc w:val="left"/>
              <w:rPr>
                <w:rFonts w:ascii="Times New Roman" w:hAnsi="Times New Roman" w:cs="Times New Roman" w:eastAsia="Times New Roman" w:hint="default"/>
                <w:sz w:val="18"/>
                <w:szCs w:val="18"/>
              </w:rPr>
            </w:pPr>
            <w:r>
              <w:rPr>
                <w:rFonts w:ascii="Times New Roman"/>
                <w:sz w:val="18"/>
              </w:rPr>
              <w:t>5.18</w:t>
            </w:r>
          </w:p>
        </w:tc>
        <w:tc>
          <w:tcPr>
            <w:tcW w:w="934"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931" w:type="dxa"/>
            <w:vMerge w:val="restart"/>
            <w:tcBorders>
              <w:top w:val="single" w:sz="4" w:space="0" w:color="000000"/>
              <w:left w:val="single" w:sz="4" w:space="0" w:color="000000"/>
              <w:right w:val="single" w:sz="4" w:space="0" w:color="000000"/>
            </w:tcBorders>
          </w:tcPr>
          <w:p>
            <w:pPr>
              <w:pStyle w:val="TableParagraph"/>
              <w:spacing w:line="240" w:lineRule="auto" w:before="93"/>
              <w:ind w:left="88" w:right="0"/>
              <w:jc w:val="left"/>
              <w:rPr>
                <w:rFonts w:ascii="Times New Roman" w:hAnsi="Times New Roman" w:cs="Times New Roman" w:eastAsia="Times New Roman" w:hint="default"/>
                <w:sz w:val="18"/>
                <w:szCs w:val="18"/>
              </w:rPr>
            </w:pPr>
            <w:r>
              <w:rPr>
                <w:rFonts w:ascii="Times New Roman"/>
                <w:sz w:val="18"/>
              </w:rPr>
              <w:t>243,558,09</w:t>
            </w:r>
          </w:p>
          <w:p>
            <w:pPr>
              <w:pStyle w:val="TableParagraph"/>
              <w:spacing w:line="240" w:lineRule="auto" w:before="102"/>
              <w:ind w:left="585" w:right="0"/>
              <w:jc w:val="left"/>
              <w:rPr>
                <w:rFonts w:ascii="Times New Roman" w:hAnsi="Times New Roman" w:cs="Times New Roman" w:eastAsia="Times New Roman" w:hint="default"/>
                <w:sz w:val="18"/>
                <w:szCs w:val="18"/>
              </w:rPr>
            </w:pPr>
            <w:r>
              <w:rPr>
                <w:rFonts w:ascii="Times New Roman"/>
                <w:sz w:val="18"/>
              </w:rPr>
              <w:t>2.30</w:t>
            </w:r>
          </w:p>
        </w:tc>
      </w:tr>
      <w:tr>
        <w:trPr>
          <w:trHeight w:val="391" w:hRule="exact"/>
        </w:trPr>
        <w:tc>
          <w:tcPr>
            <w:tcW w:w="16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74" w:type="dxa"/>
            <w:vMerge/>
            <w:tcBorders>
              <w:left w:val="single" w:sz="9" w:space="0" w:color="D2D2D2"/>
              <w:right w:val="single" w:sz="4" w:space="0" w:color="000000"/>
            </w:tcBorders>
          </w:tcPr>
          <w:p>
            <w:pPr/>
          </w:p>
        </w:tc>
        <w:tc>
          <w:tcPr>
            <w:tcW w:w="761" w:type="dxa"/>
            <w:vMerge/>
            <w:tcBorders>
              <w:left w:val="single" w:sz="4" w:space="0" w:color="000000"/>
              <w:right w:val="single" w:sz="4" w:space="0" w:color="000000"/>
            </w:tcBorders>
          </w:tcPr>
          <w:p>
            <w:pPr/>
          </w:p>
        </w:tc>
        <w:tc>
          <w:tcPr>
            <w:tcW w:w="763" w:type="dxa"/>
            <w:vMerge/>
            <w:tcBorders>
              <w:left w:val="single" w:sz="4" w:space="0" w:color="000000"/>
              <w:right w:val="single" w:sz="4" w:space="0" w:color="000000"/>
            </w:tcBorders>
          </w:tcPr>
          <w:p>
            <w:pPr/>
          </w:p>
        </w:tc>
        <w:tc>
          <w:tcPr>
            <w:tcW w:w="763" w:type="dxa"/>
            <w:vMerge/>
            <w:tcBorders>
              <w:left w:val="single" w:sz="4" w:space="0" w:color="000000"/>
              <w:right w:val="single" w:sz="4" w:space="0" w:color="000000"/>
            </w:tcBorders>
          </w:tcPr>
          <w:p>
            <w:pPr/>
          </w:p>
        </w:tc>
        <w:tc>
          <w:tcPr>
            <w:tcW w:w="788" w:type="dxa"/>
            <w:vMerge/>
            <w:tcBorders>
              <w:left w:val="single" w:sz="4" w:space="0" w:color="000000"/>
              <w:right w:val="single" w:sz="4" w:space="0" w:color="000000"/>
            </w:tcBorders>
          </w:tcPr>
          <w:p>
            <w:pPr/>
          </w:p>
        </w:tc>
        <w:tc>
          <w:tcPr>
            <w:tcW w:w="655" w:type="dxa"/>
            <w:vMerge/>
            <w:tcBorders>
              <w:left w:val="single" w:sz="4" w:space="0" w:color="000000"/>
              <w:right w:val="single" w:sz="4" w:space="0" w:color="000000"/>
            </w:tcBorders>
          </w:tcPr>
          <w:p>
            <w:pPr/>
          </w:p>
        </w:tc>
        <w:tc>
          <w:tcPr>
            <w:tcW w:w="761" w:type="dxa"/>
            <w:vMerge/>
            <w:tcBorders>
              <w:left w:val="single" w:sz="4" w:space="0" w:color="000000"/>
              <w:right w:val="single" w:sz="4" w:space="0" w:color="000000"/>
            </w:tcBorders>
          </w:tcPr>
          <w:p>
            <w:pPr/>
          </w:p>
        </w:tc>
        <w:tc>
          <w:tcPr>
            <w:tcW w:w="814" w:type="dxa"/>
            <w:vMerge/>
            <w:tcBorders>
              <w:left w:val="single" w:sz="4" w:space="0" w:color="000000"/>
              <w:right w:val="single" w:sz="4" w:space="0" w:color="000000"/>
            </w:tcBorders>
          </w:tcPr>
          <w:p>
            <w:pPr/>
          </w:p>
        </w:tc>
        <w:tc>
          <w:tcPr>
            <w:tcW w:w="934" w:type="dxa"/>
            <w:vMerge/>
            <w:tcBorders>
              <w:left w:val="single" w:sz="4" w:space="0" w:color="000000"/>
              <w:right w:val="single" w:sz="4" w:space="0" w:color="000000"/>
            </w:tcBorders>
          </w:tcPr>
          <w:p>
            <w:pPr/>
          </w:p>
        </w:tc>
        <w:tc>
          <w:tcPr>
            <w:tcW w:w="931" w:type="dxa"/>
            <w:vMerge/>
            <w:tcBorders>
              <w:left w:val="single" w:sz="4" w:space="0" w:color="000000"/>
              <w:right w:val="single" w:sz="4" w:space="0" w:color="000000"/>
            </w:tcBorders>
          </w:tcPr>
          <w:p>
            <w:pPr/>
          </w:p>
        </w:tc>
      </w:tr>
      <w:tr>
        <w:trPr>
          <w:trHeight w:val="161" w:hRule="exact"/>
        </w:trPr>
        <w:tc>
          <w:tcPr>
            <w:tcW w:w="1612" w:type="dxa"/>
            <w:tcBorders>
              <w:top w:val="nil" w:sz="6" w:space="0" w:color="auto"/>
              <w:left w:val="single" w:sz="4" w:space="0" w:color="000000"/>
              <w:bottom w:val="single" w:sz="4" w:space="0" w:color="000000"/>
              <w:right w:val="single" w:sz="4" w:space="0" w:color="000000"/>
            </w:tcBorders>
            <w:shd w:val="clear" w:color="auto" w:fill="D2D2D2"/>
          </w:tcPr>
          <w:p>
            <w:pPr/>
          </w:p>
        </w:tc>
        <w:tc>
          <w:tcPr>
            <w:tcW w:w="774" w:type="dxa"/>
            <w:vMerge/>
            <w:tcBorders>
              <w:left w:val="single" w:sz="9" w:space="0" w:color="D2D2D2"/>
              <w:bottom w:val="single" w:sz="4" w:space="0" w:color="000000"/>
              <w:right w:val="single" w:sz="4" w:space="0" w:color="000000"/>
            </w:tcBorders>
          </w:tcPr>
          <w:p>
            <w:pPr/>
          </w:p>
        </w:tc>
        <w:tc>
          <w:tcPr>
            <w:tcW w:w="761" w:type="dxa"/>
            <w:vMerge/>
            <w:tcBorders>
              <w:left w:val="single" w:sz="4" w:space="0" w:color="000000"/>
              <w:bottom w:val="single" w:sz="4" w:space="0" w:color="000000"/>
              <w:right w:val="single" w:sz="4" w:space="0" w:color="000000"/>
            </w:tcBorders>
          </w:tcPr>
          <w:p>
            <w:pPr/>
          </w:p>
        </w:tc>
        <w:tc>
          <w:tcPr>
            <w:tcW w:w="763" w:type="dxa"/>
            <w:vMerge/>
            <w:tcBorders>
              <w:left w:val="single" w:sz="4" w:space="0" w:color="000000"/>
              <w:bottom w:val="single" w:sz="4" w:space="0" w:color="000000"/>
              <w:right w:val="single" w:sz="4" w:space="0" w:color="000000"/>
            </w:tcBorders>
          </w:tcPr>
          <w:p>
            <w:pPr/>
          </w:p>
        </w:tc>
        <w:tc>
          <w:tcPr>
            <w:tcW w:w="763" w:type="dxa"/>
            <w:vMerge/>
            <w:tcBorders>
              <w:left w:val="single" w:sz="4" w:space="0" w:color="000000"/>
              <w:bottom w:val="single" w:sz="4" w:space="0" w:color="000000"/>
              <w:right w:val="single" w:sz="4" w:space="0" w:color="000000"/>
            </w:tcBorders>
          </w:tcPr>
          <w:p>
            <w:pPr/>
          </w:p>
        </w:tc>
        <w:tc>
          <w:tcPr>
            <w:tcW w:w="788" w:type="dxa"/>
            <w:vMerge/>
            <w:tcBorders>
              <w:left w:val="single" w:sz="4" w:space="0" w:color="000000"/>
              <w:bottom w:val="single" w:sz="4" w:space="0" w:color="000000"/>
              <w:right w:val="single" w:sz="4" w:space="0" w:color="000000"/>
            </w:tcBorders>
          </w:tcPr>
          <w:p>
            <w:pPr/>
          </w:p>
        </w:tc>
        <w:tc>
          <w:tcPr>
            <w:tcW w:w="655" w:type="dxa"/>
            <w:vMerge/>
            <w:tcBorders>
              <w:left w:val="single" w:sz="4" w:space="0" w:color="000000"/>
              <w:bottom w:val="single" w:sz="4" w:space="0" w:color="000000"/>
              <w:right w:val="single" w:sz="4" w:space="0" w:color="000000"/>
            </w:tcBorders>
          </w:tcPr>
          <w:p>
            <w:pPr/>
          </w:p>
        </w:tc>
        <w:tc>
          <w:tcPr>
            <w:tcW w:w="761" w:type="dxa"/>
            <w:vMerge/>
            <w:tcBorders>
              <w:left w:val="single" w:sz="4" w:space="0" w:color="000000"/>
              <w:bottom w:val="single" w:sz="4" w:space="0" w:color="000000"/>
              <w:right w:val="single" w:sz="4" w:space="0" w:color="000000"/>
            </w:tcBorders>
          </w:tcPr>
          <w:p>
            <w:pPr/>
          </w:p>
        </w:tc>
        <w:tc>
          <w:tcPr>
            <w:tcW w:w="814" w:type="dxa"/>
            <w:vMerge/>
            <w:tcBorders>
              <w:left w:val="single" w:sz="4" w:space="0" w:color="000000"/>
              <w:bottom w:val="single" w:sz="4" w:space="0" w:color="000000"/>
              <w:right w:val="single" w:sz="4" w:space="0" w:color="000000"/>
            </w:tcBorders>
          </w:tcPr>
          <w:p>
            <w:pPr/>
          </w:p>
        </w:tc>
        <w:tc>
          <w:tcPr>
            <w:tcW w:w="934" w:type="dxa"/>
            <w:vMerge/>
            <w:tcBorders>
              <w:left w:val="single" w:sz="4" w:space="0" w:color="000000"/>
              <w:bottom w:val="single" w:sz="4" w:space="0" w:color="000000"/>
              <w:right w:val="single" w:sz="4" w:space="0" w:color="000000"/>
            </w:tcBorders>
          </w:tcPr>
          <w:p>
            <w:pPr/>
          </w:p>
        </w:tc>
        <w:tc>
          <w:tcPr>
            <w:tcW w:w="931" w:type="dxa"/>
            <w:vMerge/>
            <w:tcBorders>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0"/>
        </w:sectPr>
      </w:pPr>
    </w:p>
    <w:p>
      <w:pPr>
        <w:pStyle w:val="BodyText"/>
        <w:spacing w:line="240" w:lineRule="auto" w:before="49"/>
        <w:ind w:right="-20"/>
        <w:jc w:val="left"/>
      </w:pPr>
      <w:r>
        <w:rPr/>
        <w:t>期末单项金额重大并单项计提坏账准备的应收账款：</w:t>
      </w:r>
    </w:p>
    <w:p>
      <w:pPr>
        <w:pStyle w:val="BodyText"/>
        <w:spacing w:line="340" w:lineRule="auto" w:before="115"/>
        <w:ind w:right="16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组合中，按账龄分析法计提坏账准备的应收账款：</w:t>
      </w:r>
    </w:p>
    <w:p>
      <w:pPr>
        <w:pStyle w:val="BodyText"/>
        <w:spacing w:line="240" w:lineRule="auto" w:before="41"/>
        <w:ind w:right="-2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pStyle w:val="BodyText"/>
        <w:spacing w:line="240" w:lineRule="auto"/>
        <w:ind w:right="0"/>
        <w:jc w:val="left"/>
      </w:pPr>
      <w:r>
        <w:rPr/>
        <w:t>单位：</w:t>
      </w:r>
      <w:r>
        <w:rPr>
          <w:spacing w:val="1"/>
        </w:rPr>
        <w:t> </w:t>
      </w:r>
      <w:r>
        <w:rPr/>
        <w:t>元</w:t>
      </w:r>
    </w:p>
    <w:p>
      <w:pPr>
        <w:spacing w:after="0" w:line="240" w:lineRule="auto"/>
        <w:jc w:val="left"/>
        <w:sectPr>
          <w:type w:val="continuous"/>
          <w:pgSz w:w="11910" w:h="16840"/>
          <w:pgMar w:top="1060" w:bottom="1160" w:left="980" w:right="0"/>
          <w:cols w:num="2" w:equalWidth="0">
            <w:col w:w="4293" w:space="4536"/>
            <w:col w:w="2101"/>
          </w:cols>
        </w:sectPr>
      </w:pP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483"/>
        <w:gridCol w:w="2295"/>
        <w:gridCol w:w="2391"/>
        <w:gridCol w:w="2390"/>
      </w:tblGrid>
      <w:tr>
        <w:trPr>
          <w:trHeight w:val="206" w:hRule="exact"/>
        </w:trPr>
        <w:tc>
          <w:tcPr>
            <w:tcW w:w="2483" w:type="dxa"/>
            <w:tcBorders>
              <w:top w:val="single" w:sz="4" w:space="0" w:color="000000"/>
              <w:left w:val="single" w:sz="4" w:space="0" w:color="000000"/>
              <w:bottom w:val="nil" w:sz="6" w:space="0" w:color="auto"/>
              <w:right w:val="single" w:sz="4" w:space="0" w:color="000000"/>
            </w:tcBorders>
            <w:shd w:val="clear" w:color="auto" w:fill="D2D2D2"/>
          </w:tcPr>
          <w:p>
            <w:pPr/>
          </w:p>
        </w:tc>
        <w:tc>
          <w:tcPr>
            <w:tcW w:w="7076"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2" w:hRule="exact"/>
        </w:trPr>
        <w:tc>
          <w:tcPr>
            <w:tcW w:w="248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12"/>
              <w:jc w:val="center"/>
              <w:rPr>
                <w:rFonts w:ascii="宋体" w:hAnsi="宋体" w:cs="宋体" w:eastAsia="宋体" w:hint="default"/>
                <w:sz w:val="18"/>
                <w:szCs w:val="18"/>
              </w:rPr>
            </w:pPr>
            <w:r>
              <w:rPr>
                <w:rFonts w:ascii="宋体" w:hAnsi="宋体" w:cs="宋体" w:eastAsia="宋体" w:hint="default"/>
                <w:sz w:val="18"/>
                <w:szCs w:val="18"/>
              </w:rPr>
              <w:t>账龄</w:t>
            </w:r>
          </w:p>
        </w:tc>
        <w:tc>
          <w:tcPr>
            <w:tcW w:w="7076" w:type="dxa"/>
            <w:gridSpan w:val="3"/>
            <w:vMerge/>
            <w:tcBorders>
              <w:left w:val="single" w:sz="4" w:space="0" w:color="000000"/>
              <w:bottom w:val="single" w:sz="4" w:space="0" w:color="000000"/>
              <w:right w:val="single" w:sz="4" w:space="0" w:color="000000"/>
            </w:tcBorders>
            <w:shd w:val="clear" w:color="auto" w:fill="D2D2D2"/>
          </w:tcPr>
          <w:p>
            <w:pPr/>
          </w:p>
        </w:tc>
      </w:tr>
      <w:tr>
        <w:trPr>
          <w:trHeight w:val="200" w:hRule="exact"/>
        </w:trPr>
        <w:tc>
          <w:tcPr>
            <w:tcW w:w="2483" w:type="dxa"/>
            <w:vMerge/>
            <w:tcBorders>
              <w:left w:val="single" w:sz="4" w:space="0" w:color="000000"/>
              <w:bottom w:val="nil" w:sz="6" w:space="0" w:color="auto"/>
              <w:right w:val="single" w:sz="4" w:space="0" w:color="000000"/>
            </w:tcBorders>
            <w:shd w:val="clear" w:color="auto" w:fill="D2D2D2"/>
          </w:tcPr>
          <w:p>
            <w:pPr/>
          </w:p>
        </w:tc>
        <w:tc>
          <w:tcPr>
            <w:tcW w:w="22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23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4"/>
              <w:ind w:right="1"/>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211" w:hRule="exact"/>
        </w:trPr>
        <w:tc>
          <w:tcPr>
            <w:tcW w:w="2483" w:type="dxa"/>
            <w:tcBorders>
              <w:top w:val="nil" w:sz="6" w:space="0" w:color="auto"/>
              <w:left w:val="single" w:sz="4" w:space="0" w:color="000000"/>
              <w:bottom w:val="single" w:sz="4" w:space="0" w:color="000000"/>
              <w:right w:val="single" w:sz="4" w:space="0" w:color="000000"/>
            </w:tcBorders>
            <w:shd w:val="clear" w:color="auto" w:fill="D2D2D2"/>
          </w:tcPr>
          <w:p>
            <w:pPr/>
          </w:p>
        </w:tc>
        <w:tc>
          <w:tcPr>
            <w:tcW w:w="2295" w:type="dxa"/>
            <w:vMerge/>
            <w:tcBorders>
              <w:left w:val="single" w:sz="4" w:space="0" w:color="000000"/>
              <w:bottom w:val="single" w:sz="4" w:space="0" w:color="000000"/>
              <w:right w:val="single" w:sz="4" w:space="0" w:color="000000"/>
            </w:tcBorders>
            <w:shd w:val="clear" w:color="auto" w:fill="D2D2D2"/>
          </w:tcPr>
          <w:p>
            <w:pPr/>
          </w:p>
        </w:tc>
        <w:tc>
          <w:tcPr>
            <w:tcW w:w="2391" w:type="dxa"/>
            <w:vMerge/>
            <w:tcBorders>
              <w:left w:val="single" w:sz="4" w:space="0" w:color="000000"/>
              <w:bottom w:val="single" w:sz="4" w:space="0" w:color="000000"/>
              <w:right w:val="single" w:sz="4" w:space="0" w:color="000000"/>
            </w:tcBorders>
            <w:shd w:val="clear" w:color="auto" w:fill="D2D2D2"/>
          </w:tcPr>
          <w:p>
            <w:pPr/>
          </w:p>
        </w:tc>
        <w:tc>
          <w:tcPr>
            <w:tcW w:w="2390" w:type="dxa"/>
            <w:vMerge/>
            <w:tcBorders>
              <w:left w:val="single" w:sz="4" w:space="0" w:color="000000"/>
              <w:bottom w:val="single" w:sz="4" w:space="0" w:color="000000"/>
              <w:right w:val="single" w:sz="4" w:space="0" w:color="000000"/>
            </w:tcBorders>
            <w:shd w:val="clear" w:color="auto" w:fill="D2D2D2"/>
          </w:tcPr>
          <w:p>
            <w:pPr/>
          </w:p>
        </w:tc>
      </w:tr>
      <w:tr>
        <w:trPr>
          <w:trHeight w:val="398" w:hRule="exact"/>
        </w:trPr>
        <w:tc>
          <w:tcPr>
            <w:tcW w:w="955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年以内分项</w:t>
            </w:r>
          </w:p>
        </w:tc>
      </w:tr>
      <w:tr>
        <w:trPr>
          <w:trHeight w:val="401" w:hRule="exact"/>
        </w:trPr>
        <w:tc>
          <w:tcPr>
            <w:tcW w:w="24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229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63,512,902.24</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635,129.02</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1.00%</w:t>
            </w:r>
          </w:p>
        </w:tc>
      </w:tr>
      <w:tr>
        <w:trPr>
          <w:trHeight w:val="403" w:hRule="exact"/>
        </w:trPr>
        <w:tc>
          <w:tcPr>
            <w:tcW w:w="24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9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2,648,713.52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264,871.35</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10.00%</w:t>
            </w:r>
          </w:p>
        </w:tc>
      </w:tr>
      <w:tr>
        <w:trPr>
          <w:trHeight w:val="401" w:hRule="exact"/>
        </w:trPr>
        <w:tc>
          <w:tcPr>
            <w:tcW w:w="24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9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1,095,926.47</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547,963.24</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50.00%</w:t>
            </w:r>
          </w:p>
        </w:tc>
      </w:tr>
      <w:tr>
        <w:trPr>
          <w:trHeight w:val="403" w:hRule="exact"/>
        </w:trPr>
        <w:tc>
          <w:tcPr>
            <w:tcW w:w="24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29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9,697,500.00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9,697,500.00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1" w:hRule="exact"/>
        </w:trPr>
        <w:tc>
          <w:tcPr>
            <w:tcW w:w="24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29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76,955,042.23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11,145,463.61</w:t>
            </w:r>
          </w:p>
        </w:tc>
        <w:tc>
          <w:tcPr>
            <w:tcW w:w="2390" w:type="dxa"/>
            <w:tcBorders>
              <w:top w:val="single" w:sz="4" w:space="0" w:color="000000"/>
              <w:left w:val="single" w:sz="4" w:space="0" w:color="000000"/>
              <w:bottom w:val="single" w:sz="4" w:space="0" w:color="000000"/>
              <w:right w:val="single" w:sz="4" w:space="0" w:color="000000"/>
            </w:tcBorders>
          </w:tcPr>
          <w:p>
            <w:pPr/>
          </w:p>
        </w:tc>
      </w:tr>
    </w:tbl>
    <w:p>
      <w:pPr>
        <w:pStyle w:val="BodyText"/>
        <w:spacing w:line="360" w:lineRule="auto" w:before="49"/>
        <w:ind w:right="6434"/>
        <w:jc w:val="left"/>
      </w:pPr>
      <w:r>
        <w:rPr/>
        <w:t>确定该组合依据的说明： 组合中，采用余额百分比法计提坏账准备的应收账款：</w:t>
      </w:r>
    </w:p>
    <w:p>
      <w:pPr>
        <w:pStyle w:val="BodyText"/>
        <w:spacing w:line="340" w:lineRule="auto" w:before="25"/>
        <w:ind w:right="679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组合中，采用其他方法计提坏账准备的应收账款：</w:t>
      </w:r>
    </w:p>
    <w:p>
      <w:pPr>
        <w:spacing w:line="240" w:lineRule="auto" w:before="5"/>
        <w:rPr>
          <w:rFonts w:ascii="宋体" w:hAnsi="宋体" w:cs="宋体" w:eastAsia="宋体" w:hint="default"/>
          <w:sz w:val="2"/>
          <w:szCs w:val="2"/>
        </w:rPr>
      </w:pPr>
    </w:p>
    <w:tbl>
      <w:tblPr>
        <w:tblW w:w="0" w:type="auto"/>
        <w:jc w:val="left"/>
        <w:tblInd w:w="145" w:type="dxa"/>
        <w:tblLayout w:type="fixed"/>
        <w:tblCellMar>
          <w:top w:w="0" w:type="dxa"/>
          <w:left w:w="0" w:type="dxa"/>
          <w:bottom w:w="0" w:type="dxa"/>
          <w:right w:w="0" w:type="dxa"/>
        </w:tblCellMar>
        <w:tblLook w:val="01E0"/>
      </w:tblPr>
      <w:tblGrid>
        <w:gridCol w:w="2912"/>
        <w:gridCol w:w="2619"/>
        <w:gridCol w:w="1841"/>
        <w:gridCol w:w="2129"/>
      </w:tblGrid>
      <w:tr>
        <w:trPr>
          <w:trHeight w:val="430" w:hRule="exact"/>
        </w:trPr>
        <w:tc>
          <w:tcPr>
            <w:tcW w:w="2912" w:type="dxa"/>
            <w:vMerge w:val="restart"/>
            <w:tcBorders>
              <w:top w:val="single" w:sz="6" w:space="0" w:color="000000"/>
              <w:left w:val="single" w:sz="6" w:space="0" w:color="000000"/>
              <w:right w:val="single" w:sz="6" w:space="0" w:color="000000"/>
            </w:tcBorders>
            <w:shd w:val="clear" w:color="auto" w:fill="D9D9D9"/>
          </w:tcPr>
          <w:p>
            <w:pPr>
              <w:pStyle w:val="TableParagraph"/>
              <w:spacing w:line="240" w:lineRule="auto" w:before="13"/>
              <w:ind w:right="0"/>
              <w:jc w:val="left"/>
              <w:rPr>
                <w:rFonts w:ascii="宋体" w:hAnsi="宋体" w:cs="宋体" w:eastAsia="宋体" w:hint="default"/>
                <w:sz w:val="20"/>
                <w:szCs w:val="20"/>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组合名称</w:t>
            </w:r>
          </w:p>
        </w:tc>
        <w:tc>
          <w:tcPr>
            <w:tcW w:w="6589" w:type="dxa"/>
            <w:gridSpan w:val="3"/>
            <w:tcBorders>
              <w:top w:val="single" w:sz="4" w:space="0" w:color="000000"/>
              <w:left w:val="single" w:sz="6" w:space="0" w:color="000000"/>
              <w:bottom w:val="single" w:sz="6" w:space="0" w:color="000000"/>
              <w:right w:val="single" w:sz="4" w:space="0" w:color="000000"/>
            </w:tcBorders>
            <w:shd w:val="clear" w:color="auto" w:fill="D9D9D9"/>
          </w:tcPr>
          <w:p>
            <w:pPr>
              <w:pStyle w:val="TableParagraph"/>
              <w:spacing w:line="240" w:lineRule="auto" w:before="63"/>
              <w:ind w:right="0"/>
              <w:jc w:val="center"/>
              <w:rPr>
                <w:rFonts w:ascii="宋体" w:hAnsi="宋体" w:cs="宋体" w:eastAsia="宋体" w:hint="default"/>
                <w:sz w:val="18"/>
                <w:szCs w:val="18"/>
              </w:rPr>
            </w:pPr>
            <w:r>
              <w:rPr>
                <w:rFonts w:ascii="宋体" w:hAnsi="宋体" w:cs="宋体" w:eastAsia="宋体" w:hint="default"/>
                <w:sz w:val="18"/>
                <w:szCs w:val="18"/>
              </w:rPr>
              <w:t>年末余额</w:t>
            </w:r>
          </w:p>
        </w:tc>
      </w:tr>
      <w:tr>
        <w:trPr>
          <w:trHeight w:val="427" w:hRule="exact"/>
        </w:trPr>
        <w:tc>
          <w:tcPr>
            <w:tcW w:w="2912" w:type="dxa"/>
            <w:vMerge/>
            <w:tcBorders>
              <w:left w:val="single" w:sz="6" w:space="0" w:color="000000"/>
              <w:bottom w:val="single" w:sz="8" w:space="0" w:color="000000"/>
              <w:right w:val="single" w:sz="6" w:space="0" w:color="000000"/>
            </w:tcBorders>
            <w:shd w:val="clear" w:color="auto" w:fill="D9D9D9"/>
          </w:tcPr>
          <w:p>
            <w:pPr/>
          </w:p>
        </w:tc>
        <w:tc>
          <w:tcPr>
            <w:tcW w:w="2619" w:type="dxa"/>
            <w:tcBorders>
              <w:top w:val="single" w:sz="6" w:space="0" w:color="000000"/>
              <w:left w:val="single" w:sz="6" w:space="0" w:color="000000"/>
              <w:bottom w:val="single" w:sz="8" w:space="0" w:color="000000"/>
              <w:right w:val="single" w:sz="6" w:space="0" w:color="000000"/>
            </w:tcBorders>
            <w:shd w:val="clear" w:color="auto" w:fill="D9D9D9"/>
          </w:tcPr>
          <w:p>
            <w:pPr>
              <w:pStyle w:val="TableParagraph"/>
              <w:spacing w:line="240" w:lineRule="auto" w:before="58"/>
              <w:ind w:left="2"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1841" w:type="dxa"/>
            <w:tcBorders>
              <w:top w:val="single" w:sz="6" w:space="0" w:color="000000"/>
              <w:left w:val="single" w:sz="6" w:space="0" w:color="000000"/>
              <w:bottom w:val="single" w:sz="8" w:space="0" w:color="000000"/>
              <w:right w:val="single" w:sz="4" w:space="0" w:color="000000"/>
            </w:tcBorders>
            <w:shd w:val="clear" w:color="auto" w:fill="D9D9D9"/>
          </w:tcPr>
          <w:p>
            <w:pPr>
              <w:pStyle w:val="TableParagraph"/>
              <w:spacing w:line="240" w:lineRule="auto" w:before="58"/>
              <w:ind w:left="55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212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1"/>
              <w:ind w:left="443" w:right="0"/>
              <w:jc w:val="left"/>
              <w:rPr>
                <w:rFonts w:ascii="宋体" w:hAnsi="宋体" w:cs="宋体" w:eastAsia="宋体"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427" w:hRule="exact"/>
        </w:trPr>
        <w:tc>
          <w:tcPr>
            <w:tcW w:w="2912" w:type="dxa"/>
            <w:tcBorders>
              <w:top w:val="single" w:sz="8" w:space="0" w:color="000000"/>
              <w:left w:val="single" w:sz="6" w:space="0" w:color="000000"/>
              <w:bottom w:val="single" w:sz="11" w:space="0" w:color="000000"/>
              <w:right w:val="single" w:sz="6" w:space="0" w:color="000000"/>
            </w:tcBorders>
          </w:tcPr>
          <w:p>
            <w:pPr>
              <w:pStyle w:val="TableParagraph"/>
              <w:spacing w:line="240" w:lineRule="auto" w:before="56"/>
              <w:ind w:left="4" w:right="0"/>
              <w:jc w:val="left"/>
              <w:rPr>
                <w:rFonts w:ascii="宋体" w:hAnsi="宋体" w:cs="宋体" w:eastAsia="宋体" w:hint="default"/>
                <w:sz w:val="18"/>
                <w:szCs w:val="18"/>
              </w:rPr>
            </w:pPr>
            <w:r>
              <w:rPr>
                <w:rFonts w:ascii="宋体" w:hAnsi="宋体" w:cs="宋体" w:eastAsia="宋体" w:hint="default"/>
                <w:sz w:val="18"/>
                <w:szCs w:val="18"/>
              </w:rPr>
              <w:t>交易风险组合</w:t>
            </w:r>
          </w:p>
        </w:tc>
        <w:tc>
          <w:tcPr>
            <w:tcW w:w="2619"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98"/>
              <w:ind w:right="0"/>
              <w:jc w:val="right"/>
              <w:rPr>
                <w:rFonts w:ascii="Times New Roman" w:hAnsi="Times New Roman" w:cs="Times New Roman" w:eastAsia="Times New Roman" w:hint="default"/>
                <w:sz w:val="18"/>
                <w:szCs w:val="18"/>
              </w:rPr>
            </w:pPr>
            <w:r>
              <w:rPr>
                <w:rFonts w:ascii="Times New Roman"/>
                <w:spacing w:val="-1"/>
                <w:sz w:val="18"/>
              </w:rPr>
              <w:t>29,023,806.75</w:t>
            </w:r>
          </w:p>
        </w:tc>
        <w:tc>
          <w:tcPr>
            <w:tcW w:w="1841" w:type="dxa"/>
            <w:tcBorders>
              <w:top w:val="single" w:sz="8" w:space="0" w:color="000000"/>
              <w:left w:val="single" w:sz="6" w:space="0" w:color="000000"/>
              <w:bottom w:val="single" w:sz="8" w:space="0" w:color="000000"/>
              <w:right w:val="single" w:sz="4" w:space="0" w:color="000000"/>
            </w:tcBorders>
          </w:tcPr>
          <w:p>
            <w:pPr>
              <w:pStyle w:val="TableParagraph"/>
              <w:spacing w:line="240" w:lineRule="auto" w:before="98"/>
              <w:ind w:right="2"/>
              <w:jc w:val="right"/>
              <w:rPr>
                <w:rFonts w:ascii="Times New Roman" w:hAnsi="Times New Roman" w:cs="Times New Roman" w:eastAsia="Times New Roman" w:hint="default"/>
                <w:sz w:val="18"/>
                <w:szCs w:val="18"/>
              </w:rPr>
            </w:pPr>
            <w:r>
              <w:rPr>
                <w:rFonts w:ascii="Times New Roman"/>
                <w:spacing w:val="-1"/>
                <w:sz w:val="18"/>
              </w:rPr>
              <w:t>0.00</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2"/>
              <w:jc w:val="right"/>
              <w:rPr>
                <w:rFonts w:ascii="Times New Roman" w:hAnsi="Times New Roman" w:cs="Times New Roman" w:eastAsia="Times New Roman" w:hint="default"/>
                <w:sz w:val="18"/>
                <w:szCs w:val="18"/>
              </w:rPr>
            </w:pPr>
            <w:r>
              <w:rPr>
                <w:rFonts w:ascii="Times New Roman"/>
                <w:spacing w:val="-1"/>
                <w:sz w:val="18"/>
              </w:rPr>
              <w:t>0.00</w:t>
            </w:r>
          </w:p>
        </w:tc>
      </w:tr>
      <w:tr>
        <w:trPr>
          <w:trHeight w:val="430" w:hRule="exact"/>
        </w:trPr>
        <w:tc>
          <w:tcPr>
            <w:tcW w:w="2912" w:type="dxa"/>
            <w:tcBorders>
              <w:top w:val="single" w:sz="8" w:space="0" w:color="000000"/>
              <w:left w:val="single" w:sz="6" w:space="0" w:color="000000"/>
              <w:bottom w:val="single" w:sz="8" w:space="0" w:color="000000"/>
              <w:right w:val="single" w:sz="6" w:space="0" w:color="000000"/>
            </w:tcBorders>
            <w:shd w:val="clear" w:color="auto" w:fill="D9D9D9"/>
          </w:tcPr>
          <w:p>
            <w:pPr>
              <w:pStyle w:val="TableParagraph"/>
              <w:spacing w:line="240" w:lineRule="auto" w:before="56"/>
              <w:ind w:left="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619"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98"/>
              <w:ind w:right="0"/>
              <w:jc w:val="right"/>
              <w:rPr>
                <w:rFonts w:ascii="Times New Roman" w:hAnsi="Times New Roman" w:cs="Times New Roman" w:eastAsia="Times New Roman" w:hint="default"/>
                <w:sz w:val="18"/>
                <w:szCs w:val="18"/>
              </w:rPr>
            </w:pPr>
            <w:r>
              <w:rPr>
                <w:rFonts w:ascii="Times New Roman"/>
                <w:spacing w:val="-1"/>
                <w:sz w:val="18"/>
              </w:rPr>
              <w:t>29,023,806.75</w:t>
            </w:r>
          </w:p>
        </w:tc>
        <w:tc>
          <w:tcPr>
            <w:tcW w:w="1841" w:type="dxa"/>
            <w:tcBorders>
              <w:top w:val="single" w:sz="8" w:space="0" w:color="000000"/>
              <w:left w:val="single" w:sz="6" w:space="0" w:color="000000"/>
              <w:bottom w:val="single" w:sz="8" w:space="0" w:color="000000"/>
              <w:right w:val="single" w:sz="4" w:space="0" w:color="000000"/>
            </w:tcBorders>
          </w:tcPr>
          <w:p>
            <w:pPr>
              <w:pStyle w:val="TableParagraph"/>
              <w:spacing w:line="240" w:lineRule="auto" w:before="57"/>
              <w:ind w:right="2"/>
              <w:jc w:val="right"/>
              <w:rPr>
                <w:rFonts w:ascii="Times New Roman" w:hAnsi="Times New Roman" w:cs="Times New Roman" w:eastAsia="Times New Roman" w:hint="default"/>
                <w:sz w:val="18"/>
                <w:szCs w:val="18"/>
              </w:rPr>
            </w:pPr>
            <w:r>
              <w:rPr>
                <w:rFonts w:ascii="Times New Roman"/>
                <w:spacing w:val="-1"/>
                <w:sz w:val="18"/>
              </w:rPr>
              <w:t>0.00</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bl>
    <w:p>
      <w:pPr>
        <w:spacing w:line="240" w:lineRule="auto" w:before="2"/>
        <w:rPr>
          <w:rFonts w:ascii="宋体" w:hAnsi="宋体" w:cs="宋体" w:eastAsia="宋体" w:hint="default"/>
          <w:sz w:val="24"/>
          <w:szCs w:val="24"/>
        </w:rPr>
      </w:pPr>
    </w:p>
    <w:p>
      <w:pPr>
        <w:pStyle w:val="BodyText"/>
        <w:spacing w:line="240" w:lineRule="auto" w:before="44"/>
        <w:ind w:right="982"/>
        <w:jc w:val="left"/>
      </w:pPr>
      <w:r>
        <w:rPr>
          <w:rFonts w:ascii="Times New Roman" w:hAnsi="Times New Roman" w:cs="Times New Roman" w:eastAsia="Times New Roman" w:hint="default"/>
        </w:rPr>
        <w:t>2)</w:t>
      </w:r>
      <w:r>
        <w:rPr/>
        <w:t>本期计提、收回或转回的坏账准备情况</w:t>
      </w:r>
    </w:p>
    <w:p>
      <w:pPr>
        <w:spacing w:after="0" w:line="240" w:lineRule="auto"/>
        <w:jc w:val="left"/>
        <w:sectPr>
          <w:type w:val="continuous"/>
          <w:pgSz w:w="11910" w:h="16840"/>
          <w:pgMar w:top="1060" w:bottom="1160" w:left="980" w:right="0"/>
        </w:sectPr>
      </w:pPr>
    </w:p>
    <w:p>
      <w:pPr>
        <w:spacing w:line="240" w:lineRule="auto" w:before="9"/>
        <w:rPr>
          <w:rFonts w:ascii="宋体" w:hAnsi="宋体" w:cs="宋体" w:eastAsia="宋体" w:hint="default"/>
          <w:sz w:val="25"/>
          <w:szCs w:val="25"/>
        </w:rPr>
      </w:pPr>
    </w:p>
    <w:p>
      <w:pPr>
        <w:pStyle w:val="BodyText"/>
        <w:spacing w:line="340" w:lineRule="auto" w:before="44"/>
        <w:ind w:right="4591"/>
        <w:jc w:val="left"/>
      </w:pPr>
      <w:r>
        <w:rPr/>
        <w:t>本期计提坏账准备金额</w:t>
      </w:r>
      <w:r>
        <w:rPr>
          <w:spacing w:val="-46"/>
        </w:rPr>
        <w:t> </w:t>
      </w:r>
      <w:r>
        <w:rPr>
          <w:rFonts w:ascii="Times New Roman" w:hAnsi="Times New Roman" w:cs="Times New Roman" w:eastAsia="Times New Roman" w:hint="default"/>
        </w:rPr>
        <w:t>408,458.43 </w:t>
      </w:r>
      <w:r>
        <w:rPr/>
        <w:t>元；本期收回或转回坏账准备金额</w:t>
      </w:r>
      <w:r>
        <w:rPr>
          <w:spacing w:val="-46"/>
        </w:rPr>
        <w:t> </w:t>
      </w:r>
      <w:r>
        <w:rPr>
          <w:rFonts w:ascii="Times New Roman" w:hAnsi="Times New Roman" w:cs="Times New Roman" w:eastAsia="Times New Roman" w:hint="default"/>
        </w:rPr>
        <w:t>0.00 </w:t>
      </w:r>
      <w:r>
        <w:rPr/>
        <w:t>元。 其中本期坏账准备收回或转回金额重要的：</w:t>
      </w:r>
    </w:p>
    <w:p>
      <w:pPr>
        <w:pStyle w:val="BodyText"/>
        <w:spacing w:line="350" w:lineRule="auto" w:before="39"/>
        <w:ind w:right="8264"/>
        <w:jc w:val="left"/>
      </w:pPr>
      <w:r>
        <w:rPr/>
        <w:t>无 </w:t>
      </w:r>
      <w:r>
        <w:rPr>
          <w:rFonts w:ascii="Times New Roman" w:hAnsi="Times New Roman" w:cs="Times New Roman" w:eastAsia="Times New Roman" w:hint="default"/>
        </w:rPr>
        <w:t>3)</w:t>
      </w:r>
      <w:r>
        <w:rPr/>
        <w:t>本期实际核销的应收账款情况 无</w:t>
      </w:r>
    </w:p>
    <w:p>
      <w:pPr>
        <w:pStyle w:val="BodyText"/>
        <w:spacing w:line="240" w:lineRule="auto" w:before="32"/>
        <w:ind w:right="982"/>
        <w:jc w:val="left"/>
      </w:pPr>
      <w:r>
        <w:rPr>
          <w:rFonts w:ascii="Times New Roman" w:hAnsi="Times New Roman" w:cs="Times New Roman" w:eastAsia="Times New Roman" w:hint="default"/>
        </w:rPr>
        <w:t>4)</w:t>
      </w:r>
      <w:r>
        <w:rPr/>
        <w:t>按欠款方归集的期末余额前五名的应收账款情况</w:t>
      </w:r>
    </w:p>
    <w:p>
      <w:pPr>
        <w:spacing w:line="240" w:lineRule="auto" w:before="4"/>
        <w:rPr>
          <w:rFonts w:ascii="宋体" w:hAnsi="宋体" w:cs="宋体" w:eastAsia="宋体" w:hint="default"/>
          <w:sz w:val="7"/>
          <w:szCs w:val="7"/>
        </w:rPr>
      </w:pPr>
    </w:p>
    <w:tbl>
      <w:tblPr>
        <w:tblW w:w="0" w:type="auto"/>
        <w:jc w:val="left"/>
        <w:tblInd w:w="145" w:type="dxa"/>
        <w:tblLayout w:type="fixed"/>
        <w:tblCellMar>
          <w:top w:w="0" w:type="dxa"/>
          <w:left w:w="0" w:type="dxa"/>
          <w:bottom w:w="0" w:type="dxa"/>
          <w:right w:w="0" w:type="dxa"/>
        </w:tblCellMar>
        <w:tblLook w:val="01E0"/>
      </w:tblPr>
      <w:tblGrid>
        <w:gridCol w:w="3263"/>
        <w:gridCol w:w="1558"/>
        <w:gridCol w:w="1560"/>
        <w:gridCol w:w="1418"/>
        <w:gridCol w:w="1702"/>
      </w:tblGrid>
      <w:tr>
        <w:trPr>
          <w:trHeight w:val="780" w:hRule="exact"/>
        </w:trPr>
        <w:tc>
          <w:tcPr>
            <w:tcW w:w="326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558"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10" w:right="0"/>
              <w:jc w:val="left"/>
              <w:rPr>
                <w:rFonts w:ascii="宋体" w:hAnsi="宋体" w:cs="宋体" w:eastAsia="宋体" w:hint="default"/>
                <w:sz w:val="18"/>
                <w:szCs w:val="18"/>
              </w:rPr>
            </w:pPr>
            <w:r>
              <w:rPr>
                <w:rFonts w:ascii="宋体" w:hAnsi="宋体" w:cs="宋体" w:eastAsia="宋体" w:hint="default"/>
                <w:sz w:val="18"/>
                <w:szCs w:val="18"/>
              </w:rPr>
              <w:t>年末余额</w:t>
            </w:r>
          </w:p>
        </w:tc>
        <w:tc>
          <w:tcPr>
            <w:tcW w:w="1560"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418"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14" w:lineRule="auto" w:before="80"/>
              <w:ind w:left="297" w:right="71" w:hanging="226"/>
              <w:jc w:val="left"/>
              <w:rPr>
                <w:rFonts w:ascii="Times New Roman" w:hAnsi="Times New Roman" w:cs="Times New Roman" w:eastAsia="Times New Roman" w:hint="default"/>
                <w:sz w:val="18"/>
                <w:szCs w:val="18"/>
              </w:rPr>
            </w:pPr>
            <w:r>
              <w:rPr>
                <w:rFonts w:ascii="宋体" w:hAnsi="宋体" w:cs="宋体" w:eastAsia="宋体" w:hint="default"/>
                <w:sz w:val="18"/>
                <w:szCs w:val="18"/>
              </w:rPr>
              <w:t>占应收账款总额 的比例</w:t>
            </w:r>
            <w:r>
              <w:rPr>
                <w:rFonts w:ascii="Times New Roman" w:hAnsi="Times New Roman" w:cs="Times New Roman" w:eastAsia="Times New Roman" w:hint="default"/>
                <w:sz w:val="18"/>
                <w:szCs w:val="18"/>
              </w:rPr>
              <w:t>(%)</w:t>
            </w:r>
          </w:p>
        </w:tc>
        <w:tc>
          <w:tcPr>
            <w:tcW w:w="170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60" w:lineRule="auto" w:before="58"/>
              <w:ind w:left="482" w:right="482"/>
              <w:jc w:val="left"/>
              <w:rPr>
                <w:rFonts w:ascii="宋体" w:hAnsi="宋体" w:cs="宋体" w:eastAsia="宋体" w:hint="default"/>
                <w:sz w:val="18"/>
                <w:szCs w:val="18"/>
              </w:rPr>
            </w:pPr>
            <w:r>
              <w:rPr>
                <w:rFonts w:ascii="宋体" w:hAnsi="宋体" w:cs="宋体" w:eastAsia="宋体" w:hint="default"/>
                <w:sz w:val="18"/>
                <w:szCs w:val="18"/>
              </w:rPr>
              <w:t>坏账准备 年末余额</w:t>
            </w:r>
          </w:p>
        </w:tc>
      </w:tr>
      <w:tr>
        <w:trPr>
          <w:trHeight w:val="425" w:hRule="exact"/>
        </w:trPr>
        <w:tc>
          <w:tcPr>
            <w:tcW w:w="32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8"/>
              <w:ind w:left="4" w:right="0"/>
              <w:jc w:val="left"/>
              <w:rPr>
                <w:rFonts w:ascii="宋体" w:hAnsi="宋体" w:cs="宋体" w:eastAsia="宋体" w:hint="default"/>
                <w:sz w:val="18"/>
                <w:szCs w:val="18"/>
              </w:rPr>
            </w:pPr>
            <w:r>
              <w:rPr>
                <w:rFonts w:ascii="宋体" w:hAnsi="宋体" w:cs="宋体" w:eastAsia="宋体" w:hint="default"/>
                <w:sz w:val="18"/>
                <w:szCs w:val="18"/>
              </w:rPr>
              <w:t>北京图新经纬导航系统有限公司</w:t>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0"/>
              <w:jc w:val="right"/>
              <w:rPr>
                <w:rFonts w:ascii="Times New Roman" w:hAnsi="Times New Roman" w:cs="Times New Roman" w:eastAsia="Times New Roman" w:hint="default"/>
                <w:sz w:val="18"/>
                <w:szCs w:val="18"/>
              </w:rPr>
            </w:pPr>
            <w:r>
              <w:rPr>
                <w:rFonts w:ascii="Times New Roman"/>
                <w:spacing w:val="-1"/>
                <w:sz w:val="18"/>
              </w:rPr>
              <w:t>20,571,298.46</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8"/>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4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sz w:val="18"/>
              </w:rPr>
              <w:t>19.41</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2"/>
              <w:jc w:val="right"/>
              <w:rPr>
                <w:rFonts w:ascii="Times New Roman" w:hAnsi="Times New Roman" w:cs="Times New Roman" w:eastAsia="Times New Roman" w:hint="default"/>
                <w:sz w:val="18"/>
                <w:szCs w:val="18"/>
              </w:rPr>
            </w:pPr>
            <w:r>
              <w:rPr>
                <w:rFonts w:ascii="Times New Roman"/>
                <w:spacing w:val="-1"/>
                <w:sz w:val="18"/>
              </w:rPr>
              <w:t>0.00</w:t>
            </w:r>
          </w:p>
        </w:tc>
      </w:tr>
      <w:tr>
        <w:trPr>
          <w:trHeight w:val="428" w:hRule="exact"/>
        </w:trPr>
        <w:tc>
          <w:tcPr>
            <w:tcW w:w="32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4" w:right="0"/>
              <w:jc w:val="left"/>
              <w:rPr>
                <w:rFonts w:ascii="宋体" w:hAnsi="宋体" w:cs="宋体" w:eastAsia="宋体" w:hint="default"/>
                <w:sz w:val="18"/>
                <w:szCs w:val="18"/>
              </w:rPr>
            </w:pPr>
            <w:r>
              <w:rPr>
                <w:rFonts w:ascii="宋体" w:hAnsi="宋体" w:cs="宋体" w:eastAsia="宋体" w:hint="default"/>
                <w:sz w:val="18"/>
                <w:szCs w:val="18"/>
              </w:rPr>
              <w:t>北京四维智联科技有限公司</w:t>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3"/>
              <w:ind w:right="0"/>
              <w:jc w:val="right"/>
              <w:rPr>
                <w:rFonts w:ascii="Times New Roman" w:hAnsi="Times New Roman" w:cs="Times New Roman" w:eastAsia="Times New Roman" w:hint="default"/>
                <w:sz w:val="18"/>
                <w:szCs w:val="18"/>
              </w:rPr>
            </w:pPr>
            <w:r>
              <w:rPr>
                <w:rFonts w:ascii="Times New Roman"/>
                <w:spacing w:val="-1"/>
                <w:sz w:val="18"/>
              </w:rPr>
              <w:t>10,747,835.74</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4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3"/>
              <w:ind w:right="1"/>
              <w:jc w:val="right"/>
              <w:rPr>
                <w:rFonts w:ascii="Times New Roman" w:hAnsi="Times New Roman" w:cs="Times New Roman" w:eastAsia="Times New Roman" w:hint="default"/>
                <w:sz w:val="18"/>
                <w:szCs w:val="18"/>
              </w:rPr>
            </w:pPr>
            <w:r>
              <w:rPr>
                <w:rFonts w:ascii="Times New Roman"/>
                <w:sz w:val="18"/>
              </w:rPr>
              <w:t>10.14</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3"/>
              <w:ind w:right="2"/>
              <w:jc w:val="right"/>
              <w:rPr>
                <w:rFonts w:ascii="Times New Roman" w:hAnsi="Times New Roman" w:cs="Times New Roman" w:eastAsia="Times New Roman" w:hint="default"/>
                <w:sz w:val="18"/>
                <w:szCs w:val="18"/>
              </w:rPr>
            </w:pPr>
            <w:r>
              <w:rPr>
                <w:rFonts w:ascii="Times New Roman"/>
                <w:spacing w:val="-1"/>
                <w:sz w:val="18"/>
              </w:rPr>
              <w:t>107,478.36</w:t>
            </w:r>
          </w:p>
        </w:tc>
      </w:tr>
      <w:tr>
        <w:trPr>
          <w:trHeight w:val="427" w:hRule="exact"/>
        </w:trPr>
        <w:tc>
          <w:tcPr>
            <w:tcW w:w="32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4" w:right="0"/>
              <w:jc w:val="left"/>
              <w:rPr>
                <w:rFonts w:ascii="宋体" w:hAnsi="宋体" w:cs="宋体" w:eastAsia="宋体" w:hint="default"/>
                <w:sz w:val="18"/>
                <w:szCs w:val="18"/>
              </w:rPr>
            </w:pPr>
            <w:r>
              <w:rPr>
                <w:rFonts w:ascii="宋体" w:hAnsi="宋体" w:cs="宋体" w:eastAsia="宋体" w:hint="default"/>
                <w:sz w:val="18"/>
                <w:szCs w:val="18"/>
              </w:rPr>
              <w:t>长城汽车股份有限公司</w:t>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3"/>
              <w:ind w:right="0"/>
              <w:jc w:val="right"/>
              <w:rPr>
                <w:rFonts w:ascii="Times New Roman" w:hAnsi="Times New Roman" w:cs="Times New Roman" w:eastAsia="Times New Roman" w:hint="default"/>
                <w:sz w:val="18"/>
                <w:szCs w:val="18"/>
              </w:rPr>
            </w:pPr>
            <w:r>
              <w:rPr>
                <w:rFonts w:ascii="Times New Roman"/>
                <w:spacing w:val="-1"/>
                <w:sz w:val="18"/>
              </w:rPr>
              <w:t>9,759,946.39</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4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3"/>
              <w:ind w:right="1"/>
              <w:jc w:val="right"/>
              <w:rPr>
                <w:rFonts w:ascii="Times New Roman" w:hAnsi="Times New Roman" w:cs="Times New Roman" w:eastAsia="Times New Roman" w:hint="default"/>
                <w:sz w:val="18"/>
                <w:szCs w:val="18"/>
              </w:rPr>
            </w:pPr>
            <w:r>
              <w:rPr>
                <w:rFonts w:ascii="Times New Roman"/>
                <w:spacing w:val="-1"/>
                <w:sz w:val="18"/>
              </w:rPr>
              <w:t>9.21</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3"/>
              <w:ind w:right="2"/>
              <w:jc w:val="right"/>
              <w:rPr>
                <w:rFonts w:ascii="Times New Roman" w:hAnsi="Times New Roman" w:cs="Times New Roman" w:eastAsia="Times New Roman" w:hint="default"/>
                <w:sz w:val="18"/>
                <w:szCs w:val="18"/>
              </w:rPr>
            </w:pPr>
            <w:r>
              <w:rPr>
                <w:rFonts w:ascii="Times New Roman"/>
                <w:spacing w:val="-1"/>
                <w:sz w:val="18"/>
              </w:rPr>
              <w:t>97,599.46</w:t>
            </w:r>
          </w:p>
        </w:tc>
      </w:tr>
      <w:tr>
        <w:trPr>
          <w:trHeight w:val="427" w:hRule="exact"/>
        </w:trPr>
        <w:tc>
          <w:tcPr>
            <w:tcW w:w="32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4" w:right="0"/>
              <w:jc w:val="left"/>
              <w:rPr>
                <w:rFonts w:ascii="宋体" w:hAnsi="宋体" w:cs="宋体" w:eastAsia="宋体" w:hint="default"/>
                <w:sz w:val="18"/>
                <w:szCs w:val="18"/>
              </w:rPr>
            </w:pPr>
            <w:r>
              <w:rPr>
                <w:rFonts w:ascii="宋体" w:hAnsi="宋体" w:cs="宋体" w:eastAsia="宋体" w:hint="default"/>
                <w:sz w:val="18"/>
                <w:szCs w:val="18"/>
              </w:rPr>
              <w:t>腾讯大地通途（北京）科技有限公司</w:t>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3"/>
              <w:ind w:right="0"/>
              <w:jc w:val="right"/>
              <w:rPr>
                <w:rFonts w:ascii="Times New Roman" w:hAnsi="Times New Roman" w:cs="Times New Roman" w:eastAsia="Times New Roman" w:hint="default"/>
                <w:sz w:val="18"/>
                <w:szCs w:val="18"/>
              </w:rPr>
            </w:pPr>
            <w:r>
              <w:rPr>
                <w:rFonts w:ascii="Times New Roman"/>
                <w:spacing w:val="-1"/>
                <w:sz w:val="18"/>
              </w:rPr>
              <w:t>9,500,390.00</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4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3"/>
              <w:ind w:right="1"/>
              <w:jc w:val="right"/>
              <w:rPr>
                <w:rFonts w:ascii="Times New Roman" w:hAnsi="Times New Roman" w:cs="Times New Roman" w:eastAsia="Times New Roman" w:hint="default"/>
                <w:sz w:val="18"/>
                <w:szCs w:val="18"/>
              </w:rPr>
            </w:pPr>
            <w:r>
              <w:rPr>
                <w:rFonts w:ascii="Times New Roman"/>
                <w:spacing w:val="-1"/>
                <w:sz w:val="18"/>
              </w:rPr>
              <w:t>8.96</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3"/>
              <w:ind w:right="2"/>
              <w:jc w:val="right"/>
              <w:rPr>
                <w:rFonts w:ascii="Times New Roman" w:hAnsi="Times New Roman" w:cs="Times New Roman" w:eastAsia="Times New Roman" w:hint="default"/>
                <w:sz w:val="18"/>
                <w:szCs w:val="18"/>
              </w:rPr>
            </w:pPr>
            <w:r>
              <w:rPr>
                <w:rFonts w:ascii="Times New Roman"/>
                <w:spacing w:val="-1"/>
                <w:sz w:val="18"/>
              </w:rPr>
              <w:t>95,003.90</w:t>
            </w:r>
          </w:p>
        </w:tc>
      </w:tr>
      <w:tr>
        <w:trPr>
          <w:trHeight w:val="427" w:hRule="exact"/>
        </w:trPr>
        <w:tc>
          <w:tcPr>
            <w:tcW w:w="32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4" w:right="0"/>
              <w:jc w:val="left"/>
              <w:rPr>
                <w:rFonts w:ascii="宋体" w:hAnsi="宋体" w:cs="宋体" w:eastAsia="宋体" w:hint="default"/>
                <w:sz w:val="18"/>
                <w:szCs w:val="18"/>
              </w:rPr>
            </w:pPr>
            <w:r>
              <w:rPr>
                <w:rFonts w:ascii="宋体" w:hAnsi="宋体" w:cs="宋体" w:eastAsia="宋体" w:hint="default"/>
                <w:sz w:val="18"/>
                <w:szCs w:val="18"/>
              </w:rPr>
              <w:t>北京图迅丰达信息技术有限公司</w:t>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3"/>
              <w:ind w:right="0"/>
              <w:jc w:val="right"/>
              <w:rPr>
                <w:rFonts w:ascii="Times New Roman" w:hAnsi="Times New Roman" w:cs="Times New Roman" w:eastAsia="Times New Roman" w:hint="default"/>
                <w:sz w:val="18"/>
                <w:szCs w:val="18"/>
              </w:rPr>
            </w:pPr>
            <w:r>
              <w:rPr>
                <w:rFonts w:ascii="Times New Roman"/>
                <w:spacing w:val="-1"/>
                <w:sz w:val="18"/>
              </w:rPr>
              <w:t>6,060,664.90</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4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3"/>
              <w:ind w:right="1"/>
              <w:jc w:val="right"/>
              <w:rPr>
                <w:rFonts w:ascii="Times New Roman" w:hAnsi="Times New Roman" w:cs="Times New Roman" w:eastAsia="Times New Roman" w:hint="default"/>
                <w:sz w:val="18"/>
                <w:szCs w:val="18"/>
              </w:rPr>
            </w:pPr>
            <w:r>
              <w:rPr>
                <w:rFonts w:ascii="Times New Roman"/>
                <w:spacing w:val="-1"/>
                <w:sz w:val="18"/>
              </w:rPr>
              <w:t>5.72</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3"/>
              <w:ind w:right="2"/>
              <w:jc w:val="right"/>
              <w:rPr>
                <w:rFonts w:ascii="Times New Roman" w:hAnsi="Times New Roman" w:cs="Times New Roman" w:eastAsia="Times New Roman" w:hint="default"/>
                <w:sz w:val="18"/>
                <w:szCs w:val="18"/>
              </w:rPr>
            </w:pPr>
            <w:r>
              <w:rPr>
                <w:rFonts w:ascii="Times New Roman"/>
                <w:spacing w:val="-1"/>
                <w:sz w:val="18"/>
              </w:rPr>
              <w:t>0.00</w:t>
            </w:r>
          </w:p>
        </w:tc>
      </w:tr>
      <w:tr>
        <w:trPr>
          <w:trHeight w:val="427" w:hRule="exact"/>
        </w:trPr>
        <w:tc>
          <w:tcPr>
            <w:tcW w:w="326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1"/>
              <w:ind w:left="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3"/>
              <w:ind w:right="0"/>
              <w:jc w:val="right"/>
              <w:rPr>
                <w:rFonts w:ascii="Times New Roman" w:hAnsi="Times New Roman" w:cs="Times New Roman" w:eastAsia="Times New Roman" w:hint="default"/>
                <w:sz w:val="18"/>
                <w:szCs w:val="18"/>
              </w:rPr>
            </w:pPr>
            <w:r>
              <w:rPr>
                <w:rFonts w:ascii="Times New Roman"/>
                <w:spacing w:val="-1"/>
                <w:sz w:val="18"/>
              </w:rPr>
              <w:t>56,640,135.49</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3"/>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14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3"/>
              <w:ind w:right="1"/>
              <w:jc w:val="right"/>
              <w:rPr>
                <w:rFonts w:ascii="Times New Roman" w:hAnsi="Times New Roman" w:cs="Times New Roman" w:eastAsia="Times New Roman" w:hint="default"/>
                <w:sz w:val="18"/>
                <w:szCs w:val="18"/>
              </w:rPr>
            </w:pPr>
            <w:r>
              <w:rPr>
                <w:rFonts w:ascii="Times New Roman"/>
                <w:sz w:val="18"/>
              </w:rPr>
              <w:t>53.44</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3"/>
              <w:ind w:right="2"/>
              <w:jc w:val="right"/>
              <w:rPr>
                <w:rFonts w:ascii="Times New Roman" w:hAnsi="Times New Roman" w:cs="Times New Roman" w:eastAsia="Times New Roman" w:hint="default"/>
                <w:sz w:val="18"/>
                <w:szCs w:val="18"/>
              </w:rPr>
            </w:pPr>
            <w:r>
              <w:rPr>
                <w:rFonts w:ascii="Times New Roman"/>
                <w:spacing w:val="-1"/>
                <w:sz w:val="18"/>
              </w:rPr>
              <w:t>300,081.72</w:t>
            </w:r>
          </w:p>
        </w:tc>
      </w:tr>
    </w:tbl>
    <w:p>
      <w:pPr>
        <w:spacing w:line="240" w:lineRule="auto" w:before="2"/>
        <w:rPr>
          <w:rFonts w:ascii="宋体" w:hAnsi="宋体" w:cs="宋体" w:eastAsia="宋体" w:hint="default"/>
          <w:sz w:val="24"/>
          <w:szCs w:val="24"/>
        </w:rPr>
      </w:pPr>
    </w:p>
    <w:p>
      <w:pPr>
        <w:pStyle w:val="BodyText"/>
        <w:spacing w:line="340" w:lineRule="auto" w:before="44"/>
        <w:ind w:right="7544"/>
        <w:jc w:val="left"/>
      </w:pPr>
      <w:r>
        <w:rPr>
          <w:rFonts w:ascii="Times New Roman" w:hAnsi="Times New Roman" w:cs="Times New Roman" w:eastAsia="Times New Roman" w:hint="default"/>
        </w:rPr>
        <w:t>5)</w:t>
      </w:r>
      <w:r>
        <w:rPr/>
        <w:t>因金融资产转移而终止确认的应收账款</w:t>
      </w:r>
      <w:r>
        <w:rPr>
          <w:w w:val="99"/>
        </w:rPr>
        <w:t> </w:t>
      </w:r>
      <w:r>
        <w:rPr/>
        <w:t>无</w:t>
      </w:r>
    </w:p>
    <w:p>
      <w:pPr>
        <w:pStyle w:val="BodyText"/>
        <w:spacing w:line="338" w:lineRule="auto" w:before="41"/>
        <w:ind w:right="6824"/>
        <w:jc w:val="left"/>
      </w:pPr>
      <w:r>
        <w:rPr>
          <w:rFonts w:ascii="Times New Roman" w:hAnsi="Times New Roman" w:cs="Times New Roman" w:eastAsia="Times New Roman" w:hint="default"/>
        </w:rPr>
        <w:t>6)</w:t>
      </w:r>
      <w:r>
        <w:rPr/>
        <w:t>转移应收账款且继续涉入形成的资产、负债金额</w:t>
      </w:r>
      <w:r>
        <w:rPr>
          <w:w w:val="99"/>
        </w:rPr>
        <w:t> </w:t>
      </w:r>
      <w:r>
        <w:rPr/>
        <w:t>无</w:t>
      </w:r>
    </w:p>
    <w:p>
      <w:pPr>
        <w:spacing w:line="240" w:lineRule="auto" w:before="8"/>
        <w:rPr>
          <w:rFonts w:ascii="宋体" w:hAnsi="宋体" w:cs="宋体" w:eastAsia="宋体" w:hint="default"/>
          <w:sz w:val="21"/>
          <w:szCs w:val="21"/>
        </w:rPr>
      </w:pPr>
    </w:p>
    <w:p>
      <w:pPr>
        <w:pStyle w:val="Heading4"/>
        <w:spacing w:line="240" w:lineRule="auto"/>
        <w:ind w:right="982"/>
        <w:jc w:val="left"/>
        <w:rPr>
          <w:b w:val="0"/>
          <w:bCs w:val="0"/>
        </w:rPr>
      </w:pPr>
      <w:r>
        <w:rPr>
          <w:rFonts w:ascii="Times New Roman" w:hAnsi="Times New Roman" w:cs="Times New Roman" w:eastAsia="Times New Roman" w:hint="default"/>
        </w:rPr>
        <w:t>2</w:t>
      </w:r>
      <w:r>
        <w:rPr/>
        <w:t>、其他应收款</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8"/>
        <w:gridCol w:w="3201"/>
        <w:gridCol w:w="3190"/>
      </w:tblGrid>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4,887,916.28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32,170,946.09</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59,616,965.35</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21,061,382.78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47,869,898.35</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25,949,299.06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139,657,809.79</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t>（</w:t>
      </w:r>
      <w:r>
        <w:rPr>
          <w:rFonts w:ascii="Times New Roman" w:hAnsi="Times New Roman" w:cs="Times New Roman" w:eastAsia="Times New Roman" w:hint="default"/>
        </w:rPr>
        <w:t>1</w:t>
      </w:r>
      <w:r>
        <w:rPr/>
        <w:t>）应收利息</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right="982"/>
        <w:jc w:val="left"/>
      </w:pPr>
      <w:r>
        <w:rPr>
          <w:rFonts w:ascii="Times New Roman" w:hAnsi="Times New Roman" w:cs="Times New Roman" w:eastAsia="Times New Roman" w:hint="default"/>
        </w:rPr>
        <w:t>1)</w:t>
      </w:r>
      <w:r>
        <w:rPr/>
        <w:t>应收利息分类</w:t>
      </w:r>
    </w:p>
    <w:p>
      <w:pPr>
        <w:pStyle w:val="BodyText"/>
        <w:spacing w:line="240" w:lineRule="auto" w:before="103"/>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8"/>
        <w:gridCol w:w="3201"/>
        <w:gridCol w:w="3190"/>
      </w:tblGrid>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定期存款</w:t>
            </w:r>
          </w:p>
        </w:tc>
        <w:tc>
          <w:tcPr>
            <w:tcW w:w="320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1,777,369.97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30,559,062.53</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委托贷款</w:t>
            </w:r>
          </w:p>
        </w:tc>
        <w:tc>
          <w:tcPr>
            <w:tcW w:w="320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债券投资</w:t>
            </w:r>
          </w:p>
        </w:tc>
        <w:tc>
          <w:tcPr>
            <w:tcW w:w="320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内部资金拆借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3,110,546.31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1,611,883.56</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4,887,916.28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32,170,946.09</w:t>
            </w:r>
          </w:p>
        </w:tc>
      </w:tr>
    </w:tbl>
    <w:p>
      <w:pPr>
        <w:pStyle w:val="BodyText"/>
        <w:spacing w:line="338" w:lineRule="auto" w:before="49"/>
        <w:ind w:right="9524"/>
        <w:jc w:val="left"/>
      </w:pPr>
      <w:r>
        <w:rPr>
          <w:rFonts w:ascii="Times New Roman" w:hAnsi="Times New Roman" w:cs="Times New Roman" w:eastAsia="Times New Roman" w:hint="default"/>
        </w:rPr>
        <w:t>2)</w:t>
      </w:r>
      <w:r>
        <w:rPr/>
        <w:t>重要逾期利息</w:t>
      </w:r>
      <w:r>
        <w:rPr>
          <w:w w:val="99"/>
        </w:rPr>
        <w:t> </w:t>
      </w:r>
      <w:r>
        <w:rPr/>
        <w:t>无</w:t>
      </w:r>
    </w:p>
    <w:p>
      <w:pPr>
        <w:spacing w:line="240" w:lineRule="auto" w:before="7"/>
        <w:rPr>
          <w:rFonts w:ascii="宋体" w:hAnsi="宋体" w:cs="宋体" w:eastAsia="宋体" w:hint="default"/>
          <w:sz w:val="21"/>
          <w:szCs w:val="21"/>
        </w:rPr>
      </w:pPr>
    </w:p>
    <w:p>
      <w:pPr>
        <w:pStyle w:val="Heading4"/>
        <w:spacing w:line="240" w:lineRule="auto"/>
        <w:ind w:right="982"/>
        <w:jc w:val="left"/>
        <w:rPr>
          <w:b w:val="0"/>
          <w:bCs w:val="0"/>
        </w:rPr>
      </w:pPr>
      <w:r>
        <w:rPr/>
        <w:t>（</w:t>
      </w:r>
      <w:r>
        <w:rPr>
          <w:rFonts w:ascii="Times New Roman" w:hAnsi="Times New Roman" w:cs="Times New Roman" w:eastAsia="Times New Roman" w:hint="default"/>
        </w:rPr>
        <w:t>2</w:t>
      </w:r>
      <w:r>
        <w:rPr/>
        <w:t>）应收股利</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right="982"/>
        <w:jc w:val="left"/>
      </w:pPr>
      <w:r>
        <w:rPr>
          <w:rFonts w:ascii="Times New Roman" w:hAnsi="Times New Roman" w:cs="Times New Roman" w:eastAsia="Times New Roman" w:hint="default"/>
        </w:rPr>
        <w:t>1)</w:t>
      </w:r>
      <w:r>
        <w:rPr/>
        <w:t>应收股利</w:t>
      </w:r>
    </w:p>
    <w:p>
      <w:pPr>
        <w:pStyle w:val="BodyText"/>
        <w:spacing w:line="240" w:lineRule="auto" w:before="103"/>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2"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81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项目</w:t>
            </w:r>
            <w:r>
              <w:rPr>
                <w:rFonts w:ascii="Times New Roman" w:hAnsi="Times New Roman" w:cs="Times New Roman" w:eastAsia="Times New Roman" w:hint="default"/>
                <w:sz w:val="18"/>
                <w:szCs w:val="18"/>
              </w:rPr>
              <w:t>(</w:t>
            </w:r>
            <w:r>
              <w:rPr>
                <w:rFonts w:ascii="宋体" w:hAnsi="宋体" w:cs="宋体" w:eastAsia="宋体" w:hint="default"/>
                <w:sz w:val="18"/>
                <w:szCs w:val="18"/>
              </w:rPr>
              <w:t>或被投资单位</w:t>
            </w:r>
            <w:r>
              <w:rPr>
                <w:rFonts w:ascii="Times New Roman" w:hAnsi="Times New Roman" w:cs="Times New Roman" w:eastAsia="Times New Roman" w:hint="default"/>
                <w:sz w:val="18"/>
                <w:szCs w:val="18"/>
              </w:rPr>
              <w:t>)</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上海纳维信息技术有限公司</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35,692,032.29</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上海安吉四维信息技术有限公司</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23,924,933.06</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59,616,965.35</w:t>
            </w:r>
          </w:p>
        </w:tc>
      </w:tr>
    </w:tbl>
    <w:p>
      <w:pPr>
        <w:pStyle w:val="BodyText"/>
        <w:spacing w:line="338" w:lineRule="auto" w:before="49"/>
        <w:ind w:right="8084"/>
        <w:jc w:val="left"/>
      </w:pPr>
      <w:r>
        <w:rPr>
          <w:rFonts w:ascii="Times New Roman" w:hAnsi="Times New Roman" w:cs="Times New Roman" w:eastAsia="Times New Roman" w:hint="default"/>
        </w:rPr>
        <w:t>2)</w:t>
      </w:r>
      <w:r>
        <w:rPr/>
        <w:t>重要的账龄超过</w:t>
      </w:r>
      <w:r>
        <w:rPr>
          <w:spacing w:val="-45"/>
        </w:rPr>
        <w:t> </w:t>
      </w:r>
      <w:r>
        <w:rPr>
          <w:rFonts w:ascii="Times New Roman" w:hAnsi="Times New Roman" w:cs="Times New Roman" w:eastAsia="Times New Roman" w:hint="default"/>
        </w:rPr>
        <w:t>1 </w:t>
      </w:r>
      <w:r>
        <w:rPr/>
        <w:t>年的应收股利</w:t>
      </w:r>
      <w:r>
        <w:rPr>
          <w:w w:val="99"/>
        </w:rPr>
        <w:t> </w:t>
      </w:r>
      <w:r>
        <w:rPr/>
        <w:t>无</w:t>
      </w:r>
    </w:p>
    <w:p>
      <w:pPr>
        <w:spacing w:line="240" w:lineRule="auto" w:before="7"/>
        <w:rPr>
          <w:rFonts w:ascii="宋体" w:hAnsi="宋体" w:cs="宋体" w:eastAsia="宋体" w:hint="default"/>
          <w:sz w:val="21"/>
          <w:szCs w:val="21"/>
        </w:rPr>
      </w:pPr>
    </w:p>
    <w:p>
      <w:pPr>
        <w:pStyle w:val="Heading4"/>
        <w:spacing w:line="240" w:lineRule="auto"/>
        <w:ind w:right="982"/>
        <w:jc w:val="left"/>
        <w:rPr>
          <w:b w:val="0"/>
          <w:bCs w:val="0"/>
        </w:rPr>
      </w:pPr>
      <w:r>
        <w:rPr/>
        <w:t>（</w:t>
      </w:r>
      <w:r>
        <w:rPr>
          <w:rFonts w:ascii="Times New Roman" w:hAnsi="Times New Roman" w:cs="Times New Roman" w:eastAsia="Times New Roman" w:hint="default"/>
        </w:rPr>
        <w:t>3</w:t>
      </w:r>
      <w:r>
        <w:rPr/>
        <w:t>）其他应收款</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right="982"/>
        <w:jc w:val="left"/>
      </w:pPr>
      <w:r>
        <w:rPr>
          <w:rFonts w:ascii="Times New Roman" w:hAnsi="Times New Roman" w:cs="Times New Roman" w:eastAsia="Times New Roman" w:hint="default"/>
        </w:rPr>
        <w:t>1)</w:t>
      </w:r>
      <w:r>
        <w:rPr/>
        <w:t>其他应收款分类披露</w:t>
      </w:r>
    </w:p>
    <w:p>
      <w:pPr>
        <w:pStyle w:val="BodyText"/>
        <w:spacing w:line="240" w:lineRule="auto" w:before="103"/>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612"/>
        <w:gridCol w:w="774"/>
        <w:gridCol w:w="761"/>
        <w:gridCol w:w="763"/>
        <w:gridCol w:w="763"/>
        <w:gridCol w:w="788"/>
        <w:gridCol w:w="655"/>
        <w:gridCol w:w="761"/>
        <w:gridCol w:w="814"/>
        <w:gridCol w:w="934"/>
        <w:gridCol w:w="931"/>
      </w:tblGrid>
      <w:tr>
        <w:trPr>
          <w:trHeight w:val="396" w:hRule="exact"/>
        </w:trPr>
        <w:tc>
          <w:tcPr>
            <w:tcW w:w="1612" w:type="dxa"/>
            <w:vMerge w:val="restart"/>
            <w:tcBorders>
              <w:top w:val="single" w:sz="4" w:space="0" w:color="000000"/>
              <w:left w:val="single" w:sz="4" w:space="0" w:color="000000"/>
              <w:right w:val="single" w:sz="4" w:space="0" w:color="000000"/>
            </w:tcBorders>
            <w:shd w:val="clear" w:color="auto" w:fill="D2D2D2"/>
          </w:tcPr>
          <w:p>
            <w:pPr/>
          </w:p>
        </w:tc>
        <w:tc>
          <w:tcPr>
            <w:tcW w:w="384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3"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5"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66" w:hRule="exact"/>
        </w:trPr>
        <w:tc>
          <w:tcPr>
            <w:tcW w:w="1612" w:type="dxa"/>
            <w:vMerge/>
            <w:tcBorders>
              <w:left w:val="single" w:sz="4" w:space="0" w:color="000000"/>
              <w:bottom w:val="nil" w:sz="6" w:space="0" w:color="auto"/>
              <w:right w:val="single" w:sz="4" w:space="0" w:color="000000"/>
            </w:tcBorders>
            <w:shd w:val="clear" w:color="auto" w:fill="D2D2D2"/>
          </w:tcPr>
          <w:p>
            <w:pPr/>
          </w:p>
        </w:tc>
        <w:tc>
          <w:tcPr>
            <w:tcW w:w="153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40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9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88" w:type="dxa"/>
            <w:vMerge w:val="restart"/>
            <w:tcBorders>
              <w:top w:val="single" w:sz="4" w:space="0" w:color="000000"/>
              <w:left w:val="single" w:sz="4" w:space="0" w:color="000000"/>
              <w:right w:val="single" w:sz="4" w:space="0" w:color="000000"/>
            </w:tcBorders>
            <w:shd w:val="clear" w:color="auto" w:fill="D2D2D2"/>
          </w:tcPr>
          <w:p>
            <w:pPr/>
          </w:p>
        </w:tc>
        <w:tc>
          <w:tcPr>
            <w:tcW w:w="141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4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8"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51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1" w:type="dxa"/>
            <w:vMerge w:val="restart"/>
            <w:tcBorders>
              <w:top w:val="single" w:sz="4" w:space="0" w:color="000000"/>
              <w:left w:val="single" w:sz="4" w:space="0" w:color="000000"/>
              <w:right w:val="single" w:sz="4" w:space="0" w:color="000000"/>
            </w:tcBorders>
            <w:shd w:val="clear" w:color="auto" w:fill="D2D2D2"/>
          </w:tcPr>
          <w:p>
            <w:pPr/>
          </w:p>
        </w:tc>
      </w:tr>
      <w:tr>
        <w:trPr>
          <w:trHeight w:val="242" w:hRule="exact"/>
        </w:trPr>
        <w:tc>
          <w:tcPr>
            <w:tcW w:w="161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1535" w:type="dxa"/>
            <w:gridSpan w:val="2"/>
            <w:vMerge/>
            <w:tcBorders>
              <w:left w:val="single" w:sz="4" w:space="0" w:color="000000"/>
              <w:bottom w:val="single" w:sz="4" w:space="0" w:color="000000"/>
              <w:right w:val="single" w:sz="4" w:space="0" w:color="000000"/>
            </w:tcBorders>
            <w:shd w:val="clear" w:color="auto" w:fill="D2D2D2"/>
          </w:tcPr>
          <w:p>
            <w:pPr/>
          </w:p>
        </w:tc>
        <w:tc>
          <w:tcPr>
            <w:tcW w:w="1526" w:type="dxa"/>
            <w:gridSpan w:val="2"/>
            <w:vMerge/>
            <w:tcBorders>
              <w:left w:val="single" w:sz="4" w:space="0" w:color="000000"/>
              <w:bottom w:val="single" w:sz="4" w:space="0" w:color="000000"/>
              <w:right w:val="single" w:sz="4" w:space="0" w:color="000000"/>
            </w:tcBorders>
            <w:shd w:val="clear" w:color="auto" w:fill="D2D2D2"/>
          </w:tcPr>
          <w:p>
            <w:pPr/>
          </w:p>
        </w:tc>
        <w:tc>
          <w:tcPr>
            <w:tcW w:w="788" w:type="dxa"/>
            <w:vMerge/>
            <w:tcBorders>
              <w:left w:val="single" w:sz="4" w:space="0" w:color="000000"/>
              <w:bottom w:val="nil" w:sz="6" w:space="0" w:color="auto"/>
              <w:right w:val="single" w:sz="4" w:space="0" w:color="000000"/>
            </w:tcBorders>
            <w:shd w:val="clear" w:color="auto" w:fill="D2D2D2"/>
          </w:tcPr>
          <w:p>
            <w:pPr/>
          </w:p>
        </w:tc>
        <w:tc>
          <w:tcPr>
            <w:tcW w:w="1416" w:type="dxa"/>
            <w:gridSpan w:val="2"/>
            <w:vMerge/>
            <w:tcBorders>
              <w:left w:val="single" w:sz="4" w:space="0" w:color="000000"/>
              <w:bottom w:val="single" w:sz="4" w:space="0" w:color="000000"/>
              <w:right w:val="single" w:sz="4" w:space="0" w:color="000000"/>
            </w:tcBorders>
            <w:shd w:val="clear" w:color="auto" w:fill="D2D2D2"/>
          </w:tcPr>
          <w:p>
            <w:pPr/>
          </w:p>
        </w:tc>
        <w:tc>
          <w:tcPr>
            <w:tcW w:w="1748" w:type="dxa"/>
            <w:gridSpan w:val="2"/>
            <w:vMerge/>
            <w:tcBorders>
              <w:left w:val="single" w:sz="4" w:space="0" w:color="000000"/>
              <w:bottom w:val="single" w:sz="4" w:space="0" w:color="000000"/>
              <w:right w:val="single" w:sz="4" w:space="0" w:color="000000"/>
            </w:tcBorders>
            <w:shd w:val="clear" w:color="auto" w:fill="D2D2D2"/>
          </w:tcPr>
          <w:p>
            <w:pPr/>
          </w:p>
        </w:tc>
        <w:tc>
          <w:tcPr>
            <w:tcW w:w="931" w:type="dxa"/>
            <w:vMerge/>
            <w:tcBorders>
              <w:left w:val="single" w:sz="4" w:space="0" w:color="000000"/>
              <w:bottom w:val="nil" w:sz="6" w:space="0" w:color="auto"/>
              <w:right w:val="single" w:sz="4" w:space="0" w:color="000000"/>
            </w:tcBorders>
            <w:shd w:val="clear" w:color="auto" w:fill="D2D2D2"/>
          </w:tcPr>
          <w:p>
            <w:pPr/>
          </w:p>
        </w:tc>
      </w:tr>
      <w:tr>
        <w:trPr>
          <w:trHeight w:val="158" w:hRule="exact"/>
        </w:trPr>
        <w:tc>
          <w:tcPr>
            <w:tcW w:w="1612" w:type="dxa"/>
            <w:vMerge/>
            <w:tcBorders>
              <w:left w:val="single" w:sz="4" w:space="0" w:color="000000"/>
              <w:bottom w:val="single" w:sz="4" w:space="0" w:color="FFFFFF"/>
              <w:right w:val="single" w:sz="4" w:space="0" w:color="000000"/>
            </w:tcBorders>
            <w:shd w:val="clear" w:color="auto" w:fill="D2D2D2"/>
          </w:tcPr>
          <w:p>
            <w:pPr/>
          </w:p>
        </w:tc>
        <w:tc>
          <w:tcPr>
            <w:tcW w:w="774"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1"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3"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3"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288" w:right="103"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8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8"/>
              <w:ind w:left="2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655" w:type="dxa"/>
            <w:tcBorders>
              <w:top w:val="single" w:sz="4" w:space="0" w:color="000000"/>
              <w:left w:val="single" w:sz="4" w:space="0" w:color="000000"/>
              <w:bottom w:val="nil" w:sz="6" w:space="0" w:color="auto"/>
              <w:right w:val="single" w:sz="4" w:space="0" w:color="000000"/>
            </w:tcBorders>
            <w:shd w:val="clear" w:color="auto" w:fill="D2D2D2"/>
          </w:tcPr>
          <w:p>
            <w:pPr/>
          </w:p>
        </w:tc>
        <w:tc>
          <w:tcPr>
            <w:tcW w:w="761" w:type="dxa"/>
            <w:tcBorders>
              <w:top w:val="single" w:sz="4" w:space="0" w:color="000000"/>
              <w:left w:val="single" w:sz="4" w:space="0" w:color="000000"/>
              <w:bottom w:val="nil" w:sz="6" w:space="0" w:color="auto"/>
              <w:right w:val="single" w:sz="4" w:space="0" w:color="000000"/>
            </w:tcBorders>
            <w:shd w:val="clear" w:color="auto" w:fill="D2D2D2"/>
          </w:tcPr>
          <w:p>
            <w:pPr/>
          </w:p>
        </w:tc>
        <w:tc>
          <w:tcPr>
            <w:tcW w:w="814" w:type="dxa"/>
            <w:tcBorders>
              <w:top w:val="single" w:sz="4" w:space="0" w:color="000000"/>
              <w:left w:val="single" w:sz="4" w:space="0" w:color="000000"/>
              <w:bottom w:val="nil" w:sz="6" w:space="0" w:color="auto"/>
              <w:right w:val="single" w:sz="4" w:space="0" w:color="000000"/>
            </w:tcBorders>
            <w:shd w:val="clear" w:color="auto" w:fill="D2D2D2"/>
          </w:tcPr>
          <w:p>
            <w:pPr/>
          </w:p>
        </w:tc>
        <w:tc>
          <w:tcPr>
            <w:tcW w:w="934" w:type="dxa"/>
            <w:tcBorders>
              <w:top w:val="single" w:sz="4" w:space="0" w:color="000000"/>
              <w:left w:val="single" w:sz="4" w:space="0" w:color="000000"/>
              <w:bottom w:val="nil" w:sz="6" w:space="0" w:color="auto"/>
              <w:right w:val="single" w:sz="4" w:space="0" w:color="000000"/>
            </w:tcBorders>
            <w:shd w:val="clear" w:color="auto" w:fill="D2D2D2"/>
          </w:tcPr>
          <w:p>
            <w:pPr/>
          </w:p>
        </w:tc>
        <w:tc>
          <w:tcPr>
            <w:tcW w:w="93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92" w:hRule="exact"/>
        </w:trPr>
        <w:tc>
          <w:tcPr>
            <w:tcW w:w="1612" w:type="dxa"/>
            <w:vMerge w:val="restart"/>
            <w:tcBorders>
              <w:top w:val="single" w:sz="4" w:space="0" w:color="FFFFFF"/>
              <w:left w:val="single" w:sz="4" w:space="0" w:color="000000"/>
              <w:right w:val="single" w:sz="4" w:space="0" w:color="000000"/>
            </w:tcBorders>
            <w:shd w:val="clear" w:color="auto" w:fill="D2D2D2"/>
          </w:tcPr>
          <w:p>
            <w:pPr/>
          </w:p>
        </w:tc>
        <w:tc>
          <w:tcPr>
            <w:tcW w:w="774"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6"/>
              <w:ind w:left="207"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1"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6"/>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3"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6"/>
              <w:ind w:left="19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3" w:type="dxa"/>
            <w:vMerge/>
            <w:tcBorders>
              <w:left w:val="single" w:sz="4" w:space="0" w:color="000000"/>
              <w:right w:val="single" w:sz="4" w:space="0" w:color="000000"/>
            </w:tcBorders>
            <w:shd w:val="clear" w:color="auto" w:fill="D2D2D2"/>
          </w:tcPr>
          <w:p>
            <w:pPr/>
          </w:p>
        </w:tc>
        <w:tc>
          <w:tcPr>
            <w:tcW w:w="788" w:type="dxa"/>
            <w:vMerge/>
            <w:tcBorders>
              <w:left w:val="single" w:sz="4" w:space="0" w:color="000000"/>
              <w:bottom w:val="nil" w:sz="6" w:space="0" w:color="auto"/>
              <w:right w:val="single" w:sz="4" w:space="0" w:color="000000"/>
            </w:tcBorders>
            <w:shd w:val="clear" w:color="auto" w:fill="D2D2D2"/>
          </w:tcPr>
          <w:p>
            <w:pPr/>
          </w:p>
        </w:tc>
        <w:tc>
          <w:tcPr>
            <w:tcW w:w="65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4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2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00"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1" w:type="dxa"/>
            <w:vMerge/>
            <w:tcBorders>
              <w:left w:val="single" w:sz="4" w:space="0" w:color="000000"/>
              <w:bottom w:val="nil" w:sz="6" w:space="0" w:color="auto"/>
              <w:right w:val="single" w:sz="4" w:space="0" w:color="000000"/>
            </w:tcBorders>
            <w:shd w:val="clear" w:color="auto" w:fill="D2D2D2"/>
          </w:tcPr>
          <w:p>
            <w:pPr/>
          </w:p>
        </w:tc>
      </w:tr>
      <w:tr>
        <w:trPr>
          <w:trHeight w:val="202" w:hRule="exact"/>
        </w:trPr>
        <w:tc>
          <w:tcPr>
            <w:tcW w:w="1612" w:type="dxa"/>
            <w:vMerge/>
            <w:tcBorders>
              <w:left w:val="single" w:sz="4" w:space="0" w:color="000000"/>
              <w:right w:val="single" w:sz="4" w:space="0" w:color="000000"/>
            </w:tcBorders>
            <w:shd w:val="clear" w:color="auto" w:fill="D2D2D2"/>
          </w:tcPr>
          <w:p>
            <w:pPr/>
          </w:p>
        </w:tc>
        <w:tc>
          <w:tcPr>
            <w:tcW w:w="774" w:type="dxa"/>
            <w:vMerge/>
            <w:tcBorders>
              <w:left w:val="single" w:sz="4" w:space="0" w:color="000000"/>
              <w:bottom w:val="nil" w:sz="6" w:space="0" w:color="auto"/>
              <w:right w:val="single" w:sz="4" w:space="0" w:color="000000"/>
            </w:tcBorders>
            <w:shd w:val="clear" w:color="auto" w:fill="D2D2D2"/>
          </w:tcPr>
          <w:p>
            <w:pPr/>
          </w:p>
        </w:tc>
        <w:tc>
          <w:tcPr>
            <w:tcW w:w="761" w:type="dxa"/>
            <w:vMerge/>
            <w:tcBorders>
              <w:left w:val="single" w:sz="4" w:space="0" w:color="000000"/>
              <w:bottom w:val="nil" w:sz="6" w:space="0" w:color="auto"/>
              <w:right w:val="single" w:sz="4" w:space="0" w:color="000000"/>
            </w:tcBorders>
            <w:shd w:val="clear" w:color="auto" w:fill="D2D2D2"/>
          </w:tcPr>
          <w:p>
            <w:pPr/>
          </w:p>
        </w:tc>
        <w:tc>
          <w:tcPr>
            <w:tcW w:w="763" w:type="dxa"/>
            <w:vMerge/>
            <w:tcBorders>
              <w:left w:val="single" w:sz="4" w:space="0" w:color="000000"/>
              <w:bottom w:val="nil" w:sz="6" w:space="0" w:color="auto"/>
              <w:right w:val="single" w:sz="4" w:space="0" w:color="000000"/>
            </w:tcBorders>
            <w:shd w:val="clear" w:color="auto" w:fill="D2D2D2"/>
          </w:tcPr>
          <w:p>
            <w:pPr/>
          </w:p>
        </w:tc>
        <w:tc>
          <w:tcPr>
            <w:tcW w:w="763" w:type="dxa"/>
            <w:vMerge/>
            <w:tcBorders>
              <w:left w:val="single" w:sz="4" w:space="0" w:color="000000"/>
              <w:right w:val="single" w:sz="4" w:space="0" w:color="000000"/>
            </w:tcBorders>
            <w:shd w:val="clear" w:color="auto" w:fill="D2D2D2"/>
          </w:tcPr>
          <w:p>
            <w:pPr/>
          </w:p>
        </w:tc>
        <w:tc>
          <w:tcPr>
            <w:tcW w:w="788" w:type="dxa"/>
            <w:vMerge w:val="restart"/>
            <w:tcBorders>
              <w:top w:val="nil" w:sz="6" w:space="0" w:color="auto"/>
              <w:left w:val="single" w:sz="4" w:space="0" w:color="000000"/>
              <w:right w:val="single" w:sz="4" w:space="0" w:color="000000"/>
            </w:tcBorders>
            <w:shd w:val="clear" w:color="auto" w:fill="D2D2D2"/>
          </w:tcPr>
          <w:p>
            <w:pPr/>
          </w:p>
        </w:tc>
        <w:tc>
          <w:tcPr>
            <w:tcW w:w="655" w:type="dxa"/>
            <w:vMerge/>
            <w:tcBorders>
              <w:left w:val="single" w:sz="4" w:space="0" w:color="000000"/>
              <w:bottom w:val="nil" w:sz="6" w:space="0" w:color="auto"/>
              <w:right w:val="single" w:sz="4" w:space="0" w:color="000000"/>
            </w:tcBorders>
            <w:shd w:val="clear" w:color="auto" w:fill="D2D2D2"/>
          </w:tcPr>
          <w:p>
            <w:pPr/>
          </w:p>
        </w:tc>
        <w:tc>
          <w:tcPr>
            <w:tcW w:w="761" w:type="dxa"/>
            <w:vMerge/>
            <w:tcBorders>
              <w:left w:val="single" w:sz="4" w:space="0" w:color="000000"/>
              <w:bottom w:val="nil" w:sz="6" w:space="0" w:color="auto"/>
              <w:right w:val="single" w:sz="4" w:space="0" w:color="000000"/>
            </w:tcBorders>
            <w:shd w:val="clear" w:color="auto" w:fill="D2D2D2"/>
          </w:tcPr>
          <w:p>
            <w:pPr/>
          </w:p>
        </w:tc>
        <w:tc>
          <w:tcPr>
            <w:tcW w:w="814" w:type="dxa"/>
            <w:vMerge/>
            <w:tcBorders>
              <w:left w:val="single" w:sz="4" w:space="0" w:color="000000"/>
              <w:bottom w:val="nil" w:sz="6" w:space="0" w:color="auto"/>
              <w:right w:val="single" w:sz="4" w:space="0" w:color="000000"/>
            </w:tcBorders>
            <w:shd w:val="clear" w:color="auto" w:fill="D2D2D2"/>
          </w:tcPr>
          <w:p>
            <w:pPr/>
          </w:p>
        </w:tc>
        <w:tc>
          <w:tcPr>
            <w:tcW w:w="934" w:type="dxa"/>
            <w:vMerge/>
            <w:tcBorders>
              <w:left w:val="single" w:sz="4" w:space="0" w:color="000000"/>
              <w:bottom w:val="nil" w:sz="6" w:space="0" w:color="auto"/>
              <w:right w:val="single" w:sz="4" w:space="0" w:color="000000"/>
            </w:tcBorders>
            <w:shd w:val="clear" w:color="auto" w:fill="D2D2D2"/>
          </w:tcPr>
          <w:p>
            <w:pPr/>
          </w:p>
        </w:tc>
        <w:tc>
          <w:tcPr>
            <w:tcW w:w="931"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612" w:type="dxa"/>
            <w:vMerge/>
            <w:tcBorders>
              <w:left w:val="single" w:sz="4" w:space="0" w:color="000000"/>
              <w:bottom w:val="single" w:sz="4" w:space="0" w:color="000000"/>
              <w:right w:val="single" w:sz="4" w:space="0" w:color="000000"/>
            </w:tcBorders>
            <w:shd w:val="clear" w:color="auto" w:fill="D2D2D2"/>
          </w:tcPr>
          <w:p>
            <w:pPr/>
          </w:p>
        </w:tc>
        <w:tc>
          <w:tcPr>
            <w:tcW w:w="774" w:type="dxa"/>
            <w:tcBorders>
              <w:top w:val="nil" w:sz="6" w:space="0" w:color="auto"/>
              <w:left w:val="single" w:sz="4" w:space="0" w:color="000000"/>
              <w:bottom w:val="single" w:sz="4" w:space="0" w:color="000000"/>
              <w:right w:val="single" w:sz="4" w:space="0" w:color="000000"/>
            </w:tcBorders>
            <w:shd w:val="clear" w:color="auto" w:fill="D2D2D2"/>
          </w:tcPr>
          <w:p>
            <w:pPr/>
          </w:p>
        </w:tc>
        <w:tc>
          <w:tcPr>
            <w:tcW w:w="761"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vMerge/>
            <w:tcBorders>
              <w:left w:val="single" w:sz="4" w:space="0" w:color="000000"/>
              <w:bottom w:val="single" w:sz="4" w:space="0" w:color="000000"/>
              <w:right w:val="single" w:sz="4" w:space="0" w:color="000000"/>
            </w:tcBorders>
            <w:shd w:val="clear" w:color="auto" w:fill="D2D2D2"/>
          </w:tcPr>
          <w:p>
            <w:pPr/>
          </w:p>
        </w:tc>
        <w:tc>
          <w:tcPr>
            <w:tcW w:w="788" w:type="dxa"/>
            <w:vMerge/>
            <w:tcBorders>
              <w:left w:val="single" w:sz="4" w:space="0" w:color="000000"/>
              <w:bottom w:val="single" w:sz="4" w:space="0" w:color="000000"/>
              <w:right w:val="single" w:sz="4" w:space="0" w:color="000000"/>
            </w:tcBorders>
            <w:shd w:val="clear" w:color="auto" w:fill="D2D2D2"/>
          </w:tcPr>
          <w:p>
            <w:pPr/>
          </w:p>
        </w:tc>
        <w:tc>
          <w:tcPr>
            <w:tcW w:w="655" w:type="dxa"/>
            <w:tcBorders>
              <w:top w:val="nil" w:sz="6" w:space="0" w:color="auto"/>
              <w:left w:val="single" w:sz="4" w:space="0" w:color="000000"/>
              <w:bottom w:val="single" w:sz="4" w:space="0" w:color="000000"/>
              <w:right w:val="single" w:sz="4" w:space="0" w:color="000000"/>
            </w:tcBorders>
            <w:shd w:val="clear" w:color="auto" w:fill="D2D2D2"/>
          </w:tcPr>
          <w:p>
            <w:pPr/>
          </w:p>
        </w:tc>
        <w:tc>
          <w:tcPr>
            <w:tcW w:w="761" w:type="dxa"/>
            <w:tcBorders>
              <w:top w:val="nil" w:sz="6" w:space="0" w:color="auto"/>
              <w:left w:val="single" w:sz="4" w:space="0" w:color="000000"/>
              <w:bottom w:val="single" w:sz="4" w:space="0" w:color="000000"/>
              <w:right w:val="single" w:sz="4" w:space="0" w:color="000000"/>
            </w:tcBorders>
            <w:shd w:val="clear" w:color="auto" w:fill="D2D2D2"/>
          </w:tcPr>
          <w:p>
            <w:pPr/>
          </w:p>
        </w:tc>
        <w:tc>
          <w:tcPr>
            <w:tcW w:w="814" w:type="dxa"/>
            <w:tcBorders>
              <w:top w:val="nil" w:sz="6" w:space="0" w:color="auto"/>
              <w:left w:val="single" w:sz="4" w:space="0" w:color="000000"/>
              <w:bottom w:val="single" w:sz="4" w:space="0" w:color="000000"/>
              <w:right w:val="single" w:sz="4" w:space="0" w:color="000000"/>
            </w:tcBorders>
            <w:shd w:val="clear" w:color="auto" w:fill="D2D2D2"/>
          </w:tcPr>
          <w:p>
            <w:pPr/>
          </w:p>
        </w:tc>
        <w:tc>
          <w:tcPr>
            <w:tcW w:w="934" w:type="dxa"/>
            <w:tcBorders>
              <w:top w:val="nil" w:sz="6" w:space="0" w:color="auto"/>
              <w:left w:val="single" w:sz="4" w:space="0" w:color="000000"/>
              <w:bottom w:val="single" w:sz="4" w:space="0" w:color="000000"/>
              <w:right w:val="single" w:sz="4" w:space="0" w:color="000000"/>
            </w:tcBorders>
            <w:shd w:val="clear" w:color="auto" w:fill="D2D2D2"/>
          </w:tcPr>
          <w:p>
            <w:pPr/>
          </w:p>
        </w:tc>
        <w:tc>
          <w:tcPr>
            <w:tcW w:w="931" w:type="dxa"/>
            <w:vMerge/>
            <w:tcBorders>
              <w:left w:val="single" w:sz="4" w:space="0" w:color="000000"/>
              <w:bottom w:val="single" w:sz="4" w:space="0" w:color="000000"/>
              <w:right w:val="single" w:sz="4" w:space="0" w:color="000000"/>
            </w:tcBorders>
            <w:shd w:val="clear" w:color="auto" w:fill="D2D2D2"/>
          </w:tcPr>
          <w:p>
            <w:pPr/>
          </w:p>
        </w:tc>
      </w:tr>
      <w:tr>
        <w:trPr>
          <w:trHeight w:val="1027" w:hRule="exact"/>
        </w:trPr>
        <w:tc>
          <w:tcPr>
            <w:tcW w:w="16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48"/>
              <w:jc w:val="both"/>
              <w:rPr>
                <w:rFonts w:ascii="宋体" w:hAnsi="宋体" w:cs="宋体" w:eastAsia="宋体" w:hint="default"/>
                <w:sz w:val="18"/>
                <w:szCs w:val="18"/>
              </w:rPr>
            </w:pPr>
            <w:r>
              <w:rPr>
                <w:rFonts w:ascii="宋体" w:hAnsi="宋体" w:cs="宋体" w:eastAsia="宋体" w:hint="default"/>
                <w:sz w:val="18"/>
                <w:szCs w:val="18"/>
              </w:rPr>
              <w:t>单项金额重大并单 独计提坏账准备的 其他应收款</w:t>
            </w:r>
          </w:p>
        </w:tc>
        <w:tc>
          <w:tcPr>
            <w:tcW w:w="77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5" w:right="0"/>
              <w:jc w:val="left"/>
              <w:rPr>
                <w:rFonts w:ascii="Times New Roman" w:hAnsi="Times New Roman" w:cs="Times New Roman" w:eastAsia="Times New Roman" w:hint="default"/>
                <w:sz w:val="18"/>
                <w:szCs w:val="18"/>
              </w:rPr>
            </w:pPr>
            <w:r>
              <w:rPr>
                <w:rFonts w:ascii="Times New Roman"/>
                <w:sz w:val="18"/>
              </w:rPr>
              <w:t>3,000,00</w:t>
            </w:r>
          </w:p>
          <w:p>
            <w:pPr>
              <w:pStyle w:val="TableParagraph"/>
              <w:spacing w:line="240" w:lineRule="auto" w:before="105"/>
              <w:ind w:left="422" w:right="0"/>
              <w:jc w:val="left"/>
              <w:rPr>
                <w:rFonts w:ascii="Times New Roman" w:hAnsi="Times New Roman" w:cs="Times New Roman" w:eastAsia="Times New Roman" w:hint="default"/>
                <w:sz w:val="18"/>
                <w:szCs w:val="18"/>
              </w:rPr>
            </w:pPr>
            <w:r>
              <w:rPr>
                <w:rFonts w:ascii="Times New Roman"/>
                <w:sz w:val="18"/>
              </w:rPr>
              <w:t>0.00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12.46%</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3,000,00</w:t>
            </w:r>
          </w:p>
          <w:p>
            <w:pPr>
              <w:pStyle w:val="TableParagraph"/>
              <w:spacing w:line="240" w:lineRule="auto" w:before="105"/>
              <w:ind w:left="415" w:right="0"/>
              <w:jc w:val="left"/>
              <w:rPr>
                <w:rFonts w:ascii="Times New Roman" w:hAnsi="Times New Roman" w:cs="Times New Roman" w:eastAsia="Times New Roman" w:hint="default"/>
                <w:sz w:val="18"/>
                <w:szCs w:val="18"/>
              </w:rPr>
            </w:pPr>
            <w:r>
              <w:rPr>
                <w:rFonts w:ascii="Times New Roman"/>
                <w:sz w:val="18"/>
              </w:rPr>
              <w:t>0.00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2" w:right="0"/>
              <w:jc w:val="center"/>
              <w:rPr>
                <w:rFonts w:ascii="Times New Roman" w:hAnsi="Times New Roman" w:cs="Times New Roman" w:eastAsia="Times New Roman" w:hint="default"/>
                <w:sz w:val="18"/>
                <w:szCs w:val="18"/>
              </w:rPr>
            </w:pPr>
            <w:r>
              <w:rPr>
                <w:rFonts w:ascii="Times New Roman"/>
                <w:sz w:val="18"/>
              </w:rPr>
              <w:t>3,000,0</w:t>
            </w:r>
          </w:p>
          <w:p>
            <w:pPr>
              <w:pStyle w:val="TableParagraph"/>
              <w:spacing w:line="240" w:lineRule="auto" w:before="105"/>
              <w:ind w:left="197" w:right="0"/>
              <w:jc w:val="center"/>
              <w:rPr>
                <w:rFonts w:ascii="Times New Roman" w:hAnsi="Times New Roman" w:cs="Times New Roman" w:eastAsia="Times New Roman" w:hint="default"/>
                <w:sz w:val="18"/>
                <w:szCs w:val="18"/>
              </w:rPr>
            </w:pPr>
            <w:r>
              <w:rPr>
                <w:rFonts w:ascii="Times New Roman"/>
                <w:sz w:val="18"/>
              </w:rPr>
              <w:t>00.00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5.90%</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3,000,000</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.00</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100.00%</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5" w:hRule="exact"/>
        </w:trPr>
        <w:tc>
          <w:tcPr>
            <w:tcW w:w="16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48"/>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其他应收款</w:t>
            </w:r>
          </w:p>
        </w:tc>
        <w:tc>
          <w:tcPr>
            <w:tcW w:w="77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5" w:right="0"/>
              <w:jc w:val="left"/>
              <w:rPr>
                <w:rFonts w:ascii="Times New Roman" w:hAnsi="Times New Roman" w:cs="Times New Roman" w:eastAsia="Times New Roman" w:hint="default"/>
                <w:sz w:val="18"/>
                <w:szCs w:val="18"/>
              </w:rPr>
            </w:pPr>
            <w:r>
              <w:rPr>
                <w:rFonts w:ascii="Times New Roman"/>
                <w:sz w:val="18"/>
              </w:rPr>
              <w:t>21,079,2</w:t>
            </w:r>
          </w:p>
          <w:p>
            <w:pPr>
              <w:pStyle w:val="TableParagraph"/>
              <w:spacing w:line="240" w:lineRule="auto" w:before="105"/>
              <w:ind w:left="331" w:right="0"/>
              <w:jc w:val="left"/>
              <w:rPr>
                <w:rFonts w:ascii="Times New Roman" w:hAnsi="Times New Roman" w:cs="Times New Roman" w:eastAsia="Times New Roman" w:hint="default"/>
                <w:sz w:val="18"/>
                <w:szCs w:val="18"/>
              </w:rPr>
            </w:pPr>
            <w:r>
              <w:rPr>
                <w:rFonts w:ascii="Times New Roman"/>
                <w:sz w:val="18"/>
              </w:rPr>
              <w:t>50.86</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87.54%</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17,868.0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8</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0.08%</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5" w:right="0"/>
              <w:jc w:val="left"/>
              <w:rPr>
                <w:rFonts w:ascii="Times New Roman" w:hAnsi="Times New Roman" w:cs="Times New Roman" w:eastAsia="Times New Roman" w:hint="default"/>
                <w:sz w:val="18"/>
                <w:szCs w:val="18"/>
              </w:rPr>
            </w:pPr>
            <w:r>
              <w:rPr>
                <w:rFonts w:ascii="Times New Roman"/>
                <w:sz w:val="18"/>
              </w:rPr>
              <w:t>21,061,38</w:t>
            </w:r>
          </w:p>
          <w:p>
            <w:pPr>
              <w:pStyle w:val="TableParagraph"/>
              <w:spacing w:line="240" w:lineRule="auto" w:before="105"/>
              <w:ind w:left="441" w:right="0"/>
              <w:jc w:val="left"/>
              <w:rPr>
                <w:rFonts w:ascii="Times New Roman" w:hAnsi="Times New Roman" w:cs="Times New Roman" w:eastAsia="Times New Roman" w:hint="default"/>
                <w:sz w:val="18"/>
                <w:szCs w:val="18"/>
              </w:rPr>
            </w:pPr>
            <w:r>
              <w:rPr>
                <w:rFonts w:ascii="Times New Roman"/>
                <w:sz w:val="18"/>
              </w:rPr>
              <w:t>2.78</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47,869,</w:t>
            </w:r>
          </w:p>
          <w:p>
            <w:pPr>
              <w:pStyle w:val="TableParagraph"/>
              <w:spacing w:line="240" w:lineRule="auto" w:before="105"/>
              <w:ind w:left="129" w:right="0"/>
              <w:jc w:val="left"/>
              <w:rPr>
                <w:rFonts w:ascii="Times New Roman" w:hAnsi="Times New Roman" w:cs="Times New Roman" w:eastAsia="Times New Roman" w:hint="default"/>
                <w:sz w:val="18"/>
                <w:szCs w:val="18"/>
              </w:rPr>
            </w:pPr>
            <w:r>
              <w:rPr>
                <w:rFonts w:ascii="Times New Roman"/>
                <w:sz w:val="18"/>
              </w:rPr>
              <w:t>898.35</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94.10%</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0.00%</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47,869,898.</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35</w:t>
            </w:r>
          </w:p>
        </w:tc>
      </w:tr>
      <w:tr>
        <w:trPr>
          <w:trHeight w:val="1027" w:hRule="exact"/>
        </w:trPr>
        <w:tc>
          <w:tcPr>
            <w:tcW w:w="16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48"/>
              <w:jc w:val="both"/>
              <w:rPr>
                <w:rFonts w:ascii="宋体" w:hAnsi="宋体" w:cs="宋体" w:eastAsia="宋体" w:hint="default"/>
                <w:sz w:val="18"/>
                <w:szCs w:val="18"/>
              </w:rPr>
            </w:pPr>
            <w:r>
              <w:rPr>
                <w:rFonts w:ascii="宋体" w:hAnsi="宋体" w:cs="宋体" w:eastAsia="宋体" w:hint="default"/>
                <w:sz w:val="18"/>
                <w:szCs w:val="18"/>
              </w:rPr>
              <w:t>单项金额不重大但 单独计提坏账准备 的其他应收款</w:t>
            </w:r>
          </w:p>
        </w:tc>
        <w:tc>
          <w:tcPr>
            <w:tcW w:w="77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22" w:right="0"/>
              <w:jc w:val="left"/>
              <w:rPr>
                <w:rFonts w:ascii="Times New Roman" w:hAnsi="Times New Roman" w:cs="Times New Roman" w:eastAsia="Times New Roman" w:hint="default"/>
                <w:sz w:val="18"/>
                <w:szCs w:val="18"/>
              </w:rPr>
            </w:pPr>
            <w:r>
              <w:rPr>
                <w:rFonts w:ascii="Times New Roman"/>
                <w:sz w:val="18"/>
              </w:rPr>
              <w:t>0.00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15" w:right="0"/>
              <w:jc w:val="left"/>
              <w:rPr>
                <w:rFonts w:ascii="Times New Roman" w:hAnsi="Times New Roman" w:cs="Times New Roman" w:eastAsia="Times New Roman" w:hint="default"/>
                <w:sz w:val="18"/>
                <w:szCs w:val="18"/>
              </w:rPr>
            </w:pPr>
            <w:r>
              <w:rPr>
                <w:rFonts w:ascii="Times New Roman"/>
                <w:sz w:val="18"/>
              </w:rPr>
              <w:t>0.00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09" w:right="0"/>
              <w:jc w:val="left"/>
              <w:rPr>
                <w:rFonts w:ascii="Times New Roman" w:hAnsi="Times New Roman" w:cs="Times New Roman" w:eastAsia="Times New Roman" w:hint="default"/>
                <w:sz w:val="18"/>
                <w:szCs w:val="18"/>
              </w:rPr>
            </w:pPr>
            <w:r>
              <w:rPr>
                <w:rFonts w:ascii="Times New Roman"/>
                <w:sz w:val="18"/>
              </w:rPr>
              <w:t>0.00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0.00%</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61" w:hRule="exact"/>
        </w:trPr>
        <w:tc>
          <w:tcPr>
            <w:tcW w:w="1612" w:type="dxa"/>
            <w:tcBorders>
              <w:top w:val="single" w:sz="4" w:space="0" w:color="000000"/>
              <w:left w:val="single" w:sz="4" w:space="0" w:color="000000"/>
              <w:bottom w:val="nil" w:sz="6" w:space="0" w:color="auto"/>
              <w:right w:val="single" w:sz="4" w:space="0" w:color="000000"/>
            </w:tcBorders>
            <w:shd w:val="clear" w:color="auto" w:fill="D2D2D2"/>
          </w:tcPr>
          <w:p>
            <w:pPr/>
          </w:p>
        </w:tc>
        <w:tc>
          <w:tcPr>
            <w:tcW w:w="774" w:type="dxa"/>
            <w:vMerge w:val="restart"/>
            <w:tcBorders>
              <w:top w:val="single" w:sz="4" w:space="0" w:color="000000"/>
              <w:left w:val="single" w:sz="9" w:space="0" w:color="D2D2D2"/>
              <w:right w:val="single" w:sz="4" w:space="0" w:color="000000"/>
            </w:tcBorders>
          </w:tcPr>
          <w:p>
            <w:pPr>
              <w:pStyle w:val="TableParagraph"/>
              <w:spacing w:line="240" w:lineRule="auto" w:before="91"/>
              <w:ind w:left="105" w:right="0"/>
              <w:jc w:val="left"/>
              <w:rPr>
                <w:rFonts w:ascii="Times New Roman" w:hAnsi="Times New Roman" w:cs="Times New Roman" w:eastAsia="Times New Roman" w:hint="default"/>
                <w:sz w:val="18"/>
                <w:szCs w:val="18"/>
              </w:rPr>
            </w:pPr>
            <w:r>
              <w:rPr>
                <w:rFonts w:ascii="Times New Roman"/>
                <w:sz w:val="18"/>
              </w:rPr>
              <w:t>24,079,2</w:t>
            </w:r>
          </w:p>
          <w:p>
            <w:pPr>
              <w:pStyle w:val="TableParagraph"/>
              <w:spacing w:line="240" w:lineRule="auto" w:before="105"/>
              <w:ind w:left="331" w:right="0"/>
              <w:jc w:val="left"/>
              <w:rPr>
                <w:rFonts w:ascii="Times New Roman" w:hAnsi="Times New Roman" w:cs="Times New Roman" w:eastAsia="Times New Roman" w:hint="default"/>
                <w:sz w:val="18"/>
                <w:szCs w:val="18"/>
              </w:rPr>
            </w:pPr>
            <w:r>
              <w:rPr>
                <w:rFonts w:ascii="Times New Roman"/>
                <w:sz w:val="18"/>
              </w:rPr>
              <w:t>50.86</w:t>
            </w:r>
          </w:p>
        </w:tc>
        <w:tc>
          <w:tcPr>
            <w:tcW w:w="761"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3" w:type="dxa"/>
            <w:vMerge w:val="restart"/>
            <w:tcBorders>
              <w:top w:val="single" w:sz="4" w:space="0" w:color="000000"/>
              <w:left w:val="single" w:sz="4" w:space="0" w:color="000000"/>
              <w:right w:val="single" w:sz="4" w:space="0" w:color="000000"/>
            </w:tcBorders>
          </w:tcPr>
          <w:p>
            <w:pPr>
              <w:pStyle w:val="TableParagraph"/>
              <w:spacing w:line="240" w:lineRule="auto" w:before="91"/>
              <w:ind w:left="98" w:right="0"/>
              <w:jc w:val="left"/>
              <w:rPr>
                <w:rFonts w:ascii="Times New Roman" w:hAnsi="Times New Roman" w:cs="Times New Roman" w:eastAsia="Times New Roman" w:hint="default"/>
                <w:sz w:val="18"/>
                <w:szCs w:val="18"/>
              </w:rPr>
            </w:pPr>
            <w:r>
              <w:rPr>
                <w:rFonts w:ascii="Times New Roman"/>
                <w:sz w:val="18"/>
              </w:rPr>
              <w:t>3,017,86</w:t>
            </w:r>
          </w:p>
          <w:p>
            <w:pPr>
              <w:pStyle w:val="TableParagraph"/>
              <w:spacing w:line="240" w:lineRule="auto" w:before="105"/>
              <w:ind w:left="415" w:right="0"/>
              <w:jc w:val="left"/>
              <w:rPr>
                <w:rFonts w:ascii="Times New Roman" w:hAnsi="Times New Roman" w:cs="Times New Roman" w:eastAsia="Times New Roman" w:hint="default"/>
                <w:sz w:val="18"/>
                <w:szCs w:val="18"/>
              </w:rPr>
            </w:pPr>
            <w:r>
              <w:rPr>
                <w:rFonts w:ascii="Times New Roman"/>
                <w:sz w:val="18"/>
              </w:rPr>
              <w:t>8.08</w:t>
            </w:r>
          </w:p>
        </w:tc>
        <w:tc>
          <w:tcPr>
            <w:tcW w:w="76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788" w:type="dxa"/>
            <w:vMerge w:val="restart"/>
            <w:tcBorders>
              <w:top w:val="single" w:sz="4" w:space="0" w:color="000000"/>
              <w:left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21,061,38</w:t>
            </w:r>
          </w:p>
          <w:p>
            <w:pPr>
              <w:pStyle w:val="TableParagraph"/>
              <w:spacing w:line="240" w:lineRule="auto" w:before="105"/>
              <w:ind w:left="441" w:right="0"/>
              <w:jc w:val="left"/>
              <w:rPr>
                <w:rFonts w:ascii="Times New Roman" w:hAnsi="Times New Roman" w:cs="Times New Roman" w:eastAsia="Times New Roman" w:hint="default"/>
                <w:sz w:val="18"/>
                <w:szCs w:val="18"/>
              </w:rPr>
            </w:pPr>
            <w:r>
              <w:rPr>
                <w:rFonts w:ascii="Times New Roman"/>
                <w:sz w:val="18"/>
              </w:rPr>
              <w:t>2.78</w:t>
            </w:r>
          </w:p>
        </w:tc>
        <w:tc>
          <w:tcPr>
            <w:tcW w:w="655" w:type="dxa"/>
            <w:vMerge w:val="restart"/>
            <w:tcBorders>
              <w:top w:val="single" w:sz="4" w:space="0" w:color="000000"/>
              <w:left w:val="single" w:sz="4" w:space="0" w:color="000000"/>
              <w:right w:val="single" w:sz="4" w:space="0" w:color="000000"/>
            </w:tcBorders>
          </w:tcPr>
          <w:p>
            <w:pPr>
              <w:pStyle w:val="TableParagraph"/>
              <w:spacing w:line="240" w:lineRule="auto" w:before="91"/>
              <w:ind w:left="83" w:right="0"/>
              <w:jc w:val="left"/>
              <w:rPr>
                <w:rFonts w:ascii="Times New Roman" w:hAnsi="Times New Roman" w:cs="Times New Roman" w:eastAsia="Times New Roman" w:hint="default"/>
                <w:sz w:val="18"/>
                <w:szCs w:val="18"/>
              </w:rPr>
            </w:pPr>
            <w:r>
              <w:rPr>
                <w:rFonts w:ascii="Times New Roman"/>
                <w:sz w:val="18"/>
              </w:rPr>
              <w:t>50,869,</w:t>
            </w:r>
          </w:p>
          <w:p>
            <w:pPr>
              <w:pStyle w:val="TableParagraph"/>
              <w:spacing w:line="240" w:lineRule="auto" w:before="105"/>
              <w:ind w:left="129" w:right="0"/>
              <w:jc w:val="left"/>
              <w:rPr>
                <w:rFonts w:ascii="Times New Roman" w:hAnsi="Times New Roman" w:cs="Times New Roman" w:eastAsia="Times New Roman" w:hint="default"/>
                <w:sz w:val="18"/>
                <w:szCs w:val="18"/>
              </w:rPr>
            </w:pPr>
            <w:r>
              <w:rPr>
                <w:rFonts w:ascii="Times New Roman"/>
                <w:sz w:val="18"/>
              </w:rPr>
              <w:t>898.35</w:t>
            </w:r>
          </w:p>
        </w:tc>
        <w:tc>
          <w:tcPr>
            <w:tcW w:w="761"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4"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3,000,000</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.00</w:t>
            </w:r>
          </w:p>
        </w:tc>
        <w:tc>
          <w:tcPr>
            <w:tcW w:w="93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931" w:type="dxa"/>
            <w:vMerge w:val="restart"/>
            <w:tcBorders>
              <w:top w:val="single" w:sz="4" w:space="0" w:color="000000"/>
              <w:left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47,869,898.</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35</w:t>
            </w:r>
          </w:p>
        </w:tc>
      </w:tr>
      <w:tr>
        <w:trPr>
          <w:trHeight w:val="391" w:hRule="exact"/>
        </w:trPr>
        <w:tc>
          <w:tcPr>
            <w:tcW w:w="16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74" w:type="dxa"/>
            <w:vMerge/>
            <w:tcBorders>
              <w:left w:val="single" w:sz="9" w:space="0" w:color="D2D2D2"/>
              <w:right w:val="single" w:sz="4" w:space="0" w:color="000000"/>
            </w:tcBorders>
          </w:tcPr>
          <w:p>
            <w:pPr/>
          </w:p>
        </w:tc>
        <w:tc>
          <w:tcPr>
            <w:tcW w:w="761" w:type="dxa"/>
            <w:vMerge/>
            <w:tcBorders>
              <w:left w:val="single" w:sz="4" w:space="0" w:color="000000"/>
              <w:right w:val="single" w:sz="4" w:space="0" w:color="000000"/>
            </w:tcBorders>
          </w:tcPr>
          <w:p>
            <w:pPr/>
          </w:p>
        </w:tc>
        <w:tc>
          <w:tcPr>
            <w:tcW w:w="763" w:type="dxa"/>
            <w:vMerge/>
            <w:tcBorders>
              <w:left w:val="single" w:sz="4" w:space="0" w:color="000000"/>
              <w:right w:val="single" w:sz="4" w:space="0" w:color="000000"/>
            </w:tcBorders>
          </w:tcPr>
          <w:p>
            <w:pPr/>
          </w:p>
        </w:tc>
        <w:tc>
          <w:tcPr>
            <w:tcW w:w="763" w:type="dxa"/>
            <w:vMerge/>
            <w:tcBorders>
              <w:left w:val="single" w:sz="4" w:space="0" w:color="000000"/>
              <w:right w:val="single" w:sz="4" w:space="0" w:color="000000"/>
            </w:tcBorders>
          </w:tcPr>
          <w:p>
            <w:pPr/>
          </w:p>
        </w:tc>
        <w:tc>
          <w:tcPr>
            <w:tcW w:w="788" w:type="dxa"/>
            <w:vMerge/>
            <w:tcBorders>
              <w:left w:val="single" w:sz="4" w:space="0" w:color="000000"/>
              <w:right w:val="single" w:sz="4" w:space="0" w:color="000000"/>
            </w:tcBorders>
          </w:tcPr>
          <w:p>
            <w:pPr/>
          </w:p>
        </w:tc>
        <w:tc>
          <w:tcPr>
            <w:tcW w:w="655" w:type="dxa"/>
            <w:vMerge/>
            <w:tcBorders>
              <w:left w:val="single" w:sz="4" w:space="0" w:color="000000"/>
              <w:right w:val="single" w:sz="4" w:space="0" w:color="000000"/>
            </w:tcBorders>
          </w:tcPr>
          <w:p>
            <w:pPr/>
          </w:p>
        </w:tc>
        <w:tc>
          <w:tcPr>
            <w:tcW w:w="761" w:type="dxa"/>
            <w:vMerge/>
            <w:tcBorders>
              <w:left w:val="single" w:sz="4" w:space="0" w:color="000000"/>
              <w:right w:val="single" w:sz="4" w:space="0" w:color="000000"/>
            </w:tcBorders>
          </w:tcPr>
          <w:p>
            <w:pPr/>
          </w:p>
        </w:tc>
        <w:tc>
          <w:tcPr>
            <w:tcW w:w="814" w:type="dxa"/>
            <w:vMerge/>
            <w:tcBorders>
              <w:left w:val="single" w:sz="4" w:space="0" w:color="000000"/>
              <w:right w:val="single" w:sz="4" w:space="0" w:color="000000"/>
            </w:tcBorders>
          </w:tcPr>
          <w:p>
            <w:pPr/>
          </w:p>
        </w:tc>
        <w:tc>
          <w:tcPr>
            <w:tcW w:w="934" w:type="dxa"/>
            <w:vMerge/>
            <w:tcBorders>
              <w:left w:val="single" w:sz="4" w:space="0" w:color="000000"/>
              <w:right w:val="single" w:sz="4" w:space="0" w:color="000000"/>
            </w:tcBorders>
          </w:tcPr>
          <w:p>
            <w:pPr/>
          </w:p>
        </w:tc>
        <w:tc>
          <w:tcPr>
            <w:tcW w:w="931" w:type="dxa"/>
            <w:vMerge/>
            <w:tcBorders>
              <w:left w:val="single" w:sz="4" w:space="0" w:color="000000"/>
              <w:right w:val="single" w:sz="4" w:space="0" w:color="000000"/>
            </w:tcBorders>
          </w:tcPr>
          <w:p>
            <w:pPr/>
          </w:p>
        </w:tc>
      </w:tr>
      <w:tr>
        <w:trPr>
          <w:trHeight w:val="161" w:hRule="exact"/>
        </w:trPr>
        <w:tc>
          <w:tcPr>
            <w:tcW w:w="1612" w:type="dxa"/>
            <w:tcBorders>
              <w:top w:val="nil" w:sz="6" w:space="0" w:color="auto"/>
              <w:left w:val="single" w:sz="4" w:space="0" w:color="000000"/>
              <w:bottom w:val="single" w:sz="4" w:space="0" w:color="000000"/>
              <w:right w:val="single" w:sz="4" w:space="0" w:color="000000"/>
            </w:tcBorders>
            <w:shd w:val="clear" w:color="auto" w:fill="D2D2D2"/>
          </w:tcPr>
          <w:p>
            <w:pPr/>
          </w:p>
        </w:tc>
        <w:tc>
          <w:tcPr>
            <w:tcW w:w="774" w:type="dxa"/>
            <w:vMerge/>
            <w:tcBorders>
              <w:left w:val="single" w:sz="9" w:space="0" w:color="D2D2D2"/>
              <w:bottom w:val="single" w:sz="4" w:space="0" w:color="000000"/>
              <w:right w:val="single" w:sz="4" w:space="0" w:color="000000"/>
            </w:tcBorders>
          </w:tcPr>
          <w:p>
            <w:pPr/>
          </w:p>
        </w:tc>
        <w:tc>
          <w:tcPr>
            <w:tcW w:w="761" w:type="dxa"/>
            <w:vMerge/>
            <w:tcBorders>
              <w:left w:val="single" w:sz="4" w:space="0" w:color="000000"/>
              <w:bottom w:val="single" w:sz="4" w:space="0" w:color="000000"/>
              <w:right w:val="single" w:sz="4" w:space="0" w:color="000000"/>
            </w:tcBorders>
          </w:tcPr>
          <w:p>
            <w:pPr/>
          </w:p>
        </w:tc>
        <w:tc>
          <w:tcPr>
            <w:tcW w:w="763" w:type="dxa"/>
            <w:vMerge/>
            <w:tcBorders>
              <w:left w:val="single" w:sz="4" w:space="0" w:color="000000"/>
              <w:bottom w:val="single" w:sz="4" w:space="0" w:color="000000"/>
              <w:right w:val="single" w:sz="4" w:space="0" w:color="000000"/>
            </w:tcBorders>
          </w:tcPr>
          <w:p>
            <w:pPr/>
          </w:p>
        </w:tc>
        <w:tc>
          <w:tcPr>
            <w:tcW w:w="763" w:type="dxa"/>
            <w:vMerge/>
            <w:tcBorders>
              <w:left w:val="single" w:sz="4" w:space="0" w:color="000000"/>
              <w:bottom w:val="single" w:sz="4" w:space="0" w:color="000000"/>
              <w:right w:val="single" w:sz="4" w:space="0" w:color="000000"/>
            </w:tcBorders>
          </w:tcPr>
          <w:p>
            <w:pPr/>
          </w:p>
        </w:tc>
        <w:tc>
          <w:tcPr>
            <w:tcW w:w="788" w:type="dxa"/>
            <w:vMerge/>
            <w:tcBorders>
              <w:left w:val="single" w:sz="4" w:space="0" w:color="000000"/>
              <w:bottom w:val="single" w:sz="4" w:space="0" w:color="000000"/>
              <w:right w:val="single" w:sz="4" w:space="0" w:color="000000"/>
            </w:tcBorders>
          </w:tcPr>
          <w:p>
            <w:pPr/>
          </w:p>
        </w:tc>
        <w:tc>
          <w:tcPr>
            <w:tcW w:w="655" w:type="dxa"/>
            <w:vMerge/>
            <w:tcBorders>
              <w:left w:val="single" w:sz="4" w:space="0" w:color="000000"/>
              <w:bottom w:val="single" w:sz="4" w:space="0" w:color="000000"/>
              <w:right w:val="single" w:sz="4" w:space="0" w:color="000000"/>
            </w:tcBorders>
          </w:tcPr>
          <w:p>
            <w:pPr/>
          </w:p>
        </w:tc>
        <w:tc>
          <w:tcPr>
            <w:tcW w:w="761" w:type="dxa"/>
            <w:vMerge/>
            <w:tcBorders>
              <w:left w:val="single" w:sz="4" w:space="0" w:color="000000"/>
              <w:bottom w:val="single" w:sz="4" w:space="0" w:color="000000"/>
              <w:right w:val="single" w:sz="4" w:space="0" w:color="000000"/>
            </w:tcBorders>
          </w:tcPr>
          <w:p>
            <w:pPr/>
          </w:p>
        </w:tc>
        <w:tc>
          <w:tcPr>
            <w:tcW w:w="814" w:type="dxa"/>
            <w:vMerge/>
            <w:tcBorders>
              <w:left w:val="single" w:sz="4" w:space="0" w:color="000000"/>
              <w:bottom w:val="single" w:sz="4" w:space="0" w:color="000000"/>
              <w:right w:val="single" w:sz="4" w:space="0" w:color="000000"/>
            </w:tcBorders>
          </w:tcPr>
          <w:p>
            <w:pPr/>
          </w:p>
        </w:tc>
        <w:tc>
          <w:tcPr>
            <w:tcW w:w="934" w:type="dxa"/>
            <w:vMerge/>
            <w:tcBorders>
              <w:left w:val="single" w:sz="4" w:space="0" w:color="000000"/>
              <w:bottom w:val="single" w:sz="4" w:space="0" w:color="000000"/>
              <w:right w:val="single" w:sz="4" w:space="0" w:color="000000"/>
            </w:tcBorders>
          </w:tcPr>
          <w:p>
            <w:pPr/>
          </w:p>
        </w:tc>
        <w:tc>
          <w:tcPr>
            <w:tcW w:w="931" w:type="dxa"/>
            <w:vMerge/>
            <w:tcBorders>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0"/>
        </w:sectPr>
      </w:pPr>
    </w:p>
    <w:p>
      <w:pPr>
        <w:pStyle w:val="BodyText"/>
        <w:spacing w:line="240" w:lineRule="auto" w:before="49"/>
        <w:ind w:right="-20"/>
        <w:jc w:val="left"/>
      </w:pPr>
      <w:r>
        <w:rPr/>
        <w:t>期末单项金额重大并单项计提坏账准备的其他应收款：</w:t>
      </w:r>
    </w:p>
    <w:p>
      <w:pPr>
        <w:pStyle w:val="BodyText"/>
        <w:spacing w:line="240" w:lineRule="auto" w:before="117"/>
        <w:ind w:right="-2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21"/>
          <w:szCs w:val="21"/>
        </w:rPr>
      </w:pPr>
    </w:p>
    <w:p>
      <w:pPr>
        <w:pStyle w:val="BodyText"/>
        <w:spacing w:line="240" w:lineRule="auto"/>
        <w:ind w:right="0"/>
        <w:jc w:val="left"/>
      </w:pPr>
      <w:r>
        <w:rPr/>
        <w:t>单位：</w:t>
      </w:r>
      <w:r>
        <w:rPr>
          <w:spacing w:val="1"/>
        </w:rPr>
        <w:t> </w:t>
      </w:r>
      <w:r>
        <w:rPr/>
        <w:t>元</w:t>
      </w:r>
    </w:p>
    <w:p>
      <w:pPr>
        <w:spacing w:after="0" w:line="240" w:lineRule="auto"/>
        <w:jc w:val="left"/>
        <w:sectPr>
          <w:type w:val="continuous"/>
          <w:pgSz w:w="11910" w:h="16840"/>
          <w:pgMar w:top="1060" w:bottom="1160" w:left="980" w:right="0"/>
          <w:cols w:num="2" w:equalWidth="0">
            <w:col w:w="4473" w:space="4356"/>
            <w:col w:w="2101"/>
          </w:cols>
        </w:sectPr>
      </w:pP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94"/>
        <w:gridCol w:w="7566"/>
      </w:tblGrid>
      <w:tr>
        <w:trPr>
          <w:trHeight w:val="403" w:hRule="exact"/>
        </w:trPr>
        <w:tc>
          <w:tcPr>
            <w:tcW w:w="1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0" w:right="0"/>
              <w:jc w:val="left"/>
              <w:rPr>
                <w:rFonts w:ascii="宋体" w:hAnsi="宋体" w:cs="宋体" w:eastAsia="宋体" w:hint="default"/>
                <w:sz w:val="18"/>
                <w:szCs w:val="18"/>
              </w:rPr>
            </w:pPr>
            <w:r>
              <w:rPr>
                <w:rFonts w:ascii="宋体" w:hAnsi="宋体" w:cs="宋体" w:eastAsia="宋体" w:hint="default"/>
                <w:sz w:val="18"/>
                <w:szCs w:val="18"/>
              </w:rPr>
              <w:t>其他应收款（按单位）</w:t>
            </w:r>
          </w:p>
        </w:tc>
        <w:tc>
          <w:tcPr>
            <w:tcW w:w="75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r>
    </w:tbl>
    <w:p>
      <w:pPr>
        <w:spacing w:after="0" w:line="240" w:lineRule="auto"/>
        <w:jc w:val="center"/>
        <w:rPr>
          <w:rFonts w:ascii="宋体" w:hAnsi="宋体" w:cs="宋体" w:eastAsia="宋体" w:hint="default"/>
          <w:sz w:val="18"/>
          <w:szCs w:val="18"/>
        </w:rPr>
        <w:sectPr>
          <w:type w:val="continuous"/>
          <w:pgSz w:w="11910" w:h="16840"/>
          <w:pgMar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995"/>
        <w:gridCol w:w="1837"/>
        <w:gridCol w:w="1913"/>
        <w:gridCol w:w="1913"/>
        <w:gridCol w:w="1916"/>
      </w:tblGrid>
      <w:tr>
        <w:trPr>
          <w:trHeight w:val="401" w:hRule="exact"/>
        </w:trPr>
        <w:tc>
          <w:tcPr>
            <w:tcW w:w="1995"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8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6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5" w:right="0"/>
              <w:jc w:val="left"/>
              <w:rPr>
                <w:rFonts w:ascii="宋体" w:hAnsi="宋体" w:cs="宋体" w:eastAsia="宋体" w:hint="default"/>
                <w:sz w:val="18"/>
                <w:szCs w:val="18"/>
              </w:rPr>
            </w:pPr>
            <w:r>
              <w:rPr>
                <w:rFonts w:ascii="宋体" w:hAnsi="宋体" w:cs="宋体" w:eastAsia="宋体" w:hint="default"/>
                <w:sz w:val="18"/>
                <w:szCs w:val="18"/>
              </w:rPr>
              <w:t>计提理由</w:t>
            </w:r>
          </w:p>
        </w:tc>
      </w:tr>
      <w:tr>
        <w:trPr>
          <w:trHeight w:val="715" w:hRule="exact"/>
        </w:trPr>
        <w:tc>
          <w:tcPr>
            <w:tcW w:w="199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59"/>
              <w:jc w:val="left"/>
              <w:rPr>
                <w:rFonts w:ascii="宋体" w:hAnsi="宋体" w:cs="宋体" w:eastAsia="宋体" w:hint="default"/>
                <w:sz w:val="18"/>
                <w:szCs w:val="18"/>
              </w:rPr>
            </w:pPr>
            <w:r>
              <w:rPr>
                <w:rFonts w:ascii="宋体" w:hAnsi="宋体" w:cs="宋体" w:eastAsia="宋体" w:hint="default"/>
                <w:sz w:val="18"/>
                <w:szCs w:val="18"/>
              </w:rPr>
              <w:t>北京老虎宝典科技有限 责任公司</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3,000,000.00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3,000,000.00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235" w:right="0"/>
              <w:jc w:val="left"/>
              <w:rPr>
                <w:rFonts w:ascii="Times New Roman" w:hAnsi="Times New Roman" w:cs="Times New Roman" w:eastAsia="Times New Roman" w:hint="default"/>
                <w:sz w:val="18"/>
                <w:szCs w:val="18"/>
              </w:rPr>
            </w:pPr>
            <w:r>
              <w:rPr>
                <w:rFonts w:ascii="Times New Roman"/>
                <w:sz w:val="18"/>
              </w:rPr>
              <w:t>100.00%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无法收回</w:t>
            </w:r>
          </w:p>
        </w:tc>
      </w:tr>
      <w:tr>
        <w:trPr>
          <w:trHeight w:val="403" w:hRule="exact"/>
        </w:trPr>
        <w:tc>
          <w:tcPr>
            <w:tcW w:w="19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3,000,000.00</w:t>
            </w:r>
          </w:p>
        </w:tc>
        <w:tc>
          <w:tcPr>
            <w:tcW w:w="1913"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7"/>
              <w:jc w:val="right"/>
              <w:rPr>
                <w:rFonts w:ascii="Times New Roman" w:hAnsi="Times New Roman" w:cs="Times New Roman" w:eastAsia="Times New Roman" w:hint="default"/>
                <w:sz w:val="18"/>
                <w:szCs w:val="18"/>
              </w:rPr>
            </w:pPr>
            <w:r>
              <w:rPr>
                <w:rFonts w:ascii="Times New Roman"/>
                <w:spacing w:val="-1"/>
                <w:sz w:val="18"/>
              </w:rPr>
              <w:t>3,000,000.00</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5" w:right="0"/>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pgSz w:w="11910" w:h="16840"/>
          <w:pgMar w:header="745" w:footer="979" w:top="1060" w:bottom="1160" w:left="980" w:right="0"/>
        </w:sectPr>
      </w:pPr>
    </w:p>
    <w:p>
      <w:pPr>
        <w:pStyle w:val="BodyText"/>
        <w:spacing w:line="240" w:lineRule="auto" w:before="49"/>
        <w:ind w:right="-20"/>
        <w:jc w:val="left"/>
      </w:pPr>
      <w:r>
        <w:rPr/>
        <w:t>组合中，按账龄分析法计提坏账准备的其他应收款：</w:t>
      </w:r>
    </w:p>
    <w:p>
      <w:pPr>
        <w:pStyle w:val="BodyText"/>
        <w:spacing w:line="240" w:lineRule="auto" w:before="115"/>
        <w:ind w:right="-2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21"/>
          <w:szCs w:val="21"/>
        </w:rPr>
      </w:pPr>
    </w:p>
    <w:p>
      <w:pPr>
        <w:pStyle w:val="BodyText"/>
        <w:spacing w:line="240" w:lineRule="auto"/>
        <w:ind w:right="0"/>
        <w:jc w:val="left"/>
      </w:pPr>
      <w:r>
        <w:rPr/>
        <w:t>单位：</w:t>
      </w:r>
      <w:r>
        <w:rPr>
          <w:spacing w:val="1"/>
        </w:rPr>
        <w:t> </w:t>
      </w:r>
      <w:r>
        <w:rPr/>
        <w:t>元</w:t>
      </w:r>
    </w:p>
    <w:p>
      <w:pPr>
        <w:spacing w:after="0" w:line="240" w:lineRule="auto"/>
        <w:jc w:val="left"/>
        <w:sectPr>
          <w:type w:val="continuous"/>
          <w:pgSz w:w="11910" w:h="16840"/>
          <w:pgMar w:top="1060" w:bottom="1160" w:left="980" w:right="0"/>
          <w:cols w:num="2" w:equalWidth="0">
            <w:col w:w="4293" w:space="4536"/>
            <w:col w:w="2101"/>
          </w:cols>
        </w:sectPr>
      </w:pP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483"/>
        <w:gridCol w:w="2295"/>
        <w:gridCol w:w="2391"/>
        <w:gridCol w:w="2390"/>
      </w:tblGrid>
      <w:tr>
        <w:trPr>
          <w:trHeight w:val="206" w:hRule="exact"/>
        </w:trPr>
        <w:tc>
          <w:tcPr>
            <w:tcW w:w="2483" w:type="dxa"/>
            <w:tcBorders>
              <w:top w:val="single" w:sz="4" w:space="0" w:color="000000"/>
              <w:left w:val="single" w:sz="4" w:space="0" w:color="000000"/>
              <w:bottom w:val="nil" w:sz="6" w:space="0" w:color="auto"/>
              <w:right w:val="single" w:sz="4" w:space="0" w:color="000000"/>
            </w:tcBorders>
            <w:shd w:val="clear" w:color="auto" w:fill="D2D2D2"/>
          </w:tcPr>
          <w:p>
            <w:pPr/>
          </w:p>
        </w:tc>
        <w:tc>
          <w:tcPr>
            <w:tcW w:w="7076"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2" w:hRule="exact"/>
        </w:trPr>
        <w:tc>
          <w:tcPr>
            <w:tcW w:w="248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12"/>
              <w:jc w:val="center"/>
              <w:rPr>
                <w:rFonts w:ascii="宋体" w:hAnsi="宋体" w:cs="宋体" w:eastAsia="宋体" w:hint="default"/>
                <w:sz w:val="18"/>
                <w:szCs w:val="18"/>
              </w:rPr>
            </w:pPr>
            <w:r>
              <w:rPr>
                <w:rFonts w:ascii="宋体" w:hAnsi="宋体" w:cs="宋体" w:eastAsia="宋体" w:hint="default"/>
                <w:sz w:val="18"/>
                <w:szCs w:val="18"/>
              </w:rPr>
              <w:t>账龄</w:t>
            </w:r>
          </w:p>
        </w:tc>
        <w:tc>
          <w:tcPr>
            <w:tcW w:w="7076" w:type="dxa"/>
            <w:gridSpan w:val="3"/>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2483" w:type="dxa"/>
            <w:vMerge/>
            <w:tcBorders>
              <w:left w:val="single" w:sz="4" w:space="0" w:color="000000"/>
              <w:bottom w:val="nil" w:sz="6" w:space="0" w:color="auto"/>
              <w:right w:val="single" w:sz="4" w:space="0" w:color="000000"/>
            </w:tcBorders>
            <w:shd w:val="clear" w:color="auto" w:fill="D2D2D2"/>
          </w:tcPr>
          <w:p>
            <w:pPr/>
          </w:p>
        </w:tc>
        <w:tc>
          <w:tcPr>
            <w:tcW w:w="22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69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3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209" w:hRule="exact"/>
        </w:trPr>
        <w:tc>
          <w:tcPr>
            <w:tcW w:w="2483" w:type="dxa"/>
            <w:tcBorders>
              <w:top w:val="nil" w:sz="6" w:space="0" w:color="auto"/>
              <w:left w:val="single" w:sz="4" w:space="0" w:color="000000"/>
              <w:bottom w:val="single" w:sz="4" w:space="0" w:color="000000"/>
              <w:right w:val="single" w:sz="4" w:space="0" w:color="000000"/>
            </w:tcBorders>
            <w:shd w:val="clear" w:color="auto" w:fill="D2D2D2"/>
          </w:tcPr>
          <w:p>
            <w:pPr/>
          </w:p>
        </w:tc>
        <w:tc>
          <w:tcPr>
            <w:tcW w:w="2295" w:type="dxa"/>
            <w:vMerge/>
            <w:tcBorders>
              <w:left w:val="single" w:sz="4" w:space="0" w:color="000000"/>
              <w:bottom w:val="single" w:sz="4" w:space="0" w:color="000000"/>
              <w:right w:val="single" w:sz="4" w:space="0" w:color="000000"/>
            </w:tcBorders>
            <w:shd w:val="clear" w:color="auto" w:fill="D2D2D2"/>
          </w:tcPr>
          <w:p>
            <w:pPr/>
          </w:p>
        </w:tc>
        <w:tc>
          <w:tcPr>
            <w:tcW w:w="2391" w:type="dxa"/>
            <w:vMerge/>
            <w:tcBorders>
              <w:left w:val="single" w:sz="4" w:space="0" w:color="000000"/>
              <w:bottom w:val="single" w:sz="4" w:space="0" w:color="000000"/>
              <w:right w:val="single" w:sz="4" w:space="0" w:color="000000"/>
            </w:tcBorders>
            <w:shd w:val="clear" w:color="auto" w:fill="D2D2D2"/>
          </w:tcPr>
          <w:p>
            <w:pPr/>
          </w:p>
        </w:tc>
        <w:tc>
          <w:tcPr>
            <w:tcW w:w="2390" w:type="dxa"/>
            <w:vMerge/>
            <w:tcBorders>
              <w:left w:val="single" w:sz="4" w:space="0" w:color="000000"/>
              <w:bottom w:val="single" w:sz="4" w:space="0" w:color="000000"/>
              <w:right w:val="single" w:sz="4" w:space="0" w:color="000000"/>
            </w:tcBorders>
            <w:shd w:val="clear" w:color="auto" w:fill="D2D2D2"/>
          </w:tcPr>
          <w:p>
            <w:pPr/>
          </w:p>
        </w:tc>
      </w:tr>
      <w:tr>
        <w:trPr>
          <w:trHeight w:val="399" w:hRule="exact"/>
        </w:trPr>
        <w:tc>
          <w:tcPr>
            <w:tcW w:w="955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年以内分项</w:t>
            </w:r>
          </w:p>
        </w:tc>
      </w:tr>
      <w:tr>
        <w:trPr>
          <w:trHeight w:val="401" w:hRule="exact"/>
        </w:trPr>
        <w:tc>
          <w:tcPr>
            <w:tcW w:w="24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229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1,786,808.48</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17,868.08</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1.00%</w:t>
            </w:r>
          </w:p>
        </w:tc>
      </w:tr>
      <w:tr>
        <w:trPr>
          <w:trHeight w:val="403" w:hRule="exact"/>
        </w:trPr>
        <w:tc>
          <w:tcPr>
            <w:tcW w:w="24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9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r>
      <w:tr>
        <w:trPr>
          <w:trHeight w:val="401" w:hRule="exact"/>
        </w:trPr>
        <w:tc>
          <w:tcPr>
            <w:tcW w:w="24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9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r>
      <w:tr>
        <w:trPr>
          <w:trHeight w:val="403" w:hRule="exact"/>
        </w:trPr>
        <w:tc>
          <w:tcPr>
            <w:tcW w:w="24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29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r>
      <w:tr>
        <w:trPr>
          <w:trHeight w:val="401" w:hRule="exact"/>
        </w:trPr>
        <w:tc>
          <w:tcPr>
            <w:tcW w:w="24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29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1,786,808.48</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17,868.08</w:t>
            </w:r>
          </w:p>
        </w:tc>
        <w:tc>
          <w:tcPr>
            <w:tcW w:w="2390" w:type="dxa"/>
            <w:tcBorders>
              <w:top w:val="single" w:sz="4" w:space="0" w:color="000000"/>
              <w:left w:val="single" w:sz="4" w:space="0" w:color="000000"/>
              <w:bottom w:val="single" w:sz="4" w:space="0" w:color="000000"/>
              <w:right w:val="single" w:sz="4" w:space="0" w:color="000000"/>
            </w:tcBorders>
          </w:tcPr>
          <w:p>
            <w:pPr/>
          </w:p>
        </w:tc>
      </w:tr>
    </w:tbl>
    <w:p>
      <w:pPr>
        <w:pStyle w:val="BodyText"/>
        <w:spacing w:line="360" w:lineRule="auto" w:before="49"/>
        <w:ind w:right="6254"/>
        <w:jc w:val="left"/>
      </w:pPr>
      <w:r>
        <w:rPr/>
        <w:t>确定该组合依据的说明： 组合中，采用余额百分比法计提坏账准备的其他应收款：</w:t>
      </w:r>
    </w:p>
    <w:p>
      <w:pPr>
        <w:pStyle w:val="BodyText"/>
        <w:spacing w:line="340" w:lineRule="auto" w:before="25"/>
        <w:ind w:right="661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组合中，采用其他方法计提坏账准备的其他应收款：</w:t>
      </w:r>
    </w:p>
    <w:p>
      <w:pPr>
        <w:pStyle w:val="BodyText"/>
        <w:spacing w:line="240" w:lineRule="auto" w:before="42"/>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1"/>
        <w:rPr>
          <w:rFonts w:ascii="宋体" w:hAnsi="宋体" w:cs="宋体" w:eastAsia="宋体" w:hint="default"/>
          <w:sz w:val="7"/>
          <w:szCs w:val="7"/>
        </w:rPr>
      </w:pPr>
    </w:p>
    <w:tbl>
      <w:tblPr>
        <w:tblW w:w="0" w:type="auto"/>
        <w:jc w:val="left"/>
        <w:tblInd w:w="145" w:type="dxa"/>
        <w:tblLayout w:type="fixed"/>
        <w:tblCellMar>
          <w:top w:w="0" w:type="dxa"/>
          <w:left w:w="0" w:type="dxa"/>
          <w:bottom w:w="0" w:type="dxa"/>
          <w:right w:w="0" w:type="dxa"/>
        </w:tblCellMar>
        <w:tblLook w:val="01E0"/>
      </w:tblPr>
      <w:tblGrid>
        <w:gridCol w:w="2412"/>
        <w:gridCol w:w="1985"/>
        <w:gridCol w:w="1983"/>
        <w:gridCol w:w="3121"/>
      </w:tblGrid>
      <w:tr>
        <w:trPr>
          <w:trHeight w:val="348" w:hRule="exact"/>
        </w:trPr>
        <w:tc>
          <w:tcPr>
            <w:tcW w:w="2412" w:type="dxa"/>
            <w:vMerge w:val="restart"/>
            <w:tcBorders>
              <w:top w:val="single" w:sz="6" w:space="0" w:color="000000"/>
              <w:left w:val="single" w:sz="6" w:space="0" w:color="000000"/>
              <w:right w:val="single" w:sz="6" w:space="0" w:color="000000"/>
            </w:tcBorders>
            <w:shd w:val="clear" w:color="auto" w:fill="D9D9D9"/>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组合名称</w:t>
            </w:r>
          </w:p>
        </w:tc>
        <w:tc>
          <w:tcPr>
            <w:tcW w:w="7089" w:type="dxa"/>
            <w:gridSpan w:val="3"/>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0"/>
              <w:ind w:left="2" w:right="0"/>
              <w:jc w:val="center"/>
              <w:rPr>
                <w:rFonts w:ascii="宋体" w:hAnsi="宋体" w:cs="宋体" w:eastAsia="宋体" w:hint="default"/>
                <w:sz w:val="18"/>
                <w:szCs w:val="18"/>
              </w:rPr>
            </w:pPr>
            <w:r>
              <w:rPr>
                <w:rFonts w:ascii="宋体" w:hAnsi="宋体" w:cs="宋体" w:eastAsia="宋体" w:hint="default"/>
                <w:sz w:val="18"/>
                <w:szCs w:val="18"/>
              </w:rPr>
              <w:t>年末余额</w:t>
            </w:r>
          </w:p>
        </w:tc>
      </w:tr>
      <w:tr>
        <w:trPr>
          <w:trHeight w:val="348" w:hRule="exact"/>
        </w:trPr>
        <w:tc>
          <w:tcPr>
            <w:tcW w:w="2412" w:type="dxa"/>
            <w:vMerge/>
            <w:tcBorders>
              <w:left w:val="single" w:sz="6" w:space="0" w:color="000000"/>
              <w:bottom w:val="single" w:sz="6" w:space="0" w:color="000000"/>
              <w:right w:val="single" w:sz="6" w:space="0" w:color="000000"/>
            </w:tcBorders>
            <w:shd w:val="clear" w:color="auto" w:fill="D9D9D9"/>
          </w:tcPr>
          <w:p>
            <w:pPr/>
          </w:p>
        </w:tc>
        <w:tc>
          <w:tcPr>
            <w:tcW w:w="1985"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7"/>
              <w:ind w:left="535"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98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7"/>
              <w:ind w:left="623"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3121"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7"/>
              <w:ind w:left="938" w:right="0"/>
              <w:jc w:val="left"/>
              <w:rPr>
                <w:rFonts w:ascii="宋体" w:hAnsi="宋体" w:cs="宋体" w:eastAsia="宋体"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346" w:hRule="exact"/>
        </w:trPr>
        <w:tc>
          <w:tcPr>
            <w:tcW w:w="2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款项性质组合</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Times New Roman" w:hAnsi="Times New Roman" w:cs="Times New Roman" w:eastAsia="Times New Roman" w:hint="default"/>
                <w:sz w:val="18"/>
                <w:szCs w:val="18"/>
              </w:rPr>
            </w:pPr>
            <w:r>
              <w:rPr>
                <w:rFonts w:ascii="Times New Roman"/>
                <w:spacing w:val="-1"/>
                <w:sz w:val="18"/>
              </w:rPr>
              <w:t>10,083,507.24</w:t>
            </w:r>
          </w:p>
        </w:tc>
        <w:tc>
          <w:tcPr>
            <w:tcW w:w="19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0.00</w:t>
            </w:r>
          </w:p>
        </w:tc>
        <w:tc>
          <w:tcPr>
            <w:tcW w:w="31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0.00</w:t>
            </w:r>
          </w:p>
        </w:tc>
      </w:tr>
      <w:tr>
        <w:trPr>
          <w:trHeight w:val="348" w:hRule="exact"/>
        </w:trPr>
        <w:tc>
          <w:tcPr>
            <w:tcW w:w="2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交易风险组合</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right"/>
              <w:rPr>
                <w:rFonts w:ascii="Times New Roman" w:hAnsi="Times New Roman" w:cs="Times New Roman" w:eastAsia="Times New Roman" w:hint="default"/>
                <w:sz w:val="18"/>
                <w:szCs w:val="18"/>
              </w:rPr>
            </w:pPr>
            <w:r>
              <w:rPr>
                <w:rFonts w:ascii="Times New Roman"/>
                <w:spacing w:val="-1"/>
                <w:sz w:val="18"/>
              </w:rPr>
              <w:t>9,208,935.14</w:t>
            </w:r>
          </w:p>
        </w:tc>
        <w:tc>
          <w:tcPr>
            <w:tcW w:w="19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1"/>
              <w:jc w:val="right"/>
              <w:rPr>
                <w:rFonts w:ascii="Times New Roman" w:hAnsi="Times New Roman" w:cs="Times New Roman" w:eastAsia="Times New Roman" w:hint="default"/>
                <w:sz w:val="18"/>
                <w:szCs w:val="18"/>
              </w:rPr>
            </w:pPr>
            <w:r>
              <w:rPr>
                <w:rFonts w:ascii="Times New Roman"/>
                <w:spacing w:val="-1"/>
                <w:sz w:val="18"/>
              </w:rPr>
              <w:t>0.00</w:t>
            </w:r>
          </w:p>
        </w:tc>
        <w:tc>
          <w:tcPr>
            <w:tcW w:w="31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1"/>
              <w:jc w:val="right"/>
              <w:rPr>
                <w:rFonts w:ascii="Times New Roman" w:hAnsi="Times New Roman" w:cs="Times New Roman" w:eastAsia="Times New Roman" w:hint="default"/>
                <w:sz w:val="18"/>
                <w:szCs w:val="18"/>
              </w:rPr>
            </w:pPr>
            <w:r>
              <w:rPr>
                <w:rFonts w:ascii="Times New Roman"/>
                <w:spacing w:val="-1"/>
                <w:sz w:val="18"/>
              </w:rPr>
              <w:t>0.00</w:t>
            </w:r>
          </w:p>
        </w:tc>
      </w:tr>
      <w:tr>
        <w:trPr>
          <w:trHeight w:val="348" w:hRule="exact"/>
        </w:trPr>
        <w:tc>
          <w:tcPr>
            <w:tcW w:w="241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Times New Roman" w:hAnsi="Times New Roman" w:cs="Times New Roman" w:eastAsia="Times New Roman" w:hint="default"/>
                <w:sz w:val="18"/>
                <w:szCs w:val="18"/>
              </w:rPr>
            </w:pPr>
            <w:r>
              <w:rPr>
                <w:rFonts w:ascii="Times New Roman"/>
                <w:spacing w:val="-1"/>
                <w:sz w:val="18"/>
              </w:rPr>
              <w:t>19,292,442.38</w:t>
            </w:r>
          </w:p>
        </w:tc>
        <w:tc>
          <w:tcPr>
            <w:tcW w:w="19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0.00</w:t>
            </w:r>
          </w:p>
        </w:tc>
        <w:tc>
          <w:tcPr>
            <w:tcW w:w="31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1"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bl>
    <w:p>
      <w:pPr>
        <w:spacing w:line="240" w:lineRule="auto" w:before="2"/>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type w:val="continuous"/>
          <w:pgSz w:w="11910" w:h="16840"/>
          <w:pgMar w:top="1060" w:bottom="1160" w:left="980" w:right="0"/>
        </w:sectPr>
      </w:pPr>
    </w:p>
    <w:p>
      <w:pPr>
        <w:pStyle w:val="BodyText"/>
        <w:spacing w:line="240" w:lineRule="auto" w:before="44"/>
        <w:ind w:right="-12"/>
        <w:jc w:val="left"/>
      </w:pPr>
      <w:r>
        <w:rPr>
          <w:rFonts w:ascii="Times New Roman" w:hAnsi="Times New Roman" w:cs="Times New Roman" w:eastAsia="Times New Roman" w:hint="default"/>
        </w:rPr>
        <w:t>2)</w:t>
      </w:r>
      <w:r>
        <w:rPr/>
        <w:t>本期计提、收回或转回的坏账准备情况</w:t>
      </w:r>
    </w:p>
    <w:p>
      <w:pPr>
        <w:pStyle w:val="BodyText"/>
        <w:spacing w:line="340" w:lineRule="auto" w:before="101"/>
        <w:ind w:right="-12"/>
        <w:jc w:val="left"/>
      </w:pPr>
      <w:r>
        <w:rPr/>
        <w:t>本期计提坏账准备金额</w:t>
      </w:r>
      <w:r>
        <w:rPr>
          <w:spacing w:val="-46"/>
        </w:rPr>
        <w:t> </w:t>
      </w:r>
      <w:r>
        <w:rPr>
          <w:rFonts w:ascii="Times New Roman" w:hAnsi="Times New Roman" w:cs="Times New Roman" w:eastAsia="Times New Roman" w:hint="default"/>
        </w:rPr>
        <w:t>17,868.08 </w:t>
      </w:r>
      <w:r>
        <w:rPr/>
        <w:t>元；本期收回或转回坏账准备金额</w:t>
      </w:r>
      <w:r>
        <w:rPr>
          <w:spacing w:val="-46"/>
        </w:rPr>
        <w:t> </w:t>
      </w:r>
      <w:r>
        <w:rPr>
          <w:rFonts w:ascii="Times New Roman" w:hAnsi="Times New Roman" w:cs="Times New Roman" w:eastAsia="Times New Roman" w:hint="default"/>
        </w:rPr>
        <w:t>0.00 </w:t>
      </w:r>
      <w:r>
        <w:rPr/>
        <w:t>元。 其中本期坏账准备转回或收回金额重要的：</w:t>
      </w:r>
    </w:p>
    <w:p>
      <w:pPr>
        <w:pStyle w:val="BodyText"/>
        <w:spacing w:line="355" w:lineRule="auto" w:before="39"/>
        <w:ind w:right="3361"/>
        <w:jc w:val="left"/>
      </w:pPr>
      <w:r>
        <w:rPr/>
        <w:t>无 </w:t>
      </w:r>
      <w:r>
        <w:rPr>
          <w:rFonts w:ascii="Times New Roman" w:hAnsi="Times New Roman" w:cs="Times New Roman" w:eastAsia="Times New Roman" w:hint="default"/>
        </w:rPr>
        <w:t>3)</w:t>
      </w:r>
      <w:r>
        <w:rPr/>
        <w:t>本期实际核销的其他应收款情况 无 其中重要的其他应收款核销情况： 无 </w:t>
      </w:r>
      <w:r>
        <w:rPr>
          <w:rFonts w:ascii="Times New Roman" w:hAnsi="Times New Roman" w:cs="Times New Roman" w:eastAsia="Times New Roman" w:hint="default"/>
        </w:rPr>
        <w:t>4)</w:t>
      </w:r>
      <w:r>
        <w:rPr/>
        <w:t>其他应收款按款项性质分类情况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BodyText"/>
        <w:spacing w:line="240" w:lineRule="auto" w:before="148"/>
        <w:ind w:right="0"/>
        <w:jc w:val="left"/>
      </w:pPr>
      <w:r>
        <w:rPr/>
        <w:t>单位：</w:t>
      </w:r>
      <w:r>
        <w:rPr>
          <w:spacing w:val="1"/>
        </w:rPr>
        <w:t> </w:t>
      </w:r>
      <w:r>
        <w:rPr/>
        <w:t>元</w:t>
      </w:r>
    </w:p>
    <w:p>
      <w:pPr>
        <w:spacing w:after="0" w:line="240" w:lineRule="auto"/>
        <w:jc w:val="left"/>
        <w:sectPr>
          <w:type w:val="continuous"/>
          <w:pgSz w:w="11910" w:h="16840"/>
          <w:pgMar w:top="1060" w:bottom="1160" w:left="980" w:right="0"/>
          <w:cols w:num="2" w:equalWidth="0">
            <w:col w:w="6234" w:space="2595"/>
            <w:col w:w="2101"/>
          </w:cols>
        </w:sectPr>
      </w:pP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367"/>
        <w:gridCol w:w="3102"/>
        <w:gridCol w:w="3088"/>
      </w:tblGrid>
      <w:tr>
        <w:trPr>
          <w:trHeight w:val="402" w:hRule="exact"/>
        </w:trPr>
        <w:tc>
          <w:tcPr>
            <w:tcW w:w="3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1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05"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0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04"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bl>
    <w:p>
      <w:pPr>
        <w:spacing w:after="0" w:line="240" w:lineRule="auto"/>
        <w:jc w:val="left"/>
        <w:rPr>
          <w:rFonts w:ascii="宋体" w:hAnsi="宋体" w:cs="宋体" w:eastAsia="宋体" w:hint="default"/>
          <w:sz w:val="18"/>
          <w:szCs w:val="18"/>
        </w:rPr>
        <w:sectPr>
          <w:type w:val="continuous"/>
          <w:pgSz w:w="11910" w:h="16840"/>
          <w:pgMar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3368"/>
        <w:gridCol w:w="3101"/>
        <w:gridCol w:w="3101"/>
      </w:tblGrid>
      <w:tr>
        <w:trPr>
          <w:trHeight w:val="401" w:hRule="exact"/>
        </w:trPr>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往来款及代垫款</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14,400,488.14</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40,917,268.57</w:t>
            </w:r>
          </w:p>
        </w:tc>
      </w:tr>
      <w:tr>
        <w:trPr>
          <w:trHeight w:val="403" w:hRule="exact"/>
        </w:trPr>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员工备用金</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4,443,001.05</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6,081,986.71</w:t>
            </w:r>
          </w:p>
        </w:tc>
      </w:tr>
      <w:tr>
        <w:trPr>
          <w:trHeight w:val="401" w:hRule="exact"/>
        </w:trPr>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押金及保证金</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2,784,181.36</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3,788,022.24</w:t>
            </w:r>
          </w:p>
        </w:tc>
      </w:tr>
      <w:tr>
        <w:trPr>
          <w:trHeight w:val="403" w:hRule="exact"/>
        </w:trPr>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房租款</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1,786,808.48</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664,771.83</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82,620.83</w:t>
            </w:r>
          </w:p>
        </w:tc>
      </w:tr>
      <w:tr>
        <w:trPr>
          <w:trHeight w:val="403" w:hRule="exact"/>
        </w:trPr>
        <w:tc>
          <w:tcPr>
            <w:tcW w:w="3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24,079,250.86</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50,869,898.35</w:t>
            </w:r>
          </w:p>
        </w:tc>
      </w:tr>
    </w:tbl>
    <w:p>
      <w:pPr>
        <w:pStyle w:val="BodyText"/>
        <w:spacing w:line="240" w:lineRule="auto" w:before="49"/>
        <w:ind w:right="982"/>
        <w:jc w:val="left"/>
      </w:pPr>
      <w:r>
        <w:rPr>
          <w:rFonts w:ascii="Times New Roman" w:hAnsi="Times New Roman" w:cs="Times New Roman" w:eastAsia="Times New Roman" w:hint="default"/>
        </w:rPr>
        <w:t>5)</w:t>
      </w:r>
      <w:r>
        <w:rPr/>
        <w:t>按欠款方归集的期末余额前五名的其他应收款情况</w:t>
      </w:r>
    </w:p>
    <w:p>
      <w:pPr>
        <w:pStyle w:val="BodyText"/>
        <w:spacing w:line="240" w:lineRule="auto" w:before="101"/>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685"/>
        <w:gridCol w:w="1551"/>
        <w:gridCol w:w="1553"/>
        <w:gridCol w:w="1551"/>
        <w:gridCol w:w="1615"/>
        <w:gridCol w:w="1616"/>
      </w:tblGrid>
      <w:tr>
        <w:trPr>
          <w:trHeight w:val="716" w:hRule="exact"/>
        </w:trPr>
        <w:tc>
          <w:tcPr>
            <w:tcW w:w="16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78"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21" w:right="0"/>
              <w:jc w:val="left"/>
              <w:rPr>
                <w:rFonts w:ascii="宋体" w:hAnsi="宋体" w:cs="宋体" w:eastAsia="宋体" w:hint="default"/>
                <w:sz w:val="18"/>
                <w:szCs w:val="18"/>
              </w:rPr>
            </w:pPr>
            <w:r>
              <w:rPr>
                <w:rFonts w:ascii="宋体" w:hAnsi="宋体" w:cs="宋体" w:eastAsia="宋体" w:hint="default"/>
                <w:sz w:val="18"/>
                <w:szCs w:val="18"/>
              </w:rPr>
              <w:t>款项的性质</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10"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6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83" w:right="79"/>
              <w:jc w:val="left"/>
              <w:rPr>
                <w:rFonts w:ascii="宋体" w:hAnsi="宋体" w:cs="宋体" w:eastAsia="宋体" w:hint="default"/>
                <w:sz w:val="18"/>
                <w:szCs w:val="18"/>
              </w:rPr>
            </w:pPr>
            <w:r>
              <w:rPr>
                <w:rFonts w:ascii="宋体" w:hAnsi="宋体" w:cs="宋体" w:eastAsia="宋体" w:hint="default"/>
                <w:sz w:val="18"/>
                <w:szCs w:val="18"/>
              </w:rPr>
              <w:t>占其他应收款期末 余额合计数的比例</w:t>
            </w:r>
          </w:p>
        </w:tc>
        <w:tc>
          <w:tcPr>
            <w:tcW w:w="16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79"/>
              <w:jc w:val="right"/>
              <w:rPr>
                <w:rFonts w:ascii="宋体" w:hAnsi="宋体" w:cs="宋体" w:eastAsia="宋体" w:hint="default"/>
                <w:sz w:val="18"/>
                <w:szCs w:val="18"/>
              </w:rPr>
            </w:pPr>
            <w:r>
              <w:rPr>
                <w:rFonts w:ascii="宋体" w:hAnsi="宋体" w:cs="宋体" w:eastAsia="宋体" w:hint="default"/>
                <w:sz w:val="18"/>
                <w:szCs w:val="18"/>
              </w:rPr>
              <w:t>坏账准备期末余额</w:t>
            </w:r>
          </w:p>
        </w:tc>
      </w:tr>
      <w:tr>
        <w:trPr>
          <w:trHeight w:val="713" w:hRule="exact"/>
        </w:trPr>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4" w:right="29"/>
              <w:jc w:val="left"/>
              <w:rPr>
                <w:rFonts w:ascii="宋体" w:hAnsi="宋体" w:cs="宋体" w:eastAsia="宋体" w:hint="default"/>
                <w:sz w:val="18"/>
                <w:szCs w:val="18"/>
              </w:rPr>
            </w:pPr>
            <w:r>
              <w:rPr>
                <w:rFonts w:ascii="宋体" w:hAnsi="宋体" w:cs="宋体" w:eastAsia="宋体" w:hint="default"/>
                <w:sz w:val="18"/>
                <w:szCs w:val="18"/>
              </w:rPr>
              <w:t>中寰卫星导航通信有 限公司</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6,462,771.27</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26.84%</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29"/>
              <w:jc w:val="left"/>
              <w:rPr>
                <w:rFonts w:ascii="宋体" w:hAnsi="宋体" w:cs="宋体" w:eastAsia="宋体" w:hint="default"/>
                <w:sz w:val="18"/>
                <w:szCs w:val="18"/>
              </w:rPr>
            </w:pPr>
            <w:r>
              <w:rPr>
                <w:rFonts w:ascii="宋体" w:hAnsi="宋体" w:cs="宋体" w:eastAsia="宋体" w:hint="default"/>
                <w:sz w:val="18"/>
                <w:szCs w:val="18"/>
              </w:rPr>
              <w:t>北京老虎宝典科技有 限责任公司</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3,000,000.00</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12.46%</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3,000,000.00</w:t>
            </w:r>
          </w:p>
        </w:tc>
      </w:tr>
      <w:tr>
        <w:trPr>
          <w:trHeight w:val="713" w:hRule="exact"/>
        </w:trPr>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4" w:right="29"/>
              <w:jc w:val="left"/>
              <w:rPr>
                <w:rFonts w:ascii="宋体" w:hAnsi="宋体" w:cs="宋体" w:eastAsia="宋体" w:hint="default"/>
                <w:sz w:val="18"/>
                <w:szCs w:val="18"/>
              </w:rPr>
            </w:pPr>
            <w:r>
              <w:rPr>
                <w:rFonts w:ascii="宋体" w:hAnsi="宋体" w:cs="宋体" w:eastAsia="宋体" w:hint="default"/>
                <w:sz w:val="18"/>
                <w:szCs w:val="18"/>
              </w:rPr>
              <w:t>中交宇科（北京）空 间信息技术有限公司</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1,991,792.48</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8.27%</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11"/>
              <w:jc w:val="left"/>
              <w:rPr>
                <w:rFonts w:ascii="宋体" w:hAnsi="宋体" w:cs="宋体" w:eastAsia="宋体" w:hint="default"/>
                <w:sz w:val="18"/>
                <w:szCs w:val="18"/>
              </w:rPr>
            </w:pPr>
            <w:r>
              <w:rPr>
                <w:rFonts w:ascii="宋体" w:hAnsi="宋体" w:cs="宋体" w:eastAsia="宋体" w:hint="default"/>
                <w:spacing w:val="-10"/>
                <w:sz w:val="18"/>
                <w:szCs w:val="18"/>
              </w:rPr>
              <w:t>普强信息技术（北京</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有限公司</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196" w:lineRule="exact" w:before="49"/>
              <w:ind w:left="-123"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196" w:lineRule="exact"/>
              <w:ind w:left="24" w:right="0"/>
              <w:jc w:val="left"/>
              <w:rPr>
                <w:rFonts w:ascii="宋体" w:hAnsi="宋体" w:cs="宋体" w:eastAsia="宋体" w:hint="default"/>
                <w:sz w:val="18"/>
                <w:szCs w:val="18"/>
              </w:rPr>
            </w:pPr>
            <w:r>
              <w:rPr>
                <w:rFonts w:ascii="宋体" w:hAnsi="宋体" w:cs="宋体" w:eastAsia="宋体" w:hint="default"/>
                <w:sz w:val="18"/>
                <w:szCs w:val="18"/>
              </w:rPr>
              <w:t>房租款</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1,786,808.48</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7.42%</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17,868.08</w:t>
            </w:r>
          </w:p>
        </w:tc>
      </w:tr>
      <w:tr>
        <w:trPr>
          <w:trHeight w:val="713" w:hRule="exact"/>
        </w:trPr>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29"/>
              <w:jc w:val="left"/>
              <w:rPr>
                <w:rFonts w:ascii="宋体" w:hAnsi="宋体" w:cs="宋体" w:eastAsia="宋体" w:hint="default"/>
                <w:sz w:val="18"/>
                <w:szCs w:val="18"/>
              </w:rPr>
            </w:pPr>
            <w:r>
              <w:rPr>
                <w:rFonts w:ascii="宋体" w:hAnsi="宋体" w:cs="宋体" w:eastAsia="宋体" w:hint="default"/>
                <w:sz w:val="18"/>
                <w:szCs w:val="18"/>
              </w:rPr>
              <w:t>长沙市海图科技有限 公司</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749,368.39</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2"/>
                <w:sz w:val="18"/>
              </w:rPr>
              <w:t>3.11%</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16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553"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13,990,740.62</w:t>
            </w:r>
          </w:p>
        </w:tc>
        <w:tc>
          <w:tcPr>
            <w:tcW w:w="15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58.10%</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3,017,868.08</w:t>
            </w:r>
          </w:p>
        </w:tc>
      </w:tr>
    </w:tbl>
    <w:p>
      <w:pPr>
        <w:pStyle w:val="BodyText"/>
        <w:spacing w:line="338" w:lineRule="auto" w:before="49"/>
        <w:ind w:right="8624"/>
        <w:jc w:val="left"/>
      </w:pPr>
      <w:r>
        <w:rPr/>
        <w:pict>
          <v:group style="position:absolute;margin-left:141.139999pt;margin-top:-91.578293pt;width:77.1pt;height:28.1pt;mso-position-horizontal-relative:page;mso-position-vertical-relative:paragraph;z-index:-1324408" coordorigin="2823,-1832" coordsize="1542,562">
            <v:group style="position:absolute;left:2823;top:-1832;width:1542;height:156" coordorigin="2823,-1832" coordsize="1542,156">
              <v:shape style="position:absolute;left:2823;top:-1832;width:1542;height:156" coordorigin="2823,-1832" coordsize="1542,156" path="m2823,-1676l4364,-1676,4364,-1832,2823,-1832,2823,-1676xe" filled="true" fillcolor="#ffffff" stroked="false">
                <v:path arrowok="t"/>
                <v:fill type="solid"/>
              </v:shape>
            </v:group>
            <v:group style="position:absolute;left:2835;top:-1676;width:2;height:394" coordorigin="2835,-1676" coordsize="2,394">
              <v:shape style="position:absolute;left:2835;top:-1676;width:2;height:394" coordorigin="2835,-1676" coordsize="0,394" path="m2835,-1676l2835,-1282e" filled="false" stroked="true" strokeweight="1.2pt" strokecolor="#ffffff">
                <v:path arrowok="t"/>
              </v:shape>
            </v:group>
            <v:group style="position:absolute;left:2847;top:-1676;width:1496;height:394" coordorigin="2847,-1676" coordsize="1496,394">
              <v:shape style="position:absolute;left:2847;top:-1676;width:1496;height:394" coordorigin="2847,-1676" coordsize="1496,394" path="m2847,-1282l4342,-1282,4342,-1676,2847,-1676,2847,-1282xe" filled="true" fillcolor="#ffffff" stroked="false">
                <v:path arrowok="t"/>
                <v:fill type="solid"/>
              </v:shape>
            </v:group>
            <w10:wrap type="none"/>
          </v:group>
        </w:pict>
      </w:r>
      <w:r>
        <w:rPr>
          <w:rFonts w:ascii="Times New Roman" w:hAnsi="Times New Roman" w:cs="Times New Roman" w:eastAsia="Times New Roman" w:hint="default"/>
        </w:rPr>
        <w:t>6)</w:t>
      </w:r>
      <w:r>
        <w:rPr/>
        <w:t>涉及政府补助的应收款项</w:t>
      </w:r>
      <w:r>
        <w:rPr>
          <w:w w:val="99"/>
        </w:rPr>
        <w:t> </w:t>
      </w:r>
      <w:r>
        <w:rPr/>
        <w:t>无</w:t>
      </w:r>
    </w:p>
    <w:p>
      <w:pPr>
        <w:pStyle w:val="BodyText"/>
        <w:spacing w:line="338" w:lineRule="auto" w:before="43"/>
        <w:ind w:right="7364"/>
        <w:jc w:val="left"/>
      </w:pPr>
      <w:r>
        <w:rPr>
          <w:rFonts w:ascii="Times New Roman" w:hAnsi="Times New Roman" w:cs="Times New Roman" w:eastAsia="Times New Roman" w:hint="default"/>
        </w:rPr>
        <w:t>7)</w:t>
      </w:r>
      <w:r>
        <w:rPr/>
        <w:t>因金融资产转移而终止确认的其他应收款</w:t>
      </w:r>
      <w:r>
        <w:rPr>
          <w:w w:val="99"/>
        </w:rPr>
        <w:t> </w:t>
      </w:r>
      <w:r>
        <w:rPr/>
        <w:t>无</w:t>
      </w:r>
    </w:p>
    <w:p>
      <w:pPr>
        <w:pStyle w:val="BodyText"/>
        <w:spacing w:line="340" w:lineRule="auto" w:before="43"/>
        <w:ind w:right="6644"/>
        <w:jc w:val="left"/>
      </w:pPr>
      <w:r>
        <w:rPr>
          <w:rFonts w:ascii="Times New Roman" w:hAnsi="Times New Roman" w:cs="Times New Roman" w:eastAsia="Times New Roman" w:hint="default"/>
        </w:rPr>
        <w:t>8)</w:t>
      </w:r>
      <w:r>
        <w:rPr/>
        <w:t>转移其他应收款且继续涉入形成的资产、负债金额</w:t>
      </w:r>
      <w:r>
        <w:rPr>
          <w:w w:val="99"/>
        </w:rPr>
        <w:t> </w:t>
      </w:r>
      <w:r>
        <w:rPr/>
        <w:t>无</w:t>
      </w:r>
    </w:p>
    <w:p>
      <w:pPr>
        <w:spacing w:line="240" w:lineRule="auto" w:before="5"/>
        <w:rPr>
          <w:rFonts w:ascii="宋体" w:hAnsi="宋体" w:cs="宋体" w:eastAsia="宋体" w:hint="default"/>
          <w:sz w:val="21"/>
          <w:szCs w:val="21"/>
        </w:rPr>
      </w:pPr>
    </w:p>
    <w:p>
      <w:pPr>
        <w:pStyle w:val="Heading4"/>
        <w:spacing w:line="240" w:lineRule="auto"/>
        <w:ind w:right="982"/>
        <w:jc w:val="left"/>
        <w:rPr>
          <w:b w:val="0"/>
          <w:bCs w:val="0"/>
        </w:rPr>
      </w:pPr>
      <w:r>
        <w:rPr>
          <w:rFonts w:ascii="Times New Roman" w:hAnsi="Times New Roman" w:cs="Times New Roman" w:eastAsia="Times New Roman" w:hint="default"/>
        </w:rPr>
        <w:t>3</w:t>
      </w:r>
      <w:r>
        <w:rPr/>
        <w:t>、长期股权投资</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346"/>
        <w:gridCol w:w="1379"/>
        <w:gridCol w:w="1369"/>
        <w:gridCol w:w="1366"/>
        <w:gridCol w:w="1368"/>
        <w:gridCol w:w="1366"/>
        <w:gridCol w:w="1368"/>
      </w:tblGrid>
      <w:tr>
        <w:trPr>
          <w:trHeight w:val="206" w:hRule="exact"/>
        </w:trPr>
        <w:tc>
          <w:tcPr>
            <w:tcW w:w="1346" w:type="dxa"/>
            <w:tcBorders>
              <w:top w:val="single" w:sz="4" w:space="0" w:color="000000"/>
              <w:left w:val="single" w:sz="4" w:space="0" w:color="000000"/>
              <w:bottom w:val="nil" w:sz="6" w:space="0" w:color="auto"/>
              <w:right w:val="single" w:sz="4" w:space="0" w:color="000000"/>
            </w:tcBorders>
            <w:shd w:val="clear" w:color="auto" w:fill="D2D2D2"/>
          </w:tcPr>
          <w:p>
            <w:pPr/>
          </w:p>
        </w:tc>
        <w:tc>
          <w:tcPr>
            <w:tcW w:w="4113"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3"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2" w:hRule="exact"/>
        </w:trPr>
        <w:tc>
          <w:tcPr>
            <w:tcW w:w="134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113" w:type="dxa"/>
            <w:gridSpan w:val="3"/>
            <w:vMerge/>
            <w:tcBorders>
              <w:left w:val="single" w:sz="4" w:space="0" w:color="000000"/>
              <w:bottom w:val="single" w:sz="4" w:space="0" w:color="000000"/>
              <w:right w:val="single" w:sz="4" w:space="0" w:color="000000"/>
            </w:tcBorders>
            <w:shd w:val="clear" w:color="auto" w:fill="D2D2D2"/>
          </w:tcPr>
          <w:p>
            <w:pPr/>
          </w:p>
        </w:tc>
        <w:tc>
          <w:tcPr>
            <w:tcW w:w="4102" w:type="dxa"/>
            <w:gridSpan w:val="3"/>
            <w:vMerge/>
            <w:tcBorders>
              <w:left w:val="single" w:sz="4" w:space="0" w:color="000000"/>
              <w:bottom w:val="single" w:sz="4" w:space="0" w:color="000000"/>
              <w:right w:val="single" w:sz="4" w:space="0" w:color="000000"/>
            </w:tcBorders>
            <w:shd w:val="clear" w:color="auto" w:fill="D2D2D2"/>
          </w:tcPr>
          <w:p>
            <w:pPr/>
          </w:p>
        </w:tc>
      </w:tr>
      <w:tr>
        <w:trPr>
          <w:trHeight w:val="199" w:hRule="exact"/>
        </w:trPr>
        <w:tc>
          <w:tcPr>
            <w:tcW w:w="1346" w:type="dxa"/>
            <w:vMerge/>
            <w:tcBorders>
              <w:left w:val="single" w:sz="4" w:space="0" w:color="000000"/>
              <w:bottom w:val="nil" w:sz="6" w:space="0" w:color="auto"/>
              <w:right w:val="single" w:sz="4" w:space="0" w:color="000000"/>
            </w:tcBorders>
            <w:shd w:val="clear" w:color="auto" w:fill="D2D2D2"/>
          </w:tcPr>
          <w:p>
            <w:pPr/>
          </w:p>
        </w:tc>
        <w:tc>
          <w:tcPr>
            <w:tcW w:w="137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2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206" w:hRule="exact"/>
        </w:trPr>
        <w:tc>
          <w:tcPr>
            <w:tcW w:w="1346" w:type="dxa"/>
            <w:tcBorders>
              <w:top w:val="nil" w:sz="6" w:space="0" w:color="auto"/>
              <w:left w:val="single" w:sz="4" w:space="0" w:color="000000"/>
              <w:bottom w:val="single" w:sz="4" w:space="0" w:color="000000"/>
              <w:right w:val="single" w:sz="4" w:space="0" w:color="000000"/>
            </w:tcBorders>
            <w:shd w:val="clear" w:color="auto" w:fill="D2D2D2"/>
          </w:tcPr>
          <w:p>
            <w:pPr/>
          </w:p>
        </w:tc>
        <w:tc>
          <w:tcPr>
            <w:tcW w:w="1379" w:type="dxa"/>
            <w:vMerge/>
            <w:tcBorders>
              <w:left w:val="single" w:sz="4" w:space="0" w:color="000000"/>
              <w:bottom w:val="single" w:sz="4" w:space="0" w:color="000000"/>
              <w:right w:val="single" w:sz="4" w:space="0" w:color="000000"/>
            </w:tcBorders>
            <w:shd w:val="clear" w:color="auto" w:fill="D2D2D2"/>
          </w:tcPr>
          <w:p>
            <w:pPr/>
          </w:p>
        </w:tc>
        <w:tc>
          <w:tcPr>
            <w:tcW w:w="1369" w:type="dxa"/>
            <w:vMerge/>
            <w:tcBorders>
              <w:left w:val="single" w:sz="4" w:space="0" w:color="000000"/>
              <w:bottom w:val="single" w:sz="4" w:space="0" w:color="000000"/>
              <w:right w:val="single" w:sz="4" w:space="0" w:color="000000"/>
            </w:tcBorders>
            <w:shd w:val="clear" w:color="auto" w:fill="D2D2D2"/>
          </w:tcPr>
          <w:p>
            <w:pPr/>
          </w:p>
        </w:tc>
        <w:tc>
          <w:tcPr>
            <w:tcW w:w="1366"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6"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对子公司投资</w:t>
            </w:r>
          </w:p>
        </w:tc>
        <w:tc>
          <w:tcPr>
            <w:tcW w:w="137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4,684,089,430.31</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697,682,415.00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3,986,407,015.31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5,177,635,444.31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67,269,310.81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5,110,366,133.50</w:t>
            </w:r>
          </w:p>
        </w:tc>
      </w:tr>
      <w:tr>
        <w:trPr>
          <w:trHeight w:val="713"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12" w:right="63"/>
              <w:jc w:val="left"/>
              <w:rPr>
                <w:rFonts w:ascii="宋体" w:hAnsi="宋体" w:cs="宋体" w:eastAsia="宋体" w:hint="default"/>
                <w:sz w:val="18"/>
                <w:szCs w:val="18"/>
              </w:rPr>
            </w:pPr>
            <w:r>
              <w:rPr>
                <w:rFonts w:ascii="宋体" w:hAnsi="宋体" w:cs="宋体" w:eastAsia="宋体" w:hint="default"/>
                <w:sz w:val="18"/>
                <w:szCs w:val="18"/>
              </w:rPr>
              <w:t>对联营、合营企 业投资</w:t>
            </w:r>
          </w:p>
        </w:tc>
        <w:tc>
          <w:tcPr>
            <w:tcW w:w="137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589,318,394.35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589,318,394.35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77,302,684.84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77,302,684.84</w:t>
            </w:r>
          </w:p>
        </w:tc>
      </w:tr>
      <w:tr>
        <w:trPr>
          <w:trHeight w:val="403"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7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5,273,407,824.66</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697,682,415.00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4,575,725,409.66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5,254,938,129.15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67,269,310.81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5,187,668,818.34</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6"/>
        <w:ind w:right="982"/>
        <w:jc w:val="left"/>
        <w:rPr>
          <w:b w:val="0"/>
          <w:bCs w:val="0"/>
        </w:rPr>
      </w:pPr>
      <w:r>
        <w:rPr/>
        <w:t>（</w:t>
      </w:r>
      <w:r>
        <w:rPr>
          <w:rFonts w:ascii="Times New Roman" w:hAnsi="Times New Roman" w:cs="Times New Roman" w:eastAsia="Times New Roman" w:hint="default"/>
        </w:rPr>
        <w:t>1</w:t>
      </w:r>
      <w:r>
        <w:rPr/>
        <w:t>）对子公司投资</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448"/>
        <w:gridCol w:w="1337"/>
        <w:gridCol w:w="1335"/>
        <w:gridCol w:w="1335"/>
        <w:gridCol w:w="1334"/>
        <w:gridCol w:w="1390"/>
        <w:gridCol w:w="1390"/>
      </w:tblGrid>
      <w:tr>
        <w:trPr>
          <w:trHeight w:val="715" w:hRule="exact"/>
        </w:trPr>
        <w:tc>
          <w:tcPr>
            <w:tcW w:w="14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69" w:right="0"/>
              <w:jc w:val="left"/>
              <w:rPr>
                <w:rFonts w:ascii="宋体" w:hAnsi="宋体" w:cs="宋体" w:eastAsia="宋体" w:hint="default"/>
                <w:sz w:val="18"/>
                <w:szCs w:val="18"/>
              </w:rPr>
            </w:pPr>
            <w:r>
              <w:rPr>
                <w:rFonts w:ascii="宋体" w:hAnsi="宋体" w:cs="宋体" w:eastAsia="宋体" w:hint="default"/>
                <w:sz w:val="18"/>
                <w:szCs w:val="18"/>
              </w:rPr>
              <w:t>被投资单位</w:t>
            </w:r>
          </w:p>
        </w:tc>
        <w:tc>
          <w:tcPr>
            <w:tcW w:w="13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3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3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3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599" w:right="58" w:hanging="540"/>
              <w:jc w:val="left"/>
              <w:rPr>
                <w:rFonts w:ascii="宋体" w:hAnsi="宋体" w:cs="宋体" w:eastAsia="宋体" w:hint="default"/>
                <w:sz w:val="18"/>
                <w:szCs w:val="18"/>
              </w:rPr>
            </w:pPr>
            <w:r>
              <w:rPr>
                <w:rFonts w:ascii="宋体" w:hAnsi="宋体" w:cs="宋体" w:eastAsia="宋体" w:hint="default"/>
                <w:sz w:val="18"/>
                <w:szCs w:val="18"/>
              </w:rPr>
              <w:t>本期计提减值准 备</w:t>
            </w:r>
          </w:p>
        </w:tc>
        <w:tc>
          <w:tcPr>
            <w:tcW w:w="1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599" w:right="59" w:hanging="540"/>
              <w:jc w:val="left"/>
              <w:rPr>
                <w:rFonts w:ascii="宋体" w:hAnsi="宋体" w:cs="宋体" w:eastAsia="宋体" w:hint="default"/>
                <w:sz w:val="18"/>
                <w:szCs w:val="18"/>
              </w:rPr>
            </w:pPr>
            <w:r>
              <w:rPr>
                <w:rFonts w:ascii="宋体" w:hAnsi="宋体" w:cs="宋体" w:eastAsia="宋体" w:hint="default"/>
                <w:sz w:val="18"/>
                <w:szCs w:val="18"/>
              </w:rPr>
              <w:t>减值准备期末余 额</w:t>
            </w:r>
          </w:p>
        </w:tc>
      </w:tr>
      <w:tr>
        <w:trPr>
          <w:trHeight w:val="713"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3"/>
              <w:jc w:val="left"/>
              <w:rPr>
                <w:rFonts w:ascii="宋体" w:hAnsi="宋体" w:cs="宋体" w:eastAsia="宋体" w:hint="default"/>
                <w:sz w:val="18"/>
                <w:szCs w:val="18"/>
              </w:rPr>
            </w:pPr>
            <w:r>
              <w:rPr>
                <w:rFonts w:ascii="宋体" w:hAnsi="宋体" w:cs="宋体" w:eastAsia="宋体" w:hint="default"/>
                <w:sz w:val="18"/>
                <w:szCs w:val="18"/>
              </w:rPr>
              <w:t>北京图新经纬导 航系统有限公司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3,825,000.00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3,825,000.00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3"/>
              <w:jc w:val="left"/>
              <w:rPr>
                <w:rFonts w:ascii="宋体" w:hAnsi="宋体" w:cs="宋体" w:eastAsia="宋体" w:hint="default"/>
                <w:sz w:val="18"/>
                <w:szCs w:val="18"/>
              </w:rPr>
            </w:pPr>
            <w:r>
              <w:rPr>
                <w:rFonts w:ascii="宋体" w:hAnsi="宋体" w:cs="宋体" w:eastAsia="宋体" w:hint="default"/>
                <w:sz w:val="18"/>
                <w:szCs w:val="18"/>
              </w:rPr>
              <w:t>上海纳维信息技 术有限公司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84,058,633.05</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84,058,633.05</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4,221,015.00</w:t>
            </w:r>
          </w:p>
        </w:tc>
      </w:tr>
      <w:tr>
        <w:trPr>
          <w:trHeight w:val="713"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3"/>
              <w:jc w:val="left"/>
              <w:rPr>
                <w:rFonts w:ascii="宋体" w:hAnsi="宋体" w:cs="宋体" w:eastAsia="宋体" w:hint="default"/>
                <w:sz w:val="18"/>
                <w:szCs w:val="18"/>
              </w:rPr>
            </w:pPr>
            <w:r>
              <w:rPr>
                <w:rFonts w:ascii="宋体" w:hAnsi="宋体" w:cs="宋体" w:eastAsia="宋体" w:hint="default"/>
                <w:sz w:val="18"/>
                <w:szCs w:val="18"/>
              </w:rPr>
              <w:t>北京四维图新科 技有限公司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10,000,000.00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10,000,000.00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448" w:type="dxa"/>
            <w:tcBorders>
              <w:top w:val="single" w:sz="4" w:space="0" w:color="000000"/>
              <w:left w:val="single" w:sz="4" w:space="0" w:color="000000"/>
              <w:bottom w:val="single" w:sz="4" w:space="0" w:color="000000"/>
              <w:right w:val="single" w:sz="13" w:space="0" w:color="FFFFFF"/>
            </w:tcBorders>
          </w:tcPr>
          <w:p>
            <w:pPr>
              <w:pStyle w:val="TableParagraph"/>
              <w:spacing w:line="316" w:lineRule="auto" w:before="49"/>
              <w:ind w:left="24" w:right="-38"/>
              <w:jc w:val="left"/>
              <w:rPr>
                <w:rFonts w:ascii="宋体" w:hAnsi="宋体" w:cs="宋体" w:eastAsia="宋体" w:hint="default"/>
                <w:sz w:val="18"/>
                <w:szCs w:val="18"/>
              </w:rPr>
            </w:pPr>
            <w:r>
              <w:rPr>
                <w:rFonts w:ascii="宋体" w:hAnsi="宋体" w:cs="宋体" w:eastAsia="宋体" w:hint="default"/>
                <w:sz w:val="18"/>
                <w:szCs w:val="18"/>
              </w:rPr>
              <w:t>四维图新（香港） 有限公司</w:t>
            </w:r>
          </w:p>
        </w:tc>
        <w:tc>
          <w:tcPr>
            <w:tcW w:w="1337" w:type="dxa"/>
            <w:tcBorders>
              <w:top w:val="single" w:sz="4" w:space="0" w:color="000000"/>
              <w:left w:val="single" w:sz="13" w:space="0" w:color="FFFFFF"/>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43,513,703.00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4,705,668.00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48,219,371.00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3"/>
              <w:jc w:val="left"/>
              <w:rPr>
                <w:rFonts w:ascii="宋体" w:hAnsi="宋体" w:cs="宋体" w:eastAsia="宋体" w:hint="default"/>
                <w:sz w:val="18"/>
                <w:szCs w:val="18"/>
              </w:rPr>
            </w:pPr>
            <w:r>
              <w:rPr>
                <w:rFonts w:ascii="宋体" w:hAnsi="宋体" w:cs="宋体" w:eastAsia="宋体" w:hint="default"/>
                <w:sz w:val="18"/>
                <w:szCs w:val="18"/>
              </w:rPr>
              <w:t>北京世纪高通科 技有限公司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143,939,092.00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143,939,092.00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3"/>
              <w:jc w:val="left"/>
              <w:rPr>
                <w:rFonts w:ascii="宋体" w:hAnsi="宋体" w:cs="宋体" w:eastAsia="宋体" w:hint="default"/>
                <w:sz w:val="18"/>
                <w:szCs w:val="18"/>
              </w:rPr>
            </w:pPr>
            <w:r>
              <w:rPr>
                <w:rFonts w:ascii="宋体" w:hAnsi="宋体" w:cs="宋体" w:eastAsia="宋体" w:hint="default"/>
                <w:sz w:val="18"/>
                <w:szCs w:val="18"/>
              </w:rPr>
              <w:t>上海四维图新信 息技术有限公司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5,000,000.00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5,000,000.00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3"/>
              <w:jc w:val="left"/>
              <w:rPr>
                <w:rFonts w:ascii="宋体" w:hAnsi="宋体" w:cs="宋体" w:eastAsia="宋体" w:hint="default"/>
                <w:sz w:val="18"/>
                <w:szCs w:val="18"/>
              </w:rPr>
            </w:pPr>
            <w:r>
              <w:rPr>
                <w:rFonts w:ascii="宋体" w:hAnsi="宋体" w:cs="宋体" w:eastAsia="宋体" w:hint="default"/>
                <w:sz w:val="18"/>
                <w:szCs w:val="18"/>
              </w:rPr>
              <w:t>西安四维图新信 息技术有限公司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25,000,000.00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25,000,000.00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8"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27"/>
              <w:jc w:val="left"/>
              <w:rPr>
                <w:rFonts w:ascii="宋体" w:hAnsi="宋体" w:cs="宋体" w:eastAsia="宋体" w:hint="default"/>
                <w:sz w:val="18"/>
                <w:szCs w:val="18"/>
              </w:rPr>
            </w:pPr>
            <w:r>
              <w:rPr>
                <w:rFonts w:ascii="宋体" w:hAnsi="宋体" w:cs="宋体" w:eastAsia="宋体" w:hint="default"/>
                <w:sz w:val="18"/>
                <w:szCs w:val="18"/>
              </w:rPr>
              <w:t>中交宇科（北京） 空间信息技术有 限公司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138,000,000.00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138,000,000.00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46,724,633.74</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108,371,400.00</w:t>
            </w:r>
          </w:p>
        </w:tc>
      </w:tr>
      <w:tr>
        <w:trPr>
          <w:trHeight w:val="713"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3"/>
              <w:jc w:val="left"/>
              <w:rPr>
                <w:rFonts w:ascii="宋体" w:hAnsi="宋体" w:cs="宋体" w:eastAsia="宋体" w:hint="default"/>
                <w:sz w:val="18"/>
                <w:szCs w:val="18"/>
              </w:rPr>
            </w:pPr>
            <w:r>
              <w:rPr>
                <w:rFonts w:ascii="宋体" w:hAnsi="宋体" w:cs="宋体" w:eastAsia="宋体" w:hint="default"/>
                <w:sz w:val="18"/>
                <w:szCs w:val="18"/>
              </w:rPr>
              <w:t>北京图迅丰达信 息技术公司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29,523,471.60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29,523,471.60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3"/>
              <w:jc w:val="left"/>
              <w:rPr>
                <w:rFonts w:ascii="宋体" w:hAnsi="宋体" w:cs="宋体" w:eastAsia="宋体" w:hint="default"/>
                <w:sz w:val="18"/>
                <w:szCs w:val="18"/>
              </w:rPr>
            </w:pPr>
            <w:r>
              <w:rPr>
                <w:rFonts w:ascii="宋体" w:hAnsi="宋体" w:cs="宋体" w:eastAsia="宋体" w:hint="default"/>
                <w:sz w:val="18"/>
                <w:szCs w:val="18"/>
              </w:rPr>
              <w:t>中寰卫星导航通 信有限公司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110,549,179.37</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110,549,179.37</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3"/>
              <w:jc w:val="left"/>
              <w:rPr>
                <w:rFonts w:ascii="宋体" w:hAnsi="宋体" w:cs="宋体" w:eastAsia="宋体" w:hint="default"/>
                <w:sz w:val="18"/>
                <w:szCs w:val="18"/>
              </w:rPr>
            </w:pPr>
            <w:r>
              <w:rPr>
                <w:rFonts w:ascii="宋体" w:hAnsi="宋体" w:cs="宋体" w:eastAsia="宋体" w:hint="default"/>
                <w:sz w:val="18"/>
                <w:szCs w:val="18"/>
              </w:rPr>
              <w:t>北京图新智盛信 息技术有限公司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13,000,000.00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13,000,000.00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3"/>
              <w:jc w:val="left"/>
              <w:rPr>
                <w:rFonts w:ascii="宋体" w:hAnsi="宋体" w:cs="宋体" w:eastAsia="宋体" w:hint="default"/>
                <w:sz w:val="18"/>
                <w:szCs w:val="18"/>
              </w:rPr>
            </w:pPr>
            <w:r>
              <w:rPr>
                <w:rFonts w:ascii="宋体" w:hAnsi="宋体" w:cs="宋体" w:eastAsia="宋体" w:hint="default"/>
                <w:sz w:val="18"/>
                <w:szCs w:val="18"/>
              </w:rPr>
              <w:t>西安四维图新实 业有限公司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50,000,000.00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50,000,000.00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3"/>
              <w:jc w:val="left"/>
              <w:rPr>
                <w:rFonts w:ascii="宋体" w:hAnsi="宋体" w:cs="宋体" w:eastAsia="宋体" w:hint="default"/>
                <w:sz w:val="18"/>
                <w:szCs w:val="18"/>
              </w:rPr>
            </w:pPr>
            <w:r>
              <w:rPr>
                <w:rFonts w:ascii="宋体" w:hAnsi="宋体" w:cs="宋体" w:eastAsia="宋体" w:hint="default"/>
                <w:sz w:val="18"/>
                <w:szCs w:val="18"/>
              </w:rPr>
              <w:t>长沙市海图科技 有限公司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27,000,000.00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27,000,000.00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25,598,470.45</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27,000,000.00</w:t>
            </w:r>
          </w:p>
        </w:tc>
      </w:tr>
      <w:tr>
        <w:trPr>
          <w:trHeight w:val="715"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3"/>
              <w:jc w:val="left"/>
              <w:rPr>
                <w:rFonts w:ascii="宋体" w:hAnsi="宋体" w:cs="宋体" w:eastAsia="宋体" w:hint="default"/>
                <w:sz w:val="18"/>
                <w:szCs w:val="18"/>
              </w:rPr>
            </w:pPr>
            <w:r>
              <w:rPr>
                <w:rFonts w:ascii="宋体" w:hAnsi="宋体" w:cs="宋体" w:eastAsia="宋体" w:hint="default"/>
                <w:sz w:val="18"/>
                <w:szCs w:val="18"/>
              </w:rPr>
              <w:t>北京四维智联科 技有限公司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454,147,182.00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454,147,182.00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4" w:right="153"/>
              <w:jc w:val="left"/>
              <w:rPr>
                <w:rFonts w:ascii="宋体" w:hAnsi="宋体" w:cs="宋体" w:eastAsia="宋体" w:hint="default"/>
                <w:sz w:val="18"/>
                <w:szCs w:val="18"/>
              </w:rPr>
            </w:pPr>
            <w:r>
              <w:rPr>
                <w:rFonts w:ascii="宋体" w:hAnsi="宋体" w:cs="宋体" w:eastAsia="宋体" w:hint="default"/>
                <w:sz w:val="18"/>
                <w:szCs w:val="18"/>
              </w:rPr>
              <w:t>武汉四维图新科 技有限公司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15,000,000.00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15,000,000.00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4" w:right="159"/>
              <w:jc w:val="left"/>
              <w:rPr>
                <w:rFonts w:ascii="Times New Roman" w:hAnsi="Times New Roman" w:cs="Times New Roman" w:eastAsia="Times New Roman" w:hint="default"/>
                <w:sz w:val="18"/>
                <w:szCs w:val="18"/>
              </w:rPr>
            </w:pPr>
            <w:r>
              <w:rPr>
                <w:rFonts w:ascii="Times New Roman"/>
                <w:spacing w:val="-4"/>
                <w:sz w:val="18"/>
              </w:rPr>
              <w:t>NAVINFO</w:t>
            </w:r>
            <w:r>
              <w:rPr>
                <w:rFonts w:ascii="Times New Roman"/>
                <w:spacing w:val="2"/>
                <w:sz w:val="18"/>
              </w:rPr>
              <w:t> </w:t>
            </w:r>
            <w:r>
              <w:rPr>
                <w:rFonts w:ascii="Times New Roman"/>
                <w:sz w:val="18"/>
              </w:rPr>
              <w:t>North</w:t>
            </w:r>
            <w:r>
              <w:rPr>
                <w:rFonts w:ascii="Times New Roman"/>
                <w:w w:val="99"/>
                <w:sz w:val="18"/>
              </w:rPr>
              <w:t> </w:t>
            </w:r>
            <w:r>
              <w:rPr>
                <w:rFonts w:ascii="Times New Roman"/>
                <w:sz w:val="18"/>
              </w:rPr>
              <w:t>America</w:t>
            </w:r>
            <w:r>
              <w:rPr>
                <w:rFonts w:ascii="Times New Roman"/>
                <w:spacing w:val="-3"/>
                <w:sz w:val="18"/>
              </w:rPr>
              <w:t> </w:t>
            </w:r>
            <w:r>
              <w:rPr>
                <w:rFonts w:ascii="Times New Roman"/>
                <w:sz w:val="18"/>
              </w:rPr>
              <w:t>Corp.</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35,985,020.00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35,985,020.00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left="24" w:right="0"/>
              <w:jc w:val="left"/>
              <w:rPr>
                <w:rFonts w:ascii="Times New Roman" w:hAnsi="Times New Roman" w:cs="Times New Roman" w:eastAsia="Times New Roman" w:hint="default"/>
                <w:sz w:val="18"/>
                <w:szCs w:val="18"/>
              </w:rPr>
            </w:pPr>
            <w:r>
              <w:rPr>
                <w:rFonts w:ascii="Times New Roman" w:hAnsi="Times New Roman"/>
                <w:sz w:val="18"/>
              </w:rPr>
              <w:t>Coöperatieve</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105,002,216.00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105,002,216.00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448"/>
        <w:gridCol w:w="1337"/>
        <w:gridCol w:w="1335"/>
        <w:gridCol w:w="1335"/>
        <w:gridCol w:w="1334"/>
        <w:gridCol w:w="1390"/>
        <w:gridCol w:w="1390"/>
      </w:tblGrid>
      <w:tr>
        <w:trPr>
          <w:trHeight w:val="363"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4" w:right="0"/>
              <w:jc w:val="left"/>
              <w:rPr>
                <w:rFonts w:ascii="Times New Roman" w:hAnsi="Times New Roman" w:cs="Times New Roman" w:eastAsia="Times New Roman" w:hint="default"/>
                <w:sz w:val="18"/>
                <w:szCs w:val="18"/>
              </w:rPr>
            </w:pPr>
            <w:r>
              <w:rPr>
                <w:rFonts w:ascii="Times New Roman"/>
                <w:sz w:val="18"/>
              </w:rPr>
              <w:t>NavInfo</w:t>
            </w:r>
            <w:r>
              <w:rPr>
                <w:rFonts w:ascii="Times New Roman"/>
                <w:spacing w:val="-7"/>
                <w:sz w:val="18"/>
              </w:rPr>
              <w:t> </w:t>
            </w:r>
            <w:r>
              <w:rPr>
                <w:rFonts w:ascii="Times New Roman"/>
                <w:sz w:val="18"/>
              </w:rPr>
              <w:t>U.A.</w:t>
            </w:r>
          </w:p>
        </w:tc>
        <w:tc>
          <w:tcPr>
            <w:tcW w:w="1337"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448" w:type="dxa"/>
            <w:tcBorders>
              <w:top w:val="single" w:sz="4" w:space="0" w:color="000000"/>
              <w:left w:val="single" w:sz="4" w:space="0" w:color="000000"/>
              <w:bottom w:val="single" w:sz="4" w:space="0" w:color="000000"/>
              <w:right w:val="single" w:sz="13" w:space="0" w:color="FFFFFF"/>
            </w:tcBorders>
          </w:tcPr>
          <w:p>
            <w:pPr>
              <w:pStyle w:val="TableParagraph"/>
              <w:spacing w:line="316" w:lineRule="auto" w:before="49"/>
              <w:ind w:left="24" w:right="-38"/>
              <w:jc w:val="left"/>
              <w:rPr>
                <w:rFonts w:ascii="宋体" w:hAnsi="宋体" w:cs="宋体" w:eastAsia="宋体" w:hint="default"/>
                <w:sz w:val="18"/>
                <w:szCs w:val="18"/>
              </w:rPr>
            </w:pPr>
            <w:r>
              <w:rPr>
                <w:rFonts w:ascii="宋体" w:hAnsi="宋体" w:cs="宋体" w:eastAsia="宋体" w:hint="default"/>
                <w:sz w:val="18"/>
                <w:szCs w:val="18"/>
              </w:rPr>
              <w:t>图新投资（香港） 科技有限公司</w:t>
            </w:r>
          </w:p>
        </w:tc>
        <w:tc>
          <w:tcPr>
            <w:tcW w:w="1337" w:type="dxa"/>
            <w:tcBorders>
              <w:top w:val="single" w:sz="4" w:space="0" w:color="000000"/>
              <w:left w:val="single" w:sz="13" w:space="0" w:color="FFFFFF"/>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8,991,947.29</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8,991,947.29</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7"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4" w:right="282"/>
              <w:jc w:val="left"/>
              <w:rPr>
                <w:rFonts w:ascii="Times New Roman" w:hAnsi="Times New Roman" w:cs="Times New Roman" w:eastAsia="Times New Roman" w:hint="default"/>
                <w:sz w:val="18"/>
                <w:szCs w:val="18"/>
              </w:rPr>
            </w:pPr>
            <w:r>
              <w:rPr>
                <w:rFonts w:ascii="Times New Roman"/>
                <w:spacing w:val="-4"/>
                <w:sz w:val="18"/>
              </w:rPr>
              <w:t>NAVINFO</w:t>
            </w:r>
            <w:r>
              <w:rPr>
                <w:rFonts w:ascii="Times New Roman"/>
                <w:spacing w:val="-43"/>
                <w:sz w:val="18"/>
              </w:rPr>
              <w:t> </w:t>
            </w:r>
            <w:r>
              <w:rPr>
                <w:rFonts w:ascii="Times New Roman"/>
                <w:spacing w:val="-43"/>
                <w:sz w:val="18"/>
              </w:rPr>
            </w:r>
            <w:r>
              <w:rPr>
                <w:rFonts w:ascii="Times New Roman"/>
                <w:sz w:val="18"/>
              </w:rPr>
              <w:t>(SINGAPORE)</w:t>
            </w:r>
            <w:r>
              <w:rPr>
                <w:rFonts w:ascii="Times New Roman"/>
                <w:w w:val="99"/>
                <w:sz w:val="18"/>
              </w:rPr>
              <w:t> </w:t>
            </w:r>
            <w:r>
              <w:rPr>
                <w:rFonts w:ascii="Times New Roman"/>
                <w:spacing w:val="-3"/>
                <w:sz w:val="18"/>
              </w:rPr>
              <w:t>PTE.LTD</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18,895,500.00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18,895,500.00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3"/>
              <w:jc w:val="left"/>
              <w:rPr>
                <w:rFonts w:ascii="宋体" w:hAnsi="宋体" w:cs="宋体" w:eastAsia="宋体" w:hint="default"/>
                <w:sz w:val="18"/>
                <w:szCs w:val="18"/>
              </w:rPr>
            </w:pPr>
            <w:r>
              <w:rPr>
                <w:rFonts w:ascii="宋体" w:hAnsi="宋体" w:cs="宋体" w:eastAsia="宋体" w:hint="default"/>
                <w:sz w:val="18"/>
                <w:szCs w:val="18"/>
              </w:rPr>
              <w:t>合肥杰发科技有 限公司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3,875,100,000.00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3,875,100,000.00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558,090,000.00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558,090,000.00</w:t>
            </w:r>
          </w:p>
        </w:tc>
      </w:tr>
      <w:tr>
        <w:trPr>
          <w:trHeight w:val="715"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3"/>
              <w:jc w:val="left"/>
              <w:rPr>
                <w:rFonts w:ascii="宋体" w:hAnsi="宋体" w:cs="宋体" w:eastAsia="宋体" w:hint="default"/>
                <w:sz w:val="18"/>
                <w:szCs w:val="18"/>
              </w:rPr>
            </w:pPr>
            <w:r>
              <w:rPr>
                <w:rFonts w:ascii="宋体" w:hAnsi="宋体" w:cs="宋体" w:eastAsia="宋体" w:hint="default"/>
                <w:sz w:val="18"/>
                <w:szCs w:val="18"/>
              </w:rPr>
              <w:t>北京六分科技有 限公司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3"/>
              <w:jc w:val="left"/>
              <w:rPr>
                <w:rFonts w:ascii="宋体" w:hAnsi="宋体" w:cs="宋体" w:eastAsia="宋体" w:hint="default"/>
                <w:sz w:val="18"/>
                <w:szCs w:val="18"/>
              </w:rPr>
            </w:pPr>
            <w:r>
              <w:rPr>
                <w:rFonts w:ascii="宋体" w:hAnsi="宋体" w:cs="宋体" w:eastAsia="宋体" w:hint="default"/>
                <w:sz w:val="18"/>
                <w:szCs w:val="18"/>
              </w:rPr>
              <w:t>四维图新日本有 限公司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14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5,177,635,444.31</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23,601,168.00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517,147,182.00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4,684,089,430.31</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630,413,104.19</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697,682,415.00</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t>（</w:t>
      </w:r>
      <w:r>
        <w:rPr>
          <w:rFonts w:ascii="Times New Roman" w:hAnsi="Times New Roman" w:cs="Times New Roman" w:eastAsia="Times New Roman" w:hint="default"/>
        </w:rPr>
        <w:t>2</w:t>
      </w:r>
      <w:r>
        <w:rPr/>
        <w:t>）对联营、合营企业投资</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797"/>
        <w:gridCol w:w="797"/>
        <w:gridCol w:w="797"/>
        <w:gridCol w:w="797"/>
        <w:gridCol w:w="799"/>
        <w:gridCol w:w="797"/>
        <w:gridCol w:w="800"/>
        <w:gridCol w:w="797"/>
        <w:gridCol w:w="799"/>
        <w:gridCol w:w="797"/>
        <w:gridCol w:w="800"/>
        <w:gridCol w:w="797"/>
      </w:tblGrid>
      <w:tr>
        <w:trPr>
          <w:trHeight w:val="403" w:hRule="exact"/>
        </w:trPr>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投资单位</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6383"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80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316" w:lineRule="auto"/>
              <w:ind w:left="33" w:right="31"/>
              <w:jc w:val="left"/>
              <w:rPr>
                <w:rFonts w:ascii="宋体" w:hAnsi="宋体" w:cs="宋体" w:eastAsia="宋体" w:hint="default"/>
                <w:sz w:val="18"/>
                <w:szCs w:val="18"/>
              </w:rPr>
            </w:pPr>
            <w:r>
              <w:rPr>
                <w:rFonts w:ascii="宋体" w:hAnsi="宋体" w:cs="宋体" w:eastAsia="宋体" w:hint="default"/>
                <w:sz w:val="18"/>
                <w:szCs w:val="18"/>
              </w:rPr>
              <w:t>减值准备 期末余额</w:t>
            </w:r>
          </w:p>
        </w:tc>
      </w:tr>
      <w:tr>
        <w:trPr>
          <w:trHeight w:val="1025" w:hRule="exact"/>
        </w:trPr>
        <w:tc>
          <w:tcPr>
            <w:tcW w:w="797"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31"/>
              <w:jc w:val="right"/>
              <w:rPr>
                <w:rFonts w:ascii="宋体" w:hAnsi="宋体" w:cs="宋体" w:eastAsia="宋体" w:hint="default"/>
                <w:sz w:val="18"/>
                <w:szCs w:val="18"/>
              </w:rPr>
            </w:pPr>
            <w:r>
              <w:rPr>
                <w:rFonts w:ascii="宋体" w:hAnsi="宋体" w:cs="宋体" w:eastAsia="宋体" w:hint="default"/>
                <w:sz w:val="18"/>
                <w:szCs w:val="18"/>
              </w:rPr>
              <w:t>追加投资</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32"/>
              <w:jc w:val="right"/>
              <w:rPr>
                <w:rFonts w:ascii="宋体" w:hAnsi="宋体" w:cs="宋体" w:eastAsia="宋体" w:hint="default"/>
                <w:sz w:val="18"/>
                <w:szCs w:val="18"/>
              </w:rPr>
            </w:pPr>
            <w:r>
              <w:rPr>
                <w:rFonts w:ascii="宋体" w:hAnsi="宋体" w:cs="宋体" w:eastAsia="宋体" w:hint="default"/>
                <w:sz w:val="18"/>
                <w:szCs w:val="18"/>
              </w:rPr>
              <w:t>减少投资</w:t>
            </w:r>
          </w:p>
        </w:tc>
        <w:tc>
          <w:tcPr>
            <w:tcW w:w="7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33" w:right="35"/>
              <w:jc w:val="both"/>
              <w:rPr>
                <w:rFonts w:ascii="宋体" w:hAnsi="宋体" w:cs="宋体" w:eastAsia="宋体" w:hint="default"/>
                <w:sz w:val="18"/>
                <w:szCs w:val="18"/>
              </w:rPr>
            </w:pPr>
            <w:r>
              <w:rPr>
                <w:rFonts w:ascii="宋体" w:hAnsi="宋体" w:cs="宋体" w:eastAsia="宋体" w:hint="default"/>
                <w:sz w:val="18"/>
                <w:szCs w:val="18"/>
              </w:rPr>
              <w:t>权益法下 确认的投 资损益</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33" w:right="31"/>
              <w:jc w:val="left"/>
              <w:rPr>
                <w:rFonts w:ascii="宋体" w:hAnsi="宋体" w:cs="宋体" w:eastAsia="宋体" w:hint="default"/>
                <w:sz w:val="18"/>
                <w:szCs w:val="18"/>
              </w:rPr>
            </w:pPr>
            <w:r>
              <w:rPr>
                <w:rFonts w:ascii="宋体" w:hAnsi="宋体" w:cs="宋体" w:eastAsia="宋体" w:hint="default"/>
                <w:sz w:val="18"/>
                <w:szCs w:val="18"/>
              </w:rPr>
              <w:t>其他综合 收益调整</w:t>
            </w:r>
          </w:p>
        </w:tc>
        <w:tc>
          <w:tcPr>
            <w:tcW w:w="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13" w:right="34" w:hanging="180"/>
              <w:jc w:val="left"/>
              <w:rPr>
                <w:rFonts w:ascii="宋体" w:hAnsi="宋体" w:cs="宋体" w:eastAsia="宋体" w:hint="default"/>
                <w:sz w:val="18"/>
                <w:szCs w:val="18"/>
              </w:rPr>
            </w:pPr>
            <w:r>
              <w:rPr>
                <w:rFonts w:ascii="宋体" w:hAnsi="宋体" w:cs="宋体" w:eastAsia="宋体" w:hint="default"/>
                <w:sz w:val="18"/>
                <w:szCs w:val="18"/>
              </w:rPr>
              <w:t>其他权益 变动</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33" w:right="31"/>
              <w:jc w:val="both"/>
              <w:rPr>
                <w:rFonts w:ascii="宋体" w:hAnsi="宋体" w:cs="宋体" w:eastAsia="宋体" w:hint="default"/>
                <w:sz w:val="18"/>
                <w:szCs w:val="18"/>
              </w:rPr>
            </w:pPr>
            <w:r>
              <w:rPr>
                <w:rFonts w:ascii="宋体" w:hAnsi="宋体" w:cs="宋体" w:eastAsia="宋体" w:hint="default"/>
                <w:sz w:val="18"/>
                <w:szCs w:val="18"/>
              </w:rPr>
              <w:t>宣告发放 现金股利 或利润</w:t>
            </w:r>
          </w:p>
        </w:tc>
        <w:tc>
          <w:tcPr>
            <w:tcW w:w="7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13" w:right="35" w:hanging="180"/>
              <w:jc w:val="left"/>
              <w:rPr>
                <w:rFonts w:ascii="宋体" w:hAnsi="宋体" w:cs="宋体" w:eastAsia="宋体" w:hint="default"/>
                <w:sz w:val="18"/>
                <w:szCs w:val="18"/>
              </w:rPr>
            </w:pPr>
            <w:r>
              <w:rPr>
                <w:rFonts w:ascii="宋体" w:hAnsi="宋体" w:cs="宋体" w:eastAsia="宋体" w:hint="default"/>
                <w:sz w:val="18"/>
                <w:szCs w:val="18"/>
              </w:rPr>
              <w:t>计提减值 准备</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1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00"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9573"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一、合营企业</w:t>
            </w:r>
          </w:p>
        </w:tc>
      </w:tr>
      <w:tr>
        <w:trPr>
          <w:trHeight w:val="1025"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41"/>
              <w:jc w:val="both"/>
              <w:rPr>
                <w:rFonts w:ascii="宋体" w:hAnsi="宋体" w:cs="宋体" w:eastAsia="宋体" w:hint="default"/>
                <w:sz w:val="18"/>
                <w:szCs w:val="18"/>
              </w:rPr>
            </w:pPr>
            <w:r>
              <w:rPr>
                <w:rFonts w:ascii="宋体" w:hAnsi="宋体" w:cs="宋体" w:eastAsia="宋体" w:hint="default"/>
                <w:sz w:val="18"/>
                <w:szCs w:val="18"/>
              </w:rPr>
              <w:t>北京图新 瀚和科技 有限公司</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13,581,32</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6.82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6" w:right="0"/>
              <w:jc w:val="left"/>
              <w:rPr>
                <w:rFonts w:ascii="Times New Roman" w:hAnsi="Times New Roman" w:cs="Times New Roman" w:eastAsia="Times New Roman" w:hint="default"/>
                <w:sz w:val="18"/>
                <w:szCs w:val="18"/>
              </w:rPr>
            </w:pPr>
            <w:r>
              <w:rPr>
                <w:rFonts w:ascii="Times New Roman"/>
                <w:sz w:val="18"/>
              </w:rPr>
              <w:t>-7,441,78</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7.47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6,139,539</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.35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61" w:hRule="exact"/>
        </w:trPr>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vMerge w:val="restart"/>
            <w:tcBorders>
              <w:top w:val="single" w:sz="4" w:space="0" w:color="000000"/>
              <w:left w:val="single" w:sz="10" w:space="0" w:color="D2D2D2"/>
              <w:right w:val="single" w:sz="4" w:space="0" w:color="000000"/>
            </w:tcBorders>
          </w:tcPr>
          <w:p>
            <w:pPr>
              <w:pStyle w:val="TableParagraph"/>
              <w:spacing w:line="240" w:lineRule="auto" w:before="91"/>
              <w:ind w:left="38" w:right="0"/>
              <w:jc w:val="left"/>
              <w:rPr>
                <w:rFonts w:ascii="Times New Roman" w:hAnsi="Times New Roman" w:cs="Times New Roman" w:eastAsia="Times New Roman" w:hint="default"/>
                <w:sz w:val="18"/>
                <w:szCs w:val="18"/>
              </w:rPr>
            </w:pPr>
            <w:r>
              <w:rPr>
                <w:rFonts w:ascii="Times New Roman"/>
                <w:sz w:val="18"/>
              </w:rPr>
              <w:t>13,581,32</w:t>
            </w:r>
          </w:p>
          <w:p>
            <w:pPr>
              <w:pStyle w:val="TableParagraph"/>
              <w:spacing w:line="240" w:lineRule="auto" w:before="105"/>
              <w:ind w:left="443" w:right="0"/>
              <w:jc w:val="left"/>
              <w:rPr>
                <w:rFonts w:ascii="Times New Roman" w:hAnsi="Times New Roman" w:cs="Times New Roman" w:eastAsia="Times New Roman" w:hint="default"/>
                <w:sz w:val="18"/>
                <w:szCs w:val="18"/>
              </w:rPr>
            </w:pPr>
            <w:r>
              <w:rPr>
                <w:rFonts w:ascii="Times New Roman"/>
                <w:sz w:val="18"/>
              </w:rPr>
              <w:t>6.82</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1" w:right="0"/>
              <w:jc w:val="left"/>
              <w:rPr>
                <w:rFonts w:ascii="Times New Roman" w:hAnsi="Times New Roman" w:cs="Times New Roman" w:eastAsia="Times New Roman" w:hint="default"/>
                <w:sz w:val="18"/>
                <w:szCs w:val="18"/>
              </w:rPr>
            </w:pPr>
            <w:r>
              <w:rPr>
                <w:rFonts w:ascii="Times New Roman"/>
                <w:sz w:val="18"/>
              </w:rPr>
              <w:t>0.00</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1" w:right="0"/>
              <w:jc w:val="left"/>
              <w:rPr>
                <w:rFonts w:ascii="Times New Roman" w:hAnsi="Times New Roman" w:cs="Times New Roman" w:eastAsia="Times New Roman" w:hint="default"/>
                <w:sz w:val="18"/>
                <w:szCs w:val="18"/>
              </w:rPr>
            </w:pPr>
            <w:r>
              <w:rPr>
                <w:rFonts w:ascii="Times New Roman"/>
                <w:sz w:val="18"/>
              </w:rPr>
              <w:t>0.00</w:t>
            </w:r>
          </w:p>
        </w:tc>
        <w:tc>
          <w:tcPr>
            <w:tcW w:w="799" w:type="dxa"/>
            <w:vMerge w:val="restart"/>
            <w:tcBorders>
              <w:top w:val="single" w:sz="4" w:space="0" w:color="000000"/>
              <w:left w:val="single" w:sz="4" w:space="0" w:color="000000"/>
              <w:right w:val="single" w:sz="4" w:space="0" w:color="000000"/>
            </w:tcBorders>
          </w:tcPr>
          <w:p>
            <w:pPr>
              <w:pStyle w:val="TableParagraph"/>
              <w:spacing w:line="240" w:lineRule="auto" w:before="91"/>
              <w:ind w:left="76" w:right="0"/>
              <w:jc w:val="left"/>
              <w:rPr>
                <w:rFonts w:ascii="Times New Roman" w:hAnsi="Times New Roman" w:cs="Times New Roman" w:eastAsia="Times New Roman" w:hint="default"/>
                <w:sz w:val="18"/>
                <w:szCs w:val="18"/>
              </w:rPr>
            </w:pPr>
            <w:r>
              <w:rPr>
                <w:rFonts w:ascii="Times New Roman"/>
                <w:sz w:val="18"/>
              </w:rPr>
              <w:t>-7,441,78</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7.47</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1" w:right="0"/>
              <w:jc w:val="left"/>
              <w:rPr>
                <w:rFonts w:ascii="Times New Roman" w:hAnsi="Times New Roman" w:cs="Times New Roman" w:eastAsia="Times New Roman" w:hint="default"/>
                <w:sz w:val="18"/>
                <w:szCs w:val="18"/>
              </w:rPr>
            </w:pPr>
            <w:r>
              <w:rPr>
                <w:rFonts w:ascii="Times New Roman"/>
                <w:sz w:val="18"/>
              </w:rPr>
              <w:t>0.00</w:t>
            </w:r>
          </w:p>
        </w:tc>
        <w:tc>
          <w:tcPr>
            <w:tcW w:w="800"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1" w:right="0"/>
              <w:jc w:val="left"/>
              <w:rPr>
                <w:rFonts w:ascii="Times New Roman" w:hAnsi="Times New Roman" w:cs="Times New Roman" w:eastAsia="Times New Roman" w:hint="default"/>
                <w:sz w:val="18"/>
                <w:szCs w:val="18"/>
              </w:rPr>
            </w:pPr>
            <w:r>
              <w:rPr>
                <w:rFonts w:ascii="Times New Roman"/>
                <w:sz w:val="18"/>
              </w:rPr>
              <w:t>0.00</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1" w:right="0"/>
              <w:jc w:val="left"/>
              <w:rPr>
                <w:rFonts w:ascii="Times New Roman" w:hAnsi="Times New Roman" w:cs="Times New Roman" w:eastAsia="Times New Roman" w:hint="default"/>
                <w:sz w:val="18"/>
                <w:szCs w:val="18"/>
              </w:rPr>
            </w:pPr>
            <w:r>
              <w:rPr>
                <w:rFonts w:ascii="Times New Roman"/>
                <w:sz w:val="18"/>
              </w:rPr>
              <w:t>0.00</w:t>
            </w:r>
          </w:p>
        </w:tc>
        <w:tc>
          <w:tcPr>
            <w:tcW w:w="799"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1" w:right="0"/>
              <w:jc w:val="left"/>
              <w:rPr>
                <w:rFonts w:ascii="Times New Roman" w:hAnsi="Times New Roman" w:cs="Times New Roman" w:eastAsia="Times New Roman" w:hint="default"/>
                <w:sz w:val="18"/>
                <w:szCs w:val="18"/>
              </w:rPr>
            </w:pPr>
            <w:r>
              <w:rPr>
                <w:rFonts w:ascii="Times New Roman"/>
                <w:sz w:val="18"/>
              </w:rPr>
              <w:t>0.00</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1" w:right="0"/>
              <w:jc w:val="left"/>
              <w:rPr>
                <w:rFonts w:ascii="Times New Roman" w:hAnsi="Times New Roman" w:cs="Times New Roman" w:eastAsia="Times New Roman" w:hint="default"/>
                <w:sz w:val="18"/>
                <w:szCs w:val="18"/>
              </w:rPr>
            </w:pPr>
            <w:r>
              <w:rPr>
                <w:rFonts w:ascii="Times New Roman"/>
                <w:sz w:val="18"/>
              </w:rPr>
              <w:t>0.00</w:t>
            </w:r>
          </w:p>
        </w:tc>
        <w:tc>
          <w:tcPr>
            <w:tcW w:w="800" w:type="dxa"/>
            <w:vMerge w:val="restart"/>
            <w:tcBorders>
              <w:top w:val="single" w:sz="4" w:space="0" w:color="000000"/>
              <w:left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6,139,539</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.35</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1" w:right="0"/>
              <w:jc w:val="left"/>
              <w:rPr>
                <w:rFonts w:ascii="Times New Roman" w:hAnsi="Times New Roman" w:cs="Times New Roman" w:eastAsia="Times New Roman" w:hint="default"/>
                <w:sz w:val="18"/>
                <w:szCs w:val="18"/>
              </w:rPr>
            </w:pPr>
            <w:r>
              <w:rPr>
                <w:rFonts w:ascii="Times New Roman"/>
                <w:sz w:val="18"/>
              </w:rPr>
              <w:t>0.00</w:t>
            </w:r>
          </w:p>
        </w:tc>
      </w:tr>
      <w:tr>
        <w:trPr>
          <w:trHeight w:val="394" w:hRule="exact"/>
        </w:trPr>
        <w:tc>
          <w:tcPr>
            <w:tcW w:w="79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7" w:type="dxa"/>
            <w:vMerge/>
            <w:tcBorders>
              <w:left w:val="single" w:sz="10" w:space="0" w:color="D2D2D2"/>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9"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800"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9"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800"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r>
      <w:tr>
        <w:trPr>
          <w:trHeight w:val="161" w:hRule="exact"/>
        </w:trPr>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797" w:type="dxa"/>
            <w:vMerge/>
            <w:tcBorders>
              <w:left w:val="single" w:sz="10" w:space="0" w:color="D2D2D2"/>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9"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800"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9"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800"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r>
      <w:tr>
        <w:trPr>
          <w:trHeight w:val="401" w:hRule="exact"/>
        </w:trPr>
        <w:tc>
          <w:tcPr>
            <w:tcW w:w="9573"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二、联营企业</w:t>
            </w:r>
          </w:p>
        </w:tc>
      </w:tr>
      <w:tr>
        <w:trPr>
          <w:trHeight w:val="1340"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41"/>
              <w:jc w:val="both"/>
              <w:rPr>
                <w:rFonts w:ascii="宋体" w:hAnsi="宋体" w:cs="宋体" w:eastAsia="宋体" w:hint="default"/>
                <w:sz w:val="18"/>
                <w:szCs w:val="18"/>
              </w:rPr>
            </w:pPr>
            <w:r>
              <w:rPr>
                <w:rFonts w:ascii="宋体" w:hAnsi="宋体" w:cs="宋体" w:eastAsia="宋体" w:hint="default"/>
                <w:sz w:val="18"/>
                <w:szCs w:val="18"/>
              </w:rPr>
              <w:t>北京蜂云 科创信息 技术有限 公司</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841,130.2</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1,002,375</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.98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76" w:right="0"/>
              <w:jc w:val="left"/>
              <w:rPr>
                <w:rFonts w:ascii="Times New Roman" w:hAnsi="Times New Roman" w:cs="Times New Roman" w:eastAsia="Times New Roman" w:hint="default"/>
                <w:sz w:val="18"/>
                <w:szCs w:val="18"/>
              </w:rPr>
            </w:pPr>
            <w:r>
              <w:rPr>
                <w:rFonts w:ascii="Times New Roman"/>
                <w:sz w:val="18"/>
              </w:rPr>
              <w:t>-1,843,50</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6.24</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451" w:right="0"/>
              <w:jc w:val="left"/>
              <w:rPr>
                <w:rFonts w:ascii="Times New Roman" w:hAnsi="Times New Roman" w:cs="Times New Roman" w:eastAsia="Times New Roman" w:hint="default"/>
                <w:sz w:val="18"/>
                <w:szCs w:val="18"/>
              </w:rPr>
            </w:pPr>
            <w:r>
              <w:rPr>
                <w:rFonts w:ascii="Times New Roman"/>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337"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41"/>
              <w:jc w:val="both"/>
              <w:rPr>
                <w:rFonts w:ascii="宋体" w:hAnsi="宋体" w:cs="宋体" w:eastAsia="宋体" w:hint="default"/>
                <w:sz w:val="18"/>
                <w:szCs w:val="18"/>
              </w:rPr>
            </w:pPr>
            <w:r>
              <w:rPr>
                <w:rFonts w:ascii="宋体" w:hAnsi="宋体" w:cs="宋体" w:eastAsia="宋体" w:hint="default"/>
                <w:sz w:val="18"/>
                <w:szCs w:val="18"/>
              </w:rPr>
              <w:t>上海安吉 四维信息 技术有限 公司</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21,519,59</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2.03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10,076,38</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4.26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2,446,540</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.60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29,149,43</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5.69</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7"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41"/>
              <w:jc w:val="both"/>
              <w:rPr>
                <w:rFonts w:ascii="宋体" w:hAnsi="宋体" w:cs="宋体" w:eastAsia="宋体" w:hint="default"/>
                <w:sz w:val="18"/>
                <w:szCs w:val="18"/>
              </w:rPr>
            </w:pPr>
            <w:r>
              <w:rPr>
                <w:rFonts w:ascii="宋体" w:hAnsi="宋体" w:cs="宋体" w:eastAsia="宋体" w:hint="default"/>
                <w:sz w:val="18"/>
                <w:szCs w:val="18"/>
              </w:rPr>
              <w:t>北京图新 数聚科技 有限公司</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298,198.2</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704,754.2</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1,002,952</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.50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797"/>
        <w:gridCol w:w="797"/>
        <w:gridCol w:w="797"/>
        <w:gridCol w:w="797"/>
        <w:gridCol w:w="799"/>
        <w:gridCol w:w="797"/>
        <w:gridCol w:w="800"/>
        <w:gridCol w:w="797"/>
        <w:gridCol w:w="799"/>
        <w:gridCol w:w="797"/>
        <w:gridCol w:w="800"/>
        <w:gridCol w:w="797"/>
      </w:tblGrid>
      <w:tr>
        <w:trPr>
          <w:trHeight w:val="1337"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41"/>
              <w:jc w:val="both"/>
              <w:rPr>
                <w:rFonts w:ascii="宋体" w:hAnsi="宋体" w:cs="宋体" w:eastAsia="宋体" w:hint="default"/>
                <w:sz w:val="18"/>
                <w:szCs w:val="18"/>
              </w:rPr>
            </w:pPr>
            <w:r>
              <w:rPr>
                <w:rFonts w:ascii="宋体" w:hAnsi="宋体" w:cs="宋体" w:eastAsia="宋体" w:hint="default"/>
                <w:sz w:val="18"/>
                <w:szCs w:val="18"/>
              </w:rPr>
              <w:t>北京四维 天盛投资 管理有限 公司</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1,502,504</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.13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2,160,000</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1,935,928</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.33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1,797,278</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.32</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3,801,154</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.14</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7"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41"/>
              <w:jc w:val="both"/>
              <w:rPr>
                <w:rFonts w:ascii="宋体" w:hAnsi="宋体" w:cs="宋体" w:eastAsia="宋体" w:hint="default"/>
                <w:sz w:val="18"/>
                <w:szCs w:val="18"/>
              </w:rPr>
            </w:pPr>
            <w:r>
              <w:rPr>
                <w:rFonts w:ascii="宋体" w:hAnsi="宋体" w:cs="宋体" w:eastAsia="宋体" w:hint="default"/>
                <w:sz w:val="18"/>
                <w:szCs w:val="18"/>
              </w:rPr>
              <w:t>北京四维 天和科技 有限公司</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1,832,645</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-185,761.</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1,646,884</w:t>
            </w:r>
          </w:p>
          <w:p>
            <w:pPr>
              <w:pStyle w:val="TableParagraph"/>
              <w:spacing w:line="240" w:lineRule="auto" w:before="102"/>
              <w:ind w:right="21"/>
              <w:jc w:val="right"/>
              <w:rPr>
                <w:rFonts w:ascii="Times New Roman" w:hAnsi="Times New Roman" w:cs="Times New Roman" w:eastAsia="Times New Roman" w:hint="default"/>
                <w:sz w:val="18"/>
                <w:szCs w:val="18"/>
              </w:rPr>
            </w:pPr>
            <w:r>
              <w:rPr>
                <w:rFonts w:ascii="Times New Roman"/>
                <w:sz w:val="18"/>
              </w:rPr>
              <w:t>.00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5"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41"/>
              <w:jc w:val="both"/>
              <w:rPr>
                <w:rFonts w:ascii="宋体" w:hAnsi="宋体" w:cs="宋体" w:eastAsia="宋体" w:hint="default"/>
                <w:sz w:val="18"/>
                <w:szCs w:val="18"/>
              </w:rPr>
            </w:pPr>
            <w:r>
              <w:rPr>
                <w:rFonts w:ascii="宋体" w:hAnsi="宋体" w:cs="宋体" w:eastAsia="宋体" w:hint="default"/>
                <w:sz w:val="18"/>
                <w:szCs w:val="18"/>
              </w:rPr>
              <w:t>北京万兔 思睿科技 有限公司</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3,000,000</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76" w:right="0"/>
              <w:jc w:val="left"/>
              <w:rPr>
                <w:rFonts w:ascii="Times New Roman" w:hAnsi="Times New Roman" w:cs="Times New Roman" w:eastAsia="Times New Roman" w:hint="default"/>
                <w:sz w:val="18"/>
                <w:szCs w:val="18"/>
              </w:rPr>
            </w:pPr>
            <w:r>
              <w:rPr>
                <w:rFonts w:ascii="Times New Roman"/>
                <w:sz w:val="18"/>
              </w:rPr>
              <w:t>-2,890.09</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2,997,109</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.91</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340"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60" w:lineRule="auto" w:before="93"/>
              <w:ind w:left="24" w:right="94"/>
              <w:jc w:val="left"/>
              <w:rPr>
                <w:rFonts w:ascii="Times New Roman" w:hAnsi="Times New Roman" w:cs="Times New Roman" w:eastAsia="Times New Roman" w:hint="default"/>
                <w:sz w:val="18"/>
                <w:szCs w:val="18"/>
              </w:rPr>
            </w:pPr>
            <w:r>
              <w:rPr>
                <w:rFonts w:ascii="Times New Roman"/>
                <w:sz w:val="18"/>
              </w:rPr>
              <w:t>Mapbar </w:t>
            </w:r>
            <w:r>
              <w:rPr>
                <w:rFonts w:ascii="Times New Roman"/>
                <w:spacing w:val="-2"/>
                <w:sz w:val="18"/>
              </w:rPr>
              <w:t>Technolo</w:t>
            </w:r>
            <w:r>
              <w:rPr>
                <w:rFonts w:ascii="Times New Roman"/>
                <w:spacing w:val="-42"/>
                <w:sz w:val="18"/>
              </w:rPr>
              <w:t> </w:t>
            </w:r>
            <w:r>
              <w:rPr>
                <w:rFonts w:ascii="Times New Roman"/>
                <w:spacing w:val="-42"/>
                <w:sz w:val="18"/>
              </w:rPr>
            </w:r>
            <w:r>
              <w:rPr>
                <w:rFonts w:ascii="Times New Roman"/>
                <w:sz w:val="18"/>
              </w:rPr>
              <w:t>gy</w:t>
            </w:r>
            <w:r>
              <w:rPr>
                <w:rFonts w:ascii="Times New Roman"/>
                <w:sz w:val="18"/>
              </w:rPr>
              <w:t> Limited</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left="76" w:right="0"/>
              <w:jc w:val="left"/>
              <w:rPr>
                <w:rFonts w:ascii="Times New Roman" w:hAnsi="Times New Roman" w:cs="Times New Roman" w:eastAsia="Times New Roman" w:hint="default"/>
                <w:sz w:val="18"/>
                <w:szCs w:val="18"/>
              </w:rPr>
            </w:pPr>
            <w:r>
              <w:rPr>
                <w:rFonts w:ascii="Times New Roman"/>
                <w:sz w:val="18"/>
              </w:rPr>
              <w:t>-15,168,9</w:t>
            </w:r>
          </w:p>
          <w:p>
            <w:pPr>
              <w:pStyle w:val="TableParagraph"/>
              <w:spacing w:line="240" w:lineRule="auto" w:before="102"/>
              <w:ind w:left="359" w:right="0"/>
              <w:jc w:val="left"/>
              <w:rPr>
                <w:rFonts w:ascii="Times New Roman" w:hAnsi="Times New Roman" w:cs="Times New Roman" w:eastAsia="Times New Roman" w:hint="default"/>
                <w:sz w:val="18"/>
                <w:szCs w:val="18"/>
              </w:rPr>
            </w:pPr>
            <w:r>
              <w:rPr>
                <w:rFonts w:ascii="Times New Roman"/>
                <w:sz w:val="18"/>
              </w:rPr>
              <w:t>93.44</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left="76" w:right="0"/>
              <w:jc w:val="left"/>
              <w:rPr>
                <w:rFonts w:ascii="Times New Roman" w:hAnsi="Times New Roman" w:cs="Times New Roman" w:eastAsia="Times New Roman" w:hint="default"/>
                <w:sz w:val="18"/>
                <w:szCs w:val="18"/>
              </w:rPr>
            </w:pPr>
            <w:r>
              <w:rPr>
                <w:rFonts w:ascii="Times New Roman"/>
                <w:sz w:val="18"/>
              </w:rPr>
              <w:t>-5,688,18</w:t>
            </w:r>
          </w:p>
          <w:p>
            <w:pPr>
              <w:pStyle w:val="TableParagraph"/>
              <w:spacing w:line="240" w:lineRule="auto" w:before="102"/>
              <w:ind w:left="451" w:right="0"/>
              <w:jc w:val="left"/>
              <w:rPr>
                <w:rFonts w:ascii="Times New Roman" w:hAnsi="Times New Roman" w:cs="Times New Roman" w:eastAsia="Times New Roman" w:hint="default"/>
                <w:sz w:val="18"/>
                <w:szCs w:val="18"/>
              </w:rPr>
            </w:pPr>
            <w:r>
              <w:rPr>
                <w:rFonts w:ascii="Times New Roman"/>
                <w:sz w:val="18"/>
              </w:rPr>
              <w:t>9.78</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49,709,73</w:t>
            </w:r>
          </w:p>
          <w:p>
            <w:pPr>
              <w:pStyle w:val="TableParagraph"/>
              <w:spacing w:line="240" w:lineRule="auto" w:before="102"/>
              <w:ind w:left="451" w:right="0"/>
              <w:jc w:val="left"/>
              <w:rPr>
                <w:rFonts w:ascii="Times New Roman" w:hAnsi="Times New Roman" w:cs="Times New Roman" w:eastAsia="Times New Roman" w:hint="default"/>
                <w:sz w:val="18"/>
                <w:szCs w:val="18"/>
              </w:rPr>
            </w:pPr>
            <w:r>
              <w:rPr>
                <w:rFonts w:ascii="Times New Roman"/>
                <w:sz w:val="18"/>
              </w:rPr>
              <w:t>6.36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481,139,0</w:t>
            </w:r>
          </w:p>
          <w:p>
            <w:pPr>
              <w:pStyle w:val="TableParagraph"/>
              <w:spacing w:line="240" w:lineRule="auto" w:before="102"/>
              <w:ind w:left="359" w:right="0"/>
              <w:jc w:val="left"/>
              <w:rPr>
                <w:rFonts w:ascii="Times New Roman" w:hAnsi="Times New Roman" w:cs="Times New Roman" w:eastAsia="Times New Roman" w:hint="default"/>
                <w:sz w:val="18"/>
                <w:szCs w:val="18"/>
              </w:rPr>
            </w:pPr>
            <w:r>
              <w:rPr>
                <w:rFonts w:ascii="Times New Roman"/>
                <w:sz w:val="18"/>
              </w:rPr>
              <w:t>17.42</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509,991,5</w:t>
            </w:r>
          </w:p>
          <w:p>
            <w:pPr>
              <w:pStyle w:val="TableParagraph"/>
              <w:spacing w:line="240" w:lineRule="auto" w:before="102"/>
              <w:ind w:left="360" w:right="0"/>
              <w:jc w:val="left"/>
              <w:rPr>
                <w:rFonts w:ascii="Times New Roman" w:hAnsi="Times New Roman" w:cs="Times New Roman" w:eastAsia="Times New Roman" w:hint="default"/>
                <w:sz w:val="18"/>
                <w:szCs w:val="18"/>
              </w:rPr>
            </w:pPr>
            <w:r>
              <w:rPr>
                <w:rFonts w:ascii="Times New Roman"/>
                <w:sz w:val="18"/>
              </w:rPr>
              <w:t>70.56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649"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41"/>
              <w:jc w:val="both"/>
              <w:rPr>
                <w:rFonts w:ascii="宋体" w:hAnsi="宋体" w:cs="宋体" w:eastAsia="宋体" w:hint="default"/>
                <w:sz w:val="18"/>
                <w:szCs w:val="18"/>
              </w:rPr>
            </w:pPr>
            <w:r>
              <w:rPr>
                <w:rFonts w:ascii="宋体" w:hAnsi="宋体" w:cs="宋体" w:eastAsia="宋体" w:hint="default"/>
                <w:sz w:val="18"/>
                <w:szCs w:val="18"/>
              </w:rPr>
              <w:t>北京四维 互联基金 管理中心</w:t>
            </w:r>
          </w:p>
          <w:p>
            <w:pPr>
              <w:pStyle w:val="TableParagraph"/>
              <w:spacing w:line="316" w:lineRule="auto" w:before="19"/>
              <w:ind w:left="24" w:right="41"/>
              <w:jc w:val="both"/>
              <w:rPr>
                <w:rFonts w:ascii="宋体" w:hAnsi="宋体" w:cs="宋体" w:eastAsia="宋体" w:hint="default"/>
                <w:sz w:val="18"/>
                <w:szCs w:val="18"/>
              </w:rPr>
            </w:pPr>
            <w:r>
              <w:rPr>
                <w:rFonts w:ascii="宋体" w:hAnsi="宋体" w:cs="宋体" w:eastAsia="宋体" w:hint="default"/>
                <w:sz w:val="18"/>
                <w:szCs w:val="18"/>
              </w:rPr>
              <w:t>（有限合 伙）</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39,559,93</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3.33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76" w:right="0"/>
              <w:jc w:val="left"/>
              <w:rPr>
                <w:rFonts w:ascii="Times New Roman" w:hAnsi="Times New Roman" w:cs="Times New Roman" w:eastAsia="Times New Roman" w:hint="default"/>
                <w:sz w:val="18"/>
                <w:szCs w:val="18"/>
              </w:rPr>
            </w:pPr>
            <w:r>
              <w:rPr>
                <w:rFonts w:ascii="Times New Roman"/>
                <w:sz w:val="18"/>
              </w:rPr>
              <w:t>-4,970,18</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5.13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34,589,74</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8.20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5" w:right="0"/>
              <w:jc w:val="left"/>
              <w:rPr>
                <w:rFonts w:ascii="Times New Roman" w:hAnsi="Times New Roman" w:cs="Times New Roman" w:eastAsia="Times New Roman" w:hint="default"/>
                <w:sz w:val="18"/>
                <w:szCs w:val="18"/>
              </w:rPr>
            </w:pPr>
            <w:r>
              <w:rPr>
                <w:rFonts w:ascii="Times New Roman"/>
                <w:sz w:val="18"/>
              </w:rPr>
              <w:t>63,721,35</w:t>
            </w:r>
          </w:p>
          <w:p>
            <w:pPr>
              <w:pStyle w:val="TableParagraph"/>
              <w:spacing w:line="240" w:lineRule="auto" w:before="102"/>
              <w:ind w:left="451" w:right="0"/>
              <w:jc w:val="left"/>
              <w:rPr>
                <w:rFonts w:ascii="Times New Roman" w:hAnsi="Times New Roman" w:cs="Times New Roman" w:eastAsia="Times New Roman" w:hint="default"/>
                <w:sz w:val="18"/>
                <w:szCs w:val="18"/>
              </w:rPr>
            </w:pPr>
            <w:r>
              <w:rPr>
                <w:rFonts w:ascii="Times New Roman"/>
                <w:sz w:val="18"/>
              </w:rPr>
              <w:t>8.02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6,992,645</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6" w:right="0"/>
              <w:jc w:val="left"/>
              <w:rPr>
                <w:rFonts w:ascii="Times New Roman" w:hAnsi="Times New Roman" w:cs="Times New Roman" w:eastAsia="Times New Roman" w:hint="default"/>
                <w:sz w:val="18"/>
                <w:szCs w:val="18"/>
              </w:rPr>
            </w:pPr>
            <w:r>
              <w:rPr>
                <w:rFonts w:ascii="Times New Roman"/>
                <w:sz w:val="18"/>
              </w:rPr>
              <w:t>-6,608,38</w:t>
            </w:r>
          </w:p>
          <w:p>
            <w:pPr>
              <w:pStyle w:val="TableParagraph"/>
              <w:spacing w:line="240" w:lineRule="auto" w:before="102"/>
              <w:ind w:left="451" w:right="0"/>
              <w:jc w:val="left"/>
              <w:rPr>
                <w:rFonts w:ascii="Times New Roman" w:hAnsi="Times New Roman" w:cs="Times New Roman" w:eastAsia="Times New Roman" w:hint="default"/>
                <w:sz w:val="18"/>
                <w:szCs w:val="18"/>
              </w:rPr>
            </w:pPr>
            <w:r>
              <w:rPr>
                <w:rFonts w:ascii="Times New Roman"/>
                <w:sz w:val="18"/>
              </w:rPr>
              <w:t>6.86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6" w:right="0"/>
              <w:jc w:val="left"/>
              <w:rPr>
                <w:rFonts w:ascii="Times New Roman" w:hAnsi="Times New Roman" w:cs="Times New Roman" w:eastAsia="Times New Roman" w:hint="default"/>
                <w:sz w:val="18"/>
                <w:szCs w:val="18"/>
              </w:rPr>
            </w:pPr>
            <w:r>
              <w:rPr>
                <w:rFonts w:ascii="Times New Roman"/>
                <w:sz w:val="18"/>
              </w:rPr>
              <w:t>-5,688,18</w:t>
            </w:r>
          </w:p>
          <w:p>
            <w:pPr>
              <w:pStyle w:val="TableParagraph"/>
              <w:spacing w:line="240" w:lineRule="auto" w:before="102"/>
              <w:ind w:left="451" w:right="0"/>
              <w:jc w:val="left"/>
              <w:rPr>
                <w:rFonts w:ascii="Times New Roman" w:hAnsi="Times New Roman" w:cs="Times New Roman" w:eastAsia="Times New Roman" w:hint="default"/>
                <w:sz w:val="18"/>
                <w:szCs w:val="18"/>
              </w:rPr>
            </w:pPr>
            <w:r>
              <w:rPr>
                <w:rFonts w:ascii="Times New Roman"/>
                <w:sz w:val="18"/>
              </w:rPr>
              <w:t>9.78</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5" w:right="0"/>
              <w:jc w:val="left"/>
              <w:rPr>
                <w:rFonts w:ascii="Times New Roman" w:hAnsi="Times New Roman" w:cs="Times New Roman" w:eastAsia="Times New Roman" w:hint="default"/>
                <w:sz w:val="18"/>
                <w:szCs w:val="18"/>
              </w:rPr>
            </w:pPr>
            <w:r>
              <w:rPr>
                <w:rFonts w:ascii="Times New Roman"/>
                <w:sz w:val="18"/>
              </w:rPr>
              <w:t>49,709,73</w:t>
            </w:r>
          </w:p>
          <w:p>
            <w:pPr>
              <w:pStyle w:val="TableParagraph"/>
              <w:spacing w:line="240" w:lineRule="auto" w:before="102"/>
              <w:ind w:left="451" w:right="0"/>
              <w:jc w:val="left"/>
              <w:rPr>
                <w:rFonts w:ascii="Times New Roman" w:hAnsi="Times New Roman" w:cs="Times New Roman" w:eastAsia="Times New Roman" w:hint="default"/>
                <w:sz w:val="18"/>
                <w:szCs w:val="18"/>
              </w:rPr>
            </w:pPr>
            <w:r>
              <w:rPr>
                <w:rFonts w:ascii="Times New Roman"/>
                <w:sz w:val="18"/>
              </w:rPr>
              <w:t>6.36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4,243,818</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.92</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5" w:right="0"/>
              <w:jc w:val="left"/>
              <w:rPr>
                <w:rFonts w:ascii="Times New Roman" w:hAnsi="Times New Roman" w:cs="Times New Roman" w:eastAsia="Times New Roman" w:hint="default"/>
                <w:sz w:val="18"/>
                <w:szCs w:val="18"/>
              </w:rPr>
            </w:pPr>
            <w:r>
              <w:rPr>
                <w:rFonts w:ascii="Times New Roman"/>
                <w:sz w:val="18"/>
              </w:rPr>
              <w:t>479,295,5</w:t>
            </w:r>
          </w:p>
          <w:p>
            <w:pPr>
              <w:pStyle w:val="TableParagraph"/>
              <w:spacing w:line="240" w:lineRule="auto" w:before="102"/>
              <w:ind w:left="367" w:right="0"/>
              <w:jc w:val="left"/>
              <w:rPr>
                <w:rFonts w:ascii="Times New Roman" w:hAnsi="Times New Roman" w:cs="Times New Roman" w:eastAsia="Times New Roman" w:hint="default"/>
                <w:sz w:val="18"/>
                <w:szCs w:val="18"/>
              </w:rPr>
            </w:pPr>
            <w:r>
              <w:rPr>
                <w:rFonts w:ascii="Times New Roman"/>
                <w:sz w:val="18"/>
              </w:rPr>
              <w:t>11.18</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5" w:right="0"/>
              <w:jc w:val="left"/>
              <w:rPr>
                <w:rFonts w:ascii="Times New Roman" w:hAnsi="Times New Roman" w:cs="Times New Roman" w:eastAsia="Times New Roman" w:hint="default"/>
                <w:sz w:val="18"/>
                <w:szCs w:val="18"/>
              </w:rPr>
            </w:pPr>
            <w:r>
              <w:rPr>
                <w:rFonts w:ascii="Times New Roman"/>
                <w:sz w:val="18"/>
              </w:rPr>
              <w:t>583,178,8</w:t>
            </w:r>
          </w:p>
          <w:p>
            <w:pPr>
              <w:pStyle w:val="TableParagraph"/>
              <w:spacing w:line="240" w:lineRule="auto" w:before="102"/>
              <w:ind w:left="360" w:right="0"/>
              <w:jc w:val="left"/>
              <w:rPr>
                <w:rFonts w:ascii="Times New Roman" w:hAnsi="Times New Roman" w:cs="Times New Roman" w:eastAsia="Times New Roman" w:hint="default"/>
                <w:sz w:val="18"/>
                <w:szCs w:val="18"/>
              </w:rPr>
            </w:pPr>
            <w:r>
              <w:rPr>
                <w:rFonts w:ascii="Times New Roman"/>
                <w:sz w:val="18"/>
              </w:rPr>
              <w:t>55.00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6" w:hRule="exact"/>
        </w:trPr>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77,302,68</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4.84</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6,992,645</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6" w:right="0"/>
              <w:jc w:val="left"/>
              <w:rPr>
                <w:rFonts w:ascii="Times New Roman" w:hAnsi="Times New Roman" w:cs="Times New Roman" w:eastAsia="Times New Roman" w:hint="default"/>
                <w:sz w:val="18"/>
                <w:szCs w:val="18"/>
              </w:rPr>
            </w:pPr>
            <w:r>
              <w:rPr>
                <w:rFonts w:ascii="Times New Roman"/>
                <w:sz w:val="18"/>
              </w:rPr>
              <w:t>-14,050,1</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74.33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6" w:right="0"/>
              <w:jc w:val="left"/>
              <w:rPr>
                <w:rFonts w:ascii="Times New Roman" w:hAnsi="Times New Roman" w:cs="Times New Roman" w:eastAsia="Times New Roman" w:hint="default"/>
                <w:sz w:val="18"/>
                <w:szCs w:val="18"/>
              </w:rPr>
            </w:pPr>
            <w:r>
              <w:rPr>
                <w:rFonts w:ascii="Times New Roman"/>
                <w:sz w:val="18"/>
              </w:rPr>
              <w:t>-5,688,18</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9.78</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49,709,73</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6.36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4,243,818</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.92</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479,295,5</w:t>
            </w:r>
          </w:p>
          <w:p>
            <w:pPr>
              <w:pStyle w:val="TableParagraph"/>
              <w:spacing w:line="240" w:lineRule="auto" w:before="105"/>
              <w:ind w:left="367" w:right="0"/>
              <w:jc w:val="left"/>
              <w:rPr>
                <w:rFonts w:ascii="Times New Roman" w:hAnsi="Times New Roman" w:cs="Times New Roman" w:eastAsia="Times New Roman" w:hint="default"/>
                <w:sz w:val="18"/>
                <w:szCs w:val="18"/>
              </w:rPr>
            </w:pPr>
            <w:r>
              <w:rPr>
                <w:rFonts w:ascii="Times New Roman"/>
                <w:sz w:val="18"/>
              </w:rPr>
              <w:t>11.18</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589,318,3</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94.35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t>（</w:t>
      </w:r>
      <w:r>
        <w:rPr>
          <w:rFonts w:ascii="Times New Roman" w:hAnsi="Times New Roman" w:cs="Times New Roman" w:eastAsia="Times New Roman" w:hint="default"/>
        </w:rPr>
        <w:t>3</w:t>
      </w:r>
      <w:r>
        <w:rPr/>
        <w:t>）其他说明</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rFonts w:ascii="Times New Roman" w:hAnsi="Times New Roman" w:cs="Times New Roman" w:eastAsia="Times New Roman" w:hint="default"/>
        </w:rPr>
        <w:t>4</w:t>
      </w:r>
      <w:r>
        <w:rPr/>
        <w:t>、营业收入和营业成本</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984"/>
        <w:gridCol w:w="1835"/>
        <w:gridCol w:w="1913"/>
        <w:gridCol w:w="1913"/>
        <w:gridCol w:w="1916"/>
      </w:tblGrid>
      <w:tr>
        <w:trPr>
          <w:trHeight w:val="206" w:hRule="exact"/>
        </w:trPr>
        <w:tc>
          <w:tcPr>
            <w:tcW w:w="1984" w:type="dxa"/>
            <w:tcBorders>
              <w:top w:val="single" w:sz="4" w:space="0" w:color="000000"/>
              <w:left w:val="single" w:sz="4" w:space="0" w:color="000000"/>
              <w:bottom w:val="nil" w:sz="6" w:space="0" w:color="auto"/>
              <w:right w:val="single" w:sz="4" w:space="0" w:color="000000"/>
            </w:tcBorders>
            <w:shd w:val="clear" w:color="auto" w:fill="D2D2D2"/>
          </w:tcPr>
          <w:p>
            <w:pPr/>
          </w:p>
        </w:tc>
        <w:tc>
          <w:tcPr>
            <w:tcW w:w="374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2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193" w:hRule="exact"/>
        </w:trPr>
        <w:tc>
          <w:tcPr>
            <w:tcW w:w="198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13"/>
              <w:jc w:val="center"/>
              <w:rPr>
                <w:rFonts w:ascii="宋体" w:hAnsi="宋体" w:cs="宋体" w:eastAsia="宋体" w:hint="default"/>
                <w:sz w:val="18"/>
                <w:szCs w:val="18"/>
              </w:rPr>
            </w:pPr>
            <w:r>
              <w:rPr>
                <w:rFonts w:ascii="宋体" w:hAnsi="宋体" w:cs="宋体" w:eastAsia="宋体" w:hint="default"/>
                <w:sz w:val="18"/>
                <w:szCs w:val="18"/>
              </w:rPr>
              <w:t>项目</w:t>
            </w:r>
          </w:p>
        </w:tc>
        <w:tc>
          <w:tcPr>
            <w:tcW w:w="3749" w:type="dxa"/>
            <w:gridSpan w:val="2"/>
            <w:vMerge/>
            <w:tcBorders>
              <w:left w:val="single" w:sz="4" w:space="0" w:color="000000"/>
              <w:bottom w:val="single" w:sz="4" w:space="0" w:color="000000"/>
              <w:right w:val="single" w:sz="4" w:space="0" w:color="000000"/>
            </w:tcBorders>
            <w:shd w:val="clear" w:color="auto" w:fill="D2D2D2"/>
          </w:tcPr>
          <w:p>
            <w:pPr/>
          </w:p>
        </w:tc>
        <w:tc>
          <w:tcPr>
            <w:tcW w:w="3829" w:type="dxa"/>
            <w:gridSpan w:val="2"/>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1984" w:type="dxa"/>
            <w:vMerge/>
            <w:tcBorders>
              <w:left w:val="single" w:sz="4" w:space="0" w:color="000000"/>
              <w:bottom w:val="nil" w:sz="6" w:space="0" w:color="auto"/>
              <w:right w:val="single" w:sz="4" w:space="0" w:color="000000"/>
            </w:tcBorders>
            <w:shd w:val="clear" w:color="auto" w:fill="D2D2D2"/>
          </w:tcPr>
          <w:p>
            <w:pPr/>
          </w:p>
        </w:tc>
        <w:tc>
          <w:tcPr>
            <w:tcW w:w="183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 w:right="0"/>
              <w:jc w:val="center"/>
              <w:rPr>
                <w:rFonts w:ascii="宋体" w:hAnsi="宋体" w:cs="宋体" w:eastAsia="宋体" w:hint="default"/>
                <w:sz w:val="18"/>
                <w:szCs w:val="18"/>
              </w:rPr>
            </w:pPr>
            <w:r>
              <w:rPr>
                <w:rFonts w:ascii="宋体" w:hAnsi="宋体" w:cs="宋体" w:eastAsia="宋体" w:hint="default"/>
                <w:sz w:val="18"/>
                <w:szCs w:val="18"/>
              </w:rPr>
              <w:t>成本</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204" w:hRule="exact"/>
        </w:trPr>
        <w:tc>
          <w:tcPr>
            <w:tcW w:w="1984" w:type="dxa"/>
            <w:tcBorders>
              <w:top w:val="nil" w:sz="6" w:space="0" w:color="auto"/>
              <w:left w:val="single" w:sz="4" w:space="0" w:color="000000"/>
              <w:bottom w:val="single" w:sz="4" w:space="0" w:color="000000"/>
              <w:right w:val="single" w:sz="4" w:space="0" w:color="000000"/>
            </w:tcBorders>
            <w:shd w:val="clear" w:color="auto" w:fill="D2D2D2"/>
          </w:tcPr>
          <w:p>
            <w:pPr/>
          </w:p>
        </w:tc>
        <w:tc>
          <w:tcPr>
            <w:tcW w:w="1835"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1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83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640,929,340.47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123,204,433.21</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626,265,078.25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45,528,523.69</w:t>
            </w:r>
          </w:p>
        </w:tc>
      </w:tr>
      <w:tr>
        <w:trPr>
          <w:trHeight w:val="401" w:hRule="exact"/>
        </w:trPr>
        <w:tc>
          <w:tcPr>
            <w:tcW w:w="1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83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26,090,069.86</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3,908,786.59</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14,662,977.64</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692,140.30</w:t>
            </w:r>
          </w:p>
        </w:tc>
      </w:tr>
      <w:tr>
        <w:trPr>
          <w:trHeight w:val="403" w:hRule="exact"/>
        </w:trPr>
        <w:tc>
          <w:tcPr>
            <w:tcW w:w="1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3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667,019,410.33</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127,113,219.80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640,928,055.89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46,220,663.99</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rFonts w:ascii="Times New Roman" w:hAnsi="Times New Roman" w:cs="Times New Roman" w:eastAsia="Times New Roman" w:hint="default"/>
        </w:rPr>
        <w:t>5</w:t>
      </w:r>
      <w:r>
        <w:rPr/>
        <w:t>、投资收益</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1"/>
        <w:jc w:val="right"/>
      </w:pPr>
      <w:r>
        <w:rPr/>
        <w:t>单位：</w:t>
      </w:r>
      <w:r>
        <w:rPr>
          <w:spacing w:val="1"/>
        </w:rPr>
        <w:t> </w:t>
      </w:r>
      <w:r>
        <w:rPr/>
        <w:t>元</w:t>
      </w:r>
    </w:p>
    <w:p>
      <w:pPr>
        <w:spacing w:after="0" w:line="240" w:lineRule="auto"/>
        <w:jc w:val="right"/>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3302"/>
        <w:gridCol w:w="3071"/>
        <w:gridCol w:w="3185"/>
      </w:tblGrid>
      <w:tr>
        <w:trPr>
          <w:trHeight w:val="401"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成本法核算的长期股权投资收益</w:t>
            </w:r>
          </w:p>
        </w:tc>
        <w:tc>
          <w:tcPr>
            <w:tcW w:w="307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102,370,906.65</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75,711,617.06</w:t>
            </w:r>
          </w:p>
        </w:tc>
      </w:tr>
      <w:tr>
        <w:trPr>
          <w:trHeight w:val="401"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307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-14,050,174.33</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4,470,565.52</w:t>
            </w:r>
          </w:p>
        </w:tc>
      </w:tr>
      <w:tr>
        <w:trPr>
          <w:trHeight w:val="403"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tc>
        <w:tc>
          <w:tcPr>
            <w:tcW w:w="307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114,531,489.71</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-612,707.63</w:t>
            </w:r>
          </w:p>
        </w:tc>
      </w:tr>
      <w:tr>
        <w:trPr>
          <w:trHeight w:val="713"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38"/>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 金融资产在持有期间的投资收益</w:t>
            </w:r>
          </w:p>
        </w:tc>
        <w:tc>
          <w:tcPr>
            <w:tcW w:w="307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38"/>
              <w:jc w:val="left"/>
              <w:rPr>
                <w:rFonts w:ascii="宋体" w:hAnsi="宋体" w:cs="宋体" w:eastAsia="宋体" w:hint="default"/>
                <w:sz w:val="18"/>
                <w:szCs w:val="18"/>
              </w:rPr>
            </w:pPr>
            <w:r>
              <w:rPr>
                <w:rFonts w:ascii="宋体" w:hAnsi="宋体" w:cs="宋体" w:eastAsia="宋体" w:hint="default"/>
                <w:sz w:val="18"/>
                <w:szCs w:val="18"/>
              </w:rPr>
              <w:t>处置以公允价值计量且其变动计入当期损 益的金融资产取得的投资收益</w:t>
            </w:r>
          </w:p>
        </w:tc>
        <w:tc>
          <w:tcPr>
            <w:tcW w:w="307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615,921,759.91</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持有至到期投资在持有期间的投资收益</w:t>
            </w:r>
          </w:p>
        </w:tc>
        <w:tc>
          <w:tcPr>
            <w:tcW w:w="307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2"/>
                <w:sz w:val="18"/>
              </w:rPr>
              <w:t>20,111,070.57</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1,497,044.07</w:t>
            </w:r>
          </w:p>
        </w:tc>
      </w:tr>
      <w:tr>
        <w:trPr>
          <w:trHeight w:val="404"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可供出售金融资产在持有期间的投资收益</w:t>
            </w:r>
          </w:p>
        </w:tc>
        <w:tc>
          <w:tcPr>
            <w:tcW w:w="307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1,183,069.00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632,419.53</w:t>
            </w:r>
          </w:p>
        </w:tc>
      </w:tr>
      <w:tr>
        <w:trPr>
          <w:trHeight w:val="401"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处置可供出售金融资产取得的投资收益</w:t>
            </w:r>
          </w:p>
        </w:tc>
        <w:tc>
          <w:tcPr>
            <w:tcW w:w="307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6,520,000.00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8,472,084.00</w:t>
            </w:r>
          </w:p>
        </w:tc>
      </w:tr>
      <w:tr>
        <w:trPr>
          <w:trHeight w:val="715"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38"/>
              <w:jc w:val="left"/>
              <w:rPr>
                <w:rFonts w:ascii="宋体" w:hAnsi="宋体" w:cs="宋体" w:eastAsia="宋体" w:hint="default"/>
                <w:sz w:val="18"/>
                <w:szCs w:val="18"/>
              </w:rPr>
            </w:pPr>
            <w:r>
              <w:rPr>
                <w:rFonts w:ascii="宋体" w:hAnsi="宋体" w:cs="宋体" w:eastAsia="宋体" w:hint="default"/>
                <w:sz w:val="18"/>
                <w:szCs w:val="18"/>
              </w:rPr>
              <w:t>丧失控制权后，剩余股权按公允价值重新 计量产生的利得</w:t>
            </w:r>
          </w:p>
        </w:tc>
        <w:tc>
          <w:tcPr>
            <w:tcW w:w="307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7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846,588,121.51</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90,171,022.55</w:t>
            </w:r>
          </w:p>
        </w:tc>
      </w:tr>
    </w:tbl>
    <w:p>
      <w:pPr>
        <w:spacing w:line="240" w:lineRule="auto" w:before="3"/>
        <w:rPr>
          <w:rFonts w:ascii="宋体" w:hAnsi="宋体" w:cs="宋体" w:eastAsia="宋体" w:hint="default"/>
          <w:sz w:val="19"/>
          <w:szCs w:val="19"/>
        </w:rPr>
      </w:pPr>
    </w:p>
    <w:p>
      <w:pPr>
        <w:pStyle w:val="Heading4"/>
        <w:spacing w:line="240" w:lineRule="auto" w:before="36"/>
        <w:ind w:right="982"/>
        <w:jc w:val="left"/>
        <w:rPr>
          <w:b w:val="0"/>
          <w:bCs w:val="0"/>
        </w:rPr>
      </w:pPr>
      <w:r>
        <w:rPr>
          <w:rFonts w:ascii="Times New Roman" w:hAnsi="Times New Roman" w:cs="Times New Roman" w:eastAsia="Times New Roman" w:hint="default"/>
        </w:rPr>
        <w:t>6</w:t>
      </w:r>
      <w:r>
        <w:rPr/>
        <w:t>、其他</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3"/>
        <w:rPr>
          <w:rFonts w:ascii="宋体" w:hAnsi="宋体" w:cs="宋体" w:eastAsia="宋体" w:hint="default"/>
          <w:sz w:val="25"/>
          <w:szCs w:val="25"/>
        </w:rPr>
      </w:pPr>
    </w:p>
    <w:p>
      <w:pPr>
        <w:pStyle w:val="Heading2"/>
        <w:spacing w:line="240" w:lineRule="auto"/>
        <w:ind w:right="982"/>
        <w:jc w:val="left"/>
        <w:rPr>
          <w:b w:val="0"/>
          <w:bCs w:val="0"/>
        </w:rPr>
      </w:pPr>
      <w:r>
        <w:rPr/>
        <w:t>十八、补充资料</w:t>
      </w:r>
      <w:r>
        <w:rPr>
          <w:b w:val="0"/>
          <w:bCs w:val="0"/>
        </w:rPr>
      </w:r>
    </w:p>
    <w:p>
      <w:pPr>
        <w:spacing w:line="240" w:lineRule="auto" w:before="12"/>
        <w:rPr>
          <w:rFonts w:ascii="宋体" w:hAnsi="宋体" w:cs="宋体" w:eastAsia="宋体" w:hint="default"/>
          <w:b/>
          <w:bCs/>
          <w:sz w:val="24"/>
          <w:szCs w:val="24"/>
        </w:rPr>
      </w:pPr>
    </w:p>
    <w:p>
      <w:pPr>
        <w:pStyle w:val="Heading4"/>
        <w:spacing w:line="240" w:lineRule="auto"/>
        <w:ind w:right="982"/>
        <w:jc w:val="left"/>
        <w:rPr>
          <w:b w:val="0"/>
          <w:bCs w:val="0"/>
        </w:rPr>
      </w:pPr>
      <w:r>
        <w:rPr>
          <w:rFonts w:ascii="Times New Roman" w:hAnsi="Times New Roman" w:cs="Times New Roman" w:eastAsia="Times New Roman" w:hint="default"/>
        </w:rPr>
        <w:t>1</w:t>
      </w:r>
      <w:r>
        <w:rPr/>
        <w:t>、当期非经常性损益明细表</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240" w:lineRule="auto" w:before="103"/>
        <w:ind w:left="0" w:right="113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4373"/>
        <w:gridCol w:w="2001"/>
        <w:gridCol w:w="3185"/>
      </w:tblGrid>
      <w:tr>
        <w:trPr>
          <w:trHeight w:val="401"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0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161" w:hRule="exact"/>
        </w:trPr>
        <w:tc>
          <w:tcPr>
            <w:tcW w:w="4373" w:type="dxa"/>
            <w:tcBorders>
              <w:top w:val="single" w:sz="4" w:space="0" w:color="000000"/>
              <w:left w:val="single" w:sz="4" w:space="0" w:color="000000"/>
              <w:bottom w:val="nil" w:sz="6" w:space="0" w:color="auto"/>
              <w:right w:val="single" w:sz="4" w:space="0" w:color="000000"/>
            </w:tcBorders>
            <w:shd w:val="clear" w:color="auto" w:fill="D2D2D2"/>
          </w:tcPr>
          <w:p>
            <w:pPr/>
          </w:p>
        </w:tc>
        <w:tc>
          <w:tcPr>
            <w:tcW w:w="2001" w:type="dxa"/>
            <w:vMerge w:val="restart"/>
            <w:tcBorders>
              <w:top w:val="single" w:sz="4" w:space="0" w:color="000000"/>
              <w:left w:val="single" w:sz="10" w:space="0" w:color="D2D2D2"/>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99" w:right="0"/>
              <w:jc w:val="left"/>
              <w:rPr>
                <w:rFonts w:ascii="Times New Roman" w:hAnsi="Times New Roman" w:cs="Times New Roman" w:eastAsia="Times New Roman" w:hint="default"/>
                <w:sz w:val="18"/>
                <w:szCs w:val="18"/>
              </w:rPr>
            </w:pPr>
            <w:r>
              <w:rPr>
                <w:rFonts w:ascii="Times New Roman"/>
                <w:sz w:val="18"/>
              </w:rPr>
              <w:t>1,077,376,020.17</w:t>
            </w:r>
          </w:p>
        </w:tc>
        <w:tc>
          <w:tcPr>
            <w:tcW w:w="3185" w:type="dxa"/>
            <w:vMerge w:val="restart"/>
            <w:tcBorders>
              <w:top w:val="single" w:sz="4" w:space="0" w:color="000000"/>
              <w:left w:val="single" w:sz="4" w:space="0" w:color="000000"/>
              <w:right w:val="single" w:sz="4" w:space="0" w:color="000000"/>
            </w:tcBorders>
          </w:tcPr>
          <w:p>
            <w:pPr>
              <w:pStyle w:val="TableParagraph"/>
              <w:spacing w:line="300" w:lineRule="auto" w:before="49"/>
              <w:ind w:left="23" w:right="216"/>
              <w:jc w:val="left"/>
              <w:rPr>
                <w:rFonts w:ascii="宋体" w:hAnsi="宋体" w:cs="宋体" w:eastAsia="宋体" w:hint="default"/>
                <w:sz w:val="18"/>
                <w:szCs w:val="18"/>
              </w:rPr>
            </w:pPr>
            <w:r>
              <w:rPr>
                <w:rFonts w:ascii="宋体" w:hAnsi="宋体" w:cs="宋体" w:eastAsia="宋体" w:hint="default"/>
                <w:sz w:val="18"/>
                <w:szCs w:val="18"/>
              </w:rPr>
              <w:t>主要系处置子公司</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Mapbar</w:t>
            </w:r>
            <w:r>
              <w:rPr>
                <w:rFonts w:ascii="Times New Roman" w:hAnsi="Times New Roman" w:cs="Times New Roman" w:eastAsia="Times New Roman" w:hint="default"/>
                <w:spacing w:val="-12"/>
                <w:sz w:val="18"/>
                <w:szCs w:val="18"/>
              </w:rPr>
              <w:t> </w:t>
            </w:r>
            <w:r>
              <w:rPr>
                <w:rFonts w:ascii="Times New Roman" w:hAnsi="Times New Roman" w:cs="Times New Roman" w:eastAsia="Times New Roman" w:hint="default"/>
                <w:sz w:val="18"/>
                <w:szCs w:val="18"/>
              </w:rPr>
              <w:t>Technology</w:t>
            </w:r>
            <w:r>
              <w:rPr>
                <w:rFonts w:ascii="Times New Roman" w:hAnsi="Times New Roman" w:cs="Times New Roman" w:eastAsia="Times New Roman" w:hint="default"/>
                <w:sz w:val="18"/>
                <w:szCs w:val="18"/>
              </w:rPr>
              <w:t> Limited</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的投资收益</w:t>
            </w:r>
          </w:p>
        </w:tc>
      </w:tr>
      <w:tr>
        <w:trPr>
          <w:trHeight w:val="394" w:hRule="exact"/>
        </w:trPr>
        <w:tc>
          <w:tcPr>
            <w:tcW w:w="437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2001" w:type="dxa"/>
            <w:vMerge/>
            <w:tcBorders>
              <w:left w:val="single" w:sz="10" w:space="0" w:color="D2D2D2"/>
              <w:right w:val="single" w:sz="4" w:space="0" w:color="000000"/>
            </w:tcBorders>
          </w:tcPr>
          <w:p>
            <w:pPr/>
          </w:p>
        </w:tc>
        <w:tc>
          <w:tcPr>
            <w:tcW w:w="3185" w:type="dxa"/>
            <w:vMerge/>
            <w:tcBorders>
              <w:left w:val="single" w:sz="4" w:space="0" w:color="000000"/>
              <w:right w:val="single" w:sz="4" w:space="0" w:color="000000"/>
            </w:tcBorders>
          </w:tcPr>
          <w:p>
            <w:pPr/>
          </w:p>
        </w:tc>
      </w:tr>
      <w:tr>
        <w:trPr>
          <w:trHeight w:val="161" w:hRule="exact"/>
        </w:trPr>
        <w:tc>
          <w:tcPr>
            <w:tcW w:w="4373" w:type="dxa"/>
            <w:tcBorders>
              <w:top w:val="nil" w:sz="6" w:space="0" w:color="auto"/>
              <w:left w:val="single" w:sz="4" w:space="0" w:color="000000"/>
              <w:bottom w:val="single" w:sz="4" w:space="0" w:color="000000"/>
              <w:right w:val="single" w:sz="4" w:space="0" w:color="000000"/>
            </w:tcBorders>
            <w:shd w:val="clear" w:color="auto" w:fill="D2D2D2"/>
          </w:tcPr>
          <w:p>
            <w:pPr/>
          </w:p>
        </w:tc>
        <w:tc>
          <w:tcPr>
            <w:tcW w:w="2001" w:type="dxa"/>
            <w:vMerge/>
            <w:tcBorders>
              <w:left w:val="single" w:sz="10" w:space="0" w:color="D2D2D2"/>
              <w:bottom w:val="single" w:sz="4" w:space="0" w:color="000000"/>
              <w:right w:val="single" w:sz="4" w:space="0" w:color="000000"/>
            </w:tcBorders>
          </w:tcPr>
          <w:p>
            <w:pPr/>
          </w:p>
        </w:tc>
        <w:tc>
          <w:tcPr>
            <w:tcW w:w="3185" w:type="dxa"/>
            <w:vMerge/>
            <w:tcBorders>
              <w:left w:val="single" w:sz="4" w:space="0" w:color="000000"/>
              <w:bottom w:val="single" w:sz="4" w:space="0" w:color="000000"/>
              <w:right w:val="single" w:sz="4" w:space="0" w:color="000000"/>
            </w:tcBorders>
          </w:tcPr>
          <w:p>
            <w:pPr/>
          </w:p>
        </w:tc>
      </w:tr>
      <w:tr>
        <w:trPr>
          <w:trHeight w:val="401"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越权审批或无正式批准文件的税收返还、减免</w:t>
            </w:r>
          </w:p>
        </w:tc>
        <w:tc>
          <w:tcPr>
            <w:tcW w:w="200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5"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12" w:right="30"/>
              <w:jc w:val="left"/>
              <w:rPr>
                <w:rFonts w:ascii="宋体" w:hAnsi="宋体" w:cs="宋体" w:eastAsia="宋体" w:hint="default"/>
                <w:sz w:val="18"/>
                <w:szCs w:val="18"/>
              </w:rPr>
            </w:pPr>
            <w:r>
              <w:rPr>
                <w:rFonts w:ascii="宋体" w:hAnsi="宋体" w:cs="宋体" w:eastAsia="宋体" w:hint="default"/>
                <w:sz w:val="18"/>
                <w:szCs w:val="18"/>
              </w:rPr>
              <w:t>计入当期损益的政府补助（与企业业务密切相关，按照 国家统一标准定额或定量享受的政府补助除外）</w:t>
            </w:r>
          </w:p>
        </w:tc>
        <w:tc>
          <w:tcPr>
            <w:tcW w:w="200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962,169.95</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3" w:right="89"/>
              <w:jc w:val="left"/>
              <w:rPr>
                <w:rFonts w:ascii="宋体" w:hAnsi="宋体" w:cs="宋体" w:eastAsia="宋体" w:hint="default"/>
                <w:sz w:val="18"/>
                <w:szCs w:val="18"/>
              </w:rPr>
            </w:pPr>
            <w:r>
              <w:rPr>
                <w:rFonts w:ascii="宋体" w:hAnsi="宋体" w:cs="宋体" w:eastAsia="宋体" w:hint="default"/>
                <w:sz w:val="18"/>
                <w:szCs w:val="18"/>
              </w:rPr>
              <w:t>公司收到政府项目资助，并在本期确认 营业外收入</w:t>
            </w:r>
          </w:p>
        </w:tc>
      </w:tr>
      <w:tr>
        <w:trPr>
          <w:trHeight w:val="401"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计入当期损益的对非金融企业收取的资金占用费</w:t>
            </w:r>
          </w:p>
        </w:tc>
        <w:tc>
          <w:tcPr>
            <w:tcW w:w="200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671,422.95</w:t>
            </w:r>
          </w:p>
        </w:tc>
        <w:tc>
          <w:tcPr>
            <w:tcW w:w="3185"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30"/>
              <w:jc w:val="both"/>
              <w:rPr>
                <w:rFonts w:ascii="宋体" w:hAnsi="宋体" w:cs="宋体" w:eastAsia="宋体" w:hint="default"/>
                <w:sz w:val="18"/>
                <w:szCs w:val="18"/>
              </w:rPr>
            </w:pPr>
            <w:r>
              <w:rPr>
                <w:rFonts w:ascii="宋体" w:hAnsi="宋体" w:cs="宋体" w:eastAsia="宋体" w:hint="default"/>
                <w:sz w:val="18"/>
                <w:szCs w:val="18"/>
              </w:rPr>
              <w:t>企业取得子公司、联营企业及合营企业的投资成本小于 取得投资时应享有被投资单位可辨认净资产公允价值产 生的收益</w:t>
            </w:r>
          </w:p>
        </w:tc>
        <w:tc>
          <w:tcPr>
            <w:tcW w:w="200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非货币性资产交换损益</w:t>
            </w:r>
          </w:p>
        </w:tc>
        <w:tc>
          <w:tcPr>
            <w:tcW w:w="200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5" w:type="dxa"/>
            <w:tcBorders>
              <w:top w:val="single" w:sz="4" w:space="0" w:color="000000"/>
              <w:left w:val="single" w:sz="4" w:space="0" w:color="000000"/>
              <w:bottom w:val="single" w:sz="4" w:space="0" w:color="000000"/>
              <w:right w:val="single" w:sz="4" w:space="0" w:color="000000"/>
            </w:tcBorders>
          </w:tcPr>
          <w:p>
            <w:pPr/>
          </w:p>
        </w:tc>
      </w:tr>
      <w:tr>
        <w:trPr>
          <w:trHeight w:val="413"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委托他人投资或管理资产的损益</w:t>
            </w:r>
          </w:p>
        </w:tc>
        <w:tc>
          <w:tcPr>
            <w:tcW w:w="200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25,082,831.48</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银行理财收益</w:t>
            </w:r>
          </w:p>
        </w:tc>
      </w:tr>
      <w:tr>
        <w:trPr>
          <w:trHeight w:val="38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12" w:right="0"/>
              <w:jc w:val="left"/>
              <w:rPr>
                <w:rFonts w:ascii="宋体" w:hAnsi="宋体" w:cs="宋体" w:eastAsia="宋体" w:hint="default"/>
                <w:sz w:val="18"/>
                <w:szCs w:val="18"/>
              </w:rPr>
            </w:pPr>
            <w:r>
              <w:rPr>
                <w:rFonts w:ascii="宋体" w:hAnsi="宋体" w:cs="宋体" w:eastAsia="宋体" w:hint="default"/>
                <w:sz w:val="18"/>
                <w:szCs w:val="18"/>
              </w:rPr>
              <w:t>因不可抗力因素，如遭受自然灾害而计提的各项资产减</w:t>
            </w:r>
          </w:p>
        </w:tc>
        <w:tc>
          <w:tcPr>
            <w:tcW w:w="200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8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5"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4394"/>
        <w:gridCol w:w="1990"/>
        <w:gridCol w:w="3185"/>
      </w:tblGrid>
      <w:tr>
        <w:trPr>
          <w:trHeight w:val="363"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22" w:right="0"/>
              <w:jc w:val="left"/>
              <w:rPr>
                <w:rFonts w:ascii="宋体" w:hAnsi="宋体" w:cs="宋体" w:eastAsia="宋体" w:hint="default"/>
                <w:sz w:val="18"/>
                <w:szCs w:val="18"/>
              </w:rPr>
            </w:pPr>
            <w:r>
              <w:rPr>
                <w:rFonts w:ascii="宋体" w:hAnsi="宋体" w:cs="宋体" w:eastAsia="宋体" w:hint="default"/>
                <w:sz w:val="18"/>
                <w:szCs w:val="18"/>
              </w:rPr>
              <w:t>值准备</w:t>
            </w:r>
          </w:p>
        </w:tc>
        <w:tc>
          <w:tcPr>
            <w:tcW w:w="1990" w:type="dxa"/>
            <w:tcBorders>
              <w:top w:val="single" w:sz="4" w:space="0" w:color="000000"/>
              <w:left w:val="single" w:sz="4" w:space="0" w:color="000000"/>
              <w:bottom w:val="single" w:sz="4" w:space="0" w:color="000000"/>
              <w:right w:val="single" w:sz="4" w:space="0" w:color="000000"/>
            </w:tcBorders>
          </w:tcPr>
          <w:p>
            <w:pPr/>
          </w:p>
        </w:tc>
        <w:tc>
          <w:tcPr>
            <w:tcW w:w="318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债务重组损益</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企业重组费用，如安置职工的支出、整合费用等</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5"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39"/>
              <w:jc w:val="left"/>
              <w:rPr>
                <w:rFonts w:ascii="宋体" w:hAnsi="宋体" w:cs="宋体" w:eastAsia="宋体" w:hint="default"/>
                <w:sz w:val="18"/>
                <w:szCs w:val="18"/>
              </w:rPr>
            </w:pPr>
            <w:r>
              <w:rPr>
                <w:rFonts w:ascii="宋体" w:hAnsi="宋体" w:cs="宋体" w:eastAsia="宋体" w:hint="default"/>
                <w:sz w:val="18"/>
                <w:szCs w:val="18"/>
              </w:rPr>
              <w:t>交易价格显失公允的交易产生的超过公允价值部分的损 益</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5"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39"/>
              <w:jc w:val="left"/>
              <w:rPr>
                <w:rFonts w:ascii="宋体" w:hAnsi="宋体" w:cs="宋体" w:eastAsia="宋体" w:hint="default"/>
                <w:sz w:val="18"/>
                <w:szCs w:val="18"/>
              </w:rPr>
            </w:pPr>
            <w:r>
              <w:rPr>
                <w:rFonts w:ascii="宋体" w:hAnsi="宋体" w:cs="宋体" w:eastAsia="宋体" w:hint="default"/>
                <w:sz w:val="18"/>
                <w:szCs w:val="18"/>
              </w:rPr>
              <w:t>同一控制下企业合并产生的子公司期初至合并日的当期 净损益</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与公司正常经营业务无关的或有事项产生的损益</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5" w:type="dxa"/>
            <w:tcBorders>
              <w:top w:val="single" w:sz="4" w:space="0" w:color="000000"/>
              <w:left w:val="single" w:sz="4" w:space="0" w:color="000000"/>
              <w:bottom w:val="single" w:sz="4" w:space="0" w:color="000000"/>
              <w:right w:val="single" w:sz="4" w:space="0" w:color="000000"/>
            </w:tcBorders>
          </w:tcPr>
          <w:p>
            <w:pPr/>
          </w:p>
        </w:tc>
      </w:tr>
      <w:tr>
        <w:trPr>
          <w:trHeight w:val="1340"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2" w:right="39"/>
              <w:jc w:val="both"/>
              <w:rPr>
                <w:rFonts w:ascii="宋体" w:hAnsi="宋体" w:cs="宋体" w:eastAsia="宋体" w:hint="default"/>
                <w:sz w:val="18"/>
                <w:szCs w:val="18"/>
              </w:rPr>
            </w:pPr>
            <w:r>
              <w:rPr>
                <w:rFonts w:ascii="宋体" w:hAnsi="宋体" w:cs="宋体" w:eastAsia="宋体" w:hint="default"/>
                <w:sz w:val="18"/>
                <w:szCs w:val="18"/>
              </w:rPr>
              <w:t>除同公司正常经营业务相关的有效套期保值业务外，持 有交易性金融资产、交易性金融负债产生的公允价值变 动损益，以及处置交易性金融资产、交易性金融负债和 可供出售金融资产取得的投资收益</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7,703,069.00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5"/>
              <w:ind w:left="23" w:right="89"/>
              <w:jc w:val="left"/>
              <w:rPr>
                <w:rFonts w:ascii="宋体" w:hAnsi="宋体" w:cs="宋体" w:eastAsia="宋体" w:hint="default"/>
                <w:sz w:val="18"/>
                <w:szCs w:val="18"/>
              </w:rPr>
            </w:pPr>
            <w:r>
              <w:rPr>
                <w:rFonts w:ascii="宋体" w:hAnsi="宋体" w:cs="宋体" w:eastAsia="宋体" w:hint="default"/>
                <w:sz w:val="18"/>
                <w:szCs w:val="18"/>
              </w:rPr>
              <w:t>主要系处置可供出售金融资产取得的投 资收益</w:t>
            </w:r>
          </w:p>
        </w:tc>
      </w:tr>
      <w:tr>
        <w:trPr>
          <w:trHeight w:val="401"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单独进行减值测试的应收款项减值准备转回</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对外委托贷款取得的损益</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5"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39"/>
              <w:jc w:val="left"/>
              <w:rPr>
                <w:rFonts w:ascii="宋体" w:hAnsi="宋体" w:cs="宋体" w:eastAsia="宋体" w:hint="default"/>
                <w:sz w:val="18"/>
                <w:szCs w:val="18"/>
              </w:rPr>
            </w:pPr>
            <w:r>
              <w:rPr>
                <w:rFonts w:ascii="宋体" w:hAnsi="宋体" w:cs="宋体" w:eastAsia="宋体" w:hint="default"/>
                <w:sz w:val="18"/>
                <w:szCs w:val="18"/>
              </w:rPr>
              <w:t>采用公允价值模式进行后续计量的投资性房地产公允价 值变动产生的损益</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5"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39"/>
              <w:jc w:val="left"/>
              <w:rPr>
                <w:rFonts w:ascii="宋体" w:hAnsi="宋体" w:cs="宋体" w:eastAsia="宋体" w:hint="default"/>
                <w:sz w:val="18"/>
                <w:szCs w:val="18"/>
              </w:rPr>
            </w:pPr>
            <w:r>
              <w:rPr>
                <w:rFonts w:ascii="宋体" w:hAnsi="宋体" w:cs="宋体" w:eastAsia="宋体" w:hint="default"/>
                <w:sz w:val="18"/>
                <w:szCs w:val="18"/>
              </w:rPr>
              <w:t>根据税收、会计等法律、法规的要求对当期损益进行一 次性调整对当期损益的影响</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受托经营取得的托管费收入</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5"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-933,962.88</w:t>
            </w:r>
          </w:p>
        </w:tc>
        <w:tc>
          <w:tcPr>
            <w:tcW w:w="318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其他符合非经常性损益定义的损益项目</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615,921,759.91</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杰发科技股权转让业绩补偿金额</w:t>
            </w:r>
          </w:p>
        </w:tc>
      </w:tr>
      <w:tr>
        <w:trPr>
          <w:trHeight w:val="403"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190,318,840.85</w:t>
            </w:r>
          </w:p>
        </w:tc>
        <w:tc>
          <w:tcPr>
            <w:tcW w:w="318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少数股东权益影响额</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-72,644.20</w:t>
            </w:r>
          </w:p>
        </w:tc>
        <w:tc>
          <w:tcPr>
            <w:tcW w:w="318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4"/>
              <w:jc w:val="right"/>
              <w:rPr>
                <w:rFonts w:ascii="Times New Roman" w:hAnsi="Times New Roman" w:cs="Times New Roman" w:eastAsia="Times New Roman" w:hint="default"/>
                <w:sz w:val="18"/>
                <w:szCs w:val="18"/>
              </w:rPr>
            </w:pPr>
            <w:r>
              <w:rPr>
                <w:rFonts w:ascii="Times New Roman"/>
                <w:spacing w:val="-1"/>
                <w:sz w:val="18"/>
              </w:rPr>
              <w:t>1,536,537,113.93</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49"/>
        <w:ind w:right="982"/>
        <w:jc w:val="left"/>
      </w:pPr>
      <w:r>
        <w:rPr>
          <w:spacing w:val="-3"/>
        </w:rPr>
        <w:t>对公司根据《公开发行证券的公司信息披露解释性公告第 </w:t>
      </w:r>
      <w:r>
        <w:rPr>
          <w:rFonts w:ascii="Times New Roman" w:hAnsi="Times New Roman" w:cs="Times New Roman" w:eastAsia="Times New Roman" w:hint="default"/>
        </w:rPr>
        <w:t>1</w:t>
      </w:r>
      <w:r>
        <w:rPr>
          <w:rFonts w:ascii="Times New Roman" w:hAnsi="Times New Roman" w:cs="Times New Roman" w:eastAsia="Times New Roman" w:hint="default"/>
          <w:spacing w:val="-25"/>
        </w:rPr>
        <w:t> </w:t>
      </w:r>
      <w:r>
        <w:rPr>
          <w:spacing w:val="-7"/>
        </w:rPr>
        <w:t>号</w:t>
      </w:r>
      <w:r>
        <w:rPr>
          <w:rFonts w:ascii="Times New Roman" w:hAnsi="Times New Roman" w:cs="Times New Roman" w:eastAsia="Times New Roman" w:hint="default"/>
          <w:spacing w:val="-7"/>
        </w:rPr>
        <w:t>——</w:t>
      </w:r>
      <w:r>
        <w:rPr>
          <w:spacing w:val="-7"/>
        </w:rPr>
        <w:t>非经常性损益》定义界定的非经常性损益项目，以及把《公</w:t>
      </w:r>
    </w:p>
    <w:p>
      <w:pPr>
        <w:pStyle w:val="BodyText"/>
        <w:spacing w:line="300" w:lineRule="auto" w:before="63"/>
        <w:ind w:right="1119"/>
        <w:jc w:val="left"/>
      </w:pPr>
      <w:r>
        <w:rPr/>
        <w:t>开发行证券的公司信息披露解释性公告第 </w:t>
      </w:r>
      <w:r>
        <w:rPr>
          <w:rFonts w:ascii="Times New Roman" w:hAnsi="Times New Roman" w:cs="Times New Roman" w:eastAsia="Times New Roman" w:hint="default"/>
        </w:rPr>
        <w:t>1</w:t>
      </w:r>
      <w:r>
        <w:rPr>
          <w:rFonts w:ascii="Times New Roman" w:hAnsi="Times New Roman" w:cs="Times New Roman" w:eastAsia="Times New Roman" w:hint="default"/>
          <w:spacing w:val="-25"/>
        </w:rPr>
        <w:t> </w:t>
      </w:r>
      <w:r>
        <w:rPr>
          <w:spacing w:val="-3"/>
        </w:rPr>
        <w:t>号</w:t>
      </w:r>
      <w:r>
        <w:rPr>
          <w:rFonts w:ascii="Times New Roman" w:hAnsi="Times New Roman" w:cs="Times New Roman" w:eastAsia="Times New Roman" w:hint="default"/>
          <w:spacing w:val="-3"/>
        </w:rPr>
        <w:t>——</w:t>
      </w:r>
      <w:r>
        <w:rPr>
          <w:spacing w:val="-3"/>
        </w:rPr>
        <w:t>非经常性损益》中列举的非经常性损益项目界定为经常性损益的项目，应</w:t>
      </w:r>
      <w:r>
        <w:rPr/>
        <w:t> 说明原因。</w:t>
      </w:r>
    </w:p>
    <w:p>
      <w:pPr>
        <w:pStyle w:val="BodyText"/>
        <w:spacing w:line="240" w:lineRule="auto" w:before="70"/>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3"/>
        <w:rPr>
          <w:rFonts w:ascii="宋体" w:hAnsi="宋体" w:cs="宋体" w:eastAsia="宋体" w:hint="default"/>
          <w:sz w:val="26"/>
          <w:szCs w:val="26"/>
        </w:rPr>
      </w:pPr>
    </w:p>
    <w:p>
      <w:pPr>
        <w:pStyle w:val="Heading4"/>
        <w:spacing w:line="240" w:lineRule="auto"/>
        <w:ind w:right="982"/>
        <w:jc w:val="left"/>
        <w:rPr>
          <w:b w:val="0"/>
          <w:bCs w:val="0"/>
        </w:rPr>
      </w:pPr>
      <w:r>
        <w:rPr>
          <w:rFonts w:ascii="Times New Roman" w:hAnsi="Times New Roman" w:cs="Times New Roman" w:eastAsia="Times New Roman" w:hint="default"/>
        </w:rPr>
        <w:t>2</w:t>
      </w:r>
      <w:r>
        <w:rPr/>
        <w:t>、净资产收益率及每股收益</w:t>
      </w:r>
      <w:r>
        <w:rPr>
          <w:b w:val="0"/>
          <w:bCs w:val="0"/>
        </w:rPr>
      </w:r>
    </w:p>
    <w:p>
      <w:pPr>
        <w:spacing w:line="240" w:lineRule="auto" w:before="9"/>
        <w:rPr>
          <w:rFonts w:ascii="宋体" w:hAnsi="宋体" w:cs="宋体" w:eastAsia="宋体" w:hint="default"/>
          <w:b/>
          <w:bCs/>
          <w:sz w:val="25"/>
          <w:szCs w:val="25"/>
        </w:rPr>
      </w:pPr>
    </w:p>
    <w:tbl>
      <w:tblPr>
        <w:tblW w:w="0" w:type="auto"/>
        <w:jc w:val="left"/>
        <w:tblInd w:w="160" w:type="dxa"/>
        <w:tblLayout w:type="fixed"/>
        <w:tblCellMar>
          <w:top w:w="0" w:type="dxa"/>
          <w:left w:w="0" w:type="dxa"/>
          <w:bottom w:w="0" w:type="dxa"/>
          <w:right w:w="0" w:type="dxa"/>
        </w:tblCellMar>
        <w:tblLook w:val="01E0"/>
      </w:tblPr>
      <w:tblGrid>
        <w:gridCol w:w="2650"/>
        <w:gridCol w:w="3083"/>
        <w:gridCol w:w="1913"/>
        <w:gridCol w:w="1913"/>
      </w:tblGrid>
      <w:tr>
        <w:trPr>
          <w:trHeight w:val="206" w:hRule="exact"/>
        </w:trPr>
        <w:tc>
          <w:tcPr>
            <w:tcW w:w="2650" w:type="dxa"/>
            <w:tcBorders>
              <w:top w:val="single" w:sz="4" w:space="0" w:color="000000"/>
              <w:left w:val="single" w:sz="4" w:space="0" w:color="000000"/>
              <w:bottom w:val="nil" w:sz="6" w:space="0" w:color="auto"/>
              <w:right w:val="single" w:sz="4" w:space="0" w:color="000000"/>
            </w:tcBorders>
            <w:shd w:val="clear" w:color="auto" w:fill="D2D2D2"/>
          </w:tcPr>
          <w:p>
            <w:pPr/>
          </w:p>
        </w:tc>
        <w:tc>
          <w:tcPr>
            <w:tcW w:w="3083" w:type="dxa"/>
            <w:tcBorders>
              <w:top w:val="single" w:sz="4" w:space="0" w:color="000000"/>
              <w:left w:val="single" w:sz="4" w:space="0" w:color="000000"/>
              <w:bottom w:val="nil" w:sz="6" w:space="0" w:color="auto"/>
              <w:right w:val="single" w:sz="4" w:space="0" w:color="000000"/>
            </w:tcBorders>
            <w:shd w:val="clear" w:color="auto" w:fill="D2D2D2"/>
          </w:tcPr>
          <w:p>
            <w:pPr/>
          </w:p>
        </w:tc>
        <w:tc>
          <w:tcPr>
            <w:tcW w:w="382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每股收益</w:t>
            </w:r>
          </w:p>
        </w:tc>
      </w:tr>
      <w:tr>
        <w:trPr>
          <w:trHeight w:val="190" w:hRule="exact"/>
        </w:trPr>
        <w:tc>
          <w:tcPr>
            <w:tcW w:w="265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864" w:right="0"/>
              <w:jc w:val="left"/>
              <w:rPr>
                <w:rFonts w:ascii="宋体" w:hAnsi="宋体" w:cs="宋体" w:eastAsia="宋体" w:hint="default"/>
                <w:sz w:val="18"/>
                <w:szCs w:val="18"/>
              </w:rPr>
            </w:pPr>
            <w:r>
              <w:rPr>
                <w:rFonts w:ascii="宋体" w:hAnsi="宋体" w:cs="宋体" w:eastAsia="宋体" w:hint="default"/>
                <w:sz w:val="18"/>
                <w:szCs w:val="18"/>
              </w:rPr>
              <w:t>报告期利润</w:t>
            </w:r>
          </w:p>
        </w:tc>
        <w:tc>
          <w:tcPr>
            <w:tcW w:w="308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636"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3826" w:type="dxa"/>
            <w:gridSpan w:val="2"/>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2650" w:type="dxa"/>
            <w:vMerge/>
            <w:tcBorders>
              <w:left w:val="single" w:sz="4" w:space="0" w:color="000000"/>
              <w:bottom w:val="nil" w:sz="6" w:space="0" w:color="auto"/>
              <w:right w:val="single" w:sz="4" w:space="0" w:color="000000"/>
            </w:tcBorders>
            <w:shd w:val="clear" w:color="auto" w:fill="D2D2D2"/>
          </w:tcPr>
          <w:p>
            <w:pPr/>
          </w:p>
        </w:tc>
        <w:tc>
          <w:tcPr>
            <w:tcW w:w="3083" w:type="dxa"/>
            <w:vMerge/>
            <w:tcBorders>
              <w:left w:val="single" w:sz="4" w:space="0" w:color="000000"/>
              <w:bottom w:val="nil" w:sz="6" w:space="0" w:color="auto"/>
              <w:right w:val="single" w:sz="4" w:space="0" w:color="000000"/>
            </w:tcBorders>
            <w:shd w:val="clear" w:color="auto" w:fill="D2D2D2"/>
          </w:tcPr>
          <w:p>
            <w:pP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6"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6"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r>
      <w:tr>
        <w:trPr>
          <w:trHeight w:val="206" w:hRule="exact"/>
        </w:trPr>
        <w:tc>
          <w:tcPr>
            <w:tcW w:w="2650" w:type="dxa"/>
            <w:tcBorders>
              <w:top w:val="nil" w:sz="6" w:space="0" w:color="auto"/>
              <w:left w:val="single" w:sz="4" w:space="0" w:color="000000"/>
              <w:bottom w:val="single" w:sz="4" w:space="0" w:color="000000"/>
              <w:right w:val="single" w:sz="4" w:space="0" w:color="000000"/>
            </w:tcBorders>
            <w:shd w:val="clear" w:color="auto" w:fill="D2D2D2"/>
          </w:tcPr>
          <w:p>
            <w:pPr/>
          </w:p>
        </w:tc>
        <w:tc>
          <w:tcPr>
            <w:tcW w:w="3083"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26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c>
        <w:tc>
          <w:tcPr>
            <w:tcW w:w="308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6.96%</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0.3755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0.3725</w:t>
            </w:r>
          </w:p>
        </w:tc>
      </w:tr>
      <w:tr>
        <w:trPr>
          <w:trHeight w:val="715" w:hRule="exact"/>
        </w:trPr>
        <w:tc>
          <w:tcPr>
            <w:tcW w:w="26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106"/>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 普通股股东的净利润</w:t>
            </w:r>
          </w:p>
        </w:tc>
        <w:tc>
          <w:tcPr>
            <w:tcW w:w="308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-15.37%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-0.8292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-0.8222</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10"/>
        <w:rPr>
          <w:rFonts w:ascii="宋体" w:hAnsi="宋体" w:cs="宋体" w:eastAsia="宋体" w:hint="default"/>
          <w:b/>
          <w:bCs/>
          <w:sz w:val="24"/>
          <w:szCs w:val="24"/>
        </w:rPr>
      </w:pPr>
    </w:p>
    <w:p>
      <w:pPr>
        <w:pStyle w:val="Heading4"/>
        <w:spacing w:line="240" w:lineRule="auto" w:before="36"/>
        <w:ind w:right="982"/>
        <w:jc w:val="left"/>
        <w:rPr>
          <w:b w:val="0"/>
          <w:bCs w:val="0"/>
        </w:rPr>
      </w:pPr>
      <w:r>
        <w:rPr>
          <w:rFonts w:ascii="Times New Roman" w:hAnsi="Times New Roman" w:cs="Times New Roman" w:eastAsia="Times New Roman" w:hint="default"/>
        </w:rPr>
        <w:t>3</w:t>
      </w:r>
      <w:r>
        <w:rPr/>
        <w:t>、境内外会计准则下会计数据差异</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982"/>
        <w:jc w:val="left"/>
        <w:rPr>
          <w:b w:val="0"/>
          <w:bCs w:val="0"/>
        </w:rPr>
      </w:pPr>
      <w:r>
        <w:rPr/>
        <w:t>（</w:t>
      </w:r>
      <w:r>
        <w:rPr>
          <w:rFonts w:ascii="Times New Roman" w:hAnsi="Times New Roman" w:cs="Times New Roman" w:eastAsia="Times New Roman" w:hint="default"/>
        </w:rPr>
        <w:t>1</w:t>
      </w:r>
      <w:r>
        <w:rPr/>
        <w:t>）同时按照国际会计准则与按中国会计准则披露的财务报告中净利润和净资产差异情况</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2"/>
        <w:rPr>
          <w:rFonts w:ascii="宋体" w:hAnsi="宋体" w:cs="宋体" w:eastAsia="宋体" w:hint="default"/>
          <w:sz w:val="26"/>
          <w:szCs w:val="26"/>
        </w:rPr>
      </w:pPr>
    </w:p>
    <w:p>
      <w:pPr>
        <w:pStyle w:val="Heading4"/>
        <w:spacing w:line="240" w:lineRule="auto"/>
        <w:ind w:right="982"/>
        <w:jc w:val="left"/>
        <w:rPr>
          <w:b w:val="0"/>
          <w:bCs w:val="0"/>
        </w:rPr>
      </w:pPr>
      <w:r>
        <w:rPr/>
        <w:t>（</w:t>
      </w:r>
      <w:r>
        <w:rPr>
          <w:rFonts w:ascii="Times New Roman" w:hAnsi="Times New Roman" w:cs="Times New Roman" w:eastAsia="Times New Roman" w:hint="default"/>
        </w:rPr>
        <w:t>2</w:t>
      </w:r>
      <w:r>
        <w:rPr/>
        <w:t>）同时按照境外会计准则与按中国会计准则披露的财务报告中净利润和净资产差异情况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13"/>
        <w:rPr>
          <w:rFonts w:ascii="宋体" w:hAnsi="宋体" w:cs="宋体" w:eastAsia="宋体" w:hint="default"/>
          <w:sz w:val="25"/>
          <w:szCs w:val="25"/>
        </w:rPr>
      </w:pPr>
    </w:p>
    <w:p>
      <w:pPr>
        <w:pStyle w:val="Heading4"/>
        <w:spacing w:line="259" w:lineRule="auto"/>
        <w:ind w:right="982"/>
        <w:jc w:val="left"/>
        <w:rPr>
          <w:b w:val="0"/>
          <w:bCs w:val="0"/>
        </w:rPr>
      </w:pPr>
      <w:r>
        <w:rPr/>
        <w:t>（</w:t>
      </w:r>
      <w:r>
        <w:rPr>
          <w:rFonts w:ascii="Times New Roman" w:hAnsi="Times New Roman" w:cs="Times New Roman" w:eastAsia="Times New Roman" w:hint="default"/>
        </w:rPr>
        <w:t>3</w:t>
      </w:r>
      <w:r>
        <w:rPr/>
        <w:t>）境内外会计准则下会计数据差异原因说明，对已经境外审计机构审计的数据进行差异调节的，应注</w:t>
      </w:r>
      <w:r>
        <w:rPr>
          <w:spacing w:val="-65"/>
        </w:rPr>
        <w:t> </w:t>
      </w:r>
      <w:r>
        <w:rPr>
          <w:spacing w:val="-65"/>
        </w:rPr>
      </w:r>
      <w:r>
        <w:rPr/>
        <w:t>明该境外机构的名称</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82"/>
        <w:jc w:val="left"/>
      </w:pPr>
      <w:r>
        <w:rPr/>
        <w:t>无</w:t>
      </w:r>
    </w:p>
    <w:p>
      <w:pPr>
        <w:spacing w:line="240" w:lineRule="auto" w:before="0"/>
        <w:rPr>
          <w:rFonts w:ascii="宋体" w:hAnsi="宋体" w:cs="宋体" w:eastAsia="宋体" w:hint="default"/>
          <w:sz w:val="18"/>
          <w:szCs w:val="18"/>
        </w:rPr>
      </w:pPr>
    </w:p>
    <w:p>
      <w:pPr>
        <w:pStyle w:val="Heading4"/>
        <w:spacing w:line="240" w:lineRule="auto" w:before="120"/>
        <w:ind w:right="982"/>
        <w:jc w:val="left"/>
        <w:rPr>
          <w:b w:val="0"/>
          <w:bCs w:val="0"/>
        </w:rPr>
      </w:pPr>
      <w:r>
        <w:rPr>
          <w:rFonts w:ascii="Times New Roman" w:hAnsi="Times New Roman" w:cs="Times New Roman" w:eastAsia="Times New Roman" w:hint="default"/>
        </w:rPr>
        <w:t>4</w:t>
      </w:r>
      <w:r>
        <w:rPr/>
        <w:t>、其他</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982"/>
        <w:jc w:val="left"/>
      </w:pPr>
      <w:r>
        <w:rPr/>
        <w:t>无</w:t>
      </w:r>
    </w:p>
    <w:p>
      <w:pPr>
        <w:spacing w:after="0" w:line="240" w:lineRule="auto"/>
        <w:jc w:val="left"/>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right="1031"/>
        <w:jc w:val="center"/>
        <w:rPr>
          <w:b w:val="0"/>
          <w:bCs w:val="0"/>
        </w:rPr>
      </w:pPr>
      <w:bookmarkStart w:name="_bookmark11" w:id="12"/>
      <w:bookmarkEnd w:id="12"/>
      <w:r>
        <w:rPr>
          <w:b w:val="0"/>
          <w:bCs w:val="0"/>
        </w:rPr>
      </w:r>
      <w:r>
        <w:rPr/>
        <w:t>第十二节</w:t>
      </w:r>
      <w:r>
        <w:rPr>
          <w:spacing w:val="-6"/>
        </w:rPr>
        <w:t> </w:t>
      </w:r>
      <w:r>
        <w:rPr/>
        <w:t>备查文件目录</w:t>
      </w:r>
      <w:r>
        <w:rPr>
          <w:b w:val="0"/>
          <w:bCs w:val="0"/>
        </w:rPr>
      </w:r>
    </w:p>
    <w:p>
      <w:pPr>
        <w:spacing w:line="240" w:lineRule="auto" w:before="11"/>
        <w:rPr>
          <w:rFonts w:ascii="宋体" w:hAnsi="宋体" w:cs="宋体" w:eastAsia="宋体" w:hint="default"/>
          <w:b/>
          <w:bCs/>
          <w:sz w:val="44"/>
          <w:szCs w:val="44"/>
        </w:rPr>
      </w:pPr>
    </w:p>
    <w:p>
      <w:pPr>
        <w:pStyle w:val="Heading3"/>
        <w:spacing w:line="240" w:lineRule="auto" w:before="0"/>
        <w:ind w:right="982"/>
        <w:jc w:val="left"/>
        <w:rPr>
          <w:rFonts w:ascii="宋体" w:hAnsi="宋体" w:cs="宋体" w:eastAsia="宋体" w:hint="default"/>
        </w:rPr>
      </w:pPr>
      <w:r>
        <w:rPr/>
        <w:t>（一）载有法定代表人、财务负责人、会计机构负责人签名并盖章的财务报表。</w:t>
      </w:r>
      <w:r>
        <w:rPr>
          <w:rFonts w:ascii="宋体" w:hAnsi="宋体" w:cs="宋体" w:eastAsia="宋体" w:hint="default"/>
        </w:rPr>
        <w:t> </w:t>
      </w:r>
    </w:p>
    <w:p>
      <w:pPr>
        <w:pStyle w:val="Heading3"/>
        <w:spacing w:line="240" w:lineRule="auto"/>
        <w:ind w:right="982"/>
        <w:jc w:val="left"/>
        <w:rPr>
          <w:rFonts w:ascii="宋体" w:hAnsi="宋体" w:cs="宋体" w:eastAsia="宋体" w:hint="default"/>
        </w:rPr>
      </w:pPr>
      <w:r>
        <w:rPr/>
        <w:t>（二）载有会计师事务所盖章、注册会计师签名并盖章的审计报告原件。</w:t>
      </w:r>
      <w:r>
        <w:rPr>
          <w:rFonts w:ascii="宋体" w:hAnsi="宋体" w:cs="宋体" w:eastAsia="宋体" w:hint="default"/>
        </w:rPr>
        <w:t> </w:t>
      </w:r>
    </w:p>
    <w:p>
      <w:pPr>
        <w:pStyle w:val="Heading3"/>
        <w:spacing w:line="240" w:lineRule="auto"/>
        <w:ind w:right="982"/>
        <w:jc w:val="left"/>
        <w:rPr>
          <w:rFonts w:ascii="宋体" w:hAnsi="宋体" w:cs="宋体" w:eastAsia="宋体" w:hint="default"/>
        </w:rPr>
      </w:pPr>
      <w:r>
        <w:rPr/>
        <w:t>（三</w:t>
      </w:r>
      <w:r>
        <w:rPr>
          <w:spacing w:val="-82"/>
        </w:rPr>
        <w:t>）</w:t>
      </w:r>
      <w:r>
        <w:rPr/>
        <w:t>报告期内在中国证监会指定报纸上公开披露过的所有公司文件的正本及公告原稿</w:t>
      </w:r>
      <w:r>
        <w:rPr>
          <w:spacing w:val="-119"/>
        </w:rPr>
        <w:t>。</w:t>
      </w:r>
      <w:r>
        <w:rPr>
          <w:rFonts w:ascii="宋体" w:hAnsi="宋体" w:cs="宋体" w:eastAsia="宋体" w:hint="default"/>
        </w:rPr>
        <w:t> </w:t>
      </w:r>
    </w:p>
    <w:p>
      <w:pPr>
        <w:pStyle w:val="Heading3"/>
        <w:spacing w:line="240" w:lineRule="auto"/>
        <w:ind w:right="982"/>
        <w:jc w:val="left"/>
        <w:rPr>
          <w:rFonts w:ascii="宋体" w:hAnsi="宋体" w:cs="宋体" w:eastAsia="宋体" w:hint="default"/>
        </w:rPr>
      </w:pPr>
      <w:r>
        <w:rPr/>
        <w:t>（四）载有董事长签名的</w:t>
      </w:r>
      <w:r>
        <w:rPr>
          <w:rFonts w:ascii="宋体" w:hAnsi="宋体" w:cs="宋体" w:eastAsia="宋体" w:hint="default"/>
        </w:rPr>
        <w:t>2018</w:t>
      </w:r>
      <w:r>
        <w:rPr/>
        <w:t>年年度报告文本原件。</w:t>
      </w:r>
      <w:r>
        <w:rPr>
          <w:rFonts w:ascii="宋体" w:hAnsi="宋体" w:cs="宋体" w:eastAsia="宋体" w:hint="default"/>
        </w:rPr>
        <w:t> </w:t>
      </w:r>
    </w:p>
    <w:p>
      <w:pPr>
        <w:pStyle w:val="Heading3"/>
        <w:spacing w:line="240" w:lineRule="auto"/>
        <w:ind w:right="982"/>
        <w:jc w:val="left"/>
        <w:rPr>
          <w:rFonts w:ascii="宋体" w:hAnsi="宋体" w:cs="宋体" w:eastAsia="宋体" w:hint="default"/>
        </w:rPr>
      </w:pPr>
      <w:r>
        <w:rPr/>
        <w:t>（五）以上备查文件的备置地点：公司董事会办公室。</w:t>
      </w:r>
      <w:r>
        <w:rPr>
          <w:rFonts w:ascii="宋体" w:hAnsi="宋体" w:cs="宋体" w:eastAsia="宋体" w:hint="default"/>
        </w:rPr>
        <w:t> </w:t>
      </w:r>
    </w:p>
    <w:p>
      <w:pPr>
        <w:pStyle w:val="Heading3"/>
        <w:spacing w:line="240" w:lineRule="auto"/>
        <w:ind w:right="0"/>
        <w:jc w:val="left"/>
        <w:rPr>
          <w:rFonts w:ascii="宋体" w:hAnsi="宋体" w:cs="宋体" w:eastAsia="宋体" w:hint="default"/>
        </w:rPr>
      </w:pPr>
      <w:r>
        <w:rPr>
          <w:rFonts w:ascii="宋体"/>
        </w:rPr>
        <w:t> </w:t>
      </w:r>
    </w:p>
    <w:p>
      <w:pPr>
        <w:pStyle w:val="Heading3"/>
        <w:spacing w:line="240" w:lineRule="auto"/>
        <w:ind w:right="0"/>
        <w:jc w:val="left"/>
        <w:rPr>
          <w:rFonts w:ascii="宋体" w:hAnsi="宋体" w:cs="宋体" w:eastAsia="宋体" w:hint="default"/>
        </w:rPr>
      </w:pPr>
      <w:r>
        <w:rPr>
          <w:rFonts w:ascii="宋体"/>
        </w:rPr>
        <w:t> </w:t>
      </w:r>
    </w:p>
    <w:p>
      <w:pPr>
        <w:pStyle w:val="Heading3"/>
        <w:spacing w:line="240" w:lineRule="auto"/>
        <w:ind w:right="0"/>
        <w:jc w:val="left"/>
        <w:rPr>
          <w:rFonts w:ascii="宋体" w:hAnsi="宋体" w:cs="宋体" w:eastAsia="宋体" w:hint="default"/>
        </w:rPr>
      </w:pPr>
      <w:r>
        <w:rPr>
          <w:rFonts w:ascii="宋体"/>
        </w:rPr>
        <w:t> </w:t>
      </w:r>
    </w:p>
    <w:p>
      <w:pPr>
        <w:pStyle w:val="Heading3"/>
        <w:spacing w:line="240" w:lineRule="auto" w:before="115"/>
        <w:ind w:left="6034" w:right="982"/>
        <w:jc w:val="left"/>
        <w:rPr>
          <w:rFonts w:ascii="宋体" w:hAnsi="宋体" w:cs="宋体" w:eastAsia="宋体" w:hint="default"/>
        </w:rPr>
      </w:pPr>
      <w:r>
        <w:rPr/>
        <w:t>北京四维图新科技股份有限公司</w:t>
      </w:r>
      <w:r>
        <w:rPr>
          <w:rFonts w:ascii="宋体" w:hAnsi="宋体" w:cs="宋体" w:eastAsia="宋体" w:hint="default"/>
        </w:rPr>
        <w:t> </w:t>
      </w:r>
    </w:p>
    <w:p>
      <w:pPr>
        <w:pStyle w:val="Heading3"/>
        <w:tabs>
          <w:tab w:pos="6574" w:val="left" w:leader="none"/>
        </w:tabs>
        <w:spacing w:line="240" w:lineRule="auto" w:before="38"/>
        <w:ind w:left="152" w:right="0"/>
        <w:jc w:val="left"/>
        <w:rPr>
          <w:rFonts w:ascii="宋体" w:hAnsi="宋体" w:cs="宋体" w:eastAsia="宋体" w:hint="default"/>
        </w:rPr>
      </w:pPr>
      <w:r>
        <w:rPr>
          <w:rFonts w:ascii="宋体"/>
        </w:rPr>
        <w:t> </w:t>
        <w:tab/>
        <w:t> </w:t>
      </w:r>
    </w:p>
    <w:p>
      <w:pPr>
        <w:pStyle w:val="Heading3"/>
        <w:spacing w:line="240" w:lineRule="auto" w:before="36"/>
        <w:ind w:left="6994" w:right="982"/>
        <w:jc w:val="left"/>
        <w:rPr>
          <w:rFonts w:ascii="宋体" w:hAnsi="宋体" w:cs="宋体" w:eastAsia="宋体" w:hint="default"/>
        </w:rPr>
      </w:pPr>
      <w:r>
        <w:rPr/>
        <w:t>董事长：吴劲风</w:t>
      </w:r>
      <w:r>
        <w:rPr>
          <w:rFonts w:ascii="宋体" w:hAnsi="宋体" w:cs="宋体" w:eastAsia="宋体" w:hint="default"/>
        </w:rPr>
        <w:t> </w:t>
      </w:r>
    </w:p>
    <w:p>
      <w:pPr>
        <w:spacing w:line="240" w:lineRule="auto" w:before="12"/>
        <w:rPr>
          <w:rFonts w:ascii="宋体" w:hAnsi="宋体" w:cs="宋体" w:eastAsia="宋体" w:hint="default"/>
          <w:sz w:val="27"/>
          <w:szCs w:val="27"/>
        </w:rPr>
      </w:pPr>
    </w:p>
    <w:p>
      <w:pPr>
        <w:pStyle w:val="Heading3"/>
        <w:spacing w:line="240" w:lineRule="auto" w:before="26"/>
        <w:ind w:left="152" w:right="982"/>
        <w:jc w:val="left"/>
        <w:rPr>
          <w:rFonts w:ascii="宋体" w:hAnsi="宋体" w:cs="宋体" w:eastAsia="宋体" w:hint="default"/>
        </w:rPr>
      </w:pPr>
      <w:r>
        <w:rPr>
          <w:rFonts w:ascii="宋体" w:hAnsi="宋体" w:cs="宋体" w:eastAsia="宋体" w:hint="default"/>
        </w:rPr>
        <w:t>                                                        </w:t>
      </w:r>
      <w:r>
        <w:rPr>
          <w:rFonts w:ascii="宋体" w:hAnsi="宋体" w:cs="宋体" w:eastAsia="宋体" w:hint="default"/>
          <w:spacing w:val="1"/>
        </w:rPr>
        <w:t> </w:t>
      </w:r>
      <w:r>
        <w:rPr>
          <w:rFonts w:ascii="宋体" w:hAnsi="宋体" w:cs="宋体" w:eastAsia="宋体" w:hint="default"/>
        </w:rPr>
        <w:t>2019</w:t>
      </w:r>
      <w:r>
        <w:rPr>
          <w:rFonts w:ascii="宋体" w:hAnsi="宋体" w:cs="宋体" w:eastAsia="宋体" w:hint="default"/>
          <w:spacing w:val="-60"/>
        </w:rPr>
        <w:t> </w:t>
      </w:r>
      <w:r>
        <w:rPr/>
        <w:t>年</w:t>
      </w:r>
      <w:r>
        <w:rPr>
          <w:spacing w:val="-60"/>
        </w:rPr>
        <w:t> </w:t>
      </w:r>
      <w:r>
        <w:rPr>
          <w:rFonts w:ascii="宋体" w:hAnsi="宋体" w:cs="宋体" w:eastAsia="宋体" w:hint="default"/>
        </w:rPr>
        <w:t>4</w:t>
      </w:r>
      <w:r>
        <w:rPr>
          <w:rFonts w:ascii="宋体" w:hAnsi="宋体" w:cs="宋体" w:eastAsia="宋体" w:hint="default"/>
          <w:spacing w:val="-60"/>
        </w:rPr>
        <w:t> </w:t>
      </w:r>
      <w:r>
        <w:rPr/>
        <w:t>月</w:t>
      </w:r>
      <w:r>
        <w:rPr>
          <w:spacing w:val="-60"/>
        </w:rPr>
        <w:t> </w:t>
      </w:r>
      <w:r>
        <w:rPr>
          <w:rFonts w:ascii="宋体" w:hAnsi="宋体" w:cs="宋体" w:eastAsia="宋体" w:hint="default"/>
        </w:rPr>
        <w:t>15</w:t>
      </w:r>
      <w:r>
        <w:rPr>
          <w:rFonts w:ascii="宋体" w:hAnsi="宋体" w:cs="宋体" w:eastAsia="宋体" w:hint="default"/>
          <w:spacing w:val="-60"/>
        </w:rPr>
        <w:t> </w:t>
      </w:r>
      <w:r>
        <w:rPr/>
        <w:t>日</w:t>
      </w:r>
      <w:r>
        <w:rPr>
          <w:rFonts w:ascii="宋体" w:hAnsi="宋体" w:cs="宋体" w:eastAsia="宋体" w:hint="default"/>
        </w:rPr>
        <w:t> </w:t>
      </w:r>
    </w:p>
    <w:sectPr>
      <w:pgSz w:w="11910" w:h="16840"/>
      <w:pgMar w:header="745" w:footer="979" w:top="1060" w:bottom="1160" w:left="98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宋体">
    <w:altName w:val="宋体"/>
    <w:charset w:val="86"/>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325608" type="#_x0000_t75" stroked="false">
          <v:imagedata r:id="rId1" o:title=""/>
        </v:shape>
      </w:pict>
    </w:r>
    <w:r>
      <w:rPr/>
      <w:pict>
        <v:shape style="position:absolute;margin-left:533.099976pt;margin-top:795.637939pt;width:6.5pt;height:11pt;mso-position-horizontal-relative:page;mso-position-vertical-relative:page;z-index:-1325584" type="#_x0000_t202" filled="false" stroked="false">
          <v:textbox inset="0,0,0,0">
            <w:txbxContent>
              <w:p>
                <w:pPr>
                  <w:pStyle w:val="BodyText"/>
                  <w:spacing w:line="204" w:lineRule="exact"/>
                  <w:ind w:left="20" w:right="0"/>
                  <w:jc w:val="left"/>
                  <w:rPr>
                    <w:rFonts w:ascii="Times New Roman" w:hAnsi="Times New Roman" w:cs="Times New Roman" w:eastAsia="Times New Roman" w:hint="default"/>
                  </w:rPr>
                </w:pPr>
                <w:r>
                  <w:rPr>
                    <w:rFonts w:ascii="Times New Roman"/>
                  </w:rPr>
                  <w:t>1</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325560" type="#_x0000_t75" stroked="false">
          <v:imagedata r:id="rId1" o:title=""/>
        </v:shape>
      </w:pict>
    </w:r>
    <w:r>
      <w:rPr/>
      <w:pict>
        <v:shape style="position:absolute;margin-left:527.659973pt;margin-top:781.957947pt;width:13.15pt;height:11pt;mso-position-horizontal-relative:page;mso-position-vertical-relative:page;z-index:-1325536"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10</w:t>
                </w:r>
                <w:r>
                  <w:rPr/>
                  <w:fldChar w:fldCharType="end"/>
                </w:r>
                <w:r>
                  <w:rPr>
                    <w:rFonts w:ascii="Times New Roman"/>
                    <w:spacing w:val="1"/>
                  </w:rPr>
                </w:r>
                <w:r>
                  <w:rPr>
                    <w:rFonts w:ascii="Times New Roman"/>
                  </w:rPr>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325512" type="#_x0000_t75" stroked="false">
          <v:imagedata r:id="rId1" o:title=""/>
        </v:shape>
      </w:pict>
    </w:r>
    <w:r>
      <w:rPr/>
      <w:pict>
        <v:shape style="position:absolute;margin-left:524.099976pt;margin-top:781.957947pt;width:15.7pt;height:11pt;mso-position-horizontal-relative:page;mso-position-vertical-relative:page;z-index:-1325488" type="#_x0000_t202" filled="false" stroked="false">
          <v:textbox inset="0,0,0,0">
            <w:txbxContent>
              <w:p>
                <w:pPr>
                  <w:pStyle w:val="BodyText"/>
                  <w:spacing w:line="204" w:lineRule="exact"/>
                  <w:ind w:left="20" w:right="0"/>
                  <w:jc w:val="left"/>
                  <w:rPr>
                    <w:rFonts w:ascii="Times New Roman" w:hAnsi="Times New Roman" w:cs="Times New Roman" w:eastAsia="Times New Roman" w:hint="default"/>
                  </w:rPr>
                </w:pPr>
                <w:r>
                  <w:rPr>
                    <w:rFonts w:ascii="Times New Roman"/>
                  </w:rPr>
                  <w:t>100</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325464" type="#_x0000_t75" stroked="false">
          <v:imagedata r:id="rId1" o:title=""/>
        </v:shape>
      </w:pict>
    </w:r>
    <w:r>
      <w:rPr/>
      <w:pict>
        <v:shape style="position:absolute;margin-left:523.099976pt;margin-top:781.957947pt;width:17.7pt;height:11pt;mso-position-horizontal-relative:page;mso-position-vertical-relative:page;z-index:-1325440"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101</w:t>
                </w:r>
                <w:r>
                  <w:rPr/>
                  <w:fldChar w:fldCharType="end"/>
                </w:r>
                <w:r>
                  <w:rPr>
                    <w:rFonts w:ascii="Times New Roman"/>
                    <w:spacing w:val="1"/>
                  </w:rPr>
                </w:r>
                <w:r>
                  <w:rPr>
                    <w:rFonts w:ascii="Times New Roman"/>
                  </w:rPr>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325416" type="#_x0000_t75" stroked="false">
          <v:imagedata r:id="rId1" o:title=""/>
        </v:shape>
      </w:pict>
    </w:r>
    <w:r>
      <w:rPr/>
      <w:pict>
        <v:shape style="position:absolute;margin-left:523.460022pt;margin-top:781.957947pt;width:17.3pt;height:11pt;mso-position-horizontal-relative:page;mso-position-vertical-relative:page;z-index:-1325392"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110</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325368" type="#_x0000_t75" stroked="false">
          <v:imagedata r:id="rId1" o:title=""/>
        </v:shape>
      </w:pict>
    </w:r>
    <w:r>
      <w:rPr/>
      <w:pict>
        <v:shape style="position:absolute;margin-left:523.099976pt;margin-top:781.957947pt;width:17.7pt;height:11pt;mso-position-horizontal-relative:page;mso-position-vertical-relative:page;z-index:-1325344"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120</w:t>
                </w:r>
                <w:r>
                  <w:rPr/>
                  <w:fldChar w:fldCharType="end"/>
                </w:r>
                <w:r>
                  <w:rPr>
                    <w:rFonts w:ascii="Times New Roman"/>
                    <w:spacing w:val="1"/>
                  </w:rPr>
                </w:r>
                <w:r>
                  <w:rPr>
                    <w:rFonts w:ascii="Times New Roman"/>
                  </w:rPr>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325320" type="#_x0000_t75" stroked="false">
          <v:imagedata r:id="rId1" o:title=""/>
        </v:shape>
      </w:pict>
    </w:r>
    <w:r>
      <w:rPr/>
      <w:pict>
        <v:shape style="position:absolute;margin-left:524.099976pt;margin-top:781.957947pt;width:15.7pt;height:11pt;mso-position-horizontal-relative:page;mso-position-vertical-relative:page;z-index:-1325296" type="#_x0000_t202" filled="false" stroked="false">
          <v:textbox inset="0,0,0,0">
            <w:txbxContent>
              <w:p>
                <w:pPr>
                  <w:pStyle w:val="BodyText"/>
                  <w:spacing w:line="204" w:lineRule="exact"/>
                  <w:ind w:left="20" w:right="0"/>
                  <w:jc w:val="left"/>
                  <w:rPr>
                    <w:rFonts w:ascii="Times New Roman" w:hAnsi="Times New Roman" w:cs="Times New Roman" w:eastAsia="Times New Roman" w:hint="default"/>
                  </w:rPr>
                </w:pPr>
                <w:r>
                  <w:rPr>
                    <w:rFonts w:ascii="Times New Roman"/>
                  </w:rPr>
                  <w:t>200</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325272" type="#_x0000_t75" stroked="false">
          <v:imagedata r:id="rId1" o:title=""/>
        </v:shape>
      </w:pict>
    </w:r>
    <w:r>
      <w:rPr/>
      <w:pict>
        <v:shape style="position:absolute;margin-left:523.099976pt;margin-top:781.957947pt;width:17.7pt;height:11pt;mso-position-horizontal-relative:page;mso-position-vertical-relative:page;z-index:-1325248"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201</w:t>
                </w:r>
                <w:r>
                  <w:rPr/>
                  <w:fldChar w:fldCharType="end"/>
                </w:r>
                <w:r>
                  <w:rPr>
                    <w:rFonts w:ascii="Times New Roman"/>
                    <w:spacing w:val="1"/>
                  </w:rPr>
                </w:r>
                <w:r>
                  <w:rPr>
                    <w:rFonts w:ascii="Times New Roman"/>
                  </w:rPr>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325224" type="#_x0000_t75" stroked="false">
          <v:imagedata r:id="rId1" o:title=""/>
        </v:shape>
      </w:pict>
    </w:r>
    <w:r>
      <w:rPr/>
      <w:pict>
        <v:shape style="position:absolute;margin-left:523.099976pt;margin-top:781.957947pt;width:17.7pt;height:11pt;mso-position-horizontal-relative:page;mso-position-vertical-relative:page;z-index:-1325200"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224</w:t>
                </w:r>
                <w:r>
                  <w:rPr/>
                  <w:fldChar w:fldCharType="end"/>
                </w:r>
                <w:r>
                  <w:rPr>
                    <w:rFonts w:ascii="Times New Roman"/>
                    <w:spacing w:val="1"/>
                  </w:rPr>
                </w:r>
                <w:r>
                  <w:rPr>
                    <w:rFonts w:ascii="Times New Roman"/>
                  </w:rPr>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326.049988pt;margin-top:36.265610pt;width:213.75pt;height:11.5pt;mso-position-horizontal-relative:page;mso-position-vertical-relative:page;z-index:-1325632" type="#_x0000_t202" filled="false" stroked="false">
          <v:textbox inset="0,0,0,0">
            <w:txbxContent>
              <w:p>
                <w:pPr>
                  <w:pStyle w:val="BodyText"/>
                  <w:spacing w:line="214" w:lineRule="exact"/>
                  <w:ind w:left="20" w:right="0"/>
                  <w:jc w:val="left"/>
                </w:pPr>
                <w:r>
                  <w:rPr/>
                  <w:t>北京四维图新科技股份有限公司</w:t>
                </w:r>
                <w:r>
                  <w:rPr>
                    <w:spacing w:val="-44"/>
                  </w:rPr>
                  <w:t> </w:t>
                </w:r>
                <w:r>
                  <w:rPr>
                    <w:rFonts w:ascii="Times New Roman" w:hAnsi="Times New Roman" w:cs="Times New Roman" w:eastAsia="Times New Roman" w:hint="default"/>
                  </w:rPr>
                  <w:t>2018</w:t>
                </w:r>
                <w:r>
                  <w:rPr>
                    <w:rFonts w:ascii="Times New Roman" w:hAnsi="Times New Roman" w:cs="Times New Roman" w:eastAsia="Times New Roman" w:hint="default"/>
                    <w:spacing w:val="2"/>
                  </w:rPr>
                  <w:t> </w:t>
                </w:r>
                <w:r>
                  <w:rPr/>
                  <w:t>年年度报告全文</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277"/>
      <w:ind w:left="152"/>
    </w:pPr>
    <w:rPr>
      <w:rFonts w:ascii="宋体" w:hAnsi="宋体" w:eastAsia="宋体"/>
      <w:sz w:val="28"/>
      <w:szCs w:val="28"/>
    </w:rPr>
  </w:style>
  <w:style w:styleId="BodyText" w:type="paragraph">
    <w:name w:val="Body Text"/>
    <w:basedOn w:val="Normal"/>
    <w:uiPriority w:val="1"/>
    <w:qFormat/>
    <w:pPr>
      <w:ind w:left="152"/>
    </w:pPr>
    <w:rPr>
      <w:rFonts w:ascii="宋体" w:hAnsi="宋体" w:eastAsia="宋体"/>
      <w:sz w:val="18"/>
      <w:szCs w:val="18"/>
    </w:rPr>
  </w:style>
  <w:style w:styleId="Heading1" w:type="paragraph">
    <w:name w:val="Heading 1"/>
    <w:basedOn w:val="Normal"/>
    <w:uiPriority w:val="1"/>
    <w:qFormat/>
    <w:pPr>
      <w:ind w:left="50"/>
      <w:outlineLvl w:val="1"/>
    </w:pPr>
    <w:rPr>
      <w:rFonts w:ascii="宋体" w:hAnsi="宋体" w:eastAsia="宋体"/>
      <w:b/>
      <w:bCs/>
      <w:sz w:val="32"/>
      <w:szCs w:val="32"/>
    </w:rPr>
  </w:style>
  <w:style w:styleId="Heading2" w:type="paragraph">
    <w:name w:val="Heading 2"/>
    <w:basedOn w:val="Normal"/>
    <w:uiPriority w:val="1"/>
    <w:qFormat/>
    <w:pPr>
      <w:ind w:left="152"/>
      <w:outlineLvl w:val="2"/>
    </w:pPr>
    <w:rPr>
      <w:rFonts w:ascii="宋体" w:hAnsi="宋体" w:eastAsia="宋体"/>
      <w:b/>
      <w:bCs/>
      <w:sz w:val="24"/>
      <w:szCs w:val="24"/>
    </w:rPr>
  </w:style>
  <w:style w:styleId="Heading3" w:type="paragraph">
    <w:name w:val="Heading 3"/>
    <w:basedOn w:val="Normal"/>
    <w:uiPriority w:val="1"/>
    <w:qFormat/>
    <w:pPr>
      <w:spacing w:before="154"/>
      <w:ind w:left="633"/>
      <w:outlineLvl w:val="3"/>
    </w:pPr>
    <w:rPr>
      <w:rFonts w:ascii="宋体" w:hAnsi="宋体" w:eastAsia="宋体"/>
      <w:sz w:val="24"/>
      <w:szCs w:val="24"/>
    </w:rPr>
  </w:style>
  <w:style w:styleId="Heading4" w:type="paragraph">
    <w:name w:val="Heading 4"/>
    <w:basedOn w:val="Normal"/>
    <w:uiPriority w:val="1"/>
    <w:qFormat/>
    <w:pPr>
      <w:ind w:left="152"/>
      <w:outlineLvl w:val="4"/>
    </w:pPr>
    <w:rPr>
      <w:rFonts w:ascii="宋体" w:hAnsi="宋体" w:eastAsia="宋体"/>
      <w:b/>
      <w:bCs/>
      <w:sz w:val="21"/>
      <w:szCs w:val="21"/>
    </w:rPr>
  </w:style>
  <w:style w:styleId="Heading5" w:type="paragraph">
    <w:name w:val="Heading 5"/>
    <w:basedOn w:val="Normal"/>
    <w:uiPriority w:val="1"/>
    <w:qFormat/>
    <w:pPr>
      <w:spacing w:before="46"/>
      <w:ind w:left="152" w:firstLine="420"/>
      <w:outlineLvl w:val="5"/>
    </w:pPr>
    <w:rPr>
      <w:rFonts w:ascii="宋体" w:hAnsi="宋体" w:eastAsia="宋体"/>
      <w:sz w:val="21"/>
      <w:szCs w:val="21"/>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footer" Target="footer2.xml"/><Relationship Id="rId9" Type="http://schemas.openxmlformats.org/officeDocument/2006/relationships/hyperlink" Target="http://www.navinfo.com/" TargetMode="External"/><Relationship Id="rId10" Type="http://schemas.openxmlformats.org/officeDocument/2006/relationships/hyperlink" Target="mailto:info2405@navinfo.com" TargetMode="External"/><Relationship Id="rId11" Type="http://schemas.openxmlformats.org/officeDocument/2006/relationships/hyperlink" Target="mailto:dongmi@navinfo.com" TargetMode="External"/><Relationship Id="rId12" Type="http://schemas.openxmlformats.org/officeDocument/2006/relationships/hyperlink" Target="mailto:qinfang@navinfo.com" TargetMode="External"/><Relationship Id="rId13" Type="http://schemas.openxmlformats.org/officeDocument/2006/relationships/hyperlink" Target="http://www.cninfo.com.cn/" TargetMode="External"/><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png"/><Relationship Id="rId19" Type="http://schemas.openxmlformats.org/officeDocument/2006/relationships/image" Target="media/image8.jpeg"/><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pn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image" Target="media/image18.jpeg"/><Relationship Id="rId30" Type="http://schemas.openxmlformats.org/officeDocument/2006/relationships/hyperlink" Target="https://baike.baidu.com/item/%E5%B7%A5%E4%BD%9C%E7%BB%84/5103560" TargetMode="External"/><Relationship Id="rId31" Type="http://schemas.openxmlformats.org/officeDocument/2006/relationships/hyperlink" Target="http://w/" TargetMode="External"/><Relationship Id="rId32" Type="http://schemas.openxmlformats.org/officeDocument/2006/relationships/image" Target="media/image19.jpeg"/><Relationship Id="rId33" Type="http://schemas.openxmlformats.org/officeDocument/2006/relationships/image" Target="media/image20.png"/><Relationship Id="rId34" Type="http://schemas.openxmlformats.org/officeDocument/2006/relationships/image" Target="media/image21.jpeg"/><Relationship Id="rId35" Type="http://schemas.openxmlformats.org/officeDocument/2006/relationships/image" Target="media/image22.jpeg"/><Relationship Id="rId36" Type="http://schemas.openxmlformats.org/officeDocument/2006/relationships/image" Target="media/image23.jpeg"/><Relationship Id="rId37" Type="http://schemas.openxmlformats.org/officeDocument/2006/relationships/image" Target="media/image24.jpeg"/><Relationship Id="rId38" Type="http://schemas.openxmlformats.org/officeDocument/2006/relationships/image" Target="media/image25.jpeg"/><Relationship Id="rId39" Type="http://schemas.openxmlformats.org/officeDocument/2006/relationships/image" Target="media/image26.jpeg"/><Relationship Id="rId40" Type="http://schemas.openxmlformats.org/officeDocument/2006/relationships/image" Target="media/image27.jpeg"/><Relationship Id="rId41" Type="http://schemas.openxmlformats.org/officeDocument/2006/relationships/image" Target="media/image28.jpeg"/><Relationship Id="rId42" Type="http://schemas.openxmlformats.org/officeDocument/2006/relationships/image" Target="media/image29.jpeg"/><Relationship Id="rId43" Type="http://schemas.openxmlformats.org/officeDocument/2006/relationships/image" Target="media/image30.jpeg"/><Relationship Id="rId44" Type="http://schemas.openxmlformats.org/officeDocument/2006/relationships/image" Target="media/image31.jpeg"/><Relationship Id="rId45" Type="http://schemas.openxmlformats.org/officeDocument/2006/relationships/image" Target="media/image32.jpeg"/><Relationship Id="rId46" Type="http://schemas.openxmlformats.org/officeDocument/2006/relationships/image" Target="media/image33.jpeg"/><Relationship Id="rId47" Type="http://schemas.openxmlformats.org/officeDocument/2006/relationships/hyperlink" Target="http://www.cninfo.com.cn/information/c" TargetMode="External"/><Relationship Id="rId48" Type="http://schemas.openxmlformats.org/officeDocument/2006/relationships/hyperlink" Target="http://www.cninfo.com.cn/cnin" TargetMode="External"/><Relationship Id="rId49" Type="http://schemas.openxmlformats.org/officeDocument/2006/relationships/footer" Target="footer3.xml"/><Relationship Id="rId50" Type="http://schemas.openxmlformats.org/officeDocument/2006/relationships/footer" Target="footer4.xml"/><Relationship Id="rId51" Type="http://schemas.openxmlformats.org/officeDocument/2006/relationships/hyperlink" Target="http://www.cninfo.com.cn/new/disclosure/" TargetMode="External"/><Relationship Id="rId52" Type="http://schemas.openxmlformats.org/officeDocument/2006/relationships/footer" Target="footer5.xml"/><Relationship Id="rId53" Type="http://schemas.openxmlformats.org/officeDocument/2006/relationships/footer" Target="footer6.xml"/><Relationship Id="rId54" Type="http://schemas.openxmlformats.org/officeDocument/2006/relationships/footer" Target="footer7.xml"/><Relationship Id="rId55" Type="http://schemas.openxmlformats.org/officeDocument/2006/relationships/footer" Target="footer8.xml"/><Relationship Id="rId56" Type="http://schemas.openxmlformats.org/officeDocument/2006/relationships/footer" Target="footer9.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1.jpeg"/></Relationships>

</file>

<file path=word/_rels/footer4.xml.rels><?xml version="1.0" encoding="UTF-8" standalone="yes"?>
<Relationships xmlns="http://schemas.openxmlformats.org/package/2006/relationships"><Relationship Id="rId1" Type="http://schemas.openxmlformats.org/officeDocument/2006/relationships/image" Target="media/image1.jpeg"/></Relationships>

</file>

<file path=word/_rels/footer5.xml.rels><?xml version="1.0" encoding="UTF-8" standalone="yes"?>
<Relationships xmlns="http://schemas.openxmlformats.org/package/2006/relationships"><Relationship Id="rId1" Type="http://schemas.openxmlformats.org/officeDocument/2006/relationships/image" Target="media/image1.jpeg"/></Relationships>

</file>

<file path=word/_rels/footer6.xml.rels><?xml version="1.0" encoding="UTF-8" standalone="yes"?>
<Relationships xmlns="http://schemas.openxmlformats.org/package/2006/relationships"><Relationship Id="rId1" Type="http://schemas.openxmlformats.org/officeDocument/2006/relationships/image" Target="media/image1.jpeg"/></Relationships>

</file>

<file path=word/_rels/footer7.xml.rels><?xml version="1.0" encoding="UTF-8" standalone="yes"?>
<Relationships xmlns="http://schemas.openxmlformats.org/package/2006/relationships"><Relationship Id="rId1" Type="http://schemas.openxmlformats.org/officeDocument/2006/relationships/image" Target="media/image1.jpeg"/></Relationships>

</file>

<file path=word/_rels/footer8.xml.rels><?xml version="1.0" encoding="UTF-8" standalone="yes"?>
<Relationships xmlns="http://schemas.openxmlformats.org/package/2006/relationships"><Relationship Id="rId1" Type="http://schemas.openxmlformats.org/officeDocument/2006/relationships/image" Target="media/image1.jpeg"/></Relationships>

</file>

<file path=word/_rels/footer9.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北京四维图新科技股份有限公司</dc:creator>
  <dc:title>北京四维图新科技股份有限公司2018年年度报告全文</dc:title>
  <dcterms:created xsi:type="dcterms:W3CDTF">2020-05-04T23:36:46Z</dcterms:created>
  <dcterms:modified xsi:type="dcterms:W3CDTF">2020-05-04T23:36:46Z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2019-04-15T00:00:00Z</vt:filetime>
  </property>
  <property fmtid="{D5CDD505-2E9C-101B-9397-08002B2CF9AE}" pid="3" name="Creator">
    <vt:lpwstr>Microsoft® Word 2010</vt:lpwstr>
  </property>
  <property fmtid="{D5CDD505-2E9C-101B-9397-08002B2CF9AE}" pid="4" name="LastSaved">
    <vt:filetime>2020-05-04T00:00:00Z</vt:filetime>
  </property>
</Properties>
</file>