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spacing w:line="635" w:lineRule="exact" w:before="0"/>
        <w:ind w:left="494" w:right="1481" w:firstLine="0"/>
        <w:jc w:val="center"/>
        <w:rPr>
          <w:rFonts w:ascii="Microsoft JhengHei" w:hAnsi="Microsoft JhengHei" w:cs="Microsoft JhengHei" w:eastAsia="Microsoft JhengHei" w:hint="default"/>
          <w:sz w:val="48"/>
          <w:szCs w:val="48"/>
        </w:rPr>
      </w:pPr>
      <w:r>
        <w:rPr/>
        <w:pict>
          <v:group style="position:absolute;margin-left:55.200001pt;margin-top:-82.635002pt;width:484.9pt;height:.1pt;mso-position-horizontal-relative:page;mso-position-vertical-relative:paragraph;z-index:0" coordorigin="1104,-1653" coordsize="9698,2">
            <v:shape style="position:absolute;left:1104;top:-1653;width:9698;height:2" coordorigin="1104,-1653" coordsize="9698,0" path="m1104,-1653l10802,-1653e" filled="false" stroked="true" strokeweight=".72pt" strokecolor="#000000">
              <v:path arrowok="t"/>
            </v:shape>
            <w10:wrap type="none"/>
          </v:group>
        </w:pict>
      </w:r>
      <w:r>
        <w:rPr>
          <w:rFonts w:ascii="Microsoft JhengHei" w:hAnsi="Microsoft JhengHei" w:cs="Microsoft JhengHei" w:eastAsia="Microsoft JhengHei" w:hint="default"/>
          <w:b/>
          <w:bCs/>
          <w:sz w:val="48"/>
          <w:szCs w:val="48"/>
        </w:rPr>
        <w:t>北京四维图新科技股份有限公司</w:t>
      </w:r>
      <w:r>
        <w:rPr>
          <w:rFonts w:ascii="Microsoft JhengHei" w:hAnsi="Microsoft JhengHei" w:cs="Microsoft JhengHei" w:eastAsia="Microsoft JhengHei" w:hint="default"/>
          <w:sz w:val="48"/>
          <w:szCs w:val="48"/>
        </w:rPr>
      </w:r>
    </w:p>
    <w:p>
      <w:pPr>
        <w:spacing w:before="58"/>
        <w:ind w:left="494" w:right="1479" w:firstLine="0"/>
        <w:jc w:val="center"/>
        <w:rPr>
          <w:rFonts w:ascii="Times New Roman" w:hAnsi="Times New Roman" w:cs="Times New Roman" w:eastAsia="Times New Roman" w:hint="default"/>
          <w:sz w:val="48"/>
          <w:szCs w:val="48"/>
        </w:rPr>
      </w:pPr>
      <w:r>
        <w:rPr>
          <w:rFonts w:ascii="Times New Roman"/>
          <w:b/>
          <w:sz w:val="48"/>
        </w:rPr>
        <w:t>NavInfo Co.,</w:t>
      </w:r>
      <w:r>
        <w:rPr>
          <w:rFonts w:ascii="Times New Roman"/>
          <w:b/>
          <w:spacing w:val="-1"/>
          <w:sz w:val="48"/>
        </w:rPr>
        <w:t> </w:t>
      </w:r>
      <w:r>
        <w:rPr>
          <w:rFonts w:ascii="Times New Roman"/>
          <w:b/>
          <w:sz w:val="48"/>
        </w:rPr>
        <w:t>Ltd.</w:t>
      </w:r>
      <w:r>
        <w:rPr>
          <w:rFonts w:ascii="Times New Roman"/>
          <w:sz w:val="48"/>
        </w:rPr>
      </w:r>
    </w:p>
    <w:p>
      <w:pPr>
        <w:spacing w:line="240" w:lineRule="auto" w:before="4"/>
        <w:rPr>
          <w:rFonts w:ascii="Times New Roman" w:hAnsi="Times New Roman" w:cs="Times New Roman" w:eastAsia="Times New Roman" w:hint="default"/>
          <w:b/>
          <w:bCs/>
          <w:sz w:val="8"/>
          <w:szCs w:val="8"/>
        </w:rPr>
      </w:pPr>
    </w:p>
    <w:p>
      <w:pPr>
        <w:spacing w:line="878" w:lineRule="exact"/>
        <w:ind w:left="341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drawing>
          <wp:inline distT="0" distB="0" distL="0" distR="0">
            <wp:extent cx="2090428" cy="557783"/>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090428" cy="557783"/>
                    </a:xfrm>
                    <a:prstGeom prst="rect">
                      <a:avLst/>
                    </a:prstGeom>
                  </pic:spPr>
                </pic:pic>
              </a:graphicData>
            </a:graphic>
          </wp:inline>
        </w:drawing>
      </w:r>
      <w:r>
        <w:rPr>
          <w:rFonts w:ascii="Times New Roman" w:hAnsi="Times New Roman" w:cs="Times New Roman" w:eastAsia="Times New Roman" w:hint="default"/>
          <w:position w:val="-17"/>
          <w:sz w:val="20"/>
          <w:szCs w:val="20"/>
        </w:rPr>
      </w:r>
    </w:p>
    <w:p>
      <w:pPr>
        <w:spacing w:line="240" w:lineRule="auto" w:before="0"/>
        <w:rPr>
          <w:rFonts w:ascii="Times New Roman" w:hAnsi="Times New Roman" w:cs="Times New Roman" w:eastAsia="Times New Roman" w:hint="default"/>
          <w:b/>
          <w:bCs/>
          <w:sz w:val="48"/>
          <w:szCs w:val="48"/>
        </w:rPr>
      </w:pPr>
    </w:p>
    <w:p>
      <w:pPr>
        <w:spacing w:line="240" w:lineRule="auto" w:before="0"/>
        <w:rPr>
          <w:rFonts w:ascii="Times New Roman" w:hAnsi="Times New Roman" w:cs="Times New Roman" w:eastAsia="Times New Roman" w:hint="default"/>
          <w:b/>
          <w:bCs/>
          <w:sz w:val="48"/>
          <w:szCs w:val="48"/>
        </w:rPr>
      </w:pPr>
    </w:p>
    <w:p>
      <w:pPr>
        <w:spacing w:line="240" w:lineRule="auto" w:before="0"/>
        <w:rPr>
          <w:rFonts w:ascii="Times New Roman" w:hAnsi="Times New Roman" w:cs="Times New Roman" w:eastAsia="Times New Roman" w:hint="default"/>
          <w:b/>
          <w:bCs/>
          <w:sz w:val="48"/>
          <w:szCs w:val="48"/>
        </w:rPr>
      </w:pPr>
    </w:p>
    <w:p>
      <w:pPr>
        <w:spacing w:line="240" w:lineRule="auto" w:before="0"/>
        <w:rPr>
          <w:rFonts w:ascii="Times New Roman" w:hAnsi="Times New Roman" w:cs="Times New Roman" w:eastAsia="Times New Roman" w:hint="default"/>
          <w:b/>
          <w:bCs/>
          <w:sz w:val="48"/>
          <w:szCs w:val="48"/>
        </w:rPr>
      </w:pPr>
    </w:p>
    <w:p>
      <w:pPr>
        <w:spacing w:line="240" w:lineRule="auto" w:before="0"/>
        <w:rPr>
          <w:rFonts w:ascii="Times New Roman" w:hAnsi="Times New Roman" w:cs="Times New Roman" w:eastAsia="Times New Roman" w:hint="default"/>
          <w:b/>
          <w:bCs/>
          <w:sz w:val="48"/>
          <w:szCs w:val="48"/>
        </w:rPr>
      </w:pPr>
    </w:p>
    <w:p>
      <w:pPr>
        <w:spacing w:before="276"/>
        <w:ind w:left="494" w:right="1479" w:firstLine="0"/>
        <w:jc w:val="center"/>
        <w:rPr>
          <w:rFonts w:ascii="Microsoft JhengHei" w:hAnsi="Microsoft JhengHei" w:cs="Microsoft JhengHei" w:eastAsia="Microsoft JhengHei" w:hint="default"/>
          <w:sz w:val="48"/>
          <w:szCs w:val="48"/>
        </w:rPr>
      </w:pPr>
      <w:r>
        <w:rPr>
          <w:rFonts w:ascii="Microsoft JhengHei" w:hAnsi="Microsoft JhengHei" w:cs="Microsoft JhengHei" w:eastAsia="Microsoft JhengHei" w:hint="default"/>
          <w:b/>
          <w:bCs/>
          <w:sz w:val="48"/>
          <w:szCs w:val="48"/>
        </w:rPr>
        <w:t>二○一九年年度报告</w:t>
      </w:r>
      <w:r>
        <w:rPr>
          <w:rFonts w:ascii="Microsoft JhengHei" w:hAnsi="Microsoft JhengHei" w:cs="Microsoft JhengHei" w:eastAsia="Microsoft JhengHei" w:hint="default"/>
          <w:sz w:val="48"/>
          <w:szCs w:val="48"/>
        </w:rPr>
      </w: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2"/>
        <w:rPr>
          <w:rFonts w:ascii="Microsoft JhengHei" w:hAnsi="Microsoft JhengHei" w:cs="Microsoft JhengHei" w:eastAsia="Microsoft JhengHei" w:hint="default"/>
          <w:b/>
          <w:bCs/>
          <w:sz w:val="68"/>
          <w:szCs w:val="68"/>
        </w:rPr>
      </w:pPr>
    </w:p>
    <w:p>
      <w:pPr>
        <w:spacing w:before="0"/>
        <w:ind w:left="494" w:right="1478"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二○二〇年四月</w:t>
      </w:r>
      <w:r>
        <w:rPr>
          <w:rFonts w:ascii="Microsoft JhengHei" w:hAnsi="Microsoft JhengHei" w:cs="Microsoft JhengHei" w:eastAsia="Microsoft JhengHei" w:hint="default"/>
          <w:sz w:val="36"/>
          <w:szCs w:val="36"/>
        </w:rPr>
      </w:r>
    </w:p>
    <w:p>
      <w:pPr>
        <w:spacing w:after="0"/>
        <w:jc w:val="center"/>
        <w:rPr>
          <w:rFonts w:ascii="Microsoft JhengHei" w:hAnsi="Microsoft JhengHei" w:cs="Microsoft JhengHei" w:eastAsia="Microsoft JhengHei" w:hint="default"/>
          <w:sz w:val="36"/>
          <w:szCs w:val="36"/>
        </w:rPr>
        <w:sectPr>
          <w:headerReference w:type="default" r:id="rId5"/>
          <w:footerReference w:type="default" r:id="rId6"/>
          <w:type w:val="continuous"/>
          <w:pgSz w:w="11910" w:h="16840"/>
          <w:pgMar w:header="748" w:footer="979" w:top="1060" w:bottom="1160" w:left="980" w:right="0"/>
        </w:sectPr>
      </w:pPr>
    </w:p>
    <w:p>
      <w:pPr>
        <w:spacing w:line="240" w:lineRule="auto" w:before="0"/>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4"/>
          <w:szCs w:val="24"/>
        </w:rPr>
      </w:pPr>
    </w:p>
    <w:p>
      <w:pPr>
        <w:pStyle w:val="Heading1"/>
        <w:spacing w:line="456" w:lineRule="exact"/>
        <w:ind w:left="2885" w:right="0"/>
        <w:jc w:val="left"/>
        <w:rPr>
          <w:b w:val="0"/>
          <w:bCs w:val="0"/>
        </w:rPr>
      </w:pPr>
      <w:bookmarkStart w:name="_bookmark0" w:id="1"/>
      <w:bookmarkEnd w:id="1"/>
      <w:r>
        <w:rPr>
          <w:b w:val="0"/>
          <w:bCs w:val="0"/>
        </w:rPr>
      </w:r>
      <w:r>
        <w:rPr/>
        <w:t>第一节重要提示、目录和释义</w:t>
      </w:r>
      <w:r>
        <w:rPr>
          <w:b w:val="0"/>
          <w:bCs w:val="0"/>
        </w:rPr>
      </w:r>
    </w:p>
    <w:p>
      <w:pPr>
        <w:spacing w:line="240" w:lineRule="auto" w:before="6"/>
        <w:rPr>
          <w:rFonts w:ascii="Microsoft JhengHei" w:hAnsi="Microsoft JhengHei" w:cs="Microsoft JhengHei" w:eastAsia="Microsoft JhengHei" w:hint="default"/>
          <w:b/>
          <w:bCs/>
          <w:sz w:val="29"/>
          <w:szCs w:val="29"/>
        </w:rPr>
      </w:pPr>
    </w:p>
    <w:p>
      <w:pPr>
        <w:spacing w:line="307" w:lineRule="auto" w:before="0"/>
        <w:ind w:left="152" w:right="1135"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公司董事会、监事会及董事、监事、高级管理人员保证年度报告内容的真</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6"/>
          <w:sz w:val="28"/>
          <w:szCs w:val="28"/>
        </w:rPr>
        <w:t>实、准确、完整，不存在虚假记载、误导性陈述或重大遗漏，并承担个别和连带</w:t>
      </w:r>
      <w:r>
        <w:rPr>
          <w:rFonts w:ascii="Microsoft JhengHei" w:hAnsi="Microsoft JhengHei" w:cs="Microsoft JhengHei" w:eastAsia="Microsoft JhengHei" w:hint="default"/>
          <w:b/>
          <w:bCs/>
          <w:spacing w:val="-28"/>
          <w:sz w:val="28"/>
          <w:szCs w:val="28"/>
        </w:rPr>
        <w:t> </w:t>
      </w:r>
      <w:r>
        <w:rPr>
          <w:rFonts w:ascii="Microsoft JhengHei" w:hAnsi="Microsoft JhengHei" w:cs="Microsoft JhengHei" w:eastAsia="Microsoft JhengHei" w:hint="default"/>
          <w:b/>
          <w:bCs/>
          <w:spacing w:val="-28"/>
          <w:sz w:val="28"/>
          <w:szCs w:val="28"/>
        </w:rPr>
      </w:r>
      <w:r>
        <w:rPr>
          <w:rFonts w:ascii="Microsoft JhengHei" w:hAnsi="Microsoft JhengHei" w:cs="Microsoft JhengHei" w:eastAsia="Microsoft JhengHei" w:hint="default"/>
          <w:b/>
          <w:bCs/>
          <w:sz w:val="28"/>
          <w:szCs w:val="28"/>
        </w:rPr>
        <w:t>的法律责任。</w:t>
      </w:r>
      <w:r>
        <w:rPr>
          <w:rFonts w:ascii="Microsoft JhengHei" w:hAnsi="Microsoft JhengHei" w:cs="Microsoft JhengHei" w:eastAsia="Microsoft JhengHei" w:hint="default"/>
          <w:sz w:val="28"/>
          <w:szCs w:val="28"/>
        </w:rPr>
      </w:r>
    </w:p>
    <w:p>
      <w:pPr>
        <w:spacing w:line="307" w:lineRule="auto" w:before="133"/>
        <w:ind w:left="152" w:right="1131"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公司负责人吴劲风、主管会计工作负责人姜晓明及会计机构负责人</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会计主</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管人员</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姜晓明声明：保证年度报告中财务报告的真实、准确、完整。</w:t>
      </w:r>
      <w:r>
        <w:rPr>
          <w:rFonts w:ascii="Microsoft JhengHei" w:hAnsi="Microsoft JhengHei" w:cs="Microsoft JhengHei" w:eastAsia="Microsoft JhengHei" w:hint="default"/>
          <w:sz w:val="28"/>
          <w:szCs w:val="28"/>
        </w:rPr>
      </w:r>
    </w:p>
    <w:p>
      <w:pPr>
        <w:spacing w:line="355" w:lineRule="auto" w:before="133"/>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所有董事均已出席了审议本报告的董事会会议。</w:t>
      </w:r>
      <w:r>
        <w:rPr>
          <w:rFonts w:ascii="Microsoft JhengHei" w:hAnsi="Microsoft JhengHei" w:cs="Microsoft JhengHei" w:eastAsia="Microsoft JhengHei" w:hint="default"/>
          <w:b/>
          <w:bCs/>
          <w:spacing w:val="-48"/>
          <w:sz w:val="28"/>
          <w:szCs w:val="28"/>
        </w:rPr>
        <w:t> </w:t>
      </w:r>
      <w:r>
        <w:rPr>
          <w:rFonts w:ascii="Microsoft JhengHei" w:hAnsi="Microsoft JhengHei" w:cs="Microsoft JhengHei" w:eastAsia="Microsoft JhengHei" w:hint="default"/>
          <w:b/>
          <w:bCs/>
          <w:spacing w:val="-48"/>
          <w:sz w:val="28"/>
          <w:szCs w:val="28"/>
        </w:rPr>
      </w:r>
      <w:r>
        <w:rPr>
          <w:rFonts w:ascii="Microsoft JhengHei" w:hAnsi="Microsoft JhengHei" w:cs="Microsoft JhengHei" w:eastAsia="Microsoft JhengHei" w:hint="default"/>
          <w:b/>
          <w:bCs/>
          <w:spacing w:val="-2"/>
          <w:sz w:val="28"/>
          <w:szCs w:val="28"/>
        </w:rPr>
        <w:t>本年度报告涉及未来计划等前瞻性陈述，不构成公司对投资者的实质承诺，</w:t>
      </w:r>
      <w:r>
        <w:rPr>
          <w:rFonts w:ascii="Microsoft JhengHei" w:hAnsi="Microsoft JhengHei" w:cs="Microsoft JhengHei" w:eastAsia="Microsoft JhengHei" w:hint="default"/>
          <w:spacing w:val="-2"/>
          <w:sz w:val="28"/>
          <w:szCs w:val="28"/>
        </w:rPr>
      </w:r>
    </w:p>
    <w:p>
      <w:pPr>
        <w:spacing w:line="445" w:lineRule="exact" w:before="0"/>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请投资者注意投资风险。</w:t>
      </w:r>
      <w:r>
        <w:rPr>
          <w:rFonts w:ascii="Microsoft JhengHei" w:hAnsi="Microsoft JhengHei" w:cs="Microsoft JhengHei" w:eastAsia="Microsoft JhengHei" w:hint="default"/>
          <w:sz w:val="28"/>
          <w:szCs w:val="28"/>
        </w:rPr>
      </w:r>
    </w:p>
    <w:p>
      <w:pPr>
        <w:spacing w:line="307" w:lineRule="auto" w:before="238"/>
        <w:ind w:left="152" w:right="1131"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公司经本次董事会审议通过的利润分配预案为：以权益分派实施股权登记</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7"/>
          <w:w w:val="100"/>
          <w:sz w:val="28"/>
          <w:szCs w:val="28"/>
        </w:rPr>
        <w:t>日公司股份总数为基数（公司已回购股份不参与利润分配），每</w:t>
      </w:r>
      <w:r>
        <w:rPr>
          <w:rFonts w:ascii="Microsoft JhengHei" w:hAnsi="Microsoft JhengHei" w:cs="Microsoft JhengHei" w:eastAsia="Microsoft JhengHei" w:hint="default"/>
          <w:b/>
          <w:bCs/>
          <w:w w:val="100"/>
          <w:sz w:val="28"/>
          <w:szCs w:val="28"/>
        </w:rPr>
        <w:t>  </w:t>
      </w:r>
      <w:r>
        <w:rPr>
          <w:rFonts w:ascii="Times New Roman" w:hAnsi="Times New Roman" w:cs="Times New Roman" w:eastAsia="Times New Roman" w:hint="default"/>
          <w:b/>
          <w:bCs/>
          <w:spacing w:val="-1"/>
          <w:w w:val="100"/>
          <w:sz w:val="28"/>
          <w:szCs w:val="28"/>
        </w:rPr>
        <w:t>10</w:t>
      </w:r>
      <w:r>
        <w:rPr>
          <w:rFonts w:ascii="Times New Roman" w:hAnsi="Times New Roman" w:cs="Times New Roman" w:eastAsia="Times New Roman" w:hint="default"/>
          <w:b/>
          <w:bCs/>
          <w:w w:val="100"/>
          <w:sz w:val="28"/>
          <w:szCs w:val="28"/>
        </w:rPr>
        <w:t> </w:t>
      </w:r>
      <w:r>
        <w:rPr>
          <w:rFonts w:ascii="Times New Roman" w:hAnsi="Times New Roman" w:cs="Times New Roman" w:eastAsia="Times New Roman" w:hint="default"/>
          <w:b/>
          <w:bCs/>
          <w:spacing w:val="6"/>
          <w:w w:val="100"/>
          <w:sz w:val="28"/>
          <w:szCs w:val="28"/>
        </w:rPr>
        <w:t> </w:t>
      </w:r>
      <w:r>
        <w:rPr>
          <w:rFonts w:ascii="Microsoft JhengHei" w:hAnsi="Microsoft JhengHei" w:cs="Microsoft JhengHei" w:eastAsia="Microsoft JhengHei" w:hint="default"/>
          <w:b/>
          <w:bCs/>
          <w:w w:val="100"/>
          <w:sz w:val="28"/>
          <w:szCs w:val="28"/>
        </w:rPr>
        <w:t>股派发现金</w:t>
      </w:r>
      <w:r>
        <w:rPr>
          <w:rFonts w:ascii="Microsoft JhengHei" w:hAnsi="Microsoft JhengHei" w:cs="Microsoft JhengHei" w:eastAsia="Microsoft JhengHei" w:hint="default"/>
          <w:w w:val="100"/>
          <w:sz w:val="28"/>
          <w:szCs w:val="28"/>
        </w:rPr>
      </w:r>
    </w:p>
    <w:p>
      <w:pPr>
        <w:spacing w:before="32"/>
        <w:ind w:left="152" w:right="0" w:firstLine="0"/>
        <w:jc w:val="left"/>
        <w:rPr>
          <w:rFonts w:ascii="Microsoft JhengHei" w:hAnsi="Microsoft JhengHei" w:cs="Microsoft JhengHei" w:eastAsia="Microsoft JhengHei" w:hint="default"/>
          <w:sz w:val="28"/>
          <w:szCs w:val="28"/>
        </w:rPr>
      </w:pPr>
      <w:r>
        <w:rPr>
          <w:rFonts w:ascii="Times New Roman" w:hAnsi="Times New Roman" w:cs="Times New Roman" w:eastAsia="Times New Roman" w:hint="default"/>
          <w:b/>
          <w:bCs/>
          <w:spacing w:val="1"/>
          <w:w w:val="100"/>
          <w:sz w:val="28"/>
          <w:szCs w:val="28"/>
        </w:rPr>
        <w:t>0</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8</w:t>
      </w:r>
      <w:r>
        <w:rPr>
          <w:rFonts w:ascii="Times New Roman" w:hAnsi="Times New Roman" w:cs="Times New Roman" w:eastAsia="Times New Roman" w:hint="default"/>
          <w:b/>
          <w:bCs/>
          <w:sz w:val="28"/>
          <w:szCs w:val="28"/>
        </w:rPr>
        <w:t> </w:t>
      </w:r>
      <w:r>
        <w:rPr>
          <w:rFonts w:ascii="Microsoft JhengHei" w:hAnsi="Microsoft JhengHei" w:cs="Microsoft JhengHei" w:eastAsia="Microsoft JhengHei" w:hint="default"/>
          <w:b/>
          <w:bCs/>
          <w:w w:val="100"/>
          <w:sz w:val="28"/>
          <w:szCs w:val="28"/>
        </w:rPr>
        <w:t>元（含</w:t>
      </w:r>
      <w:r>
        <w:rPr>
          <w:rFonts w:ascii="Microsoft JhengHei" w:hAnsi="Microsoft JhengHei" w:cs="Microsoft JhengHei" w:eastAsia="Microsoft JhengHei" w:hint="default"/>
          <w:b/>
          <w:bCs/>
          <w:spacing w:val="2"/>
          <w:w w:val="100"/>
          <w:sz w:val="28"/>
          <w:szCs w:val="28"/>
        </w:rPr>
        <w:t>税</w:t>
      </w:r>
      <w:r>
        <w:rPr>
          <w:rFonts w:ascii="Microsoft JhengHei" w:hAnsi="Microsoft JhengHei" w:cs="Microsoft JhengHei" w:eastAsia="Microsoft JhengHei" w:hint="default"/>
          <w:b/>
          <w:bCs/>
          <w:spacing w:val="-142"/>
          <w:w w:val="100"/>
          <w:sz w:val="28"/>
          <w:szCs w:val="28"/>
        </w:rPr>
        <w:t>）</w:t>
      </w:r>
      <w:r>
        <w:rPr>
          <w:rFonts w:ascii="Microsoft JhengHei" w:hAnsi="Microsoft JhengHei" w:cs="Microsoft JhengHei" w:eastAsia="Microsoft JhengHei" w:hint="default"/>
          <w:b/>
          <w:bCs/>
          <w:w w:val="100"/>
          <w:sz w:val="28"/>
          <w:szCs w:val="28"/>
        </w:rPr>
        <w:t>，送</w:t>
      </w:r>
      <w:r>
        <w:rPr>
          <w:rFonts w:ascii="Microsoft JhengHei" w:hAnsi="Microsoft JhengHei" w:cs="Microsoft JhengHei" w:eastAsia="Microsoft JhengHei" w:hint="default"/>
          <w:b/>
          <w:bCs/>
          <w:spacing w:val="2"/>
          <w:w w:val="100"/>
          <w:sz w:val="28"/>
          <w:szCs w:val="28"/>
        </w:rPr>
        <w:t>红</w:t>
      </w:r>
      <w:r>
        <w:rPr>
          <w:rFonts w:ascii="Microsoft JhengHei" w:hAnsi="Microsoft JhengHei" w:cs="Microsoft JhengHei" w:eastAsia="Microsoft JhengHei" w:hint="default"/>
          <w:b/>
          <w:bCs/>
          <w:w w:val="100"/>
          <w:sz w:val="28"/>
          <w:szCs w:val="28"/>
        </w:rPr>
        <w:t>股</w:t>
      </w:r>
      <w:r>
        <w:rPr>
          <w:rFonts w:ascii="Microsoft JhengHei" w:hAnsi="Microsoft JhengHei" w:cs="Microsoft JhengHei" w:eastAsia="Microsoft JhengHei" w:hint="default"/>
          <w:b/>
          <w:bCs/>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Microsoft JhengHei" w:hAnsi="Microsoft JhengHei" w:cs="Microsoft JhengHei" w:eastAsia="Microsoft JhengHei" w:hint="default"/>
          <w:b/>
          <w:bCs/>
          <w:w w:val="100"/>
          <w:sz w:val="28"/>
          <w:szCs w:val="28"/>
        </w:rPr>
        <w:t>股</w:t>
      </w:r>
      <w:r>
        <w:rPr>
          <w:rFonts w:ascii="Microsoft JhengHei" w:hAnsi="Microsoft JhengHei" w:cs="Microsoft JhengHei" w:eastAsia="Microsoft JhengHei" w:hint="default"/>
          <w:b/>
          <w:bCs/>
          <w:spacing w:val="2"/>
          <w:w w:val="100"/>
          <w:sz w:val="28"/>
          <w:szCs w:val="28"/>
        </w:rPr>
        <w:t>，</w:t>
      </w:r>
      <w:r>
        <w:rPr>
          <w:rFonts w:ascii="Microsoft JhengHei" w:hAnsi="Microsoft JhengHei" w:cs="Microsoft JhengHei" w:eastAsia="Microsoft JhengHei" w:hint="default"/>
          <w:b/>
          <w:bCs/>
          <w:w w:val="100"/>
          <w:sz w:val="28"/>
          <w:szCs w:val="28"/>
        </w:rPr>
        <w:t>不以资本公</w:t>
      </w:r>
      <w:r>
        <w:rPr>
          <w:rFonts w:ascii="Microsoft JhengHei" w:hAnsi="Microsoft JhengHei" w:cs="Microsoft JhengHei" w:eastAsia="Microsoft JhengHei" w:hint="default"/>
          <w:b/>
          <w:bCs/>
          <w:spacing w:val="2"/>
          <w:w w:val="100"/>
          <w:sz w:val="28"/>
          <w:szCs w:val="28"/>
        </w:rPr>
        <w:t>积</w:t>
      </w:r>
      <w:r>
        <w:rPr>
          <w:rFonts w:ascii="Microsoft JhengHei" w:hAnsi="Microsoft JhengHei" w:cs="Microsoft JhengHei" w:eastAsia="Microsoft JhengHei" w:hint="default"/>
          <w:b/>
          <w:bCs/>
          <w:w w:val="100"/>
          <w:sz w:val="28"/>
          <w:szCs w:val="28"/>
        </w:rPr>
        <w:t>金转增股本。</w:t>
      </w:r>
      <w:r>
        <w:rPr>
          <w:rFonts w:ascii="Microsoft JhengHei" w:hAnsi="Microsoft JhengHei" w:cs="Microsoft JhengHei" w:eastAsia="Microsoft JhengHei" w:hint="default"/>
          <w:w w:val="100"/>
          <w:sz w:val="28"/>
          <w:szCs w:val="28"/>
        </w:rPr>
      </w:r>
    </w:p>
    <w:p>
      <w:pPr>
        <w:spacing w:after="0"/>
        <w:jc w:val="left"/>
        <w:rPr>
          <w:rFonts w:ascii="Microsoft JhengHei" w:hAnsi="Microsoft JhengHei" w:cs="Microsoft JhengHei" w:eastAsia="Microsoft JhengHei" w:hint="default"/>
          <w:sz w:val="28"/>
          <w:szCs w:val="28"/>
        </w:rPr>
        <w:sectPr>
          <w:footerReference w:type="default" r:id="rId8"/>
          <w:pgSz w:w="11910" w:h="16840"/>
          <w:pgMar w:footer="979" w:header="748" w:top="1060" w:bottom="1160" w:left="980" w:right="0"/>
          <w:pgNumType w:start="2"/>
        </w:sectPr>
      </w:pPr>
    </w:p>
    <w:p>
      <w:pPr>
        <w:spacing w:line="240" w:lineRule="auto" w:before="0"/>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21"/>
          <w:szCs w:val="21"/>
        </w:rPr>
      </w:pPr>
    </w:p>
    <w:p>
      <w:pPr>
        <w:spacing w:line="501" w:lineRule="exact" w:before="0"/>
        <w:ind w:left="4490" w:right="0" w:firstLine="0"/>
        <w:jc w:val="left"/>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sdt>
      <w:sdtPr>
        <w:docPartObj>
          <w:docPartGallery w:val="Table of Contents"/>
          <w:docPartUnique/>
        </w:docPartObj>
      </w:sdtPr>
      <w:sdtEndPr/>
      <w:sdtContent>
        <w:p>
          <w:pPr>
            <w:pStyle w:val="TOC1"/>
            <w:tabs>
              <w:tab w:pos="9782" w:val="right" w:leader="dot"/>
            </w:tabs>
            <w:spacing w:line="240" w:lineRule="auto" w:before="981"/>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r>
            <w:r>
              <w:rPr>
                <w:rFonts w:ascii="Times New Roman" w:hAnsi="Times New Roman" w:cs="Times New Roman" w:eastAsia="Times New Roman" w:hint="default"/>
              </w:rPr>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rPr>
              <w:t>6</w:t>
            </w:r>
          </w:hyperlink>
        </w:p>
        <w:p>
          <w:pPr>
            <w:pStyle w:val="TOC1"/>
            <w:tabs>
              <w:tab w:pos="9773" w:val="right" w:leader="dot"/>
            </w:tabs>
            <w:spacing w:line="240" w:lineRule="auto" w:before="247"/>
            <w:ind w:right="0"/>
            <w:jc w:val="left"/>
            <w:rPr>
              <w:rFonts w:ascii="Times New Roman" w:hAnsi="Times New Roman" w:cs="Times New Roman" w:eastAsia="Times New Roman" w:hint="default"/>
            </w:rPr>
          </w:pPr>
          <w:hyperlink w:history="true" w:anchor="_bookmark2">
            <w:r>
              <w:rPr/>
              <w:t>第三节公司业务概要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1"/>
              </w:rPr>
              <w:t>11</w:t>
            </w:r>
            <w:r>
              <w:rPr>
                <w:rFonts w:ascii="Times New Roman" w:hAnsi="Times New Roman" w:cs="Times New Roman" w:eastAsia="Times New Roman" w:hint="default"/>
              </w:rPr>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3">
            <w:r>
              <w:rPr/>
              <w:t>第四节经营情况讨论与分析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rPr>
              <w:t>30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4">
            <w:r>
              <w:rPr/>
              <w:t>第五节重要事项</w:t>
            </w:r>
            <w:r>
              <w:rPr>
                <w:rFonts w:ascii="Times New Roman" w:hAnsi="Times New Roman" w:cs="Times New Roman" w:eastAsia="Times New Roman" w:hint="default"/>
              </w:rPr>
              <w:tab/>
            </w:r>
            <w:r>
              <w:rPr>
                <w:rFonts w:ascii="Times New Roman" w:hAnsi="Times New Roman" w:cs="Times New Roman" w:eastAsia="Times New Roman" w:hint="default"/>
              </w:rPr>
              <w:t>57</w:t>
            </w:r>
          </w:hyperlink>
        </w:p>
        <w:p>
          <w:pPr>
            <w:pStyle w:val="TOC1"/>
            <w:tabs>
              <w:tab w:pos="9785" w:val="right" w:leader="dot"/>
            </w:tabs>
            <w:spacing w:line="240" w:lineRule="auto" w:before="247"/>
            <w:ind w:right="0"/>
            <w:jc w:val="left"/>
            <w:rPr>
              <w:rFonts w:ascii="Times New Roman" w:hAnsi="Times New Roman" w:cs="Times New Roman" w:eastAsia="Times New Roman" w:hint="default"/>
            </w:rPr>
          </w:pPr>
          <w:hyperlink w:history="true" w:anchor="_bookmark5">
            <w:r>
              <w:rPr/>
              <w:t>第六节股份变动及股东情况</w:t>
            </w:r>
            <w:r>
              <w:rPr>
                <w:rFonts w:ascii="Times New Roman" w:hAnsi="Times New Roman" w:cs="Times New Roman" w:eastAsia="Times New Roman" w:hint="default"/>
              </w:rPr>
              <w:tab/>
            </w:r>
            <w:r>
              <w:rPr>
                <w:rFonts w:ascii="Times New Roman" w:hAnsi="Times New Roman" w:cs="Times New Roman" w:eastAsia="Times New Roman" w:hint="default"/>
              </w:rPr>
              <w:t>70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6">
            <w:r>
              <w:rPr/>
              <w:t>第七节优先股相关情况</w:t>
            </w:r>
            <w:r>
              <w:rPr>
                <w:rFonts w:ascii="Times New Roman" w:hAnsi="Times New Roman" w:cs="Times New Roman" w:eastAsia="Times New Roman" w:hint="default"/>
              </w:rPr>
              <w:tab/>
            </w:r>
            <w:r>
              <w:rPr>
                <w:rFonts w:ascii="Times New Roman" w:hAnsi="Times New Roman" w:cs="Times New Roman" w:eastAsia="Times New Roman" w:hint="default"/>
              </w:rPr>
              <w:t>78</w:t>
            </w:r>
          </w:hyperlink>
        </w:p>
        <w:p>
          <w:pPr>
            <w:pStyle w:val="TOC1"/>
            <w:tabs>
              <w:tab w:pos="9785" w:val="right" w:leader="dot"/>
            </w:tabs>
            <w:spacing w:line="240" w:lineRule="auto" w:before="250"/>
            <w:ind w:right="0"/>
            <w:jc w:val="left"/>
            <w:rPr>
              <w:rFonts w:ascii="Times New Roman" w:hAnsi="Times New Roman" w:cs="Times New Roman" w:eastAsia="Times New Roman" w:hint="default"/>
            </w:rPr>
          </w:pPr>
          <w:hyperlink w:history="true" w:anchor="_bookmark7">
            <w:r>
              <w:rPr/>
              <w:t>第八节可转换公司债券相关情况</w:t>
            </w:r>
            <w:r>
              <w:rPr>
                <w:rFonts w:ascii="Times New Roman" w:hAnsi="Times New Roman" w:cs="Times New Roman" w:eastAsia="Times New Roman" w:hint="default"/>
              </w:rPr>
              <w:tab/>
            </w:r>
            <w:r>
              <w:rPr>
                <w:rFonts w:ascii="Times New Roman" w:hAnsi="Times New Roman" w:cs="Times New Roman" w:eastAsia="Times New Roman" w:hint="default"/>
              </w:rPr>
              <w:t>79</w:t>
            </w:r>
          </w:hyperlink>
        </w:p>
        <w:p>
          <w:pPr>
            <w:pStyle w:val="TOC1"/>
            <w:tabs>
              <w:tab w:pos="9785" w:val="right" w:leader="dot"/>
            </w:tabs>
            <w:spacing w:line="240" w:lineRule="auto" w:before="247"/>
            <w:ind w:right="0"/>
            <w:jc w:val="left"/>
            <w:rPr>
              <w:rFonts w:ascii="Times New Roman" w:hAnsi="Times New Roman" w:cs="Times New Roman" w:eastAsia="Times New Roman" w:hint="default"/>
            </w:rPr>
          </w:pPr>
          <w:hyperlink w:history="true" w:anchor="_bookmark8">
            <w:r>
              <w:rPr/>
              <w:t>第九节董事、监事、高级管理人员和员工情况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rPr>
              <w:t>80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9">
            <w:r>
              <w:rPr/>
              <w:t>第十节公司治理</w:t>
            </w:r>
            <w:r>
              <w:rPr>
                <w:rFonts w:ascii="Times New Roman" w:hAnsi="Times New Roman" w:cs="Times New Roman" w:eastAsia="Times New Roman" w:hint="default"/>
              </w:rPr>
              <w:tab/>
            </w:r>
            <w:r>
              <w:rPr>
                <w:rFonts w:ascii="Times New Roman" w:hAnsi="Times New Roman" w:cs="Times New Roman" w:eastAsia="Times New Roman" w:hint="default"/>
              </w:rPr>
              <w:t>92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0">
            <w:r>
              <w:rPr/>
              <w:t>第十一节公司债券相关情况</w:t>
            </w:r>
            <w:r>
              <w:rPr>
                <w:rFonts w:ascii="Times New Roman" w:hAnsi="Times New Roman" w:cs="Times New Roman" w:eastAsia="Times New Roman" w:hint="default"/>
              </w:rPr>
              <w:tab/>
            </w:r>
            <w:r>
              <w:rPr>
                <w:rFonts w:ascii="Times New Roman" w:hAnsi="Times New Roman" w:cs="Times New Roman" w:eastAsia="Times New Roman" w:hint="default"/>
              </w:rPr>
              <w:t>97</w:t>
            </w:r>
          </w:hyperlink>
        </w:p>
        <w:p>
          <w:pPr>
            <w:pStyle w:val="TOC1"/>
            <w:tabs>
              <w:tab w:pos="9785" w:val="right" w:leader="dot"/>
            </w:tabs>
            <w:spacing w:line="240" w:lineRule="auto" w:before="247"/>
            <w:ind w:right="0"/>
            <w:jc w:val="left"/>
            <w:rPr>
              <w:rFonts w:ascii="Times New Roman" w:hAnsi="Times New Roman" w:cs="Times New Roman" w:eastAsia="Times New Roman" w:hint="default"/>
            </w:rPr>
          </w:pPr>
          <w:hyperlink w:history="true" w:anchor="_bookmark11">
            <w:r>
              <w:rPr/>
              <w:t>第十二节</w:t>
            </w:r>
            <w:r>
              <w:rPr>
                <w:spacing w:val="-1"/>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rPr>
              <w:t>101</w:t>
            </w:r>
          </w:hyperlink>
        </w:p>
        <w:p>
          <w:pPr>
            <w:pStyle w:val="TOC1"/>
            <w:tabs>
              <w:tab w:pos="9785" w:val="right" w:leader="dot"/>
            </w:tabs>
            <w:spacing w:line="240" w:lineRule="auto" w:before="250"/>
            <w:ind w:right="0"/>
            <w:jc w:val="left"/>
            <w:rPr>
              <w:rFonts w:ascii="Times New Roman" w:hAnsi="Times New Roman" w:cs="Times New Roman" w:eastAsia="Times New Roman" w:hint="default"/>
            </w:rPr>
          </w:pPr>
          <w:hyperlink w:history="true" w:anchor="_bookmark12">
            <w:r>
              <w:rPr/>
              <w:t>第十三节</w:t>
            </w:r>
            <w:r>
              <w:rPr>
                <w:spacing w:val="-1"/>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rPr>
              <w:t>248</w:t>
            </w:r>
          </w:hyperlink>
        </w:p>
        <w:p>
          <w:pPr/>
          <w:r>
            <w:fldChar w:fldCharType="end"/>
          </w:r>
        </w:p>
      </w:sdtContent>
    </w:sdt>
    <w:p>
      <w:pPr>
        <w:spacing w:after="0"/>
        <w:sectPr>
          <w:pgSz w:w="11910" w:h="16840"/>
          <w:pgMar w:header="748" w:footer="979" w:top="1060" w:bottom="1160" w:left="980" w:right="0"/>
        </w:sectPr>
      </w:pPr>
    </w:p>
    <w:p>
      <w:pPr>
        <w:spacing w:before="841"/>
        <w:ind w:left="494" w:right="1472"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81" w:type="dxa"/>
        <w:tblLayout w:type="fixed"/>
        <w:tblCellMar>
          <w:top w:w="0" w:type="dxa"/>
          <w:left w:w="0" w:type="dxa"/>
          <w:bottom w:w="0" w:type="dxa"/>
          <w:right w:w="0" w:type="dxa"/>
        </w:tblCellMar>
        <w:tblLook w:val="01E0"/>
      </w:tblPr>
      <w:tblGrid>
        <w:gridCol w:w="3603"/>
        <w:gridCol w:w="614"/>
        <w:gridCol w:w="5353"/>
      </w:tblGrid>
      <w:tr>
        <w:trPr>
          <w:trHeight w:val="398" w:hRule="exact"/>
        </w:trPr>
        <w:tc>
          <w:tcPr>
            <w:tcW w:w="3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四维图新、公司、本公司</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北京四维图新科技股份有限公司</w:t>
            </w:r>
          </w:p>
        </w:tc>
      </w:tr>
      <w:tr>
        <w:trPr>
          <w:trHeight w:val="403"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w:t>
            </w:r>
          </w:p>
        </w:tc>
      </w:tr>
      <w:tr>
        <w:trPr>
          <w:trHeight w:val="404"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杰发科技</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合肥杰发科技有限公司</w:t>
            </w:r>
          </w:p>
        </w:tc>
      </w:tr>
      <w:tr>
        <w:trPr>
          <w:trHeight w:val="401"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联发科</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联发科技股份有限公司</w:t>
            </w:r>
          </w:p>
        </w:tc>
      </w:tr>
      <w:tr>
        <w:trPr>
          <w:trHeight w:val="1027"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互联网地图服务</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7"/>
              <w:jc w:val="both"/>
              <w:rPr>
                <w:rFonts w:ascii="宋体" w:hAnsi="宋体" w:cs="宋体" w:eastAsia="宋体" w:hint="default"/>
                <w:sz w:val="18"/>
                <w:szCs w:val="18"/>
              </w:rPr>
            </w:pPr>
            <w:r>
              <w:rPr>
                <w:rFonts w:ascii="宋体" w:hAnsi="宋体" w:cs="宋体" w:eastAsia="宋体" w:hint="default"/>
                <w:sz w:val="18"/>
                <w:szCs w:val="18"/>
              </w:rPr>
              <w:t>地图服务方根据用户提出的地理信息需求，通过自动搜索、人工查 询、在线交流等方式为用户提供方便、快捷、准确的地图信息、周 边景物场所信息及出行交通指引资讯的在线信息服务。</w:t>
            </w:r>
          </w:p>
        </w:tc>
      </w:tr>
      <w:tr>
        <w:trPr>
          <w:trHeight w:val="1025"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动态交通信息服务</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98"/>
              <w:jc w:val="both"/>
              <w:rPr>
                <w:rFonts w:ascii="宋体" w:hAnsi="宋体" w:cs="宋体" w:eastAsia="宋体" w:hint="default"/>
                <w:sz w:val="18"/>
                <w:szCs w:val="18"/>
              </w:rPr>
            </w:pPr>
            <w:r>
              <w:rPr>
                <w:rFonts w:ascii="宋体" w:hAnsi="宋体" w:cs="宋体" w:eastAsia="宋体" w:hint="default"/>
                <w:sz w:val="18"/>
                <w:szCs w:val="18"/>
              </w:rPr>
              <w:t>在对交通信息的采集、融合、处理基础上，通过有线网络和无线网 络向互联网、呼叫中心、手机、</w:t>
            </w:r>
            <w:r>
              <w:rPr>
                <w:rFonts w:ascii="Times New Roman" w:hAnsi="Times New Roman" w:cs="Times New Roman" w:eastAsia="Times New Roman" w:hint="default"/>
                <w:sz w:val="18"/>
                <w:szCs w:val="18"/>
              </w:rPr>
              <w:t>PDA</w:t>
            </w:r>
            <w:r>
              <w:rPr>
                <w:rFonts w:ascii="宋体" w:hAnsi="宋体" w:cs="宋体" w:eastAsia="宋体" w:hint="default"/>
                <w:sz w:val="18"/>
                <w:szCs w:val="18"/>
              </w:rPr>
              <w:t>、车载终端等发布实时交通信 息，为出行者提供较为完善的出行信息服务。</w:t>
            </w:r>
          </w:p>
        </w:tc>
      </w:tr>
      <w:tr>
        <w:trPr>
          <w:trHeight w:val="403"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GIS</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Geographical Information System</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的缩写，地理信息系统。</w:t>
            </w:r>
          </w:p>
        </w:tc>
      </w:tr>
      <w:tr>
        <w:trPr>
          <w:trHeight w:val="1337"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车联网</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97"/>
              <w:jc w:val="both"/>
              <w:rPr>
                <w:rFonts w:ascii="宋体" w:hAnsi="宋体" w:cs="宋体" w:eastAsia="宋体" w:hint="default"/>
                <w:sz w:val="18"/>
                <w:szCs w:val="18"/>
              </w:rPr>
            </w:pPr>
            <w:r>
              <w:rPr>
                <w:rFonts w:ascii="宋体" w:hAnsi="宋体" w:cs="宋体" w:eastAsia="宋体" w:hint="default"/>
                <w:sz w:val="18"/>
                <w:szCs w:val="18"/>
              </w:rPr>
              <w:t>指装载在车辆上的电子标签通过无线射频等识别技术，实现在信息 网络平台上对所有车辆的属性信息和静、动信息进行提取和有效利 用，并根据不同的功能需求对所有车辆的运行状态进行有效的监管 和提供综合信息服务。</w:t>
            </w:r>
          </w:p>
        </w:tc>
      </w:tr>
      <w:tr>
        <w:trPr>
          <w:trHeight w:val="403"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NDS</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Navigation Data Standard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的简称，电子地图导航数据标准。</w:t>
            </w:r>
          </w:p>
        </w:tc>
      </w:tr>
      <w:tr>
        <w:trPr>
          <w:trHeight w:val="713"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在线服务</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7"/>
              <w:jc w:val="left"/>
              <w:rPr>
                <w:rFonts w:ascii="宋体" w:hAnsi="宋体" w:cs="宋体" w:eastAsia="宋体" w:hint="default"/>
                <w:sz w:val="18"/>
                <w:szCs w:val="18"/>
              </w:rPr>
            </w:pPr>
            <w:r>
              <w:rPr>
                <w:rFonts w:ascii="宋体" w:hAnsi="宋体" w:cs="宋体" w:eastAsia="宋体" w:hint="default"/>
                <w:sz w:val="18"/>
                <w:szCs w:val="18"/>
              </w:rPr>
              <w:t>是指利用互联网技术，向用户提供线上导航电子地图及动态交通信 息等服务的方式。</w:t>
            </w:r>
          </w:p>
        </w:tc>
      </w:tr>
      <w:tr>
        <w:trPr>
          <w:trHeight w:val="1652"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ADAS</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97"/>
              <w:jc w:val="both"/>
              <w:rPr>
                <w:rFonts w:ascii="宋体" w:hAnsi="宋体" w:cs="宋体" w:eastAsia="宋体" w:hint="default"/>
                <w:sz w:val="18"/>
                <w:szCs w:val="18"/>
              </w:rPr>
            </w:pPr>
            <w:r>
              <w:rPr>
                <w:rFonts w:ascii="宋体" w:hAnsi="宋体" w:cs="宋体" w:eastAsia="宋体" w:hint="default"/>
                <w:sz w:val="18"/>
                <w:szCs w:val="18"/>
              </w:rPr>
              <w:t>即高级驾驶辅助系统，是利用安装在车上的各式各样传感器，在汽 车行驶过程中随时感应周围的环境，收集数据，进行静态、动态物 体的辨识、侦测与追踪，并结合导航仪地图数据进行系统的运算与 分析，从而预先让驾驶者察觉到可能发生的危险，有效增加汽车驾 驶的舒适性与安全性。</w:t>
            </w:r>
          </w:p>
        </w:tc>
      </w:tr>
      <w:tr>
        <w:trPr>
          <w:trHeight w:val="401"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HD</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High Definition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的缩写</w:t>
            </w:r>
          </w:p>
        </w:tc>
      </w:tr>
      <w:tr>
        <w:trPr>
          <w:trHeight w:val="403"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IVI</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In-Vehicle Infotainment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的缩写，车载信息娱乐系统</w:t>
            </w:r>
          </w:p>
        </w:tc>
      </w:tr>
      <w:tr>
        <w:trPr>
          <w:trHeight w:val="401"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地图编译</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指将电子地图由一般数据库格式转换成物理格式的过程。</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5"/>
          <w:szCs w:val="25"/>
        </w:rPr>
      </w:pPr>
    </w:p>
    <w:p>
      <w:pPr>
        <w:spacing w:line="456" w:lineRule="exact" w:before="0"/>
        <w:ind w:left="494" w:right="1472"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风险提示</w:t>
      </w:r>
      <w:r>
        <w:rPr>
          <w:rFonts w:ascii="Microsoft JhengHei" w:hAnsi="Microsoft JhengHei" w:cs="Microsoft JhengHei" w:eastAsia="Microsoft JhengHei" w:hint="default"/>
          <w:sz w:val="32"/>
          <w:szCs w:val="32"/>
        </w:rPr>
      </w:r>
    </w:p>
    <w:p>
      <w:pPr>
        <w:spacing w:line="240" w:lineRule="auto" w:before="7"/>
        <w:rPr>
          <w:rFonts w:ascii="Microsoft JhengHei" w:hAnsi="Microsoft JhengHei" w:cs="Microsoft JhengHei" w:eastAsia="Microsoft JhengHei" w:hint="default"/>
          <w:b/>
          <w:bCs/>
          <w:sz w:val="29"/>
          <w:szCs w:val="29"/>
        </w:rPr>
      </w:pPr>
    </w:p>
    <w:p>
      <w:pPr>
        <w:spacing w:line="350" w:lineRule="auto" w:before="0"/>
        <w:ind w:left="573" w:right="0" w:firstLine="2"/>
        <w:jc w:val="left"/>
        <w:rPr>
          <w:rFonts w:ascii="宋体" w:hAnsi="宋体" w:cs="宋体" w:eastAsia="宋体"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、市场发展及经营环境不确定性增加的风险</w:t>
      </w:r>
      <w:r>
        <w:rPr>
          <w:rFonts w:ascii="Arial" w:hAnsi="Arial" w:cs="Arial" w:eastAsia="Arial" w:hint="default"/>
          <w:b/>
          <w:bCs/>
          <w:w w:val="180"/>
          <w:sz w:val="21"/>
          <w:szCs w:val="21"/>
        </w:rPr>
        <w:t> </w:t>
      </w:r>
      <w:r>
        <w:rPr>
          <w:rFonts w:ascii="宋体" w:hAnsi="宋体" w:cs="宋体" w:eastAsia="宋体" w:hint="default"/>
          <w:spacing w:val="-2"/>
          <w:sz w:val="21"/>
          <w:szCs w:val="21"/>
        </w:rPr>
        <w:t>国家经济增速下行压力增加，中美贸易关系不稳定，应急突发事件产生的影响不断蔓延，汽车产业产</w:t>
      </w:r>
    </w:p>
    <w:p>
      <w:pPr>
        <w:pStyle w:val="Heading5"/>
        <w:spacing w:line="408" w:lineRule="auto" w:before="96"/>
        <w:ind w:right="0" w:firstLine="0"/>
        <w:jc w:val="left"/>
        <w:rPr>
          <w:rFonts w:ascii="宋体" w:hAnsi="宋体" w:cs="宋体" w:eastAsia="宋体" w:hint="default"/>
        </w:rPr>
      </w:pPr>
      <w:r>
        <w:rPr>
          <w:spacing w:val="-2"/>
        </w:rPr>
        <w:t>销承受压力，国际化的市场冲击和市场竞争日益激烈，公司新产品研发及产品化路径是否能够经受市场验</w:t>
      </w:r>
      <w:r>
        <w:rPr>
          <w:spacing w:val="-44"/>
        </w:rPr>
        <w:t> </w:t>
      </w:r>
      <w:r>
        <w:rPr>
          <w:spacing w:val="-44"/>
        </w:rPr>
      </w:r>
      <w:r>
        <w:rPr/>
        <w:t>证并快速形成竞争优势，以及公司能否快速突破传统商业模式禁锢、有效培育极具增长潜力的新兴业务，</w:t>
      </w:r>
      <w:r>
        <w:rPr>
          <w:spacing w:val="-24"/>
        </w:rPr>
        <w:t> </w:t>
      </w:r>
      <w:r>
        <w:rPr>
          <w:spacing w:val="-24"/>
        </w:rPr>
      </w:r>
      <w:r>
        <w:rPr>
          <w:spacing w:val="-2"/>
        </w:rPr>
        <w:t>面临巨大挑战。公司在经营策略上将密切关注市场及国际形势的变化及走向，不断提升自主科研能力和商</w:t>
      </w:r>
      <w:r>
        <w:rPr>
          <w:spacing w:val="-43"/>
        </w:rPr>
        <w:t> </w:t>
      </w:r>
      <w:r>
        <w:rPr>
          <w:spacing w:val="-43"/>
        </w:rPr>
      </w:r>
      <w:r>
        <w:rPr/>
        <w:t>业化能力，进一步拓展全球化战略布局。</w:t>
      </w:r>
      <w:r>
        <w:rPr>
          <w:rFonts w:ascii="宋体" w:hAnsi="宋体" w:cs="宋体" w:eastAsia="宋体" w:hint="default"/>
        </w:rPr>
        <w:t> </w:t>
      </w:r>
    </w:p>
    <w:p>
      <w:pPr>
        <w:pStyle w:val="Heading4"/>
        <w:spacing w:line="345" w:lineRule="exact"/>
        <w:ind w:left="575" w:right="0"/>
        <w:jc w:val="left"/>
        <w:rPr>
          <w:rFonts w:ascii="Arial" w:hAnsi="Arial" w:cs="Arial" w:eastAsia="Arial" w:hint="default"/>
          <w:b w:val="0"/>
          <w:bCs w:val="0"/>
        </w:rPr>
      </w:pPr>
      <w:r>
        <w:rPr>
          <w:rFonts w:ascii="Arial" w:hAnsi="Arial" w:cs="Arial" w:eastAsia="Arial" w:hint="default"/>
        </w:rPr>
        <w:t>2</w:t>
      </w:r>
      <w:r>
        <w:rPr/>
        <w:t>、新业务、新产品研发投入变现速度不及预期的风险</w:t>
      </w:r>
      <w:r>
        <w:rPr>
          <w:rFonts w:ascii="Arial" w:hAnsi="Arial" w:cs="Arial" w:eastAsia="Arial" w:hint="default"/>
          <w:w w:val="180"/>
        </w:rPr>
        <w:t> </w:t>
      </w:r>
      <w:r>
        <w:rPr>
          <w:rFonts w:ascii="Arial" w:hAnsi="Arial" w:cs="Arial" w:eastAsia="Arial" w:hint="default"/>
          <w:b w:val="0"/>
          <w:bCs w:val="0"/>
        </w:rPr>
      </w:r>
    </w:p>
    <w:p>
      <w:pPr>
        <w:pStyle w:val="Heading5"/>
        <w:spacing w:line="408" w:lineRule="auto" w:before="169"/>
        <w:ind w:right="1126"/>
        <w:jc w:val="both"/>
        <w:rPr>
          <w:rFonts w:ascii="宋体" w:hAnsi="宋体" w:cs="宋体" w:eastAsia="宋体" w:hint="default"/>
        </w:rPr>
      </w:pPr>
      <w:r>
        <w:rPr>
          <w:spacing w:val="-3"/>
        </w:rPr>
        <w:t>公司为推进未来发展战略，将继续保持对高精度地图、高精度定位、自动驾驶整体解决方案、</w:t>
      </w:r>
      <w:r>
        <w:rPr>
          <w:rFonts w:ascii="宋体" w:hAnsi="宋体" w:cs="宋体" w:eastAsia="宋体" w:hint="default"/>
          <w:spacing w:val="-3"/>
        </w:rPr>
        <w:t>TPMS</w:t>
      </w:r>
      <w:r>
        <w:rPr>
          <w:rFonts w:ascii="宋体" w:hAnsi="宋体" w:cs="宋体" w:eastAsia="宋体" w:hint="default"/>
          <w:spacing w:val="-16"/>
        </w:rPr>
        <w:t> </w:t>
      </w:r>
      <w:r>
        <w:rPr/>
        <w:t>芯</w:t>
      </w:r>
      <w:r>
        <w:rPr>
          <w:w w:val="100"/>
        </w:rPr>
        <w:t> </w:t>
      </w:r>
      <w:r>
        <w:rPr>
          <w:spacing w:val="-2"/>
        </w:rPr>
        <w:t>片等车相关领域及业务的投入力度。产业协同及资本合作能否及时到位，新业务及产品是否能被市场认可</w:t>
      </w:r>
      <w:r>
        <w:rPr>
          <w:spacing w:val="-43"/>
        </w:rPr>
        <w:t> </w:t>
      </w:r>
      <w:r>
        <w:rPr>
          <w:spacing w:val="-43"/>
        </w:rPr>
      </w:r>
      <w:r>
        <w:rPr>
          <w:spacing w:val="-2"/>
        </w:rPr>
        <w:t>和接受，面临一定风险。公司将提高新业务开展的预见性，在内部建立类似风险投资的项目评估机制，积</w:t>
      </w:r>
      <w:r>
        <w:rPr>
          <w:spacing w:val="-44"/>
        </w:rPr>
        <w:t> </w:t>
      </w:r>
      <w:r>
        <w:rPr>
          <w:spacing w:val="-44"/>
        </w:rPr>
      </w:r>
      <w:r>
        <w:rPr>
          <w:spacing w:val="-2"/>
        </w:rPr>
        <w:t>极探索与外部战略合作者或投资机构风险与收益共担的产业投资和发展模式，与优秀企业建立可持续的战</w:t>
      </w:r>
      <w:r>
        <w:rPr>
          <w:spacing w:val="-43"/>
        </w:rPr>
        <w:t> </w:t>
      </w:r>
      <w:r>
        <w:rPr>
          <w:spacing w:val="-43"/>
        </w:rPr>
      </w:r>
      <w:r>
        <w:rPr/>
        <w:t>略合作关系，引进产业优势资源和资金支持，共同助力新产品和新业务孵化，缓解上市公司资金压力。</w:t>
      </w:r>
      <w:r>
        <w:rPr>
          <w:rFonts w:ascii="宋体" w:hAnsi="宋体" w:cs="宋体" w:eastAsia="宋体" w:hint="default"/>
        </w:rPr>
        <w:t> </w:t>
      </w:r>
    </w:p>
    <w:p>
      <w:pPr>
        <w:pStyle w:val="Heading4"/>
        <w:spacing w:line="345" w:lineRule="exact"/>
        <w:ind w:left="575" w:right="0"/>
        <w:jc w:val="left"/>
        <w:rPr>
          <w:rFonts w:ascii="Arial" w:hAnsi="Arial" w:cs="Arial" w:eastAsia="Arial" w:hint="default"/>
          <w:b w:val="0"/>
          <w:bCs w:val="0"/>
        </w:rPr>
      </w:pPr>
      <w:r>
        <w:rPr>
          <w:rFonts w:ascii="Arial" w:hAnsi="Arial" w:cs="Arial" w:eastAsia="Arial" w:hint="default"/>
        </w:rPr>
        <w:t>3</w:t>
      </w:r>
      <w:r>
        <w:rPr/>
        <w:t>、优秀人才的选育用留机制不能及时满足公司快速发展需求的风险</w:t>
      </w:r>
      <w:r>
        <w:rPr>
          <w:rFonts w:ascii="Arial" w:hAnsi="Arial" w:cs="Arial" w:eastAsia="Arial" w:hint="default"/>
          <w:w w:val="180"/>
        </w:rPr>
        <w:t> </w:t>
      </w:r>
      <w:r>
        <w:rPr>
          <w:rFonts w:ascii="Arial" w:hAnsi="Arial" w:cs="Arial" w:eastAsia="Arial" w:hint="default"/>
          <w:b w:val="0"/>
          <w:bCs w:val="0"/>
        </w:rPr>
      </w:r>
    </w:p>
    <w:p>
      <w:pPr>
        <w:pStyle w:val="Heading5"/>
        <w:spacing w:line="408" w:lineRule="auto" w:before="169"/>
        <w:ind w:right="1126"/>
        <w:jc w:val="both"/>
        <w:rPr>
          <w:rFonts w:ascii="宋体" w:hAnsi="宋体" w:cs="宋体" w:eastAsia="宋体" w:hint="default"/>
        </w:rPr>
      </w:pPr>
      <w:r>
        <w:rPr>
          <w:spacing w:val="-2"/>
        </w:rPr>
        <w:t>公司关注的面向未来的高精度地图、高精度定位、自动驾驶、人工智能等领域，需要吸引大批掌握核</w:t>
      </w:r>
      <w:r>
        <w:rPr>
          <w:w w:val="100"/>
        </w:rPr>
        <w:t> </w:t>
      </w:r>
      <w:r>
        <w:rPr>
          <w:spacing w:val="-2"/>
        </w:rPr>
        <w:t>心关键技术及前沿攻关能力的专业研发及技术人才，面对激烈的人才竞争，公司在打造吸引人才的发展平</w:t>
      </w:r>
      <w:r>
        <w:rPr>
          <w:spacing w:val="-43"/>
        </w:rPr>
        <w:t> </w:t>
      </w:r>
      <w:r>
        <w:rPr>
          <w:spacing w:val="-43"/>
        </w:rPr>
      </w:r>
      <w:r>
        <w:rPr>
          <w:spacing w:val="-2"/>
        </w:rPr>
        <w:t>台方面面临很大挑战。公司将积极拓展国内外人才引进渠道，与行业知名院校及重点学科单位建立人才培</w:t>
      </w:r>
      <w:r>
        <w:rPr>
          <w:spacing w:val="-43"/>
        </w:rPr>
        <w:t> </w:t>
      </w:r>
      <w:r>
        <w:rPr>
          <w:spacing w:val="-43"/>
        </w:rPr>
      </w:r>
      <w:r>
        <w:rPr>
          <w:spacing w:val="-2"/>
        </w:rPr>
        <w:t>养和共建机制，持续优化在组织能力和人才选育用留方面的机制建设，创新人才激励机制，为高端优秀人</w:t>
      </w:r>
      <w:r>
        <w:rPr>
          <w:spacing w:val="-44"/>
        </w:rPr>
        <w:t> </w:t>
      </w:r>
      <w:r>
        <w:rPr>
          <w:spacing w:val="-44"/>
        </w:rPr>
      </w:r>
      <w:r>
        <w:rPr/>
        <w:t>才提供更为广阔的事业发展平台。</w:t>
      </w:r>
      <w:r>
        <w:rPr>
          <w:rFonts w:ascii="宋体" w:hAnsi="宋体" w:cs="宋体" w:eastAsia="宋体" w:hint="default"/>
        </w:rPr>
        <w:t> </w:t>
      </w:r>
    </w:p>
    <w:p>
      <w:pPr>
        <w:pStyle w:val="Heading4"/>
        <w:spacing w:line="345" w:lineRule="exact"/>
        <w:ind w:left="575" w:right="0"/>
        <w:jc w:val="left"/>
        <w:rPr>
          <w:rFonts w:ascii="Arial" w:hAnsi="Arial" w:cs="Arial" w:eastAsia="Arial" w:hint="default"/>
          <w:b w:val="0"/>
          <w:bCs w:val="0"/>
        </w:rPr>
      </w:pPr>
      <w:r>
        <w:rPr>
          <w:rFonts w:ascii="Arial" w:hAnsi="Arial" w:cs="Arial" w:eastAsia="Arial" w:hint="default"/>
        </w:rPr>
        <w:t>4</w:t>
      </w:r>
      <w:r>
        <w:rPr/>
        <w:t>、知识产权被侵犯的风险</w:t>
      </w:r>
      <w:r>
        <w:rPr>
          <w:rFonts w:ascii="Arial" w:hAnsi="Arial" w:cs="Arial" w:eastAsia="Arial" w:hint="default"/>
          <w:w w:val="180"/>
        </w:rPr>
        <w:t> </w:t>
      </w:r>
      <w:r>
        <w:rPr>
          <w:rFonts w:ascii="Arial" w:hAnsi="Arial" w:cs="Arial" w:eastAsia="Arial" w:hint="default"/>
          <w:b w:val="0"/>
          <w:bCs w:val="0"/>
        </w:rPr>
      </w:r>
    </w:p>
    <w:p>
      <w:pPr>
        <w:pStyle w:val="Heading5"/>
        <w:spacing w:line="408" w:lineRule="auto" w:before="170"/>
        <w:ind w:right="1126"/>
        <w:jc w:val="both"/>
        <w:rPr>
          <w:rFonts w:ascii="宋体" w:hAnsi="宋体" w:cs="宋体" w:eastAsia="宋体" w:hint="default"/>
        </w:rPr>
      </w:pPr>
      <w:r>
        <w:rPr>
          <w:spacing w:val="-2"/>
        </w:rPr>
        <w:t>伴随互联网技术的快速发展，新型电子地图版权侵权案件时有发生，对于公司电子地图业务及软件产</w:t>
      </w:r>
      <w:r>
        <w:rPr>
          <w:w w:val="100"/>
        </w:rPr>
        <w:t> </w:t>
      </w:r>
      <w:r>
        <w:rPr>
          <w:spacing w:val="-2"/>
        </w:rPr>
        <w:t>品的经济收入造成巨大威胁。在研发工具及基础协议的调取和使用、研发成果的保护和二次开发利用、掌</w:t>
      </w:r>
      <w:r>
        <w:rPr>
          <w:spacing w:val="-43"/>
        </w:rPr>
        <w:t> </w:t>
      </w:r>
      <w:r>
        <w:rPr>
          <w:spacing w:val="-43"/>
        </w:rPr>
      </w:r>
      <w:r>
        <w:rPr>
          <w:spacing w:val="-2"/>
        </w:rPr>
        <w:t>握核心技术的关键人员的流动和转岗等过程中，也面临软件著作权、专利权、商标权、商业秘密等权益未</w:t>
      </w:r>
      <w:r>
        <w:rPr>
          <w:spacing w:val="-47"/>
        </w:rPr>
        <w:t> </w:t>
      </w:r>
      <w:r>
        <w:rPr>
          <w:spacing w:val="-47"/>
        </w:rPr>
      </w:r>
      <w:r>
        <w:rPr>
          <w:spacing w:val="-2"/>
        </w:rPr>
        <w:t>被合理保护及被侵犯的风险。公司将加大知识产权保护力度，及时采取法律行动维护公司合法权益，将知</w:t>
      </w:r>
      <w:r>
        <w:rPr>
          <w:spacing w:val="-43"/>
        </w:rPr>
        <w:t> </w:t>
      </w:r>
      <w:r>
        <w:rPr>
          <w:spacing w:val="-43"/>
        </w:rPr>
      </w:r>
      <w:r>
        <w:rPr>
          <w:spacing w:val="-2"/>
        </w:rPr>
        <w:t>识权利风险防御及保护机制嵌入运用到技术创新、产品创新、组织创新和商业模式创新当中，从源头即建</w:t>
      </w:r>
      <w:r>
        <w:rPr>
          <w:spacing w:val="-44"/>
        </w:rPr>
        <w:t> </w:t>
      </w:r>
      <w:r>
        <w:rPr>
          <w:spacing w:val="-44"/>
        </w:rPr>
      </w:r>
      <w:r>
        <w:rPr/>
        <w:t>立起有效措施。</w:t>
      </w:r>
      <w:r>
        <w:rPr>
          <w:rFonts w:ascii="宋体" w:hAnsi="宋体" w:cs="宋体" w:eastAsia="宋体" w:hint="default"/>
        </w:rPr>
        <w:t> </w:t>
      </w:r>
    </w:p>
    <w:p>
      <w:pPr>
        <w:spacing w:after="0" w:line="408" w:lineRule="auto"/>
        <w:jc w:val="both"/>
        <w:rPr>
          <w:rFonts w:ascii="宋体" w:hAnsi="宋体" w:cs="宋体" w:eastAsia="宋体" w:hint="default"/>
        </w:rPr>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456" w:lineRule="exact"/>
        <w:ind w:left="2723" w:right="0"/>
        <w:jc w:val="left"/>
        <w:rPr>
          <w:b w:val="0"/>
          <w:bCs w:val="0"/>
        </w:rPr>
      </w:pPr>
      <w:bookmarkStart w:name="_bookmark1" w:id="2"/>
      <w:bookmarkEnd w:id="2"/>
      <w:r>
        <w:rPr>
          <w:b w:val="0"/>
          <w:bCs w:val="0"/>
        </w:rPr>
      </w:r>
      <w:r>
        <w:rPr/>
        <w:t>第二节公司简介和主要财务指标</w:t>
      </w:r>
      <w:r>
        <w:rPr>
          <w:b w:val="0"/>
          <w:bCs w:val="0"/>
        </w:rPr>
      </w:r>
    </w:p>
    <w:p>
      <w:pPr>
        <w:spacing w:line="240" w:lineRule="auto" w:before="17"/>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一、公司信息</w:t>
      </w:r>
      <w:r>
        <w:rPr>
          <w:b w:val="0"/>
          <w:bCs w:val="0"/>
        </w:rPr>
      </w:r>
    </w:p>
    <w:p>
      <w:pPr>
        <w:spacing w:line="240" w:lineRule="auto" w:before="10"/>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2283"/>
        <w:gridCol w:w="2955"/>
        <w:gridCol w:w="2156"/>
        <w:gridCol w:w="2177"/>
      </w:tblGrid>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四维图新</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002405</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北京四维图新科技股份有限公司</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四维图新</w:t>
            </w:r>
          </w:p>
        </w:tc>
      </w:tr>
      <w:tr>
        <w:trPr>
          <w:trHeight w:val="404"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NavInfo Co.,</w:t>
            </w:r>
            <w:r>
              <w:rPr>
                <w:rFonts w:ascii="Times New Roman"/>
                <w:spacing w:val="-6"/>
                <w:sz w:val="18"/>
              </w:rPr>
              <w:t> </w:t>
            </w:r>
            <w:r>
              <w:rPr>
                <w:rFonts w:ascii="Times New Roman"/>
                <w:sz w:val="18"/>
              </w:rPr>
              <w:t>Ltd.</w:t>
            </w:r>
          </w:p>
        </w:tc>
      </w:tr>
      <w:tr>
        <w:trPr>
          <w:trHeight w:val="71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67"/>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NavInfo</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吴劲风</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号弘彧大厦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1002A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室</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100083</w:t>
            </w:r>
          </w:p>
        </w:tc>
      </w:tr>
      <w:tr>
        <w:trPr>
          <w:trHeight w:val="71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6" w:right="178"/>
              <w:jc w:val="left"/>
              <w:rPr>
                <w:rFonts w:ascii="宋体" w:hAnsi="宋体" w:cs="宋体" w:eastAsia="宋体" w:hint="default"/>
                <w:sz w:val="18"/>
                <w:szCs w:val="18"/>
              </w:rPr>
            </w:pPr>
            <w:r>
              <w:rPr>
                <w:rFonts w:ascii="宋体" w:hAnsi="宋体" w:cs="宋体" w:eastAsia="宋体" w:hint="default"/>
                <w:sz w:val="18"/>
                <w:szCs w:val="18"/>
              </w:rPr>
              <w:t>北京市海淀区永丰路与北清路交汇处东南角四维图新大厦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北京市海淀区丰豪东路四维图 新大厦</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100094</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9">
              <w:r>
                <w:rPr>
                  <w:rFonts w:ascii="Times New Roman"/>
                  <w:sz w:val="18"/>
                </w:rPr>
                <w:t>www.navinfo.com</w:t>
              </w:r>
            </w:hyperlink>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10">
              <w:r>
                <w:rPr>
                  <w:rFonts w:ascii="Times New Roman"/>
                  <w:sz w:val="18"/>
                </w:rPr>
                <w:t>info2405@navinfo.com</w:t>
              </w:r>
            </w:hyperlink>
          </w:p>
        </w:tc>
      </w:tr>
    </w:tbl>
    <w:p>
      <w:pPr>
        <w:spacing w:line="240" w:lineRule="auto" w:before="12"/>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二、联系人和联系方式</w:t>
      </w:r>
      <w:r>
        <w:rPr>
          <w:b w:val="0"/>
          <w:bCs w:val="0"/>
        </w:rPr>
      </w:r>
    </w:p>
    <w:p>
      <w:pPr>
        <w:spacing w:line="240" w:lineRule="auto" w:before="10"/>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孟庆昕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秦芳</w:t>
            </w:r>
          </w:p>
        </w:tc>
      </w:tr>
      <w:tr>
        <w:trPr>
          <w:trHeight w:val="317"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09" w:lineRule="auto" w:before="51"/>
              <w:ind w:left="23" w:right="43"/>
              <w:jc w:val="both"/>
              <w:rPr>
                <w:rFonts w:ascii="宋体" w:hAnsi="宋体" w:cs="宋体" w:eastAsia="宋体" w:hint="default"/>
                <w:sz w:val="18"/>
                <w:szCs w:val="18"/>
              </w:rPr>
            </w:pPr>
            <w:r>
              <w:rPr>
                <w:rFonts w:ascii="宋体" w:hAnsi="宋体" w:cs="宋体" w:eastAsia="宋体" w:hint="default"/>
                <w:sz w:val="18"/>
                <w:szCs w:val="18"/>
              </w:rPr>
              <w:t>北京市海淀区永丰路与北清路交汇处东 南角四维图新大厦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北京市海淀区丰豪 东路四维图新大厦</w:t>
            </w:r>
          </w:p>
        </w:tc>
        <w:tc>
          <w:tcPr>
            <w:tcW w:w="3190" w:type="dxa"/>
            <w:vMerge w:val="restart"/>
            <w:tcBorders>
              <w:top w:val="single" w:sz="4" w:space="0" w:color="000000"/>
              <w:left w:val="single" w:sz="4" w:space="0" w:color="000000"/>
              <w:right w:val="single" w:sz="4" w:space="0" w:color="000000"/>
            </w:tcBorders>
          </w:tcPr>
          <w:p>
            <w:pPr>
              <w:pStyle w:val="TableParagraph"/>
              <w:spacing w:line="309" w:lineRule="auto" w:before="51"/>
              <w:ind w:left="23" w:right="43"/>
              <w:jc w:val="both"/>
              <w:rPr>
                <w:rFonts w:ascii="宋体" w:hAnsi="宋体" w:cs="宋体" w:eastAsia="宋体" w:hint="default"/>
                <w:sz w:val="18"/>
                <w:szCs w:val="18"/>
              </w:rPr>
            </w:pPr>
            <w:r>
              <w:rPr>
                <w:rFonts w:ascii="宋体" w:hAnsi="宋体" w:cs="宋体" w:eastAsia="宋体" w:hint="default"/>
                <w:sz w:val="18"/>
                <w:szCs w:val="18"/>
              </w:rPr>
              <w:t>北京市海淀区永丰路与北清路交汇处东 南角四维图新大厦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北京市海淀区丰豪 东路四维图新大厦</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010-82306399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010-82306399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010-82306909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010-82306909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dongmi@navinfo.com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qinfang@navinfo.com</w:t>
              </w:r>
            </w:hyperlink>
          </w:p>
        </w:tc>
      </w:tr>
    </w:tbl>
    <w:p>
      <w:pPr>
        <w:spacing w:line="240" w:lineRule="auto" w:before="12"/>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三、信息披露及备置地点</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3992"/>
        <w:gridCol w:w="5576"/>
      </w:tblGrid>
      <w:tr>
        <w:trPr>
          <w:trHeight w:val="403"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1"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3"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14"/>
        <w:rPr>
          <w:rFonts w:ascii="Microsoft JhengHei" w:hAnsi="Microsoft JhengHei" w:cs="Microsoft JhengHei" w:eastAsia="Microsoft JhengHei" w:hint="default"/>
          <w:b/>
          <w:bCs/>
          <w:sz w:val="17"/>
          <w:szCs w:val="17"/>
        </w:rPr>
      </w:pPr>
    </w:p>
    <w:p>
      <w:pPr>
        <w:pStyle w:val="Heading2"/>
        <w:spacing w:line="367" w:lineRule="exact"/>
        <w:ind w:right="0"/>
        <w:jc w:val="left"/>
        <w:rPr>
          <w:b w:val="0"/>
          <w:bCs w:val="0"/>
        </w:rPr>
      </w:pPr>
      <w:r>
        <w:rPr/>
        <w:t>四、注册变更情况</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3191"/>
        <w:gridCol w:w="6378"/>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统一社会信用代码：</w:t>
            </w:r>
            <w:r>
              <w:rPr>
                <w:rFonts w:ascii="Times New Roman" w:hAnsi="Times New Roman" w:cs="Times New Roman" w:eastAsia="Times New Roman" w:hint="default"/>
                <w:sz w:val="18"/>
                <w:szCs w:val="18"/>
              </w:rPr>
              <w:t>91110000745467123H</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年，公司原控股股东中国四维测绘技术有限公司将所持有的公司部分股权 协议转让给深圳市腾讯产业投资基金有限公司，自此公司成为无控股股东、无实 际控制人上市公司。</w:t>
            </w:r>
          </w:p>
        </w:tc>
      </w:tr>
    </w:tbl>
    <w:p>
      <w:pPr>
        <w:spacing w:line="240" w:lineRule="auto" w:before="12"/>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五、其他有关资料</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662"/>
        <w:gridCol w:w="6906"/>
      </w:tblGrid>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季晟、李宏志</w:t>
            </w:r>
          </w:p>
        </w:tc>
      </w:tr>
    </w:tbl>
    <w:p>
      <w:pPr>
        <w:pStyle w:val="BodyText"/>
        <w:spacing w:line="240" w:lineRule="auto" w:before="49"/>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3"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北京市东城区朝阳门内大街</w:t>
            </w:r>
          </w:p>
          <w:p>
            <w:pPr>
              <w:pStyle w:val="TableParagraph"/>
              <w:spacing w:line="240" w:lineRule="auto" w:before="74"/>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刘乃生、朱明强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18  </w:t>
            </w:r>
            <w:r>
              <w:rPr>
                <w:rFonts w:ascii="宋体" w:hAnsi="宋体" w:cs="宋体" w:eastAsia="宋体" w:hint="default"/>
                <w:sz w:val="18"/>
                <w:szCs w:val="18"/>
              </w:rPr>
              <w:t>日至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pStyle w:val="BodyText"/>
        <w:spacing w:line="240" w:lineRule="auto" w:before="49"/>
        <w:ind w:right="0"/>
        <w:jc w:val="left"/>
      </w:pPr>
      <w:r>
        <w:rPr/>
        <w:t>公司聘请的报告期内履行持续督导职责的财务顾问</w:t>
      </w:r>
    </w:p>
    <w:p>
      <w:pPr>
        <w:pStyle w:val="BodyText"/>
        <w:spacing w:line="240" w:lineRule="auto" w:before="11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3"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北京市东城区朝阳门内大街</w:t>
            </w:r>
          </w:p>
          <w:p>
            <w:pPr>
              <w:pStyle w:val="TableParagraph"/>
              <w:spacing w:line="240" w:lineRule="auto" w:before="7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苏丽萍、顾中杰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8"/>
          <w:szCs w:val="18"/>
        </w:rPr>
      </w:pPr>
    </w:p>
    <w:p>
      <w:pPr>
        <w:pStyle w:val="Heading2"/>
        <w:spacing w:line="367" w:lineRule="exact"/>
        <w:ind w:right="0"/>
        <w:jc w:val="left"/>
        <w:rPr>
          <w:b w:val="0"/>
          <w:bCs w:val="0"/>
        </w:rPr>
      </w:pPr>
      <w:r>
        <w:rPr/>
        <w:t>六、主要会计数据和财务指标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6"/>
          <w:szCs w:val="6"/>
        </w:rPr>
      </w:pPr>
    </w:p>
    <w:tbl>
      <w:tblPr>
        <w:tblW w:w="0" w:type="auto"/>
        <w:jc w:val="left"/>
        <w:tblInd w:w="193" w:type="dxa"/>
        <w:tblLayout w:type="fixed"/>
        <w:tblCellMar>
          <w:top w:w="0" w:type="dxa"/>
          <w:left w:w="0" w:type="dxa"/>
          <w:bottom w:w="0" w:type="dxa"/>
          <w:right w:w="0" w:type="dxa"/>
        </w:tblCellMar>
        <w:tblLook w:val="01E0"/>
      </w:tblPr>
      <w:tblGrid>
        <w:gridCol w:w="2598"/>
        <w:gridCol w:w="1749"/>
        <w:gridCol w:w="1738"/>
        <w:gridCol w:w="1738"/>
        <w:gridCol w:w="1736"/>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2,309,742,643.97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2,133,659,113.98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2,156,487,774.85</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339,184,565.86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479,070,711.85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265,199,610.30</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-158,012,256.09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-1,057,466,402.08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219,571,124.27</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34,569,445.50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370,749,670.59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390,314,073.58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2621"/>
        <w:gridCol w:w="1738"/>
        <w:gridCol w:w="1738"/>
        <w:gridCol w:w="1738"/>
        <w:gridCol w:w="1736"/>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0.1759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0.2500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0.1430</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0.1749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0.2487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0.1425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9,055,622,455.51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9,215,105,313.63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9,798,917,104.82</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7,799,544,483.82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7,201,231,752.10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6,636,154,615.91</w:t>
            </w:r>
          </w:p>
        </w:tc>
      </w:tr>
    </w:tbl>
    <w:p>
      <w:pPr>
        <w:spacing w:line="240" w:lineRule="auto" w:before="4"/>
        <w:rPr>
          <w:rFonts w:ascii="宋体" w:hAnsi="宋体" w:cs="宋体" w:eastAsia="宋体" w:hint="default"/>
          <w:sz w:val="27"/>
          <w:szCs w:val="27"/>
        </w:rPr>
      </w:pPr>
    </w:p>
    <w:p>
      <w:pPr>
        <w:pStyle w:val="BodyText"/>
        <w:spacing w:line="240" w:lineRule="auto" w:before="44"/>
        <w:ind w:right="0"/>
        <w:jc w:val="left"/>
      </w:pPr>
      <w:r>
        <w:rPr/>
        <w:t>截止披露前一交易日的公司总股本：</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523"/>
        <w:gridCol w:w="5046"/>
      </w:tblGrid>
      <w:tr>
        <w:trPr>
          <w:trHeight w:val="404" w:hRule="exact"/>
        </w:trPr>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1,961,563,170</w:t>
            </w:r>
          </w:p>
        </w:tc>
      </w:tr>
    </w:tbl>
    <w:p>
      <w:pPr>
        <w:pStyle w:val="BodyText"/>
        <w:spacing w:line="240" w:lineRule="auto" w:before="49"/>
        <w:ind w:right="0"/>
        <w:jc w:val="left"/>
      </w:pPr>
      <w:r>
        <w:rPr/>
        <w:t>用最新股本计算的全面摊薄每股收益：</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523"/>
        <w:gridCol w:w="5046"/>
      </w:tblGrid>
      <w:tr>
        <w:trPr>
          <w:trHeight w:val="403" w:hRule="exact"/>
        </w:trPr>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支付的优先股股利</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0.1729</w:t>
            </w:r>
            <w:r>
              <w:rPr>
                <w:rFonts w:ascii="Times New Roman"/>
                <w:sz w:val="18"/>
              </w:rPr>
            </w:r>
          </w:p>
        </w:tc>
      </w:tr>
    </w:tbl>
    <w:p>
      <w:pPr>
        <w:pStyle w:val="BodyText"/>
        <w:spacing w:line="240" w:lineRule="auto" w:before="49"/>
        <w:ind w:right="0"/>
        <w:jc w:val="left"/>
      </w:pPr>
      <w:r>
        <w:rPr/>
        <w:t>是否存在公司债</w:t>
      </w:r>
    </w:p>
    <w:p>
      <w:pPr>
        <w:pStyle w:val="BodyText"/>
        <w:spacing w:line="338" w:lineRule="auto" w:before="119"/>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公司是否存在最近两年连续亏损的情形</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1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9"/>
        <w:rPr>
          <w:rFonts w:ascii="宋体" w:hAnsi="宋体" w:cs="宋体" w:eastAsia="宋体" w:hint="default"/>
          <w:sz w:val="13"/>
          <w:szCs w:val="13"/>
        </w:rPr>
      </w:pPr>
    </w:p>
    <w:p>
      <w:pPr>
        <w:pStyle w:val="Heading2"/>
        <w:spacing w:line="240" w:lineRule="auto"/>
        <w:ind w:right="0"/>
        <w:jc w:val="left"/>
        <w:rPr>
          <w:b w:val="0"/>
          <w:bCs w:val="0"/>
        </w:rPr>
      </w:pPr>
      <w:r>
        <w:rPr/>
        <w:t>八、分季度主要财务指标</w:t>
      </w:r>
      <w:r>
        <w:rPr>
          <w:b w:val="0"/>
          <w:bCs w:val="0"/>
        </w:rPr>
      </w:r>
    </w:p>
    <w:p>
      <w:pPr>
        <w:spacing w:line="240" w:lineRule="auto" w:before="11"/>
        <w:rPr>
          <w:rFonts w:ascii="Microsoft JhengHei" w:hAnsi="Microsoft JhengHei" w:cs="Microsoft JhengHei" w:eastAsia="Microsoft JhengHei" w:hint="default"/>
          <w:b/>
          <w:bCs/>
          <w:sz w:val="15"/>
          <w:szCs w:val="15"/>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621"/>
        <w:gridCol w:w="1741"/>
        <w:gridCol w:w="1738"/>
        <w:gridCol w:w="1740"/>
        <w:gridCol w:w="1731"/>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521,929,835.43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561,782,133.25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451,332,158.85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774,698,516.44</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42,026,469.19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43,573,845.88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-61,415,531.22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314,999,782.01</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35,217,035.28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26,331,521.09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-66,796,877.08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-152,763,935.38</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5,996,780.12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-38,283,324.78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3,102,048.23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63,753,941.93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7"/>
        <w:rPr>
          <w:rFonts w:ascii="宋体" w:hAnsi="宋体" w:cs="宋体" w:eastAsia="宋体" w:hint="default"/>
          <w:sz w:val="25"/>
          <w:szCs w:val="25"/>
        </w:rPr>
      </w:pPr>
    </w:p>
    <w:p>
      <w:pPr>
        <w:pStyle w:val="BodyText"/>
        <w:spacing w:line="240" w:lineRule="auto" w:before="44"/>
        <w:ind w:right="0"/>
        <w:jc w:val="left"/>
      </w:pPr>
      <w:r>
        <w:rPr/>
        <w:t>上述财务指标或其加总数是否与公司已披露季度报告、半年度报告相关财务指标存在重大差异</w:t>
      </w:r>
    </w:p>
    <w:p>
      <w:pPr>
        <w:pStyle w:val="BodyText"/>
        <w:spacing w:line="240" w:lineRule="auto" w:before="11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九、非经常性损益项目及金额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296"/>
        <w:gridCol w:w="1519"/>
        <w:gridCol w:w="1522"/>
        <w:gridCol w:w="1522"/>
        <w:gridCol w:w="1709"/>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7" w:right="0"/>
              <w:jc w:val="left"/>
              <w:rPr>
                <w:rFonts w:ascii="Times New Roman" w:hAnsi="Times New Roman" w:cs="Times New Roman" w:eastAsia="Times New Roman" w:hint="default"/>
                <w:sz w:val="18"/>
                <w:szCs w:val="18"/>
              </w:rPr>
            </w:pPr>
            <w:r>
              <w:rPr>
                <w:rFonts w:ascii="Times New Roman"/>
                <w:sz w:val="18"/>
              </w:rPr>
              <w:t>441,411,886.14</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1,077,376,020.17</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1,939,833.49</w:t>
            </w:r>
          </w:p>
        </w:tc>
        <w:tc>
          <w:tcPr>
            <w:tcW w:w="1709" w:type="dxa"/>
            <w:vMerge w:val="restart"/>
            <w:tcBorders>
              <w:top w:val="single" w:sz="4" w:space="0" w:color="000000"/>
              <w:left w:val="single" w:sz="4" w:space="0" w:color="000000"/>
              <w:right w:val="single" w:sz="4" w:space="0" w:color="000000"/>
            </w:tcBorders>
          </w:tcPr>
          <w:p>
            <w:pPr>
              <w:pStyle w:val="TableParagraph"/>
              <w:spacing w:line="316" w:lineRule="auto" w:before="51"/>
              <w:ind w:left="24" w:right="53"/>
              <w:jc w:val="both"/>
              <w:rPr>
                <w:rFonts w:ascii="宋体" w:hAnsi="宋体" w:cs="宋体" w:eastAsia="宋体" w:hint="default"/>
                <w:sz w:val="18"/>
                <w:szCs w:val="18"/>
              </w:rPr>
            </w:pPr>
            <w:r>
              <w:rPr>
                <w:rFonts w:ascii="宋体" w:hAnsi="宋体" w:cs="宋体" w:eastAsia="宋体" w:hint="default"/>
                <w:sz w:val="18"/>
                <w:szCs w:val="18"/>
              </w:rPr>
              <w:t>主要系处置子公司北 京六分科技有限公司 的投资收益</w:t>
            </w:r>
          </w:p>
        </w:tc>
      </w:tr>
      <w:tr>
        <w:trPr>
          <w:trHeight w:val="706"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09" w:type="dxa"/>
            <w:vMerge/>
            <w:tcBorders>
              <w:left w:val="single" w:sz="4" w:space="0" w:color="000000"/>
              <w:right w:val="single" w:sz="4" w:space="0" w:color="000000"/>
            </w:tcBorders>
          </w:tcPr>
          <w:p>
            <w:pPr/>
          </w:p>
        </w:tc>
      </w:tr>
      <w:tr>
        <w:trPr>
          <w:trHeight w:val="161" w:hRule="exact"/>
        </w:trPr>
        <w:tc>
          <w:tcPr>
            <w:tcW w:w="3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9"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09" w:type="dxa"/>
            <w:vMerge/>
            <w:tcBorders>
              <w:left w:val="single" w:sz="4" w:space="0" w:color="000000"/>
              <w:bottom w:val="single" w:sz="4" w:space="0" w:color="000000"/>
              <w:right w:val="single" w:sz="4" w:space="0" w:color="000000"/>
            </w:tcBorders>
          </w:tcPr>
          <w:p>
            <w:pP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1,214,536.38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962,169.95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52,164,892.67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3"/>
              <w:jc w:val="both"/>
              <w:rPr>
                <w:rFonts w:ascii="宋体" w:hAnsi="宋体" w:cs="宋体" w:eastAsia="宋体" w:hint="default"/>
                <w:sz w:val="18"/>
                <w:szCs w:val="18"/>
              </w:rPr>
            </w:pPr>
            <w:r>
              <w:rPr>
                <w:rFonts w:ascii="宋体" w:hAnsi="宋体" w:cs="宋体" w:eastAsia="宋体" w:hint="default"/>
                <w:sz w:val="18"/>
                <w:szCs w:val="18"/>
              </w:rPr>
              <w:t>公司收到政府项目资 助，并在本期确认营 业外收入</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671,422.95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30,111,425.47</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25,082,831.48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7,556,839.13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银行理财收益</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15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-488,871.60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15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296"/>
        <w:gridCol w:w="1519"/>
        <w:gridCol w:w="1522"/>
        <w:gridCol w:w="1522"/>
        <w:gridCol w:w="1709"/>
      </w:tblGrid>
      <w:tr>
        <w:trPr>
          <w:trHeight w:val="227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26,372,847.00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7,703,069.00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8,472,084.00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53"/>
              <w:jc w:val="both"/>
              <w:rPr>
                <w:rFonts w:ascii="宋体" w:hAnsi="宋体" w:cs="宋体" w:eastAsia="宋体" w:hint="default"/>
                <w:sz w:val="18"/>
                <w:szCs w:val="18"/>
              </w:rPr>
            </w:pPr>
            <w:r>
              <w:rPr>
                <w:rFonts w:ascii="宋体" w:hAnsi="宋体" w:cs="宋体" w:eastAsia="宋体" w:hint="default"/>
                <w:sz w:val="18"/>
                <w:szCs w:val="18"/>
              </w:rPr>
              <w:t>主要系其他非流动金 融资产的公允价值变 动及处置收益</w:t>
            </w: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0"/>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 减值准备转回</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2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478,934.33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-933,962.88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-1,904,730.47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615,921,759.91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2,314,365.13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190,318,840.85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4,092,023.56</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78,442.24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-72,644.20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18,019,537.63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497,196,821.95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1,536,537,113.93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45,628,486.03</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对公司根据《公开发行证券的公司信息披露解释性公告第</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非经常性损益》定义界定的非经常性损益项目，以及把</w:t>
      </w:r>
    </w:p>
    <w:p>
      <w:pPr>
        <w:pStyle w:val="BodyText"/>
        <w:spacing w:line="300" w:lineRule="auto" w:before="60"/>
        <w:ind w:right="1216"/>
        <w:jc w:val="left"/>
      </w:pPr>
      <w:r>
        <w:rPr/>
        <w:t>《公开发行证券的公司信息披露解释性公告第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非经常性损益》中列举的非经常性损益项目界定为经常性损益的项 目，应说明原因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216"/>
        <w:jc w:val="left"/>
      </w:pPr>
      <w:r>
        <w:rPr/>
        <w:t>公司报告期不存在将根据《公开发行证券的公司信息披露解释性公告第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非经常性损益》定义、列举的非经常性损 益项目界定为经常性损益的项目的情形。</w:t>
      </w:r>
    </w:p>
    <w:p>
      <w:pPr>
        <w:spacing w:after="0" w:line="30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525" w:right="0"/>
        <w:jc w:val="left"/>
        <w:rPr>
          <w:b w:val="0"/>
          <w:bCs w:val="0"/>
        </w:rPr>
      </w:pPr>
      <w:bookmarkStart w:name="_bookmark2" w:id="3"/>
      <w:bookmarkEnd w:id="3"/>
      <w:r>
        <w:rPr>
          <w:b w:val="0"/>
          <w:bCs w:val="0"/>
        </w:rPr>
      </w:r>
      <w:r>
        <w:rPr/>
        <w:t>第三节公司业务概要</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Heading4"/>
        <w:spacing w:line="240" w:lineRule="auto" w:before="93"/>
        <w:ind w:right="0"/>
        <w:jc w:val="left"/>
        <w:rPr>
          <w:rFonts w:ascii="Arial" w:hAnsi="Arial" w:cs="Arial" w:eastAsia="Arial" w:hint="default"/>
          <w:b w:val="0"/>
          <w:bCs w:val="0"/>
        </w:rPr>
      </w:pPr>
      <w:r>
        <w:rPr/>
        <w:t>（一）公司主要业务概况</w:t>
      </w:r>
      <w:r>
        <w:rPr>
          <w:rFonts w:ascii="Arial" w:hAnsi="Arial" w:cs="Arial" w:eastAsia="Arial" w:hint="default"/>
          <w:w w:val="180"/>
        </w:rPr>
        <w:t> </w:t>
      </w:r>
      <w:r>
        <w:rPr>
          <w:rFonts w:ascii="Arial" w:hAnsi="Arial" w:cs="Arial" w:eastAsia="Arial" w:hint="default"/>
          <w:b w:val="0"/>
          <w:bCs w:val="0"/>
        </w:rPr>
      </w:r>
    </w:p>
    <w:p>
      <w:pPr>
        <w:spacing w:line="240" w:lineRule="auto" w:before="1"/>
        <w:rPr>
          <w:rFonts w:ascii="Arial" w:hAnsi="Arial" w:cs="Arial" w:eastAsia="Arial" w:hint="default"/>
          <w:b/>
          <w:bCs/>
          <w:sz w:val="18"/>
          <w:szCs w:val="18"/>
        </w:rPr>
      </w:pPr>
    </w:p>
    <w:p>
      <w:pPr>
        <w:pStyle w:val="Heading5"/>
        <w:spacing w:line="408" w:lineRule="auto" w:before="0"/>
        <w:ind w:right="1157"/>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7"/>
        </w:rPr>
        <w:t> </w:t>
      </w:r>
      <w:r>
        <w:rPr/>
        <w:t>年，为了进一步推进集团</w:t>
      </w:r>
      <w:r>
        <w:rPr>
          <w:spacing w:val="-54"/>
        </w:rPr>
        <w:t> </w:t>
      </w:r>
      <w:r>
        <w:rPr>
          <w:rFonts w:ascii="宋体" w:hAnsi="宋体" w:cs="宋体" w:eastAsia="宋体" w:hint="default"/>
        </w:rPr>
        <w:t>2022</w:t>
      </w:r>
      <w:r>
        <w:rPr>
          <w:rFonts w:ascii="宋体" w:hAnsi="宋体" w:cs="宋体" w:eastAsia="宋体" w:hint="default"/>
          <w:spacing w:val="-57"/>
        </w:rPr>
        <w:t> </w:t>
      </w:r>
      <w:r>
        <w:rPr/>
        <w:t>年“智能汽车大脑”发展战略目标实现，公司以数据、算法和算</w:t>
      </w:r>
      <w:r>
        <w:rPr>
          <w:w w:val="100"/>
        </w:rPr>
        <w:t> </w:t>
      </w:r>
      <w:r>
        <w:rPr/>
        <w:t>力为核心，加大内外部资源整合和一站式云平台建设。面对全球汽车产业的加速重构，公司在持续保持</w:t>
      </w:r>
      <w:r>
        <w:rPr>
          <w:w w:val="100"/>
        </w:rPr>
        <w:t> </w:t>
      </w:r>
      <w:r>
        <w:rPr/>
        <w:t>导航业务市场领先地位的同时，加速推进高精度地图、高精度定位、自动驾驶、汽车电子芯片、位置大</w:t>
      </w:r>
      <w:r>
        <w:rPr>
          <w:w w:val="100"/>
        </w:rPr>
        <w:t> </w:t>
      </w:r>
      <w:r>
        <w:rPr/>
        <w:t>数据、车联网等新业务的商业化进程，通过资本协同、战略合作、联合验证、参与产业研究及行业标准</w:t>
      </w:r>
      <w:r>
        <w:rPr>
          <w:w w:val="100"/>
        </w:rPr>
        <w:t> </w:t>
      </w:r>
      <w:r>
        <w:rPr/>
        <w:t>制定等多种方式，拓展产业生态，创新商业模式。公司不断提升定制化集成能力，积极打造面向自动驾</w:t>
      </w:r>
      <w:r>
        <w:rPr>
          <w:w w:val="100"/>
        </w:rPr>
        <w:t> </w:t>
      </w:r>
      <w:r>
        <w:rPr/>
        <w:t>驶时代的“数据</w:t>
      </w:r>
      <w:r>
        <w:rPr>
          <w:rFonts w:ascii="宋体" w:hAnsi="宋体" w:cs="宋体" w:eastAsia="宋体" w:hint="default"/>
        </w:rPr>
        <w:t>+</w:t>
      </w:r>
      <w:r>
        <w:rPr/>
        <w:t>云</w:t>
      </w:r>
      <w:r>
        <w:rPr>
          <w:rFonts w:ascii="宋体" w:hAnsi="宋体" w:cs="宋体" w:eastAsia="宋体" w:hint="default"/>
        </w:rPr>
        <w:t>+AI+</w:t>
      </w:r>
      <w:r>
        <w:rPr/>
        <w:t>芯片</w:t>
      </w:r>
      <w:r>
        <w:rPr>
          <w:rFonts w:ascii="宋体" w:hAnsi="宋体" w:cs="宋体" w:eastAsia="宋体" w:hint="default"/>
        </w:rPr>
        <w:t>+</w:t>
      </w:r>
      <w:r>
        <w:rPr/>
        <w:t>软硬一体化”综合解决方案，在提升用户满意度的同时，积极构建公司在</w:t>
      </w:r>
      <w:r>
        <w:rPr>
          <w:w w:val="100"/>
        </w:rPr>
        <w:t> </w:t>
      </w:r>
      <w:r>
        <w:rPr/>
        <w:t>自动驾驶领域的未来的竞争优势和行业头部地位。</w:t>
      </w:r>
      <w:r>
        <w:rPr>
          <w:rFonts w:ascii="宋体" w:hAnsi="宋体" w:cs="宋体" w:eastAsia="宋体" w:hint="default"/>
        </w:rPr>
        <w:t> </w:t>
      </w:r>
    </w:p>
    <w:p>
      <w:pPr>
        <w:pStyle w:val="Heading5"/>
        <w:spacing w:line="408" w:lineRule="auto" w:before="87"/>
        <w:ind w:right="0"/>
        <w:jc w:val="left"/>
        <w:rPr>
          <w:rFonts w:ascii="宋体" w:hAnsi="宋体" w:cs="宋体" w:eastAsia="宋体" w:hint="default"/>
        </w:rPr>
      </w:pPr>
      <w:r>
        <w:rPr>
          <w:spacing w:val="-2"/>
        </w:rPr>
        <w:t>报告期内，公司所从事的主要业务板块包括导航业务、高级辅助驾驶及自动驾驶业务、芯片业务、</w:t>
      </w:r>
      <w:r>
        <w:rPr>
          <w:w w:val="100"/>
        </w:rPr>
        <w:t> </w:t>
      </w:r>
      <w:r>
        <w:rPr/>
        <w:t>位置大数据服务业务、车联网业务。具体业务概况如下：</w:t>
      </w:r>
      <w:r>
        <w:rPr>
          <w:rFonts w:ascii="宋体" w:hAnsi="宋体" w:cs="宋体" w:eastAsia="宋体" w:hint="default"/>
        </w:rPr>
        <w:t> </w:t>
      </w:r>
    </w:p>
    <w:p>
      <w:pPr>
        <w:pStyle w:val="Heading5"/>
        <w:spacing w:line="240" w:lineRule="auto" w:before="20"/>
        <w:ind w:left="575" w:right="0" w:firstLine="0"/>
        <w:jc w:val="left"/>
      </w:pPr>
      <w:r>
        <w:rPr>
          <w:rFonts w:ascii="Microsoft JhengHei" w:hAnsi="Microsoft JhengHei" w:cs="Microsoft JhengHei" w:eastAsia="Microsoft JhengHei" w:hint="default"/>
          <w:b/>
          <w:bCs/>
        </w:rPr>
        <w:t>导航业务，</w:t>
      </w:r>
      <w:r>
        <w:rPr/>
        <w:t>主要包括地图数据、数据编译以及导航软件。其中，地图数据产品主要有：基础地图产</w:t>
      </w:r>
    </w:p>
    <w:p>
      <w:pPr>
        <w:pStyle w:val="Heading5"/>
        <w:spacing w:line="408" w:lineRule="auto" w:before="169"/>
        <w:ind w:right="0" w:firstLine="0"/>
        <w:jc w:val="left"/>
        <w:rPr>
          <w:rFonts w:ascii="宋体" w:hAnsi="宋体" w:cs="宋体" w:eastAsia="宋体" w:hint="default"/>
        </w:rPr>
      </w:pPr>
      <w:r>
        <w:rPr>
          <w:spacing w:val="-2"/>
        </w:rPr>
        <w:t>品、高精鲜地图、三维地图、卡车地图、停车场地图、小区</w:t>
      </w:r>
      <w:r>
        <w:rPr>
          <w:rFonts w:ascii="宋体" w:hAnsi="宋体" w:cs="宋体" w:eastAsia="宋体" w:hint="default"/>
          <w:spacing w:val="-2"/>
        </w:rPr>
        <w:t>/</w:t>
      </w:r>
      <w:r>
        <w:rPr>
          <w:spacing w:val="-2"/>
        </w:rPr>
        <w:t>景区精细化地图、室内地图、新能源充电站</w:t>
      </w:r>
      <w:r>
        <w:rPr>
          <w:spacing w:val="-22"/>
        </w:rPr>
        <w:t> </w:t>
      </w:r>
      <w:r>
        <w:rPr>
          <w:spacing w:val="-22"/>
        </w:rPr>
      </w:r>
      <w:r>
        <w:rPr/>
        <w:t>充电桩等数据型产品，高速收费信息、车辆限行限号、道路施工信息等在线服务型产品，行人导航、卡</w:t>
      </w:r>
      <w:r>
        <w:rPr>
          <w:w w:val="100"/>
        </w:rPr>
        <w:t> </w:t>
      </w:r>
      <w:r>
        <w:rPr>
          <w:spacing w:val="-2"/>
        </w:rPr>
        <w:t>车导航、停车场内导航、商业综合体</w:t>
      </w:r>
      <w:r>
        <w:rPr>
          <w:rFonts w:ascii="宋体" w:hAnsi="宋体" w:cs="宋体" w:eastAsia="宋体" w:hint="default"/>
          <w:spacing w:val="-2"/>
        </w:rPr>
        <w:t>/</w:t>
      </w:r>
      <w:r>
        <w:rPr>
          <w:spacing w:val="-2"/>
        </w:rPr>
        <w:t>楼宇室内导航、公共交通导航等支持多模态导航数据产品与服务。</w:t>
      </w:r>
      <w:r>
        <w:rPr>
          <w:spacing w:val="-21"/>
        </w:rPr>
        <w:t> </w:t>
      </w:r>
      <w:r>
        <w:rPr>
          <w:spacing w:val="-21"/>
        </w:rPr>
      </w:r>
      <w:r>
        <w:rPr/>
        <w:t>报告期内，公司始终致力于满足客户在数据鲜度、丰富度、精度等方面日益复杂和高等级的应用需求，</w:t>
      </w:r>
      <w:r>
        <w:rPr>
          <w:w w:val="100"/>
        </w:rPr>
        <w:t> </w:t>
      </w:r>
      <w:r>
        <w:rPr/>
        <w:t>通过自动识别成图、大数据挖掘、数据合作等多种方式，不断拓展数据获取渠道、融合及成图能力，全</w:t>
      </w:r>
      <w:r>
        <w:rPr>
          <w:w w:val="100"/>
        </w:rPr>
        <w:t> </w:t>
      </w:r>
      <w:r>
        <w:rPr/>
        <w:t>面升级在线数据生产平台及一体化协作体系，车规级数据产品已达到亚米级数据精度，数据鲜度已构建</w:t>
      </w:r>
      <w:r>
        <w:rPr>
          <w:w w:val="100"/>
        </w:rPr>
        <w:t> </w:t>
      </w:r>
      <w:r>
        <w:rPr/>
        <w:t>完成小时级更新发布能力。</w:t>
      </w:r>
      <w:r>
        <w:rPr>
          <w:rFonts w:ascii="宋体" w:hAnsi="宋体" w:cs="宋体" w:eastAsia="宋体" w:hint="default"/>
        </w:rPr>
        <w:t> </w:t>
      </w:r>
    </w:p>
    <w:p>
      <w:pPr>
        <w:pStyle w:val="Heading5"/>
        <w:spacing w:line="408" w:lineRule="auto" w:before="84"/>
        <w:ind w:right="1157"/>
        <w:jc w:val="left"/>
        <w:rPr>
          <w:rFonts w:ascii="宋体" w:hAnsi="宋体" w:cs="宋体" w:eastAsia="宋体" w:hint="default"/>
        </w:rPr>
      </w:pPr>
      <w:r>
        <w:rPr/>
        <w:t>数据编译服务，主要是指将原始地图数据按照不同的需求，经过数据处理和格式转换，经过严格的</w:t>
      </w:r>
      <w:r>
        <w:rPr>
          <w:w w:val="100"/>
        </w:rPr>
        <w:t> </w:t>
      </w:r>
      <w:r>
        <w:rPr/>
        <w:t>逻辑检查和测试验证，满足客户的应用和使用需求。公司作为中国最早开展</w:t>
      </w:r>
      <w:r>
        <w:rPr>
          <w:spacing w:val="-57"/>
        </w:rPr>
        <w:t> </w:t>
      </w:r>
      <w:r>
        <w:rPr>
          <w:rFonts w:ascii="宋体" w:hAnsi="宋体" w:cs="宋体" w:eastAsia="宋体" w:hint="default"/>
        </w:rPr>
        <w:t>NDS</w:t>
      </w:r>
      <w:r>
        <w:rPr>
          <w:rFonts w:ascii="宋体" w:hAnsi="宋体" w:cs="宋体" w:eastAsia="宋体" w:hint="default"/>
          <w:spacing w:val="-55"/>
        </w:rPr>
        <w:t> </w:t>
      </w:r>
      <w:r>
        <w:rPr/>
        <w:t>数据标准开发的企业，</w:t>
      </w:r>
      <w:r>
        <w:rPr>
          <w:w w:val="100"/>
        </w:rPr>
        <w:t> </w:t>
      </w:r>
      <w:r>
        <w:rPr/>
        <w:t>已经建立了一套完善的</w:t>
      </w:r>
      <w:r>
        <w:rPr>
          <w:spacing w:val="-56"/>
        </w:rPr>
        <w:t> </w:t>
      </w:r>
      <w:r>
        <w:rPr>
          <w:rFonts w:ascii="宋体" w:hAnsi="宋体" w:cs="宋体" w:eastAsia="宋体" w:hint="default"/>
        </w:rPr>
        <w:t>NDS</w:t>
      </w:r>
      <w:r>
        <w:rPr>
          <w:rFonts w:ascii="宋体" w:hAnsi="宋体" w:cs="宋体" w:eastAsia="宋体" w:hint="default"/>
          <w:spacing w:val="-56"/>
        </w:rPr>
        <w:t> </w:t>
      </w:r>
      <w:r>
        <w:rPr/>
        <w:t>编译、测试和出品流程，以中间数据库格式</w:t>
      </w:r>
      <w:r>
        <w:rPr>
          <w:spacing w:val="-55"/>
        </w:rPr>
        <w:t> </w:t>
      </w:r>
      <w:r>
        <w:rPr>
          <w:rFonts w:ascii="宋体" w:hAnsi="宋体" w:cs="宋体" w:eastAsia="宋体" w:hint="default"/>
        </w:rPr>
        <w:t>d-Hive</w:t>
      </w:r>
      <w:r>
        <w:rPr>
          <w:rFonts w:ascii="宋体" w:hAnsi="宋体" w:cs="宋体" w:eastAsia="宋体" w:hint="default"/>
          <w:spacing w:val="-56"/>
        </w:rPr>
        <w:t> </w:t>
      </w:r>
      <w:r>
        <w:rPr/>
        <w:t>为中心，实现</w:t>
      </w:r>
      <w:r>
        <w:rPr>
          <w:spacing w:val="-55"/>
        </w:rPr>
        <w:t> </w:t>
      </w:r>
      <w:r>
        <w:rPr>
          <w:rFonts w:ascii="宋体" w:hAnsi="宋体" w:cs="宋体" w:eastAsia="宋体" w:hint="default"/>
        </w:rPr>
        <w:t>NDS</w:t>
      </w:r>
      <w:r>
        <w:rPr/>
        <w:t>、</w:t>
      </w:r>
      <w:r>
        <w:rPr>
          <w:rFonts w:ascii="宋体" w:hAnsi="宋体" w:cs="宋体" w:eastAsia="宋体" w:hint="default"/>
        </w:rPr>
        <w:t>RDF</w:t>
      </w:r>
      <w:r>
        <w:rPr/>
        <w:t>、</w:t>
      </w:r>
      <w:r>
        <w:rPr>
          <w:w w:val="100"/>
        </w:rPr>
        <w:t> </w:t>
      </w:r>
      <w:r>
        <w:rPr>
          <w:rFonts w:ascii="宋体" w:hAnsi="宋体" w:cs="宋体" w:eastAsia="宋体" w:hint="default"/>
        </w:rPr>
        <w:t>GDF</w:t>
      </w:r>
      <w:r>
        <w:rPr>
          <w:rFonts w:ascii="宋体" w:hAnsi="宋体" w:cs="宋体" w:eastAsia="宋体" w:hint="default"/>
          <w:spacing w:val="-54"/>
        </w:rPr>
        <w:t> </w:t>
      </w:r>
      <w:r>
        <w:rPr/>
        <w:t>等各种数据格式的编译转换。面向全球客户的不同需求，定制化的地图全量或基于</w:t>
      </w:r>
      <w:r>
        <w:rPr>
          <w:spacing w:val="-54"/>
        </w:rPr>
        <w:t> </w:t>
      </w:r>
      <w:r>
        <w:rPr>
          <w:rFonts w:ascii="宋体" w:hAnsi="宋体" w:cs="宋体" w:eastAsia="宋体" w:hint="default"/>
        </w:rPr>
        <w:t>NDS</w:t>
      </w:r>
      <w:r>
        <w:rPr>
          <w:rFonts w:ascii="宋体" w:hAnsi="宋体" w:cs="宋体" w:eastAsia="宋体" w:hint="default"/>
          <w:spacing w:val="-57"/>
        </w:rPr>
        <w:t> </w:t>
      </w:r>
      <w:r>
        <w:rPr/>
        <w:t>图幅（</w:t>
      </w:r>
      <w:r>
        <w:rPr>
          <w:rFonts w:ascii="宋体" w:hAnsi="宋体" w:cs="宋体" w:eastAsia="宋体" w:hint="default"/>
        </w:rPr>
        <w:t>tile-</w:t>
      </w:r>
      <w:r>
        <w:rPr>
          <w:rFonts w:ascii="宋体" w:hAnsi="宋体" w:cs="宋体" w:eastAsia="宋体" w:hint="default"/>
          <w:w w:val="100"/>
        </w:rPr>
        <w:t> </w:t>
      </w:r>
      <w:r>
        <w:rPr>
          <w:rFonts w:ascii="宋体" w:hAnsi="宋体" w:cs="宋体" w:eastAsia="宋体" w:hint="default"/>
        </w:rPr>
        <w:t>based</w:t>
      </w:r>
      <w:r>
        <w:rPr/>
        <w:t>）的在线快速更新服务及解决方案可以满足</w:t>
      </w:r>
      <w:r>
        <w:rPr>
          <w:spacing w:val="-54"/>
        </w:rPr>
        <w:t> </w:t>
      </w:r>
      <w:r>
        <w:rPr>
          <w:rFonts w:ascii="宋体" w:hAnsi="宋体" w:cs="宋体" w:eastAsia="宋体" w:hint="default"/>
        </w:rPr>
        <w:t>HD</w:t>
      </w:r>
      <w:r>
        <w:rPr>
          <w:rFonts w:ascii="宋体" w:hAnsi="宋体" w:cs="宋体" w:eastAsia="宋体" w:hint="default"/>
          <w:spacing w:val="-56"/>
        </w:rPr>
        <w:t> </w:t>
      </w:r>
      <w:r>
        <w:rPr/>
        <w:t>等高精度地图更新需求，低成本编译产品</w:t>
      </w:r>
      <w:r>
        <w:rPr>
          <w:spacing w:val="-54"/>
        </w:rPr>
        <w:t> </w:t>
      </w:r>
      <w:r>
        <w:rPr>
          <w:rFonts w:ascii="宋体" w:hAnsi="宋体" w:cs="宋体" w:eastAsia="宋体" w:hint="default"/>
        </w:rPr>
        <w:t>GenNDS</w:t>
      </w:r>
      <w:r>
        <w:rPr>
          <w:rFonts w:ascii="宋体" w:hAnsi="宋体" w:cs="宋体" w:eastAsia="宋体" w:hint="default"/>
          <w:spacing w:val="-56"/>
        </w:rPr>
        <w:t> </w:t>
      </w:r>
      <w:r>
        <w:rPr/>
        <w:t>向</w:t>
      </w:r>
      <w:r>
        <w:rPr>
          <w:w w:val="100"/>
        </w:rPr>
        <w:t> </w:t>
      </w:r>
      <w:r>
        <w:rPr/>
        <w:t>上可支持传统导航及</w:t>
      </w:r>
      <w:r>
        <w:rPr>
          <w:spacing w:val="-54"/>
        </w:rPr>
        <w:t> </w:t>
      </w:r>
      <w:r>
        <w:rPr>
          <w:rFonts w:ascii="宋体" w:hAnsi="宋体" w:cs="宋体" w:eastAsia="宋体" w:hint="default"/>
        </w:rPr>
        <w:t>ADAS</w:t>
      </w:r>
      <w:r>
        <w:rPr>
          <w:rFonts w:ascii="宋体" w:hAnsi="宋体" w:cs="宋体" w:eastAsia="宋体" w:hint="default"/>
          <w:spacing w:val="-56"/>
        </w:rPr>
        <w:t> </w:t>
      </w:r>
      <w:r>
        <w:rPr/>
        <w:t>地图应用。</w:t>
      </w:r>
      <w:r>
        <w:rPr>
          <w:rFonts w:ascii="宋体" w:hAnsi="宋体" w:cs="宋体" w:eastAsia="宋体" w:hint="default"/>
        </w:rPr>
        <w:t> </w:t>
      </w:r>
    </w:p>
    <w:p>
      <w:pPr>
        <w:spacing w:after="0" w:line="408" w:lineRule="auto"/>
        <w:jc w:val="left"/>
        <w:rPr>
          <w:rFonts w:ascii="宋体" w:hAnsi="宋体" w:cs="宋体" w:eastAsia="宋体" w:hint="default"/>
        </w:rPr>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Heading5"/>
        <w:spacing w:line="408" w:lineRule="auto" w:before="176"/>
        <w:ind w:right="1208"/>
        <w:jc w:val="left"/>
        <w:rPr>
          <w:rFonts w:ascii="宋体" w:hAnsi="宋体" w:cs="宋体" w:eastAsia="宋体" w:hint="default"/>
        </w:rPr>
      </w:pPr>
      <w:r>
        <w:rPr/>
        <w:t>导航软件及服务，主要是指提供导航引擎软件，支持混合导航、大数据智能动态路径规划、基于多</w:t>
      </w:r>
      <w:r>
        <w:rPr>
          <w:w w:val="100"/>
        </w:rPr>
        <w:t> </w:t>
      </w:r>
      <w:r>
        <w:rPr/>
        <w:t>种传感器的高精度混合定位、导航数据增量更新及日更新、自然引导的语音播报、基于人工智能技术的</w:t>
      </w:r>
      <w:r>
        <w:rPr>
          <w:w w:val="100"/>
        </w:rPr>
        <w:t> </w:t>
      </w:r>
      <w:r>
        <w:rPr/>
        <w:t>语音控制及语音智能搜索等功能，可满足国际、国内主流车厂以及移动出行服务商的深度定制化需求和</w:t>
      </w:r>
      <w:r>
        <w:rPr>
          <w:w w:val="100"/>
        </w:rPr>
        <w:t> </w:t>
      </w:r>
      <w:r>
        <w:rPr/>
        <w:t>从云到端的一体化场景应用需求。报告期内，公司新一代</w:t>
      </w:r>
      <w:r>
        <w:rPr>
          <w:spacing w:val="-56"/>
        </w:rPr>
        <w:t> </w:t>
      </w:r>
      <w:r>
        <w:rPr>
          <w:rFonts w:ascii="宋体" w:hAnsi="宋体" w:cs="宋体" w:eastAsia="宋体" w:hint="default"/>
        </w:rPr>
        <w:t>AR</w:t>
      </w:r>
      <w:r>
        <w:rPr>
          <w:rFonts w:ascii="宋体" w:hAnsi="宋体" w:cs="宋体" w:eastAsia="宋体" w:hint="default"/>
          <w:spacing w:val="-58"/>
        </w:rPr>
        <w:t> </w:t>
      </w:r>
      <w:r>
        <w:rPr/>
        <w:t>导航能力已经在多个车厂合作项目中落地，</w:t>
      </w:r>
      <w:r>
        <w:rPr>
          <w:w w:val="100"/>
        </w:rPr>
        <w:t> </w:t>
      </w:r>
      <w:r>
        <w:rPr/>
        <w:t>与京东方等生态伙伴共同打造的</w:t>
      </w:r>
      <w:r>
        <w:rPr>
          <w:spacing w:val="-55"/>
        </w:rPr>
        <w:t> </w:t>
      </w:r>
      <w:r>
        <w:rPr>
          <w:rFonts w:ascii="宋体" w:hAnsi="宋体" w:cs="宋体" w:eastAsia="宋体" w:hint="default"/>
        </w:rPr>
        <w:t>AR-HUD</w:t>
      </w:r>
      <w:r>
        <w:rPr>
          <w:rFonts w:ascii="宋体" w:hAnsi="宋体" w:cs="宋体" w:eastAsia="宋体" w:hint="default"/>
          <w:spacing w:val="-58"/>
        </w:rPr>
        <w:t> </w:t>
      </w:r>
      <w:r>
        <w:rPr/>
        <w:t>解决方案正式发布。</w:t>
      </w:r>
      <w:r>
        <w:rPr>
          <w:rFonts w:ascii="宋体" w:hAnsi="宋体" w:cs="宋体" w:eastAsia="宋体" w:hint="default"/>
        </w:rPr>
        <w:t> </w:t>
      </w:r>
    </w:p>
    <w:p>
      <w:pPr>
        <w:spacing w:before="20"/>
        <w:ind w:left="152" w:right="0" w:firstLine="42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高级辅助驾驶及自动驾驶业务，</w:t>
      </w:r>
      <w:r>
        <w:rPr>
          <w:rFonts w:ascii="宋体" w:hAnsi="宋体" w:cs="宋体" w:eastAsia="宋体" w:hint="default"/>
          <w:sz w:val="21"/>
          <w:szCs w:val="21"/>
        </w:rPr>
        <w:t>主要包括提供</w:t>
      </w:r>
      <w:r>
        <w:rPr>
          <w:rFonts w:ascii="宋体" w:hAnsi="宋体" w:cs="宋体" w:eastAsia="宋体" w:hint="default"/>
          <w:spacing w:val="-51"/>
          <w:sz w:val="21"/>
          <w:szCs w:val="21"/>
        </w:rPr>
        <w:t> </w:t>
      </w:r>
      <w:r>
        <w:rPr>
          <w:rFonts w:ascii="宋体" w:hAnsi="宋体" w:cs="宋体" w:eastAsia="宋体" w:hint="default"/>
          <w:sz w:val="21"/>
          <w:szCs w:val="21"/>
        </w:rPr>
        <w:t>ADAS</w:t>
      </w:r>
      <w:r>
        <w:rPr>
          <w:rFonts w:ascii="宋体" w:hAnsi="宋体" w:cs="宋体" w:eastAsia="宋体" w:hint="default"/>
          <w:spacing w:val="-53"/>
          <w:sz w:val="21"/>
          <w:szCs w:val="21"/>
        </w:rPr>
        <w:t> </w:t>
      </w:r>
      <w:r>
        <w:rPr>
          <w:rFonts w:ascii="宋体" w:hAnsi="宋体" w:cs="宋体" w:eastAsia="宋体" w:hint="default"/>
          <w:sz w:val="21"/>
          <w:szCs w:val="21"/>
        </w:rPr>
        <w:t>地图、</w:t>
      </w:r>
      <w:r>
        <w:rPr>
          <w:rFonts w:ascii="宋体" w:hAnsi="宋体" w:cs="宋体" w:eastAsia="宋体" w:hint="default"/>
          <w:sz w:val="21"/>
          <w:szCs w:val="21"/>
        </w:rPr>
        <w:t>HD</w:t>
      </w:r>
      <w:r>
        <w:rPr>
          <w:rFonts w:ascii="宋体" w:hAnsi="宋体" w:cs="宋体" w:eastAsia="宋体" w:hint="default"/>
          <w:spacing w:val="-53"/>
          <w:sz w:val="21"/>
          <w:szCs w:val="21"/>
        </w:rPr>
        <w:t> </w:t>
      </w:r>
      <w:r>
        <w:rPr>
          <w:rFonts w:ascii="宋体" w:hAnsi="宋体" w:cs="宋体" w:eastAsia="宋体" w:hint="default"/>
          <w:sz w:val="21"/>
          <w:szCs w:val="21"/>
        </w:rPr>
        <w:t>地图数据、高精度定位产品及自动驾驶</w:t>
      </w:r>
    </w:p>
    <w:p>
      <w:pPr>
        <w:pStyle w:val="Heading5"/>
        <w:spacing w:line="408" w:lineRule="auto" w:before="169"/>
        <w:ind w:right="1161" w:firstLine="0"/>
        <w:jc w:val="left"/>
        <w:rPr>
          <w:rFonts w:ascii="宋体" w:hAnsi="宋体" w:cs="宋体" w:eastAsia="宋体" w:hint="default"/>
        </w:rPr>
      </w:pPr>
      <w:r>
        <w:rPr/>
        <w:t>整体解决方案，相关前沿技术研发及联合验证。报告期内，公司</w:t>
      </w:r>
      <w:r>
        <w:rPr>
          <w:spacing w:val="-54"/>
        </w:rPr>
        <w:t> </w:t>
      </w:r>
      <w:r>
        <w:rPr>
          <w:rFonts w:ascii="宋体" w:hAnsi="宋体" w:cs="宋体" w:eastAsia="宋体" w:hint="default"/>
        </w:rPr>
        <w:t>ADAS</w:t>
      </w:r>
      <w:r>
        <w:rPr>
          <w:rFonts w:ascii="宋体" w:hAnsi="宋体" w:cs="宋体" w:eastAsia="宋体" w:hint="default"/>
          <w:spacing w:val="-57"/>
        </w:rPr>
        <w:t> </w:t>
      </w:r>
      <w:r>
        <w:rPr/>
        <w:t>数据实现全国主干网络数百万公里</w:t>
      </w:r>
      <w:r>
        <w:rPr>
          <w:w w:val="100"/>
        </w:rPr>
        <w:t> </w:t>
      </w:r>
      <w:r>
        <w:rPr/>
        <w:t>覆盖，</w:t>
      </w:r>
      <w:r>
        <w:rPr>
          <w:rFonts w:ascii="宋体" w:hAnsi="宋体" w:cs="宋体" w:eastAsia="宋体" w:hint="default"/>
        </w:rPr>
        <w:t>HD</w:t>
      </w:r>
      <w:r>
        <w:rPr>
          <w:rFonts w:ascii="宋体" w:hAnsi="宋体" w:cs="宋体" w:eastAsia="宋体" w:hint="default"/>
          <w:spacing w:val="-57"/>
        </w:rPr>
        <w:t> </w:t>
      </w:r>
      <w:r>
        <w:rPr/>
        <w:t>地图完成全国高速道路数据采集和产品发布，城市级</w:t>
      </w:r>
      <w:r>
        <w:rPr>
          <w:spacing w:val="-55"/>
        </w:rPr>
        <w:t> </w:t>
      </w:r>
      <w:r>
        <w:rPr>
          <w:rFonts w:ascii="宋体" w:hAnsi="宋体" w:cs="宋体" w:eastAsia="宋体" w:hint="default"/>
        </w:rPr>
        <w:t>HD</w:t>
      </w:r>
      <w:r>
        <w:rPr>
          <w:rFonts w:ascii="宋体" w:hAnsi="宋体" w:cs="宋体" w:eastAsia="宋体" w:hint="default"/>
          <w:spacing w:val="-57"/>
        </w:rPr>
        <w:t> </w:t>
      </w:r>
      <w:r>
        <w:rPr/>
        <w:t>地图产品已经具备产品化能力，基于云</w:t>
      </w:r>
      <w:r>
        <w:rPr>
          <w:w w:val="100"/>
        </w:rPr>
        <w:t> </w:t>
      </w:r>
      <w:r>
        <w:rPr/>
        <w:t>端动态融合的自动驾驶地图数据及服务能力可以满足</w:t>
      </w:r>
      <w:r>
        <w:rPr>
          <w:spacing w:val="-54"/>
        </w:rPr>
        <w:t> </w:t>
      </w:r>
      <w:r>
        <w:rPr>
          <w:rFonts w:ascii="宋体" w:hAnsi="宋体" w:cs="宋体" w:eastAsia="宋体" w:hint="default"/>
        </w:rPr>
        <w:t>L2~L4</w:t>
      </w:r>
      <w:r>
        <w:rPr>
          <w:rFonts w:ascii="宋体" w:hAnsi="宋体" w:cs="宋体" w:eastAsia="宋体" w:hint="default"/>
          <w:spacing w:val="-54"/>
        </w:rPr>
        <w:t> </w:t>
      </w:r>
      <w:r>
        <w:rPr/>
        <w:t>不同等级自动驾驶、</w:t>
      </w:r>
      <w:r>
        <w:rPr>
          <w:rFonts w:ascii="宋体" w:hAnsi="宋体" w:cs="宋体" w:eastAsia="宋体" w:hint="default"/>
        </w:rPr>
        <w:t>5G/C-V2X</w:t>
      </w:r>
      <w:r>
        <w:rPr/>
        <w:t>、高速公路列</w:t>
      </w:r>
      <w:r>
        <w:rPr>
          <w:w w:val="100"/>
        </w:rPr>
        <w:t> </w:t>
      </w:r>
      <w:r>
        <w:rPr/>
        <w:t>队跟驰、自动驾驶仿真测试等领域的应用需求。公司高精度地图采集及验证能力，可以帮助国内外</w:t>
      </w:r>
      <w:r>
        <w:rPr>
          <w:spacing w:val="-34"/>
        </w:rPr>
        <w:t> </w:t>
      </w:r>
      <w:r>
        <w:rPr>
          <w:rFonts w:ascii="宋体" w:hAnsi="宋体" w:cs="宋体" w:eastAsia="宋体" w:hint="default"/>
          <w:spacing w:val="-3"/>
        </w:rPr>
        <w:t>OEM</w:t>
      </w:r>
      <w:r>
        <w:rPr>
          <w:rFonts w:ascii="宋体" w:hAnsi="宋体" w:cs="宋体" w:eastAsia="宋体" w:hint="default"/>
          <w:spacing w:val="-3"/>
          <w:w w:val="100"/>
        </w:rPr>
        <w:t> </w:t>
      </w:r>
      <w:r>
        <w:rPr/>
        <w:t>及</w:t>
      </w:r>
      <w:r>
        <w:rPr>
          <w:spacing w:val="-55"/>
        </w:rPr>
        <w:t> </w:t>
      </w:r>
      <w:r>
        <w:rPr>
          <w:rFonts w:ascii="宋体" w:hAnsi="宋体" w:cs="宋体" w:eastAsia="宋体" w:hint="default"/>
        </w:rPr>
        <w:t>Tier-1</w:t>
      </w:r>
      <w:r>
        <w:rPr>
          <w:rFonts w:ascii="宋体" w:hAnsi="宋体" w:cs="宋体" w:eastAsia="宋体" w:hint="default"/>
          <w:spacing w:val="-57"/>
        </w:rPr>
        <w:t> </w:t>
      </w:r>
      <w:r>
        <w:rPr/>
        <w:t>客户建立本地化的自动驾驶数据存储框架，实现原型车数据采集、量产车数据收集及自动驾驶</w:t>
      </w:r>
      <w:r>
        <w:rPr>
          <w:w w:val="100"/>
        </w:rPr>
        <w:t> </w:t>
      </w:r>
      <w:r>
        <w:rPr/>
        <w:t>能力验证。公司基于全国北斗地基增强系统的“网</w:t>
      </w:r>
      <w:r>
        <w:rPr>
          <w:rFonts w:ascii="宋体" w:hAnsi="宋体" w:cs="宋体" w:eastAsia="宋体" w:hint="default"/>
        </w:rPr>
        <w:t>-</w:t>
      </w:r>
      <w:r>
        <w:rPr/>
        <w:t>云</w:t>
      </w:r>
      <w:r>
        <w:rPr>
          <w:rFonts w:ascii="宋体" w:hAnsi="宋体" w:cs="宋体" w:eastAsia="宋体" w:hint="default"/>
        </w:rPr>
        <w:t>-</w:t>
      </w:r>
      <w:r>
        <w:rPr/>
        <w:t>端”高精度定位完整解决方案已经初步具备商业</w:t>
      </w:r>
      <w:r>
        <w:rPr>
          <w:w w:val="100"/>
        </w:rPr>
        <w:t> </w:t>
      </w:r>
      <w:r>
        <w:rPr/>
        <w:t>化服务能力，基于高精度地图及诸多车身传感器数据融合的高精度定位辅助技术与多个</w:t>
      </w:r>
      <w:r>
        <w:rPr>
          <w:spacing w:val="-53"/>
        </w:rPr>
        <w:t> </w:t>
      </w:r>
      <w:r>
        <w:rPr>
          <w:rFonts w:ascii="宋体" w:hAnsi="宋体" w:cs="宋体" w:eastAsia="宋体" w:hint="default"/>
        </w:rPr>
        <w:t>OEM</w:t>
      </w:r>
      <w:r>
        <w:rPr>
          <w:rFonts w:ascii="宋体" w:hAnsi="宋体" w:cs="宋体" w:eastAsia="宋体" w:hint="default"/>
          <w:spacing w:val="-56"/>
        </w:rPr>
        <w:t> </w:t>
      </w:r>
      <w:r>
        <w:rPr/>
        <w:t>车厂进行联</w:t>
      </w:r>
      <w:r>
        <w:rPr>
          <w:w w:val="100"/>
        </w:rPr>
        <w:t> </w:t>
      </w:r>
      <w:r>
        <w:rPr/>
        <w:t>合开发合作。公司</w:t>
      </w:r>
      <w:r>
        <w:rPr>
          <w:spacing w:val="-54"/>
        </w:rPr>
        <w:t> </w:t>
      </w:r>
      <w:r>
        <w:rPr>
          <w:rFonts w:ascii="宋体" w:hAnsi="宋体" w:cs="宋体" w:eastAsia="宋体" w:hint="default"/>
        </w:rPr>
        <w:t>L3</w:t>
      </w:r>
      <w:r>
        <w:rPr>
          <w:rFonts w:ascii="宋体" w:hAnsi="宋体" w:cs="宋体" w:eastAsia="宋体" w:hint="default"/>
          <w:spacing w:val="-54"/>
        </w:rPr>
        <w:t> </w:t>
      </w:r>
      <w:r>
        <w:rPr/>
        <w:t>级别低成本自动驾驶整体解决方案通过北京自动驾驶路测</w:t>
      </w:r>
      <w:r>
        <w:rPr>
          <w:spacing w:val="-54"/>
        </w:rPr>
        <w:t> </w:t>
      </w:r>
      <w:r>
        <w:rPr>
          <w:rFonts w:ascii="宋体" w:hAnsi="宋体" w:cs="宋体" w:eastAsia="宋体" w:hint="default"/>
        </w:rPr>
        <w:t>T3</w:t>
      </w:r>
      <w:r>
        <w:rPr>
          <w:rFonts w:ascii="宋体" w:hAnsi="宋体" w:cs="宋体" w:eastAsia="宋体" w:hint="default"/>
          <w:spacing w:val="-56"/>
        </w:rPr>
        <w:t> </w:t>
      </w:r>
      <w:r>
        <w:rPr/>
        <w:t>级牌照考试验证，</w:t>
      </w:r>
      <w:r>
        <w:rPr>
          <w:rFonts w:ascii="宋体" w:hAnsi="宋体" w:cs="宋体" w:eastAsia="宋体" w:hint="default"/>
        </w:rPr>
        <w:t>L4</w:t>
      </w:r>
      <w:r>
        <w:rPr>
          <w:rFonts w:ascii="宋体" w:hAnsi="宋体" w:cs="宋体" w:eastAsia="宋体" w:hint="default"/>
          <w:w w:val="100"/>
        </w:rPr>
        <w:t> </w:t>
      </w:r>
      <w:r>
        <w:rPr/>
        <w:t>级自动驾驶方案可以实现特定场景下的自动代客泊车。</w:t>
      </w:r>
      <w:r>
        <w:rPr>
          <w:rFonts w:ascii="宋体" w:hAnsi="宋体" w:cs="宋体" w:eastAsia="宋体" w:hint="default"/>
        </w:rPr>
        <w:t> </w:t>
      </w:r>
    </w:p>
    <w:p>
      <w:pPr>
        <w:pStyle w:val="Heading5"/>
        <w:spacing w:line="350" w:lineRule="auto" w:before="18"/>
        <w:ind w:right="0"/>
        <w:jc w:val="left"/>
      </w:pPr>
      <w:r>
        <w:rPr>
          <w:rFonts w:ascii="Microsoft JhengHei" w:hAnsi="Microsoft JhengHei" w:cs="Microsoft JhengHei" w:eastAsia="Microsoft JhengHei" w:hint="default"/>
          <w:b/>
          <w:bCs/>
          <w:spacing w:val="-2"/>
        </w:rPr>
        <w:t>芯片业务，</w:t>
      </w:r>
      <w:r>
        <w:rPr>
          <w:spacing w:val="-2"/>
        </w:rPr>
        <w:t>主要是指面向汽车信息娱乐系统、智能座舱系统、主动安全系统、车身控制系统、自动驾</w:t>
      </w:r>
      <w:r>
        <w:rPr>
          <w:w w:val="100"/>
        </w:rPr>
        <w:t> </w:t>
      </w:r>
      <w:r>
        <w:rPr>
          <w:spacing w:val="-2"/>
        </w:rPr>
        <w:t>驶系统等汽车电子细分领域，设计、研发、生产并销售汽车电子芯片，同时提供高度集成及一体化系统解</w:t>
      </w:r>
    </w:p>
    <w:p>
      <w:pPr>
        <w:pStyle w:val="Heading5"/>
        <w:spacing w:line="408" w:lineRule="auto" w:before="96"/>
        <w:ind w:right="1126" w:firstLine="0"/>
        <w:jc w:val="both"/>
        <w:rPr>
          <w:rFonts w:ascii="宋体" w:hAnsi="宋体" w:cs="宋体" w:eastAsia="宋体" w:hint="default"/>
        </w:rPr>
      </w:pPr>
      <w:r>
        <w:rPr/>
        <w:t>决方案。公司目前主要芯片产品包括</w:t>
      </w:r>
      <w:r>
        <w:rPr>
          <w:spacing w:val="-34"/>
        </w:rPr>
        <w:t> </w:t>
      </w:r>
      <w:r>
        <w:rPr>
          <w:rFonts w:ascii="宋体" w:hAnsi="宋体" w:cs="宋体" w:eastAsia="宋体" w:hint="default"/>
        </w:rPr>
        <w:t>IVI</w:t>
      </w:r>
      <w:r>
        <w:rPr>
          <w:rFonts w:ascii="宋体" w:hAnsi="宋体" w:cs="宋体" w:eastAsia="宋体" w:hint="default"/>
          <w:spacing w:val="-37"/>
        </w:rPr>
        <w:t> </w:t>
      </w:r>
      <w:r>
        <w:rPr/>
        <w:t>车载信息娱乐系统芯片、</w:t>
      </w:r>
      <w:r>
        <w:rPr>
          <w:rFonts w:ascii="宋体" w:hAnsi="宋体" w:cs="宋体" w:eastAsia="宋体" w:hint="default"/>
        </w:rPr>
        <w:t>AMP</w:t>
      </w:r>
      <w:r>
        <w:rPr>
          <w:rFonts w:ascii="宋体" w:hAnsi="宋体" w:cs="宋体" w:eastAsia="宋体" w:hint="default"/>
          <w:spacing w:val="-34"/>
        </w:rPr>
        <w:t> </w:t>
      </w:r>
      <w:r>
        <w:rPr/>
        <w:t>车载功率电子芯片、</w:t>
      </w:r>
      <w:r>
        <w:rPr>
          <w:rFonts w:ascii="宋体" w:hAnsi="宋体" w:cs="宋体" w:eastAsia="宋体" w:hint="default"/>
        </w:rPr>
        <w:t>MCU</w:t>
      </w:r>
      <w:r>
        <w:rPr>
          <w:rFonts w:ascii="宋体" w:hAnsi="宋体" w:cs="宋体" w:eastAsia="宋体" w:hint="default"/>
          <w:spacing w:val="-34"/>
        </w:rPr>
        <w:t> </w:t>
      </w:r>
      <w:r>
        <w:rPr/>
        <w:t>车身控制</w:t>
      </w:r>
      <w:r>
        <w:rPr>
          <w:w w:val="100"/>
        </w:rPr>
        <w:t> </w:t>
      </w:r>
      <w:r>
        <w:rPr>
          <w:spacing w:val="-4"/>
        </w:rPr>
        <w:t>芯片，</w:t>
      </w:r>
      <w:r>
        <w:rPr>
          <w:rFonts w:ascii="宋体" w:hAnsi="宋体" w:cs="宋体" w:eastAsia="宋体" w:hint="default"/>
          <w:spacing w:val="-4"/>
        </w:rPr>
        <w:t>TPMS</w:t>
      </w:r>
      <w:r>
        <w:rPr>
          <w:rFonts w:ascii="宋体" w:hAnsi="宋体" w:cs="宋体" w:eastAsia="宋体" w:hint="default"/>
          <w:spacing w:val="-32"/>
        </w:rPr>
        <w:t> </w:t>
      </w:r>
      <w:r>
        <w:rPr>
          <w:spacing w:val="-4"/>
        </w:rPr>
        <w:t>胎压监测芯片等。报告期内，公司</w:t>
      </w:r>
      <w:r>
        <w:rPr>
          <w:spacing w:val="-29"/>
        </w:rPr>
        <w:t> </w:t>
      </w:r>
      <w:r>
        <w:rPr>
          <w:rFonts w:ascii="宋体" w:hAnsi="宋体" w:cs="宋体" w:eastAsia="宋体" w:hint="default"/>
        </w:rPr>
        <w:t>IVI</w:t>
      </w:r>
      <w:r>
        <w:rPr>
          <w:rFonts w:ascii="宋体" w:hAnsi="宋体" w:cs="宋体" w:eastAsia="宋体" w:hint="default"/>
          <w:spacing w:val="-32"/>
        </w:rPr>
        <w:t> </w:t>
      </w:r>
      <w:r>
        <w:rPr>
          <w:spacing w:val="-3"/>
        </w:rPr>
        <w:t>芯片在国内后装市场持续保持行业领先地位，并不断获</w:t>
      </w:r>
      <w:r>
        <w:rPr>
          <w:spacing w:val="-95"/>
        </w:rPr>
        <w:t> </w:t>
      </w:r>
      <w:r>
        <w:rPr>
          <w:spacing w:val="-95"/>
        </w:rPr>
      </w:r>
      <w:r>
        <w:rPr>
          <w:spacing w:val="-4"/>
        </w:rPr>
        <w:t>得新的前装市场量产订单。</w:t>
      </w:r>
      <w:r>
        <w:rPr>
          <w:rFonts w:ascii="宋体" w:hAnsi="宋体" w:cs="宋体" w:eastAsia="宋体" w:hint="default"/>
          <w:spacing w:val="-4"/>
        </w:rPr>
        <w:t>2018</w:t>
      </w:r>
      <w:r>
        <w:rPr>
          <w:rFonts w:ascii="宋体" w:hAnsi="宋体" w:cs="宋体" w:eastAsia="宋体" w:hint="default"/>
          <w:spacing w:val="-39"/>
        </w:rPr>
        <w:t> </w:t>
      </w:r>
      <w:r>
        <w:rPr/>
        <w:t>年推出的自主研发的国内首颗车规级</w:t>
      </w:r>
      <w:r>
        <w:rPr>
          <w:spacing w:val="-38"/>
        </w:rPr>
        <w:t> </w:t>
      </w:r>
      <w:r>
        <w:rPr>
          <w:rFonts w:ascii="宋体" w:hAnsi="宋体" w:cs="宋体" w:eastAsia="宋体" w:hint="default"/>
        </w:rPr>
        <w:t>MCU</w:t>
      </w:r>
      <w:r>
        <w:rPr>
          <w:rFonts w:ascii="宋体" w:hAnsi="宋体" w:cs="宋体" w:eastAsia="宋体" w:hint="default"/>
          <w:spacing w:val="-38"/>
        </w:rPr>
        <w:t> </w:t>
      </w:r>
      <w:r>
        <w:rPr>
          <w:spacing w:val="-5"/>
        </w:rPr>
        <w:t>芯片，不断打破国际巨头市场垄</w:t>
      </w:r>
      <w:r>
        <w:rPr>
          <w:spacing w:val="-99"/>
        </w:rPr>
        <w:t> </w:t>
      </w:r>
      <w:r>
        <w:rPr>
          <w:spacing w:val="-99"/>
        </w:rPr>
      </w:r>
      <w:r>
        <w:rPr/>
        <w:t>断局面，已被多家客户导入和量产。</w:t>
      </w:r>
      <w:r>
        <w:rPr>
          <w:rFonts w:ascii="宋体" w:hAnsi="宋体" w:cs="宋体" w:eastAsia="宋体" w:hint="default"/>
        </w:rPr>
        <w:t>TPMS</w:t>
      </w:r>
      <w:r>
        <w:rPr>
          <w:rFonts w:ascii="宋体" w:hAnsi="宋体" w:cs="宋体" w:eastAsia="宋体" w:hint="default"/>
          <w:spacing w:val="-46"/>
        </w:rPr>
        <w:t> </w:t>
      </w:r>
      <w:r>
        <w:rPr/>
        <w:t>芯片作为国内首颗自主研发的车规级</w:t>
      </w:r>
      <w:r>
        <w:rPr>
          <w:spacing w:val="-44"/>
        </w:rPr>
        <w:t> </w:t>
      </w:r>
      <w:r>
        <w:rPr>
          <w:rFonts w:ascii="宋体" w:hAnsi="宋体" w:cs="宋体" w:eastAsia="宋体" w:hint="default"/>
        </w:rPr>
        <w:t>TPMS</w:t>
      </w:r>
      <w:r>
        <w:rPr>
          <w:rFonts w:ascii="宋体" w:hAnsi="宋体" w:cs="宋体" w:eastAsia="宋体" w:hint="default"/>
          <w:spacing w:val="-46"/>
        </w:rPr>
        <w:t> </w:t>
      </w:r>
      <w:r>
        <w:rPr/>
        <w:t>全功能单芯片，已于</w:t>
      </w:r>
      <w:r>
        <w:rPr>
          <w:w w:val="100"/>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月达成量产。</w:t>
      </w:r>
      <w:r>
        <w:rPr>
          <w:rFonts w:ascii="宋体" w:hAnsi="宋体" w:cs="宋体" w:eastAsia="宋体" w:hint="default"/>
        </w:rPr>
        <w:t>AMP</w:t>
      </w:r>
      <w:r>
        <w:rPr>
          <w:rFonts w:ascii="宋体" w:hAnsi="宋体" w:cs="宋体" w:eastAsia="宋体" w:hint="default"/>
          <w:spacing w:val="-54"/>
        </w:rPr>
        <w:t> </w:t>
      </w:r>
      <w:r>
        <w:rPr/>
        <w:t>车载功率电子芯片得到市场广泛认可。</w:t>
      </w:r>
      <w:r>
        <w:rPr>
          <w:rFonts w:ascii="宋体" w:hAnsi="宋体" w:cs="宋体" w:eastAsia="宋体" w:hint="default"/>
        </w:rPr>
        <w:t> </w:t>
      </w:r>
    </w:p>
    <w:p>
      <w:pPr>
        <w:pStyle w:val="Heading5"/>
        <w:spacing w:line="350" w:lineRule="auto" w:before="20"/>
        <w:ind w:right="0" w:firstLine="422"/>
        <w:jc w:val="left"/>
      </w:pPr>
      <w:r>
        <w:rPr>
          <w:rFonts w:ascii="Microsoft JhengHei" w:hAnsi="Microsoft JhengHei" w:cs="Microsoft JhengHei" w:eastAsia="Microsoft JhengHei" w:hint="default"/>
          <w:b/>
          <w:bCs/>
          <w:spacing w:val="-2"/>
        </w:rPr>
        <w:t>位置大数据服务业务，</w:t>
      </w:r>
      <w:r>
        <w:rPr>
          <w:spacing w:val="-2"/>
        </w:rPr>
        <w:t>主要是依托于公司十余年导航电子地图的生产及服务经验，充分利用自身的数</w:t>
      </w:r>
      <w:r>
        <w:rPr>
          <w:w w:val="100"/>
        </w:rPr>
        <w:t> </w:t>
      </w:r>
      <w:r>
        <w:rPr>
          <w:spacing w:val="-4"/>
        </w:rPr>
        <w:t>据、算法和技术优势，专注研发位置大数据平台</w:t>
      </w:r>
      <w:r>
        <w:rPr>
          <w:spacing w:val="32"/>
        </w:rPr>
        <w:t> </w:t>
      </w:r>
      <w:r>
        <w:rPr>
          <w:rFonts w:ascii="宋体" w:hAnsi="宋体" w:cs="宋体" w:eastAsia="宋体" w:hint="default"/>
          <w:spacing w:val="-3"/>
        </w:rPr>
        <w:t>MineData</w:t>
      </w:r>
      <w:r>
        <w:rPr>
          <w:spacing w:val="-3"/>
        </w:rPr>
        <w:t>，面向政府、企事业单位和行业用户提供一整套</w:t>
      </w:r>
    </w:p>
    <w:p>
      <w:pPr>
        <w:pStyle w:val="Heading5"/>
        <w:spacing w:line="408" w:lineRule="auto" w:before="96"/>
        <w:ind w:right="1126" w:firstLine="0"/>
        <w:jc w:val="both"/>
      </w:pPr>
      <w:r>
        <w:rPr>
          <w:spacing w:val="-4"/>
        </w:rPr>
        <w:t>集数据汇聚、可视化、算法、分析、平台工程化和商业化的大数据解决方案。</w:t>
      </w:r>
      <w:r>
        <w:rPr>
          <w:rFonts w:ascii="宋体" w:hAnsi="宋体" w:cs="宋体" w:eastAsia="宋体" w:hint="default"/>
          <w:spacing w:val="-4"/>
        </w:rPr>
        <w:t>MineData </w:t>
      </w:r>
      <w:r>
        <w:rPr/>
        <w:t>平台主要包括权威</w:t>
      </w:r>
      <w:r>
        <w:rPr>
          <w:spacing w:val="-71"/>
        </w:rPr>
        <w:t> </w:t>
      </w:r>
      <w:r>
        <w:rPr>
          <w:spacing w:val="-71"/>
        </w:rPr>
      </w:r>
      <w:r>
        <w:rPr>
          <w:spacing w:val="-2"/>
        </w:rPr>
        <w:t>的位置数据仓库及大数据管理平台数据蜂巢</w:t>
      </w:r>
      <w:r>
        <w:rPr>
          <w:spacing w:val="-23"/>
        </w:rPr>
        <w:t> </w:t>
      </w:r>
      <w:r>
        <w:rPr>
          <w:rFonts w:ascii="宋体" w:hAnsi="宋体" w:cs="宋体" w:eastAsia="宋体" w:hint="default"/>
          <w:spacing w:val="-2"/>
        </w:rPr>
        <w:t>DataHIVE</w:t>
      </w:r>
      <w:r>
        <w:rPr>
          <w:spacing w:val="-2"/>
        </w:rPr>
        <w:t>、一站式地图可视化平台</w:t>
      </w:r>
      <w:r>
        <w:rPr>
          <w:spacing w:val="-25"/>
        </w:rPr>
        <w:t> </w:t>
      </w:r>
      <w:r>
        <w:rPr>
          <w:rFonts w:ascii="宋体" w:hAnsi="宋体" w:cs="宋体" w:eastAsia="宋体" w:hint="default"/>
          <w:spacing w:val="-2"/>
        </w:rPr>
        <w:t>MineMap</w:t>
      </w:r>
      <w:r>
        <w:rPr>
          <w:spacing w:val="-2"/>
        </w:rPr>
        <w:t>、一站式位置大数</w:t>
      </w:r>
      <w:r>
        <w:rPr>
          <w:spacing w:val="-91"/>
        </w:rPr>
        <w:t> </w:t>
      </w:r>
      <w:r>
        <w:rPr>
          <w:spacing w:val="-91"/>
        </w:rPr>
      </w:r>
      <w:r>
        <w:rPr/>
        <w:t>据分析与深度学习平台</w:t>
      </w:r>
      <w:r>
        <w:rPr>
          <w:spacing w:val="-45"/>
        </w:rPr>
        <w:t> </w:t>
      </w:r>
      <w:r>
        <w:rPr>
          <w:rFonts w:ascii="宋体" w:hAnsi="宋体" w:cs="宋体" w:eastAsia="宋体" w:hint="default"/>
        </w:rPr>
        <w:t>MineLab</w:t>
      </w:r>
      <w:r>
        <w:rPr/>
        <w:t>、专业位置服务接口</w:t>
      </w:r>
      <w:r>
        <w:rPr>
          <w:spacing w:val="-45"/>
        </w:rPr>
        <w:t> </w:t>
      </w:r>
      <w:r>
        <w:rPr>
          <w:rFonts w:ascii="宋体" w:hAnsi="宋体" w:cs="宋体" w:eastAsia="宋体" w:hint="default"/>
        </w:rPr>
        <w:t>MineService</w:t>
      </w:r>
      <w:r>
        <w:rPr>
          <w:rFonts w:ascii="宋体" w:hAnsi="宋体" w:cs="宋体" w:eastAsia="宋体" w:hint="default"/>
          <w:spacing w:val="-45"/>
        </w:rPr>
        <w:t> </w:t>
      </w:r>
      <w:r>
        <w:rPr/>
        <w:t>四大模块。报告期内，公司全新打造的</w:t>
      </w:r>
      <w:r>
        <w:rPr>
          <w:w w:val="100"/>
        </w:rPr>
        <w:t> </w:t>
      </w:r>
      <w:r>
        <w:rPr/>
        <w:t>集数据生态、算法预研、交互式开发和可运营服务为一体的</w:t>
      </w:r>
      <w:r>
        <w:rPr>
          <w:spacing w:val="-65"/>
        </w:rPr>
        <w:t> </w:t>
      </w:r>
      <w:r>
        <w:rPr>
          <w:rFonts w:ascii="宋体" w:hAnsi="宋体" w:cs="宋体" w:eastAsia="宋体" w:hint="default"/>
        </w:rPr>
        <w:t>Minedata3.0</w:t>
      </w:r>
      <w:r>
        <w:rPr>
          <w:rFonts w:ascii="宋体" w:hAnsi="宋体" w:cs="宋体" w:eastAsia="宋体" w:hint="default"/>
          <w:spacing w:val="-66"/>
        </w:rPr>
        <w:t> </w:t>
      </w:r>
      <w:r>
        <w:rPr/>
        <w:t>开放平台正式发布。面向自动驾</w:t>
      </w:r>
      <w:r>
        <w:rPr>
          <w:w w:val="100"/>
        </w:rPr>
        <w:t> </w:t>
      </w:r>
      <w:r>
        <w:rPr>
          <w:spacing w:val="-2"/>
        </w:rPr>
        <w:t>驶领域，公司传感器云平台可以支持海量车载传感器数据和自动驾驶数据的接入和治理，并可为自动驾驶</w:t>
      </w:r>
    </w:p>
    <w:p>
      <w:pPr>
        <w:spacing w:after="0" w:line="408" w:lineRule="auto"/>
        <w:jc w:val="both"/>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Heading5"/>
        <w:spacing w:line="408" w:lineRule="auto" w:before="176"/>
        <w:ind w:right="1157" w:firstLine="0"/>
        <w:jc w:val="left"/>
        <w:rPr>
          <w:rFonts w:ascii="宋体" w:hAnsi="宋体" w:cs="宋体" w:eastAsia="宋体" w:hint="default"/>
        </w:rPr>
      </w:pPr>
      <w:r>
        <w:rPr>
          <w:spacing w:val="-2"/>
        </w:rPr>
        <w:t>应用提供数据、算法模型和应用支撑等一站式大数据开发集成环境，帮助汽车行业打造传感器大数据云生</w:t>
      </w:r>
      <w:r>
        <w:rPr>
          <w:spacing w:val="-43"/>
        </w:rPr>
        <w:t> </w:t>
      </w:r>
      <w:r>
        <w:rPr>
          <w:spacing w:val="-43"/>
        </w:rPr>
      </w:r>
      <w:r>
        <w:rPr/>
        <w:t>态。</w:t>
      </w:r>
      <w:r>
        <w:rPr>
          <w:rFonts w:ascii="宋体" w:hAnsi="宋体" w:cs="宋体" w:eastAsia="宋体" w:hint="default"/>
        </w:rPr>
        <w:t> </w:t>
      </w:r>
    </w:p>
    <w:p>
      <w:pPr>
        <w:pStyle w:val="Heading5"/>
        <w:spacing w:line="408" w:lineRule="auto"/>
        <w:ind w:right="1126"/>
        <w:jc w:val="both"/>
        <w:rPr>
          <w:rFonts w:ascii="宋体" w:hAnsi="宋体" w:cs="宋体" w:eastAsia="宋体" w:hint="default"/>
        </w:rPr>
      </w:pPr>
      <w:r>
        <w:rPr/>
        <w:t>公司基于多年积累的 </w:t>
      </w:r>
      <w:r>
        <w:rPr>
          <w:rFonts w:ascii="宋体" w:hAnsi="宋体" w:cs="宋体" w:eastAsia="宋体" w:hint="default"/>
        </w:rPr>
        <w:t>MineData</w:t>
      </w:r>
      <w:r>
        <w:rPr>
          <w:rFonts w:ascii="宋体" w:hAnsi="宋体" w:cs="宋体" w:eastAsia="宋体" w:hint="default"/>
          <w:spacing w:val="-28"/>
        </w:rPr>
        <w:t> </w:t>
      </w:r>
      <w:r>
        <w:rPr/>
        <w:t>平台项目经验，面向不同细分领域的专业化需求和应用特点，推出交</w:t>
      </w:r>
      <w:r>
        <w:rPr>
          <w:w w:val="100"/>
        </w:rPr>
        <w:t> </w:t>
      </w:r>
      <w:r>
        <w:rPr>
          <w:spacing w:val="-2"/>
        </w:rPr>
        <w:t>警大数据平台、车辆大数据分析平台、警用公众地理信息服务平台、智绘城市规划平台、四维交通指数平</w:t>
      </w:r>
      <w:r>
        <w:rPr>
          <w:spacing w:val="-50"/>
        </w:rPr>
        <w:t> </w:t>
      </w:r>
      <w:r>
        <w:rPr>
          <w:spacing w:val="-50"/>
        </w:rPr>
      </w:r>
      <w:r>
        <w:rPr>
          <w:spacing w:val="-6"/>
        </w:rPr>
        <w:t>台、城市路网密度监测平台等平台型产品。报告期内，公司进一步推进</w:t>
      </w:r>
      <w:r>
        <w:rPr>
          <w:spacing w:val="-32"/>
        </w:rPr>
        <w:t> </w:t>
      </w:r>
      <w:r>
        <w:rPr>
          <w:rFonts w:ascii="宋体" w:hAnsi="宋体" w:cs="宋体" w:eastAsia="宋体" w:hint="default"/>
        </w:rPr>
        <w:t>MineData</w:t>
      </w:r>
      <w:r>
        <w:rPr>
          <w:rFonts w:ascii="宋体" w:hAnsi="宋体" w:cs="宋体" w:eastAsia="宋体" w:hint="default"/>
          <w:spacing w:val="-33"/>
        </w:rPr>
        <w:t> </w:t>
      </w:r>
      <w:r>
        <w:rPr/>
        <w:t>能力在标准地址库平台、</w:t>
      </w:r>
      <w:r>
        <w:rPr>
          <w:spacing w:val="-96"/>
        </w:rPr>
        <w:t> </w:t>
      </w:r>
      <w:r>
        <w:rPr>
          <w:spacing w:val="-96"/>
        </w:rPr>
      </w:r>
      <w:r>
        <w:rPr>
          <w:spacing w:val="-2"/>
        </w:rPr>
        <w:t>保险行业解决方案、绿色生命通道解决方案、新型智慧道路及信息化系统、国土空间规划及城市地下管线</w:t>
      </w:r>
      <w:r>
        <w:rPr>
          <w:spacing w:val="-42"/>
        </w:rPr>
        <w:t> </w:t>
      </w:r>
      <w:r>
        <w:rPr>
          <w:spacing w:val="-42"/>
        </w:rPr>
      </w:r>
      <w:r>
        <w:rPr/>
        <w:t>综合治理等领域的拓展和落地，满足智慧城市、智能交通、新基建等行业发展的新兴需求。</w:t>
      </w:r>
      <w:r>
        <w:rPr>
          <w:rFonts w:ascii="宋体" w:hAnsi="宋体" w:cs="宋体" w:eastAsia="宋体" w:hint="default"/>
        </w:rPr>
        <w:t> </w:t>
      </w:r>
    </w:p>
    <w:p>
      <w:pPr>
        <w:spacing w:line="333" w:lineRule="auto" w:before="17"/>
        <w:ind w:left="575" w:right="1121"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车联网业务，</w:t>
      </w:r>
      <w:r>
        <w:rPr>
          <w:rFonts w:ascii="宋体" w:hAnsi="宋体" w:cs="宋体" w:eastAsia="宋体" w:hint="default"/>
          <w:sz w:val="21"/>
          <w:szCs w:val="21"/>
        </w:rPr>
        <w:t>主要包括动态交通信息服务业务、乘用车车联网业务和商用车车联网业务。</w:t>
      </w:r>
      <w:r>
        <w:rPr>
          <w:rFonts w:ascii="宋体" w:hAnsi="宋体" w:cs="宋体" w:eastAsia="宋体" w:hint="default"/>
          <w:w w:val="100"/>
          <w:sz w:val="21"/>
          <w:szCs w:val="21"/>
        </w:rPr>
        <w:t> </w:t>
      </w:r>
      <w:r>
        <w:rPr>
          <w:rFonts w:ascii="Microsoft JhengHei" w:hAnsi="Microsoft JhengHei" w:cs="Microsoft JhengHei" w:eastAsia="Microsoft JhengHei" w:hint="default"/>
          <w:b/>
          <w:bCs/>
          <w:spacing w:val="-4"/>
          <w:sz w:val="21"/>
          <w:szCs w:val="21"/>
        </w:rPr>
        <w:t>其中，动态交通信息产品及服务，</w:t>
      </w:r>
      <w:r>
        <w:rPr>
          <w:rFonts w:ascii="宋体" w:hAnsi="宋体" w:cs="宋体" w:eastAsia="宋体" w:hint="default"/>
          <w:spacing w:val="-4"/>
          <w:sz w:val="21"/>
          <w:szCs w:val="21"/>
        </w:rPr>
        <w:t>主要是基于自身海量的动态交通大数据优势，通过专业大数据及</w:t>
      </w:r>
      <w:r>
        <w:rPr>
          <w:rFonts w:ascii="宋体" w:hAnsi="宋体" w:cs="宋体" w:eastAsia="宋体" w:hint="default"/>
          <w:spacing w:val="37"/>
          <w:sz w:val="21"/>
          <w:szCs w:val="21"/>
        </w:rPr>
        <w:t> </w:t>
      </w:r>
      <w:r>
        <w:rPr>
          <w:rFonts w:ascii="宋体" w:hAnsi="宋体" w:cs="宋体" w:eastAsia="宋体" w:hint="default"/>
          <w:sz w:val="21"/>
          <w:szCs w:val="21"/>
        </w:rPr>
        <w:t>AI</w:t>
      </w:r>
    </w:p>
    <w:p>
      <w:pPr>
        <w:pStyle w:val="Heading5"/>
        <w:spacing w:line="408" w:lineRule="auto" w:before="60"/>
        <w:ind w:right="1126" w:firstLine="0"/>
        <w:jc w:val="both"/>
        <w:rPr>
          <w:rFonts w:ascii="宋体" w:hAnsi="宋体" w:cs="宋体" w:eastAsia="宋体" w:hint="default"/>
        </w:rPr>
      </w:pPr>
      <w:r>
        <w:rPr>
          <w:spacing w:val="-7"/>
        </w:rPr>
        <w:t>处理技术，自主研发多源数据处理模型，每分钟可生成发布中国大陆全部城市及香港、台湾地区实时路况，</w:t>
      </w:r>
      <w:r>
        <w:rPr>
          <w:spacing w:val="-17"/>
        </w:rPr>
        <w:t> </w:t>
      </w:r>
      <w:r>
        <w:rPr>
          <w:spacing w:val="-17"/>
        </w:rPr>
      </w:r>
      <w:r>
        <w:rPr/>
        <w:t>其中车规级路况覆盖</w:t>
      </w:r>
      <w:r>
        <w:rPr>
          <w:spacing w:val="-49"/>
        </w:rPr>
        <w:t> </w:t>
      </w:r>
      <w:r>
        <w:rPr>
          <w:rFonts w:ascii="宋体" w:hAnsi="宋体" w:cs="宋体" w:eastAsia="宋体" w:hint="default"/>
        </w:rPr>
        <w:t>130</w:t>
      </w:r>
      <w:r>
        <w:rPr>
          <w:rFonts w:ascii="宋体" w:hAnsi="宋体" w:cs="宋体" w:eastAsia="宋体" w:hint="default"/>
          <w:spacing w:val="-49"/>
        </w:rPr>
        <w:t> </w:t>
      </w:r>
      <w:r>
        <w:rPr/>
        <w:t>多个城市，高速路况全国覆盖率超过</w:t>
      </w:r>
      <w:r>
        <w:rPr>
          <w:spacing w:val="-48"/>
        </w:rPr>
        <w:t> </w:t>
      </w:r>
      <w:r>
        <w:rPr>
          <w:rFonts w:ascii="宋体" w:hAnsi="宋体" w:cs="宋体" w:eastAsia="宋体" w:hint="default"/>
        </w:rPr>
        <w:t>90%</w:t>
      </w:r>
      <w:r>
        <w:rPr/>
        <w:t>；依托高频</w:t>
      </w:r>
      <w:r>
        <w:rPr>
          <w:spacing w:val="-49"/>
        </w:rPr>
        <w:t> </w:t>
      </w:r>
      <w:r>
        <w:rPr>
          <w:rFonts w:ascii="宋体" w:hAnsi="宋体" w:cs="宋体" w:eastAsia="宋体" w:hint="default"/>
        </w:rPr>
        <w:t>GPS</w:t>
      </w:r>
      <w:r>
        <w:rPr>
          <w:rFonts w:ascii="宋体" w:hAnsi="宋体" w:cs="宋体" w:eastAsia="宋体" w:hint="default"/>
          <w:spacing w:val="-49"/>
        </w:rPr>
        <w:t> </w:t>
      </w:r>
      <w:r>
        <w:rPr/>
        <w:t>数据源以及独有的处理</w:t>
      </w:r>
      <w:r>
        <w:rPr>
          <w:w w:val="100"/>
        </w:rPr>
        <w:t> </w:t>
      </w:r>
      <w:r>
        <w:rPr>
          <w:spacing w:val="-2"/>
        </w:rPr>
        <w:t>模型，可提供基于真实道路拥堵情报反馈的精细化路况信息和多城市封闭道路分方向路况信息。基于舆情</w:t>
      </w:r>
      <w:r>
        <w:rPr>
          <w:spacing w:val="-42"/>
        </w:rPr>
        <w:t> </w:t>
      </w:r>
      <w:r>
        <w:rPr>
          <w:spacing w:val="-42"/>
        </w:rPr>
      </w:r>
      <w:r>
        <w:rPr/>
        <w:t>信息和交通部官方数据源，可以提供基于 </w:t>
      </w:r>
      <w:r>
        <w:rPr>
          <w:rFonts w:ascii="宋体" w:hAnsi="宋体" w:cs="宋体" w:eastAsia="宋体" w:hint="default"/>
        </w:rPr>
        <w:t>AI</w:t>
      </w:r>
      <w:r>
        <w:rPr>
          <w:rFonts w:ascii="宋体" w:hAnsi="宋体" w:cs="宋体" w:eastAsia="宋体" w:hint="default"/>
          <w:spacing w:val="-29"/>
        </w:rPr>
        <w:t> </w:t>
      </w:r>
      <w:r>
        <w:rPr/>
        <w:t>语义分析的高精度事件产品；面向未来自动驾驶，已经具备</w:t>
      </w:r>
      <w:r>
        <w:rPr>
          <w:w w:val="100"/>
        </w:rPr>
        <w:t> </w:t>
      </w:r>
      <w:r>
        <w:rPr>
          <w:spacing w:val="-2"/>
        </w:rPr>
        <w:t>识别与行车安全相关的车辆故障、事故、道路湿滑、低能见度等危险事件信息的能力。此外，可提供路况</w:t>
      </w:r>
      <w:r>
        <w:rPr>
          <w:spacing w:val="-43"/>
        </w:rPr>
        <w:t> </w:t>
      </w:r>
      <w:r>
        <w:rPr>
          <w:spacing w:val="-43"/>
        </w:rPr>
      </w:r>
      <w:r>
        <w:rPr>
          <w:spacing w:val="-3"/>
        </w:rPr>
        <w:t>简图、历史路况、城市限行、交通预测、语音交通、道路天气、动态停车场、动态充电桩、在线路径规划</w:t>
      </w:r>
      <w:r>
        <w:rPr>
          <w:spacing w:val="-5"/>
        </w:rPr>
        <w:t> </w:t>
      </w:r>
      <w:r>
        <w:rPr>
          <w:spacing w:val="-5"/>
        </w:rPr>
      </w:r>
      <w:r>
        <w:rPr/>
        <w:t>等服务，满足不同应用领域以及高精度、高鲜度定制化需求。</w:t>
      </w:r>
      <w:r>
        <w:rPr>
          <w:rFonts w:ascii="宋体" w:hAnsi="宋体" w:cs="宋体" w:eastAsia="宋体" w:hint="default"/>
        </w:rPr>
        <w:t> </w:t>
      </w:r>
    </w:p>
    <w:p>
      <w:pPr>
        <w:spacing w:line="345" w:lineRule="exact" w:before="0"/>
        <w:ind w:left="152" w:right="0" w:firstLine="422"/>
        <w:jc w:val="both"/>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乘用车车联网产品及服务，</w:t>
      </w:r>
      <w:r>
        <w:rPr>
          <w:rFonts w:ascii="宋体" w:hAnsi="宋体" w:cs="宋体" w:eastAsia="宋体" w:hint="default"/>
          <w:sz w:val="21"/>
          <w:szCs w:val="21"/>
        </w:rPr>
        <w:t>主要是指面向乘用车智能网联、智能座舱、新能源汽车智能出行等领域</w:t>
      </w:r>
    </w:p>
    <w:p>
      <w:pPr>
        <w:pStyle w:val="Heading5"/>
        <w:spacing w:line="408" w:lineRule="auto" w:before="169"/>
        <w:ind w:right="1310" w:firstLine="0"/>
        <w:jc w:val="left"/>
        <w:rPr>
          <w:rFonts w:ascii="宋体" w:hAnsi="宋体" w:cs="宋体" w:eastAsia="宋体" w:hint="default"/>
        </w:rPr>
      </w:pPr>
      <w:r>
        <w:rPr/>
        <w:t>提供的</w:t>
      </w:r>
      <w:r>
        <w:rPr>
          <w:spacing w:val="-53"/>
        </w:rPr>
        <w:t> </w:t>
      </w:r>
      <w:r>
        <w:rPr>
          <w:rFonts w:ascii="宋体" w:hAnsi="宋体" w:cs="宋体" w:eastAsia="宋体" w:hint="default"/>
        </w:rPr>
        <w:t>WeCloud</w:t>
      </w:r>
      <w:r>
        <w:rPr>
          <w:rFonts w:ascii="宋体" w:hAnsi="宋体" w:cs="宋体" w:eastAsia="宋体" w:hint="default"/>
          <w:spacing w:val="-56"/>
        </w:rPr>
        <w:t> </w:t>
      </w:r>
      <w:r>
        <w:rPr/>
        <w:t>智能云平台及解决方案、</w:t>
      </w:r>
      <w:r>
        <w:rPr>
          <w:rFonts w:ascii="宋体" w:hAnsi="宋体" w:cs="宋体" w:eastAsia="宋体" w:hint="default"/>
        </w:rPr>
        <w:t>Welink</w:t>
      </w:r>
      <w:r>
        <w:rPr>
          <w:rFonts w:ascii="宋体" w:hAnsi="宋体" w:cs="宋体" w:eastAsia="宋体" w:hint="default"/>
          <w:spacing w:val="-56"/>
        </w:rPr>
        <w:t> </w:t>
      </w:r>
      <w:r>
        <w:rPr/>
        <w:t>轻车联网方案、智能网联操作系统及解决方案、</w:t>
      </w:r>
      <w:r>
        <w:rPr>
          <w:rFonts w:ascii="宋体" w:hAnsi="宋体" w:cs="宋体" w:eastAsia="宋体" w:hint="default"/>
        </w:rPr>
        <w:t>Call-</w:t>
      </w:r>
      <w:r>
        <w:rPr>
          <w:rFonts w:ascii="宋体" w:hAnsi="宋体" w:cs="宋体" w:eastAsia="宋体" w:hint="default"/>
          <w:w w:val="100"/>
        </w:rPr>
        <w:t> </w:t>
      </w:r>
      <w:r>
        <w:rPr>
          <w:rFonts w:ascii="宋体" w:hAnsi="宋体" w:cs="宋体" w:eastAsia="宋体" w:hint="default"/>
        </w:rPr>
        <w:t>Center</w:t>
      </w:r>
      <w:r>
        <w:rPr>
          <w:rFonts w:ascii="宋体" w:hAnsi="宋体" w:cs="宋体" w:eastAsia="宋体" w:hint="default"/>
          <w:spacing w:val="-57"/>
        </w:rPr>
        <w:t> </w:t>
      </w:r>
      <w:r>
        <w:rPr/>
        <w:t>系统及云服务、</w:t>
      </w:r>
      <w:r>
        <w:rPr>
          <w:rFonts w:ascii="宋体" w:hAnsi="宋体" w:cs="宋体" w:eastAsia="宋体" w:hint="default"/>
        </w:rPr>
        <w:t>CP/SP</w:t>
      </w:r>
      <w:r>
        <w:rPr>
          <w:rFonts w:ascii="宋体" w:hAnsi="宋体" w:cs="宋体" w:eastAsia="宋体" w:hint="default"/>
          <w:spacing w:val="-57"/>
        </w:rPr>
        <w:t> </w:t>
      </w:r>
      <w:r>
        <w:rPr/>
        <w:t>信息聚合服务、前后装车机及车载智能硬件产品及服务、人工智能语音解</w:t>
      </w:r>
      <w:r>
        <w:rPr>
          <w:w w:val="100"/>
        </w:rPr>
        <w:t> </w:t>
      </w:r>
      <w:r>
        <w:rPr>
          <w:spacing w:val="-2"/>
        </w:rPr>
        <w:t>决方案、大数据平台及应用方案、新能源汽车智能出行解决方案等。乘用车车联网业务主要由公司参股</w:t>
      </w:r>
      <w:r>
        <w:rPr>
          <w:spacing w:val="-21"/>
        </w:rPr>
        <w:t> </w:t>
      </w:r>
      <w:r>
        <w:rPr>
          <w:spacing w:val="-21"/>
        </w:rPr>
      </w:r>
      <w:r>
        <w:rPr>
          <w:spacing w:val="-2"/>
        </w:rPr>
        <w:t>公司四维智联承担，四维智联基于多年的技术积累和产业布局，不断吸引腾讯基金、蔚来资本、尚珹资</w:t>
      </w:r>
      <w:r>
        <w:rPr>
          <w:spacing w:val="-21"/>
        </w:rPr>
        <w:t> </w:t>
      </w:r>
      <w:r>
        <w:rPr>
          <w:spacing w:val="-21"/>
        </w:rPr>
      </w:r>
      <w:r>
        <w:rPr>
          <w:spacing w:val="-2"/>
        </w:rPr>
        <w:t>本、博世集团等战略投资者和股东，共同打造可面向未来的新型车联网智能产品及软硬件一体化、定制</w:t>
      </w:r>
      <w:r>
        <w:rPr>
          <w:spacing w:val="-21"/>
        </w:rPr>
        <w:t> </w:t>
      </w:r>
      <w:r>
        <w:rPr>
          <w:spacing w:val="-21"/>
        </w:rPr>
      </w:r>
      <w:r>
        <w:rPr/>
        <w:t>化服务能力。报告期内，前装车载智能终端硬件及云端一体化解决方案落地多个</w:t>
      </w:r>
      <w:r>
        <w:rPr>
          <w:spacing w:val="-56"/>
        </w:rPr>
        <w:t> </w:t>
      </w:r>
      <w:r>
        <w:rPr>
          <w:rFonts w:ascii="宋体" w:hAnsi="宋体" w:cs="宋体" w:eastAsia="宋体" w:hint="default"/>
        </w:rPr>
        <w:t>OEM</w:t>
      </w:r>
      <w:r>
        <w:rPr>
          <w:rFonts w:ascii="宋体" w:hAnsi="宋体" w:cs="宋体" w:eastAsia="宋体" w:hint="default"/>
          <w:spacing w:val="-57"/>
        </w:rPr>
        <w:t> </w:t>
      </w:r>
      <w:r>
        <w:rPr/>
        <w:t>合作项目，</w:t>
      </w:r>
      <w:r>
        <w:rPr>
          <w:rFonts w:ascii="宋体" w:hAnsi="宋体" w:cs="宋体" w:eastAsia="宋体" w:hint="default"/>
        </w:rPr>
        <w:t>WeLink</w:t>
      </w:r>
      <w:r>
        <w:rPr>
          <w:rFonts w:ascii="宋体" w:hAnsi="宋体" w:cs="宋体" w:eastAsia="宋体" w:hint="default"/>
          <w:w w:val="100"/>
        </w:rPr>
        <w:t> </w:t>
      </w:r>
      <w:r>
        <w:rPr/>
        <w:t>轻车联网解决方案市场覆盖率持续提升，车载操作系统雅典娜落地前装合作项目。后装智能硬件产品</w:t>
      </w:r>
      <w:r>
        <w:rPr>
          <w:w w:val="100"/>
        </w:rPr>
        <w:t> </w:t>
      </w:r>
      <w:r>
        <w:rPr/>
        <w:t>“抖</w:t>
      </w:r>
      <w:r>
        <w:rPr>
          <w:spacing w:val="-54"/>
        </w:rPr>
        <w:t> </w:t>
      </w:r>
      <w:r>
        <w:rPr>
          <w:rFonts w:ascii="宋体" w:hAnsi="宋体" w:cs="宋体" w:eastAsia="宋体" w:hint="default"/>
        </w:rPr>
        <w:t>8</w:t>
      </w:r>
      <w:r>
        <w:rPr>
          <w:rFonts w:ascii="宋体" w:hAnsi="宋体" w:cs="宋体" w:eastAsia="宋体" w:hint="default"/>
          <w:spacing w:val="-57"/>
        </w:rPr>
        <w:t> </w:t>
      </w:r>
      <w:r>
        <w:rPr/>
        <w:t>音乐车机”正式发售。通过参股广东为辰信息科技有限公司实现了在智能网联安全领域的能力拓</w:t>
      </w:r>
      <w:r>
        <w:rPr>
          <w:w w:val="100"/>
        </w:rPr>
        <w:t> </w:t>
      </w:r>
      <w:r>
        <w:rPr/>
        <w:t>展。</w:t>
      </w:r>
      <w:r>
        <w:rPr>
          <w:rFonts w:ascii="宋体" w:hAnsi="宋体" w:cs="宋体" w:eastAsia="宋体" w:hint="default"/>
        </w:rPr>
        <w:t> </w:t>
      </w:r>
    </w:p>
    <w:p>
      <w:pPr>
        <w:pStyle w:val="Heading5"/>
        <w:spacing w:line="408" w:lineRule="auto"/>
        <w:ind w:right="1126"/>
        <w:jc w:val="both"/>
        <w:rPr>
          <w:rFonts w:ascii="宋体" w:hAnsi="宋体" w:cs="宋体" w:eastAsia="宋体" w:hint="default"/>
        </w:rPr>
      </w:pPr>
      <w:r>
        <w:rPr>
          <w:spacing w:val="-2"/>
        </w:rPr>
        <w:t>公司的新能源汽车充电服务主要是指面向终端用户、汽车厂商、物流车队及出行服务商等提供新能源</w:t>
      </w:r>
      <w:r>
        <w:rPr>
          <w:w w:val="100"/>
        </w:rPr>
        <w:t> </w:t>
      </w:r>
      <w:r>
        <w:rPr/>
        <w:t>汽车充电聚合服务平台、</w:t>
      </w:r>
      <w:r>
        <w:rPr>
          <w:rFonts w:ascii="宋体" w:hAnsi="宋体" w:cs="宋体" w:eastAsia="宋体" w:hint="default"/>
        </w:rPr>
        <w:t>CPO</w:t>
      </w:r>
      <w:r>
        <w:rPr>
          <w:rFonts w:ascii="宋体" w:hAnsi="宋体" w:cs="宋体" w:eastAsia="宋体" w:hint="default"/>
          <w:spacing w:val="-31"/>
        </w:rPr>
        <w:t> </w:t>
      </w:r>
      <w:r>
        <w:rPr/>
        <w:t>运营及终端硬件产品。报告期内，公司为加速推进新能源汽车充电服务的商</w:t>
      </w:r>
      <w:r>
        <w:rPr>
          <w:w w:val="100"/>
        </w:rPr>
        <w:t> </w:t>
      </w:r>
      <w:r>
        <w:rPr/>
        <w:t>业化进程，成立北京满电出行科技有限公司。</w:t>
      </w:r>
      <w:r>
        <w:rPr>
          <w:rFonts w:ascii="宋体" w:hAnsi="宋体" w:cs="宋体" w:eastAsia="宋体" w:hint="default"/>
        </w:rPr>
        <w:t> </w:t>
      </w:r>
    </w:p>
    <w:p>
      <w:pPr>
        <w:spacing w:after="0" w:line="408" w:lineRule="auto"/>
        <w:jc w:val="both"/>
        <w:rPr>
          <w:rFonts w:ascii="宋体" w:hAnsi="宋体" w:cs="宋体" w:eastAsia="宋体" w:hint="default"/>
        </w:rPr>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Heading5"/>
        <w:spacing w:line="468" w:lineRule="exact"/>
        <w:ind w:right="1153" w:firstLine="422"/>
        <w:jc w:val="left"/>
        <w:rPr>
          <w:rFonts w:ascii="宋体" w:hAnsi="宋体" w:cs="宋体" w:eastAsia="宋体" w:hint="default"/>
        </w:rPr>
      </w:pPr>
      <w:r>
        <w:rPr>
          <w:rFonts w:ascii="Microsoft JhengHei" w:hAnsi="Microsoft JhengHei" w:cs="Microsoft JhengHei" w:eastAsia="Microsoft JhengHei" w:hint="default"/>
          <w:b/>
          <w:bCs/>
        </w:rPr>
        <w:t>商用车车联网产品及服务，</w:t>
      </w:r>
      <w:r>
        <w:rPr/>
        <w:t>主要是面向人与物移动出行领域，针对商用车全生命周期核心场景中节</w:t>
      </w:r>
      <w:r>
        <w:rPr>
          <w:w w:val="100"/>
        </w:rPr>
        <w:t> </w:t>
      </w:r>
      <w:r>
        <w:rPr/>
        <w:t>能、安全、降损等行业痛点，以商用车智能网联化为切入点，基于人、车、路、货等多元数据融合，运</w:t>
      </w:r>
      <w:r>
        <w:rPr>
          <w:w w:val="100"/>
        </w:rPr>
        <w:t> </w:t>
      </w:r>
      <w:r>
        <w:rPr/>
        <w:t>用大数据及</w:t>
      </w:r>
      <w:r>
        <w:rPr>
          <w:spacing w:val="-55"/>
        </w:rPr>
        <w:t> </w:t>
      </w:r>
      <w:r>
        <w:rPr>
          <w:rFonts w:ascii="宋体" w:hAnsi="宋体" w:cs="宋体" w:eastAsia="宋体" w:hint="default"/>
        </w:rPr>
        <w:t>AI</w:t>
      </w:r>
      <w:r>
        <w:rPr>
          <w:rFonts w:ascii="宋体" w:hAnsi="宋体" w:cs="宋体" w:eastAsia="宋体" w:hint="default"/>
          <w:spacing w:val="-58"/>
        </w:rPr>
        <w:t> </w:t>
      </w:r>
      <w:r>
        <w:rPr/>
        <w:t>技术推出的赋能行业的科技产品。公司专注于科技赋能主机厂、车辆后市场服务提供商、</w:t>
      </w:r>
      <w:r>
        <w:rPr>
          <w:w w:val="100"/>
        </w:rPr>
        <w:t> </w:t>
      </w:r>
      <w:r>
        <w:rPr/>
        <w:t>车主司机、车队、物流公司、物流行业服务平台、金融保险、网络货运平台等交通物流产业链上下游企</w:t>
      </w:r>
      <w:r>
        <w:rPr>
          <w:w w:val="100"/>
        </w:rPr>
        <w:t> </w:t>
      </w:r>
      <w:r>
        <w:rPr/>
        <w:t>业，打造共享出行时代的“智能运力大脑”，推动全产业集约化、智能化及数字化升级。截止</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w w:val="100"/>
        </w:rPr>
        <w:t> </w:t>
      </w:r>
      <w:r>
        <w:rPr/>
        <w:t>月底，公司已完成商用车车联网及大数据平台建设阶段的初步目标，为下一步建设商用车智能化能力平</w:t>
      </w:r>
      <w:r>
        <w:rPr>
          <w:w w:val="100"/>
        </w:rPr>
        <w:t> </w:t>
      </w:r>
      <w:r>
        <w:rPr/>
        <w:t>台奠定基础。</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4"/>
        <w:spacing w:line="335" w:lineRule="exact"/>
        <w:ind w:right="0"/>
        <w:jc w:val="both"/>
        <w:rPr>
          <w:rFonts w:ascii="Arial" w:hAnsi="Arial" w:cs="Arial" w:eastAsia="Arial" w:hint="default"/>
          <w:b w:val="0"/>
          <w:bCs w:val="0"/>
        </w:rPr>
      </w:pPr>
      <w:r>
        <w:rPr/>
        <w:t>（二）报告期内公司主要业务所属行业的发展概况</w:t>
      </w:r>
      <w:r>
        <w:rPr>
          <w:rFonts w:ascii="Arial" w:hAnsi="Arial" w:cs="Arial" w:eastAsia="Arial" w:hint="default"/>
          <w:w w:val="180"/>
        </w:rPr>
        <w:t> </w:t>
      </w:r>
      <w:r>
        <w:rPr>
          <w:rFonts w:ascii="Arial" w:hAnsi="Arial" w:cs="Arial" w:eastAsia="Arial" w:hint="default"/>
          <w:b w:val="0"/>
          <w:bCs w:val="0"/>
        </w:rPr>
      </w:r>
    </w:p>
    <w:p>
      <w:pPr>
        <w:spacing w:line="350" w:lineRule="auto" w:before="143"/>
        <w:ind w:left="573" w:right="0" w:firstLine="2"/>
        <w:jc w:val="left"/>
        <w:rPr>
          <w:rFonts w:ascii="宋体" w:hAnsi="宋体" w:cs="宋体" w:eastAsia="宋体"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、导航电子地图及导航服务行业的发展阶段、周期性特点及公司所处的行业地位</w:t>
      </w:r>
      <w:r>
        <w:rPr>
          <w:rFonts w:ascii="Microsoft JhengHei" w:hAnsi="Microsoft JhengHei" w:cs="Microsoft JhengHei" w:eastAsia="Microsoft JhengHei" w:hint="default"/>
          <w:b/>
          <w:bCs/>
          <w:spacing w:val="-42"/>
          <w:sz w:val="21"/>
          <w:szCs w:val="21"/>
        </w:rPr>
        <w:t> </w:t>
      </w:r>
      <w:r>
        <w:rPr>
          <w:rFonts w:ascii="Arial" w:hAnsi="Arial" w:cs="Arial" w:eastAsia="Arial" w:hint="default"/>
          <w:b/>
          <w:bCs/>
          <w:spacing w:val="-42"/>
          <w:sz w:val="21"/>
          <w:szCs w:val="21"/>
        </w:rPr>
      </w:r>
      <w:r>
        <w:rPr>
          <w:rFonts w:ascii="宋体" w:hAnsi="宋体" w:cs="宋体" w:eastAsia="宋体" w:hint="default"/>
          <w:spacing w:val="-2"/>
          <w:sz w:val="21"/>
          <w:szCs w:val="21"/>
        </w:rPr>
        <w:t>伴随汽车产业“四化”转型加速，产业核心价值逐渐向数据、芯片、车载系统、电池等领域转移，</w:t>
      </w:r>
    </w:p>
    <w:p>
      <w:pPr>
        <w:pStyle w:val="Heading5"/>
        <w:spacing w:line="408" w:lineRule="auto" w:before="96"/>
        <w:ind w:right="1314" w:firstLine="0"/>
        <w:jc w:val="both"/>
        <w:rPr>
          <w:rFonts w:ascii="宋体" w:hAnsi="宋体" w:cs="宋体" w:eastAsia="宋体" w:hint="default"/>
        </w:rPr>
      </w:pPr>
      <w:r>
        <w:rPr>
          <w:spacing w:val="-2"/>
        </w:rPr>
        <w:t>基于主干路网动态信息选择合理出行路径、基于位置大数据提升车辆联网驾乘体验和行车安全、基于剩</w:t>
      </w:r>
      <w:r>
        <w:rPr>
          <w:spacing w:val="-21"/>
        </w:rPr>
        <w:t> </w:t>
      </w:r>
      <w:r>
        <w:rPr>
          <w:spacing w:val="-21"/>
        </w:rPr>
      </w:r>
      <w:r>
        <w:rPr>
          <w:spacing w:val="-2"/>
        </w:rPr>
        <w:t>余电量及路况信息规划新能源汽车充电策略等市场需求日益凸显，基于高精度地图的强地图模式正在成</w:t>
      </w:r>
      <w:r>
        <w:rPr>
          <w:spacing w:val="-21"/>
        </w:rPr>
        <w:t> </w:t>
      </w:r>
      <w:r>
        <w:rPr>
          <w:spacing w:val="-21"/>
        </w:rPr>
      </w:r>
      <w:r>
        <w:rPr>
          <w:spacing w:val="-2"/>
        </w:rPr>
        <w:t>为自动驾驶厂商的主流技术方向，具有车规级导航电子地图数据生产资质以及产品服务能力能够满足市</w:t>
      </w:r>
      <w:r>
        <w:rPr>
          <w:spacing w:val="-21"/>
        </w:rPr>
        <w:t> </w:t>
      </w:r>
      <w:r>
        <w:rPr>
          <w:spacing w:val="-21"/>
        </w:rPr>
      </w:r>
      <w:r>
        <w:rPr/>
        <w:t>场发展需求的企业成为市场关注焦点。</w:t>
      </w:r>
      <w:r>
        <w:rPr>
          <w:rFonts w:ascii="宋体" w:hAnsi="宋体" w:cs="宋体" w:eastAsia="宋体" w:hint="default"/>
        </w:rPr>
        <w:t> </w:t>
      </w:r>
    </w:p>
    <w:p>
      <w:pPr>
        <w:pStyle w:val="Heading5"/>
        <w:spacing w:line="408" w:lineRule="auto"/>
        <w:ind w:right="1314"/>
        <w:jc w:val="both"/>
        <w:rPr>
          <w:rFonts w:ascii="宋体" w:hAnsi="宋体" w:cs="宋体" w:eastAsia="宋体" w:hint="default"/>
        </w:rPr>
      </w:pPr>
      <w:r>
        <w:rPr>
          <w:spacing w:val="-2"/>
        </w:rPr>
        <w:t>随着导航电子地图在自动驾驶、移动</w:t>
      </w:r>
      <w:r>
        <w:rPr>
          <w:rFonts w:ascii="宋体" w:hAnsi="宋体" w:cs="宋体" w:eastAsia="宋体" w:hint="default"/>
          <w:spacing w:val="-2"/>
        </w:rPr>
        <w:t>/</w:t>
      </w:r>
      <w:r>
        <w:rPr>
          <w:spacing w:val="-2"/>
        </w:rPr>
        <w:t>共享出行、智能交通、新电商</w:t>
      </w:r>
      <w:r>
        <w:rPr>
          <w:rFonts w:ascii="宋体" w:hAnsi="宋体" w:cs="宋体" w:eastAsia="宋体" w:hint="default"/>
          <w:spacing w:val="-2"/>
        </w:rPr>
        <w:t>/</w:t>
      </w:r>
      <w:r>
        <w:rPr>
          <w:spacing w:val="-2"/>
        </w:rPr>
        <w:t>物流、新能源汽车等领域的发</w:t>
      </w:r>
      <w:r>
        <w:rPr>
          <w:w w:val="100"/>
        </w:rPr>
        <w:t> </w:t>
      </w:r>
      <w:r>
        <w:rPr>
          <w:spacing w:val="-2"/>
        </w:rPr>
        <w:t>展空间日益拓展，传统导航电子地图产品能力及服务形态加速向车道级高精度、高精细化、可满足云端</w:t>
      </w:r>
      <w:r>
        <w:rPr>
          <w:spacing w:val="-21"/>
        </w:rPr>
        <w:t> </w:t>
      </w:r>
      <w:r>
        <w:rPr>
          <w:spacing w:val="-21"/>
        </w:rPr>
      </w:r>
      <w:r>
        <w:rPr>
          <w:spacing w:val="-2"/>
        </w:rPr>
        <w:t>在线实时调用、可快速更新等方向进行演进和升级，导航服务应用终端从前后装导航车机、智能手机向</w:t>
      </w:r>
      <w:r>
        <w:rPr>
          <w:spacing w:val="-21"/>
        </w:rPr>
        <w:t> </w:t>
      </w:r>
      <w:r>
        <w:rPr>
          <w:spacing w:val="-21"/>
        </w:rPr>
      </w:r>
      <w:r>
        <w:rPr>
          <w:spacing w:val="-2"/>
        </w:rPr>
        <w:t>智能座舱以及更多类型车载智能硬件领域拓展，基于导航电子地图数据的应用场景也正在从围绕车辆出</w:t>
      </w:r>
      <w:r>
        <w:rPr>
          <w:spacing w:val="-21"/>
        </w:rPr>
        <w:t> </w:t>
      </w:r>
      <w:r>
        <w:rPr>
          <w:spacing w:val="-21"/>
        </w:rPr>
      </w:r>
      <w:r>
        <w:rPr/>
        <w:t>行逐步向智慧城市新基建建设及智慧化管理等领域延伸。</w:t>
      </w:r>
      <w:r>
        <w:rPr>
          <w:rFonts w:ascii="宋体" w:hAnsi="宋体" w:cs="宋体" w:eastAsia="宋体" w:hint="default"/>
        </w:rPr>
        <w:t> </w:t>
      </w:r>
    </w:p>
    <w:p>
      <w:pPr>
        <w:pStyle w:val="Heading5"/>
        <w:spacing w:line="408" w:lineRule="auto"/>
        <w:ind w:right="0"/>
        <w:jc w:val="left"/>
        <w:rPr>
          <w:rFonts w:ascii="宋体" w:hAnsi="宋体" w:cs="宋体" w:eastAsia="宋体" w:hint="default"/>
        </w:rPr>
      </w:pPr>
      <w:r>
        <w:rPr>
          <w:spacing w:val="-2"/>
        </w:rPr>
        <w:t>公司凭借前瞻性的市场布局、优质的产品品质保证、符合市场发展趋势的产品创新能力、可以同时</w:t>
      </w:r>
      <w:r>
        <w:rPr>
          <w:w w:val="100"/>
        </w:rPr>
        <w:t> </w:t>
      </w:r>
      <w:r>
        <w:rPr/>
        <w:t>服务车厂客户和互联网客户的技术和服务能力，连续十多年领航中国前装车载导航市场发展的市场地</w:t>
      </w:r>
      <w:r>
        <w:rPr>
          <w:w w:val="100"/>
        </w:rPr>
        <w:t> </w:t>
      </w:r>
      <w:r>
        <w:rPr>
          <w:spacing w:val="-2"/>
        </w:rPr>
        <w:t>位，并始终是国内外主流车厂、新一代整车企业以及腾讯、滴滴、搜狗、华为、微软等国内外高科技企</w:t>
      </w:r>
      <w:r>
        <w:rPr>
          <w:spacing w:val="-20"/>
        </w:rPr>
        <w:t> </w:t>
      </w:r>
      <w:r>
        <w:rPr>
          <w:spacing w:val="-20"/>
        </w:rPr>
      </w:r>
      <w:r>
        <w:rPr>
          <w:spacing w:val="-2"/>
        </w:rPr>
        <w:t>业在导航领域共同发展与合作的重要合作伙伴。面向自动驾驶产业发展及国家智慧城市建设需求，公司</w:t>
      </w:r>
      <w:r>
        <w:rPr>
          <w:spacing w:val="-21"/>
        </w:rPr>
        <w:t> </w:t>
      </w:r>
      <w:r>
        <w:rPr>
          <w:spacing w:val="-21"/>
        </w:rPr>
      </w:r>
      <w:r>
        <w:rPr>
          <w:spacing w:val="-2"/>
        </w:rPr>
        <w:t>不断加强基础数据底层能力建设，积极拓展导航电子地图产品及服务可面向未来的发展空间，引领行业</w:t>
      </w:r>
      <w:r>
        <w:rPr>
          <w:spacing w:val="-21"/>
        </w:rPr>
        <w:t> </w:t>
      </w:r>
      <w:r>
        <w:rPr>
          <w:spacing w:val="-21"/>
        </w:rPr>
      </w:r>
      <w:r>
        <w:rPr/>
        <w:t>未来发展方向。</w:t>
      </w:r>
      <w:r>
        <w:rPr>
          <w:rFonts w:ascii="宋体" w:hAnsi="宋体" w:cs="宋体" w:eastAsia="宋体" w:hint="default"/>
        </w:rPr>
        <w:t> </w:t>
      </w:r>
    </w:p>
    <w:p>
      <w:pPr>
        <w:pStyle w:val="Heading4"/>
        <w:spacing w:line="345" w:lineRule="exact"/>
        <w:ind w:left="575" w:right="0"/>
        <w:jc w:val="left"/>
        <w:rPr>
          <w:rFonts w:ascii="Arial" w:hAnsi="Arial" w:cs="Arial" w:eastAsia="Arial" w:hint="default"/>
          <w:b w:val="0"/>
          <w:bCs w:val="0"/>
        </w:rPr>
      </w:pPr>
      <w:r>
        <w:rPr>
          <w:rFonts w:ascii="Arial" w:hAnsi="Arial" w:cs="Arial" w:eastAsia="Arial" w:hint="default"/>
        </w:rPr>
        <w:t>2</w:t>
      </w:r>
      <w:r>
        <w:rPr/>
        <w:t>、高级辅助驾驶及自动驾驶行业的发展阶段、周期性特点及公司所处的行业地位</w:t>
      </w:r>
      <w:r>
        <w:rPr>
          <w:rFonts w:ascii="Arial" w:hAnsi="Arial" w:cs="Arial" w:eastAsia="Arial" w:hint="default"/>
          <w:w w:val="180"/>
        </w:rPr>
        <w:t> </w:t>
      </w:r>
      <w:r>
        <w:rPr>
          <w:rFonts w:ascii="Arial" w:hAnsi="Arial" w:cs="Arial" w:eastAsia="Arial" w:hint="default"/>
          <w:b w:val="0"/>
          <w:bCs w:val="0"/>
        </w:rPr>
      </w:r>
    </w:p>
    <w:p>
      <w:pPr>
        <w:pStyle w:val="Heading5"/>
        <w:spacing w:line="408" w:lineRule="auto" w:before="169"/>
        <w:ind w:right="1155"/>
        <w:jc w:val="left"/>
      </w:pPr>
      <w:r>
        <w:rPr/>
        <w:t>报告期内，不同领域的高级辅助驾驶及自动驾驶呈现不同的周期性特点。</w:t>
      </w:r>
      <w:r>
        <w:rPr>
          <w:rFonts w:ascii="宋体" w:hAnsi="宋体" w:cs="宋体" w:eastAsia="宋体" w:hint="default"/>
        </w:rPr>
        <w:t>L2</w:t>
      </w:r>
      <w:r>
        <w:rPr>
          <w:rFonts w:ascii="宋体" w:hAnsi="宋体" w:cs="宋体" w:eastAsia="宋体" w:hint="default"/>
          <w:spacing w:val="-56"/>
        </w:rPr>
        <w:t> </w:t>
      </w:r>
      <w:r>
        <w:rPr/>
        <w:t>级及</w:t>
      </w:r>
      <w:r>
        <w:rPr>
          <w:spacing w:val="-54"/>
        </w:rPr>
        <w:t> </w:t>
      </w:r>
      <w:r>
        <w:rPr>
          <w:rFonts w:ascii="宋体" w:hAnsi="宋体" w:cs="宋体" w:eastAsia="宋体" w:hint="default"/>
        </w:rPr>
        <w:t>L2.5</w:t>
      </w:r>
      <w:r>
        <w:rPr>
          <w:rFonts w:ascii="宋体" w:hAnsi="宋体" w:cs="宋体" w:eastAsia="宋体" w:hint="default"/>
          <w:spacing w:val="-56"/>
        </w:rPr>
        <w:t> </w:t>
      </w:r>
      <w:r>
        <w:rPr/>
        <w:t>级自动驾驶产</w:t>
      </w:r>
      <w:r>
        <w:rPr>
          <w:w w:val="100"/>
        </w:rPr>
        <w:t> </w:t>
      </w:r>
      <w:r>
        <w:rPr/>
        <w:t>品大规模走向量产，并向中低端市场加速下沉，本土配套企业在软硬件领域迅速成长，商业化能力大幅</w:t>
      </w:r>
    </w:p>
    <w:p>
      <w:pPr>
        <w:spacing w:after="0" w:line="408"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Heading5"/>
        <w:spacing w:line="408" w:lineRule="auto" w:before="176"/>
        <w:ind w:right="1312" w:firstLine="0"/>
        <w:jc w:val="left"/>
        <w:rPr>
          <w:rFonts w:ascii="宋体" w:hAnsi="宋体" w:cs="宋体" w:eastAsia="宋体" w:hint="default"/>
        </w:rPr>
      </w:pPr>
      <w:r>
        <w:rPr/>
        <w:t>增强。根据中国汽车工业信息网和信息咨询中心统计，截至</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月中旬，已有</w:t>
      </w:r>
      <w:r>
        <w:rPr>
          <w:spacing w:val="-53"/>
        </w:rPr>
        <w:t> </w:t>
      </w:r>
      <w:r>
        <w:rPr>
          <w:rFonts w:ascii="宋体" w:hAnsi="宋体" w:cs="宋体" w:eastAsia="宋体" w:hint="default"/>
        </w:rPr>
        <w:t>64</w:t>
      </w:r>
      <w:r>
        <w:rPr>
          <w:rFonts w:ascii="宋体" w:hAnsi="宋体" w:cs="宋体" w:eastAsia="宋体" w:hint="default"/>
          <w:spacing w:val="-52"/>
        </w:rPr>
        <w:t> </w:t>
      </w:r>
      <w:r>
        <w:rPr/>
        <w:t>款</w:t>
      </w:r>
      <w:r>
        <w:rPr>
          <w:spacing w:val="-55"/>
        </w:rPr>
        <w:t> </w:t>
      </w:r>
      <w:r>
        <w:rPr>
          <w:rFonts w:ascii="宋体" w:hAnsi="宋体" w:cs="宋体" w:eastAsia="宋体" w:hint="default"/>
        </w:rPr>
        <w:t>L2</w:t>
      </w:r>
      <w:r>
        <w:rPr>
          <w:rFonts w:ascii="宋体" w:hAnsi="宋体" w:cs="宋体" w:eastAsia="宋体" w:hint="default"/>
          <w:spacing w:val="-53"/>
        </w:rPr>
        <w:t> </w:t>
      </w:r>
      <w:r>
        <w:rPr/>
        <w:t>级别自动</w:t>
      </w:r>
      <w:r>
        <w:rPr>
          <w:w w:val="100"/>
        </w:rPr>
        <w:t> </w:t>
      </w:r>
      <w:r>
        <w:rPr/>
        <w:t>驾驶产品投放市场，</w:t>
      </w:r>
      <w:r>
        <w:rPr>
          <w:rFonts w:ascii="宋体" w:hAnsi="宋体" w:cs="宋体" w:eastAsia="宋体" w:hint="default"/>
        </w:rPr>
        <w:t>2019</w:t>
      </w:r>
      <w:r>
        <w:rPr>
          <w:rFonts w:ascii="宋体" w:hAnsi="宋体" w:cs="宋体" w:eastAsia="宋体" w:hint="default"/>
          <w:spacing w:val="-57"/>
        </w:rPr>
        <w:t> </w:t>
      </w:r>
      <w:r>
        <w:rPr/>
        <w:t>年投放车型占比达到</w:t>
      </w:r>
      <w:r>
        <w:rPr>
          <w:spacing w:val="-54"/>
        </w:rPr>
        <w:t> </w:t>
      </w:r>
      <w:r>
        <w:rPr>
          <w:rFonts w:ascii="宋体" w:hAnsi="宋体" w:cs="宋体" w:eastAsia="宋体" w:hint="default"/>
        </w:rPr>
        <w:t>78%</w:t>
      </w:r>
      <w:r>
        <w:rPr/>
        <w:t>。</w:t>
      </w:r>
      <w:r>
        <w:rPr>
          <w:rFonts w:ascii="宋体" w:hAnsi="宋体" w:cs="宋体" w:eastAsia="宋体" w:hint="default"/>
        </w:rPr>
        <w:t> </w:t>
      </w:r>
    </w:p>
    <w:p>
      <w:pPr>
        <w:pStyle w:val="Heading5"/>
        <w:spacing w:line="408" w:lineRule="auto"/>
        <w:ind w:right="0"/>
        <w:jc w:val="left"/>
        <w:rPr>
          <w:rFonts w:ascii="宋体" w:hAnsi="宋体" w:cs="宋体" w:eastAsia="宋体" w:hint="default"/>
        </w:rPr>
      </w:pPr>
      <w:r>
        <w:rPr/>
        <w:t>在高等级自动驾驶领域，因为前期研发投入大、技术难度高，</w:t>
      </w:r>
      <w:r>
        <w:rPr>
          <w:rFonts w:ascii="宋体" w:hAnsi="宋体" w:cs="宋体" w:eastAsia="宋体" w:hint="default"/>
        </w:rPr>
        <w:t>L3</w:t>
      </w:r>
      <w:r>
        <w:rPr>
          <w:rFonts w:ascii="宋体" w:hAnsi="宋体" w:cs="宋体" w:eastAsia="宋体" w:hint="default"/>
          <w:spacing w:val="-58"/>
        </w:rPr>
        <w:t> </w:t>
      </w:r>
      <w:r>
        <w:rPr/>
        <w:t>级及以上自动驾驶汽车商业化进程</w:t>
      </w:r>
      <w:r>
        <w:rPr>
          <w:w w:val="100"/>
        </w:rPr>
        <w:t> </w:t>
      </w:r>
      <w:r>
        <w:rPr/>
        <w:t>缓慢，产业链合作伙伴抱团共同发展渐成常态。现阶段，高等级自动驾驶研发投入及商业化验证主要聚</w:t>
      </w:r>
      <w:r>
        <w:rPr>
          <w:w w:val="100"/>
        </w:rPr>
        <w:t> </w:t>
      </w:r>
      <w:r>
        <w:rPr>
          <w:spacing w:val="-2"/>
        </w:rPr>
        <w:t>集在智慧园区</w:t>
      </w:r>
      <w:r>
        <w:rPr>
          <w:rFonts w:ascii="宋体" w:hAnsi="宋体" w:cs="宋体" w:eastAsia="宋体" w:hint="default"/>
          <w:spacing w:val="-2"/>
        </w:rPr>
        <w:t>/</w:t>
      </w:r>
      <w:r>
        <w:rPr>
          <w:spacing w:val="-2"/>
        </w:rPr>
        <w:t>示范园区、港口、码头、停车场、高速等限定区域应用场景，以及商用车物流、自动泊车</w:t>
      </w:r>
      <w:r>
        <w:rPr>
          <w:spacing w:val="-21"/>
        </w:rPr>
        <w:t> </w:t>
      </w:r>
      <w:r>
        <w:rPr>
          <w:spacing w:val="-21"/>
        </w:rPr>
      </w:r>
      <w:r>
        <w:rPr/>
        <w:t>等细分领域，低成本自动驾驶解决方案以及可弥补真实道路测试验证的自动驾驶仿真测试需求凸显。伴</w:t>
      </w:r>
      <w:r>
        <w:rPr>
          <w:w w:val="100"/>
        </w:rPr>
        <w:t> </w:t>
      </w:r>
      <w:r>
        <w:rPr/>
        <w:t>随汽车产业“四化”转型加速，以及国家频繁发布产业红利政策加速推进围绕智能汽车等新经济生态的</w:t>
      </w:r>
      <w:r>
        <w:rPr>
          <w:w w:val="100"/>
        </w:rPr>
        <w:t> </w:t>
      </w:r>
      <w:r>
        <w:rPr/>
        <w:t>快速发展，自动驾驶载人、载物、高速测试等陆续开放，关键节点及核心领域具备前沿技术验证及整合</w:t>
      </w:r>
      <w:r>
        <w:rPr>
          <w:w w:val="100"/>
        </w:rPr>
        <w:t> </w:t>
      </w:r>
      <w:r>
        <w:rPr/>
        <w:t>服务能力的企业得到资本市场密切关注。</w:t>
      </w:r>
      <w:r>
        <w:rPr>
          <w:rFonts w:ascii="宋体" w:hAnsi="宋体" w:cs="宋体" w:eastAsia="宋体" w:hint="default"/>
        </w:rPr>
        <w:t> </w:t>
      </w:r>
    </w:p>
    <w:p>
      <w:pPr>
        <w:pStyle w:val="Heading5"/>
        <w:spacing w:line="408" w:lineRule="auto"/>
        <w:ind w:right="1160"/>
        <w:jc w:val="left"/>
        <w:rPr>
          <w:rFonts w:ascii="宋体" w:hAnsi="宋体" w:cs="宋体" w:eastAsia="宋体" w:hint="default"/>
        </w:rPr>
      </w:pPr>
      <w:r>
        <w:rPr/>
        <w:t>公司基于智能化测绘技术、传感器网络、高性能计算能力和专业的实时数据处理能力，加速推进高</w:t>
      </w:r>
      <w:r>
        <w:rPr>
          <w:w w:val="100"/>
        </w:rPr>
        <w:t> </w:t>
      </w:r>
      <w:r>
        <w:rPr/>
        <w:t>精度地图数据的商业化验证，基于云端动态融合的自动驾驶地图数据及服务能力可以满足</w:t>
      </w:r>
      <w:r>
        <w:rPr>
          <w:spacing w:val="-53"/>
        </w:rPr>
        <w:t> </w:t>
      </w:r>
      <w:r>
        <w:rPr>
          <w:rFonts w:ascii="宋体" w:hAnsi="宋体" w:cs="宋体" w:eastAsia="宋体" w:hint="default"/>
        </w:rPr>
        <w:t>L2~L4</w:t>
      </w:r>
      <w:r>
        <w:rPr>
          <w:rFonts w:ascii="宋体" w:hAnsi="宋体" w:cs="宋体" w:eastAsia="宋体" w:hint="default"/>
          <w:spacing w:val="-56"/>
        </w:rPr>
        <w:t> </w:t>
      </w:r>
      <w:r>
        <w:rPr/>
        <w:t>不同等</w:t>
      </w:r>
      <w:r>
        <w:rPr>
          <w:w w:val="100"/>
        </w:rPr>
        <w:t> </w:t>
      </w:r>
      <w:r>
        <w:rPr/>
        <w:t>级自动驾驶、</w:t>
      </w:r>
      <w:r>
        <w:rPr>
          <w:rFonts w:ascii="宋体" w:hAnsi="宋体" w:cs="宋体" w:eastAsia="宋体" w:hint="default"/>
        </w:rPr>
        <w:t>5G/C-V2X</w:t>
      </w:r>
      <w:r>
        <w:rPr>
          <w:rFonts w:ascii="宋体" w:hAnsi="宋体" w:cs="宋体" w:eastAsia="宋体" w:hint="default"/>
          <w:spacing w:val="-56"/>
        </w:rPr>
        <w:t> </w:t>
      </w:r>
      <w:r>
        <w:rPr/>
        <w:t>园区、自动驾驶仿真测试等领域的应用需求。截至</w:t>
      </w:r>
      <w:r>
        <w:rPr>
          <w:spacing w:val="-54"/>
        </w:rPr>
        <w:t> </w:t>
      </w:r>
      <w:r>
        <w:rPr>
          <w:rFonts w:ascii="宋体" w:hAnsi="宋体" w:cs="宋体" w:eastAsia="宋体" w:hint="default"/>
        </w:rPr>
        <w:t>2019</w:t>
      </w:r>
      <w:r>
        <w:rPr>
          <w:rFonts w:ascii="宋体" w:hAnsi="宋体" w:cs="宋体" w:eastAsia="宋体" w:hint="default"/>
          <w:spacing w:val="-54"/>
        </w:rPr>
        <w:t> </w:t>
      </w:r>
      <w:r>
        <w:rPr/>
        <w:t>年底，公司</w:t>
      </w:r>
      <w:r>
        <w:rPr>
          <w:spacing w:val="-53"/>
        </w:rPr>
        <w:t> </w:t>
      </w:r>
      <w:r>
        <w:rPr>
          <w:rFonts w:ascii="宋体" w:hAnsi="宋体" w:cs="宋体" w:eastAsia="宋体" w:hint="default"/>
        </w:rPr>
        <w:t>ADAS</w:t>
      </w:r>
      <w:r>
        <w:rPr>
          <w:rFonts w:ascii="宋体" w:hAnsi="宋体" w:cs="宋体" w:eastAsia="宋体" w:hint="default"/>
          <w:spacing w:val="-56"/>
        </w:rPr>
        <w:t> </w:t>
      </w:r>
      <w:r>
        <w:rPr/>
        <w:t>数据实</w:t>
      </w:r>
      <w:r>
        <w:rPr>
          <w:w w:val="100"/>
        </w:rPr>
        <w:t> </w:t>
      </w:r>
      <w:r>
        <w:rPr/>
        <w:t>现全国主干网络数百万公里覆盖，与多个主流车厂客户合作的量产车型陆续上市，基于</w:t>
      </w:r>
      <w:r>
        <w:rPr>
          <w:spacing w:val="-54"/>
        </w:rPr>
        <w:t> </w:t>
      </w:r>
      <w:r>
        <w:rPr>
          <w:rFonts w:ascii="宋体" w:hAnsi="宋体" w:cs="宋体" w:eastAsia="宋体" w:hint="default"/>
        </w:rPr>
        <w:t>ADASIS</w:t>
      </w:r>
      <w:r>
        <w:rPr>
          <w:rFonts w:ascii="宋体" w:hAnsi="宋体" w:cs="宋体" w:eastAsia="宋体" w:hint="default"/>
          <w:spacing w:val="-57"/>
        </w:rPr>
        <w:t> </w:t>
      </w:r>
      <w:r>
        <w:rPr/>
        <w:t>协议开发</w:t>
      </w:r>
      <w:r>
        <w:rPr>
          <w:w w:val="100"/>
        </w:rPr>
        <w:t> </w:t>
      </w:r>
      <w:r>
        <w:rPr/>
        <w:t>的商用车节油应用产品已经落地量产车型并获得多个创新奖项，面向</w:t>
      </w:r>
      <w:r>
        <w:rPr>
          <w:spacing w:val="-56"/>
        </w:rPr>
        <w:t> </w:t>
      </w:r>
      <w:r>
        <w:rPr>
          <w:rFonts w:ascii="宋体" w:hAnsi="宋体" w:cs="宋体" w:eastAsia="宋体" w:hint="default"/>
        </w:rPr>
        <w:t>5G/C-V2X</w:t>
      </w:r>
      <w:r>
        <w:rPr>
          <w:rFonts w:ascii="宋体" w:hAnsi="宋体" w:cs="宋体" w:eastAsia="宋体" w:hint="default"/>
          <w:spacing w:val="-57"/>
        </w:rPr>
        <w:t> </w:t>
      </w:r>
      <w:r>
        <w:rPr/>
        <w:t>领域的应用及服务能力得</w:t>
      </w:r>
      <w:r>
        <w:rPr>
          <w:w w:val="100"/>
        </w:rPr>
        <w:t> </w:t>
      </w:r>
      <w:r>
        <w:rPr/>
        <w:t>到生态伙伴的广泛认可。公司</w:t>
      </w:r>
      <w:r>
        <w:rPr>
          <w:spacing w:val="-55"/>
        </w:rPr>
        <w:t> </w:t>
      </w:r>
      <w:r>
        <w:rPr>
          <w:rFonts w:ascii="宋体" w:hAnsi="宋体" w:cs="宋体" w:eastAsia="宋体" w:hint="default"/>
        </w:rPr>
        <w:t>HD</w:t>
      </w:r>
      <w:r>
        <w:rPr>
          <w:rFonts w:ascii="宋体" w:hAnsi="宋体" w:cs="宋体" w:eastAsia="宋体" w:hint="default"/>
          <w:spacing w:val="-56"/>
        </w:rPr>
        <w:t> </w:t>
      </w:r>
      <w:r>
        <w:rPr/>
        <w:t>地图已完成全国高速道路数据采集和产品发布，获得中国首个乘用车</w:t>
      </w:r>
      <w:r>
        <w:rPr>
          <w:spacing w:val="-58"/>
        </w:rPr>
        <w:t> </w:t>
      </w:r>
      <w:r>
        <w:rPr>
          <w:rFonts w:ascii="宋体" w:hAnsi="宋体" w:cs="宋体" w:eastAsia="宋体" w:hint="default"/>
        </w:rPr>
        <w:t>L3</w:t>
      </w:r>
      <w:r>
        <w:rPr>
          <w:rFonts w:ascii="宋体" w:hAnsi="宋体" w:cs="宋体" w:eastAsia="宋体" w:hint="default"/>
          <w:w w:val="100"/>
        </w:rPr>
        <w:t> </w:t>
      </w:r>
      <w:r>
        <w:rPr/>
        <w:t>级自动驾驶地图量产订单，产品更新及服务能力得到极大提升；面向</w:t>
      </w:r>
      <w:r>
        <w:rPr>
          <w:spacing w:val="-55"/>
        </w:rPr>
        <w:t> </w:t>
      </w:r>
      <w:r>
        <w:rPr>
          <w:rFonts w:ascii="宋体" w:hAnsi="宋体" w:cs="宋体" w:eastAsia="宋体" w:hint="default"/>
        </w:rPr>
        <w:t>L4</w:t>
      </w:r>
      <w:r>
        <w:rPr>
          <w:rFonts w:ascii="宋体" w:hAnsi="宋体" w:cs="宋体" w:eastAsia="宋体" w:hint="default"/>
          <w:spacing w:val="-56"/>
        </w:rPr>
        <w:t> </w:t>
      </w:r>
      <w:r>
        <w:rPr/>
        <w:t>级自动驾驶的城市内高精度地图</w:t>
      </w:r>
      <w:r>
        <w:rPr>
          <w:w w:val="100"/>
        </w:rPr>
        <w:t> </w:t>
      </w:r>
      <w:r>
        <w:rPr/>
        <w:t>数据产品，可以支撑客户及合作伙伴在核心城市道路上进行自动驾驶测试。公司高精度地图采集及验证</w:t>
      </w:r>
      <w:r>
        <w:rPr>
          <w:w w:val="100"/>
        </w:rPr>
        <w:t> </w:t>
      </w:r>
      <w:r>
        <w:rPr>
          <w:spacing w:val="-2"/>
        </w:rPr>
        <w:t>能力，在帮助客户建立本地化的自动驾驶数据存储框架、推动原型车</w:t>
      </w:r>
      <w:r>
        <w:rPr>
          <w:rFonts w:ascii="宋体" w:hAnsi="宋体" w:cs="宋体" w:eastAsia="宋体" w:hint="default"/>
          <w:spacing w:val="-2"/>
        </w:rPr>
        <w:t>\</w:t>
      </w:r>
      <w:r>
        <w:rPr>
          <w:spacing w:val="-2"/>
        </w:rPr>
        <w:t>量产车数据采集及自动驾驶能力验</w:t>
      </w:r>
      <w:r>
        <w:rPr>
          <w:spacing w:val="-22"/>
        </w:rPr>
        <w:t> </w:t>
      </w:r>
      <w:r>
        <w:rPr>
          <w:spacing w:val="-22"/>
        </w:rPr>
      </w:r>
      <w:r>
        <w:rPr/>
        <w:t>证领域得到了国内外</w:t>
      </w:r>
      <w:r>
        <w:rPr>
          <w:spacing w:val="-54"/>
        </w:rPr>
        <w:t> </w:t>
      </w:r>
      <w:r>
        <w:rPr>
          <w:rFonts w:ascii="宋体" w:hAnsi="宋体" w:cs="宋体" w:eastAsia="宋体" w:hint="default"/>
        </w:rPr>
        <w:t>OEM</w:t>
      </w:r>
      <w:r>
        <w:rPr>
          <w:rFonts w:ascii="宋体" w:hAnsi="宋体" w:cs="宋体" w:eastAsia="宋体" w:hint="default"/>
          <w:spacing w:val="-56"/>
        </w:rPr>
        <w:t> </w:t>
      </w:r>
      <w:r>
        <w:rPr/>
        <w:t>及</w:t>
      </w:r>
      <w:r>
        <w:rPr>
          <w:spacing w:val="-54"/>
        </w:rPr>
        <w:t> </w:t>
      </w:r>
      <w:r>
        <w:rPr>
          <w:rFonts w:ascii="宋体" w:hAnsi="宋体" w:cs="宋体" w:eastAsia="宋体" w:hint="default"/>
        </w:rPr>
        <w:t>Tier-1</w:t>
      </w:r>
      <w:r>
        <w:rPr>
          <w:rFonts w:ascii="宋体" w:hAnsi="宋体" w:cs="宋体" w:eastAsia="宋体" w:hint="default"/>
          <w:spacing w:val="-56"/>
        </w:rPr>
        <w:t> </w:t>
      </w:r>
      <w:r>
        <w:rPr/>
        <w:t>的广泛认可。公司基于</w:t>
      </w:r>
      <w:r>
        <w:rPr>
          <w:spacing w:val="-54"/>
        </w:rPr>
        <w:t> </w:t>
      </w:r>
      <w:r>
        <w:rPr>
          <w:rFonts w:ascii="宋体" w:hAnsi="宋体" w:cs="宋体" w:eastAsia="宋体" w:hint="default"/>
        </w:rPr>
        <w:t>RTK</w:t>
      </w:r>
      <w:r>
        <w:rPr>
          <w:rFonts w:ascii="宋体" w:hAnsi="宋体" w:cs="宋体" w:eastAsia="宋体" w:hint="default"/>
          <w:spacing w:val="-56"/>
        </w:rPr>
        <w:t> </w:t>
      </w:r>
      <w:r>
        <w:rPr/>
        <w:t>地基增强系统的高精度定位产品及解决方</w:t>
      </w:r>
      <w:r>
        <w:rPr>
          <w:w w:val="100"/>
        </w:rPr>
        <w:t> </w:t>
      </w:r>
      <w:r>
        <w:rPr/>
        <w:t>案已经具备商业化服务能力，全国</w:t>
      </w:r>
      <w:r>
        <w:rPr>
          <w:spacing w:val="-53"/>
        </w:rPr>
        <w:t> </w:t>
      </w:r>
      <w:r>
        <w:rPr>
          <w:rFonts w:ascii="宋体" w:hAnsi="宋体" w:cs="宋体" w:eastAsia="宋体" w:hint="default"/>
        </w:rPr>
        <w:t>CORS</w:t>
      </w:r>
      <w:r>
        <w:rPr>
          <w:rFonts w:ascii="宋体" w:hAnsi="宋体" w:cs="宋体" w:eastAsia="宋体" w:hint="default"/>
          <w:spacing w:val="-56"/>
        </w:rPr>
        <w:t> </w:t>
      </w:r>
      <w:r>
        <w:rPr/>
        <w:t>基站完成近</w:t>
      </w:r>
      <w:r>
        <w:rPr>
          <w:spacing w:val="-54"/>
        </w:rPr>
        <w:t> </w:t>
      </w:r>
      <w:r>
        <w:rPr>
          <w:rFonts w:ascii="宋体" w:hAnsi="宋体" w:cs="宋体" w:eastAsia="宋体" w:hint="default"/>
        </w:rPr>
        <w:t>2000</w:t>
      </w:r>
      <w:r>
        <w:rPr>
          <w:rFonts w:ascii="宋体" w:hAnsi="宋体" w:cs="宋体" w:eastAsia="宋体" w:hint="default"/>
          <w:spacing w:val="-54"/>
        </w:rPr>
        <w:t> </w:t>
      </w:r>
      <w:r>
        <w:rPr/>
        <w:t>个站点建设及部署，综合解决方案已应用到智</w:t>
      </w:r>
      <w:r>
        <w:rPr>
          <w:w w:val="100"/>
        </w:rPr>
        <w:t> </w:t>
      </w:r>
      <w:r>
        <w:rPr/>
        <w:t>慧港口、自动驾驶等多个领域落地商业化合作项目中。公司基于多源数据融合的高精度定位能力居于行</w:t>
      </w:r>
      <w:r>
        <w:rPr>
          <w:w w:val="100"/>
        </w:rPr>
        <w:t> </w:t>
      </w:r>
      <w:r>
        <w:rPr/>
        <w:t>业领先地位，室内外一体化定位能力持续加强。公司</w:t>
      </w:r>
      <w:r>
        <w:rPr>
          <w:spacing w:val="-55"/>
        </w:rPr>
        <w:t> </w:t>
      </w:r>
      <w:r>
        <w:rPr>
          <w:rFonts w:ascii="宋体" w:hAnsi="宋体" w:cs="宋体" w:eastAsia="宋体" w:hint="default"/>
        </w:rPr>
        <w:t>L3</w:t>
      </w:r>
      <w:r>
        <w:rPr>
          <w:rFonts w:ascii="宋体" w:hAnsi="宋体" w:cs="宋体" w:eastAsia="宋体" w:hint="default"/>
          <w:spacing w:val="-57"/>
        </w:rPr>
        <w:t> </w:t>
      </w:r>
      <w:r>
        <w:rPr/>
        <w:t>级别低成本自动驾驶整体解决方案率先取得北京</w:t>
      </w:r>
      <w:r>
        <w:rPr>
          <w:w w:val="100"/>
        </w:rPr>
        <w:t> </w:t>
      </w:r>
      <w:r>
        <w:rPr/>
        <w:t>自动驾驶路测</w:t>
      </w:r>
      <w:r>
        <w:rPr>
          <w:spacing w:val="-56"/>
        </w:rPr>
        <w:t> </w:t>
      </w:r>
      <w:r>
        <w:rPr>
          <w:rFonts w:ascii="宋体" w:hAnsi="宋体" w:cs="宋体" w:eastAsia="宋体" w:hint="default"/>
        </w:rPr>
        <w:t>T3</w:t>
      </w:r>
      <w:r>
        <w:rPr>
          <w:rFonts w:ascii="宋体" w:hAnsi="宋体" w:cs="宋体" w:eastAsia="宋体" w:hint="default"/>
          <w:spacing w:val="-57"/>
        </w:rPr>
        <w:t> </w:t>
      </w:r>
      <w:r>
        <w:rPr/>
        <w:t>级牌照，标准能力已通过几千公里真实道路测试验证，</w:t>
      </w:r>
      <w:r>
        <w:rPr>
          <w:rFonts w:ascii="宋体" w:hAnsi="宋体" w:cs="宋体" w:eastAsia="宋体" w:hint="default"/>
        </w:rPr>
        <w:t>L4</w:t>
      </w:r>
      <w:r>
        <w:rPr>
          <w:rFonts w:ascii="宋体" w:hAnsi="宋体" w:cs="宋体" w:eastAsia="宋体" w:hint="default"/>
          <w:spacing w:val="-59"/>
        </w:rPr>
        <w:t> </w:t>
      </w:r>
      <w:r>
        <w:rPr/>
        <w:t>级自动驾驶方案已经具备特定</w:t>
      </w:r>
      <w:r>
        <w:rPr>
          <w:spacing w:val="-3"/>
          <w:w w:val="100"/>
        </w:rPr>
        <w:t> </w:t>
      </w:r>
      <w:r>
        <w:rPr/>
        <w:t>场景下的自动代客泊车能力，方案整合及预研能力行业领先。</w:t>
      </w:r>
      <w:r>
        <w:rPr>
          <w:rFonts w:ascii="宋体" w:hAnsi="宋体" w:cs="宋体" w:eastAsia="宋体" w:hint="default"/>
        </w:rPr>
        <w:t> </w:t>
      </w:r>
    </w:p>
    <w:p>
      <w:pPr>
        <w:pStyle w:val="Heading4"/>
        <w:spacing w:line="345" w:lineRule="exact"/>
        <w:ind w:left="575" w:right="0"/>
        <w:jc w:val="left"/>
        <w:rPr>
          <w:rFonts w:ascii="Arial" w:hAnsi="Arial" w:cs="Arial" w:eastAsia="Arial" w:hint="default"/>
          <w:b w:val="0"/>
          <w:bCs w:val="0"/>
        </w:rPr>
      </w:pPr>
      <w:r>
        <w:rPr>
          <w:rFonts w:ascii="Arial" w:hAnsi="Arial" w:cs="Arial" w:eastAsia="Arial" w:hint="default"/>
        </w:rPr>
        <w:t>3</w:t>
      </w:r>
      <w:r>
        <w:rPr/>
        <w:t>、汽车电子芯片行业的发展阶段、周期性特点及公司所处的行业地位</w:t>
      </w:r>
      <w:r>
        <w:rPr>
          <w:rFonts w:ascii="Arial" w:hAnsi="Arial" w:cs="Arial" w:eastAsia="Arial" w:hint="default"/>
          <w:w w:val="180"/>
        </w:rPr>
        <w:t> </w:t>
      </w:r>
      <w:r>
        <w:rPr>
          <w:rFonts w:ascii="Arial" w:hAnsi="Arial" w:cs="Arial" w:eastAsia="Arial" w:hint="default"/>
          <w:b w:val="0"/>
          <w:bCs w:val="0"/>
        </w:rPr>
      </w:r>
    </w:p>
    <w:p>
      <w:pPr>
        <w:pStyle w:val="Heading5"/>
        <w:spacing w:line="408" w:lineRule="auto" w:before="169"/>
        <w:ind w:right="1126"/>
        <w:jc w:val="both"/>
      </w:pPr>
      <w:r>
        <w:rPr>
          <w:spacing w:val="-2"/>
        </w:rPr>
        <w:t>由于相比一般消费类或工业类芯片，汽车电子芯片需要有能力应对更为复杂、恶劣的工况条件，产品</w:t>
      </w:r>
      <w:r>
        <w:rPr>
          <w:w w:val="100"/>
        </w:rPr>
        <w:t> </w:t>
      </w:r>
      <w:r>
        <w:rPr>
          <w:spacing w:val="-2"/>
        </w:rPr>
        <w:t>设计开发、验证测试等难度较大，新产品从开发到量产上车通常需要几年的时间，对汽车芯片企业在人才</w:t>
      </w:r>
      <w:r>
        <w:rPr>
          <w:spacing w:val="-44"/>
        </w:rPr>
        <w:t> </w:t>
      </w:r>
      <w:r>
        <w:rPr>
          <w:spacing w:val="-44"/>
        </w:rPr>
      </w:r>
      <w:r>
        <w:rPr>
          <w:spacing w:val="-2"/>
        </w:rPr>
        <w:t>技术储备、资金积累等方面提出很高要求，当前全球汽车芯片市场主要被恩智浦、英飞凌、瑞萨等全球汽</w:t>
      </w:r>
      <w:r>
        <w:rPr>
          <w:spacing w:val="-47"/>
        </w:rPr>
        <w:t> </w:t>
      </w:r>
      <w:r>
        <w:rPr>
          <w:spacing w:val="-47"/>
        </w:rPr>
      </w:r>
      <w:r>
        <w:rPr>
          <w:spacing w:val="-2"/>
        </w:rPr>
        <w:t>车芯片大厂占据。近年，中美不稳定的贸易关系以及国家对于芯片产业的大力扶持，虽然不断刺激我国汽</w:t>
      </w:r>
      <w:r>
        <w:rPr>
          <w:spacing w:val="-43"/>
        </w:rPr>
        <w:t> </w:t>
      </w:r>
      <w:r>
        <w:rPr>
          <w:spacing w:val="-43"/>
        </w:rPr>
      </w:r>
      <w:r>
        <w:rPr>
          <w:spacing w:val="-2"/>
        </w:rPr>
        <w:t>车电子芯片产业持续加大投入力度，自主企业的研发能力也在大幅提升，但是我国汽车电子芯片市场要实</w:t>
      </w:r>
    </w:p>
    <w:p>
      <w:pPr>
        <w:spacing w:after="0" w:line="408" w:lineRule="auto"/>
        <w:jc w:val="both"/>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Heading5"/>
        <w:spacing w:line="444" w:lineRule="auto" w:before="176"/>
        <w:ind w:left="573" w:right="1125" w:hanging="421"/>
        <w:jc w:val="left"/>
      </w:pPr>
      <w:r>
        <w:rPr/>
        <w:t>现全面国产替代还需要较长的技术研发和市场培育期。</w:t>
      </w:r>
      <w:r>
        <w:rPr>
          <w:rFonts w:ascii="宋体" w:hAnsi="宋体" w:cs="宋体" w:eastAsia="宋体" w:hint="default"/>
          <w:w w:val="100"/>
        </w:rPr>
        <w:t> </w:t>
      </w:r>
      <w:r>
        <w:rPr/>
        <w:t>伴随汽车电动化、智能化转型进一步提速，汽车电子电气架构正在从分布式</w:t>
      </w:r>
      <w:r>
        <w:rPr>
          <w:spacing w:val="-56"/>
        </w:rPr>
        <w:t> </w:t>
      </w:r>
      <w:r>
        <w:rPr>
          <w:rFonts w:ascii="宋体" w:hAnsi="宋体" w:cs="宋体" w:eastAsia="宋体" w:hint="default"/>
        </w:rPr>
        <w:t>ECU</w:t>
      </w:r>
      <w:r>
        <w:rPr>
          <w:rFonts w:ascii="宋体" w:hAnsi="宋体" w:cs="宋体" w:eastAsia="宋体" w:hint="default"/>
          <w:spacing w:val="-54"/>
        </w:rPr>
        <w:t> </w:t>
      </w:r>
      <w:r>
        <w:rPr>
          <w:spacing w:val="-3"/>
        </w:rPr>
        <w:t>向域控制器、中央计</w:t>
      </w:r>
    </w:p>
    <w:p>
      <w:pPr>
        <w:pStyle w:val="Heading5"/>
        <w:spacing w:line="408" w:lineRule="auto" w:before="14"/>
        <w:ind w:right="1126" w:firstLine="0"/>
        <w:jc w:val="both"/>
        <w:rPr>
          <w:rFonts w:ascii="宋体" w:hAnsi="宋体" w:cs="宋体" w:eastAsia="宋体" w:hint="default"/>
        </w:rPr>
      </w:pPr>
      <w:r>
        <w:rPr>
          <w:spacing w:val="-2"/>
        </w:rPr>
        <w:t>算机架构方向发展过渡，软件定义汽车的趋势也对芯片的算力、并行接口、功能安全等提出更高要求。传</w:t>
      </w:r>
      <w:r>
        <w:rPr>
          <w:spacing w:val="-44"/>
        </w:rPr>
        <w:t> </w:t>
      </w:r>
      <w:r>
        <w:rPr>
          <w:spacing w:val="-44"/>
        </w:rPr>
      </w:r>
      <w:r>
        <w:rPr>
          <w:spacing w:val="-2"/>
        </w:rPr>
        <w:t>统芯片厂商之间通过兼并收购等方式快速扩展技术和产品能力、建立整合优势，科技巨头加紧推进在自动</w:t>
      </w:r>
      <w:r>
        <w:rPr>
          <w:spacing w:val="-44"/>
        </w:rPr>
        <w:t> </w:t>
      </w:r>
      <w:r>
        <w:rPr>
          <w:spacing w:val="-44"/>
        </w:rPr>
      </w:r>
      <w:r>
        <w:rPr>
          <w:spacing w:val="-4"/>
        </w:rPr>
        <w:t>驾驶计算类芯片领域的布局和产品落地，</w:t>
      </w:r>
      <w:r>
        <w:rPr>
          <w:rFonts w:ascii="宋体" w:hAnsi="宋体" w:cs="宋体" w:eastAsia="宋体" w:hint="default"/>
          <w:spacing w:val="-4"/>
        </w:rPr>
        <w:t>AI </w:t>
      </w:r>
      <w:r>
        <w:rPr>
          <w:spacing w:val="-3"/>
        </w:rPr>
        <w:t>智能芯片领域成为创业企业的发展摇篮。伴随汽车智能化渗透</w:t>
      </w:r>
      <w:r>
        <w:rPr>
          <w:spacing w:val="-74"/>
        </w:rPr>
        <w:t> </w:t>
      </w:r>
      <w:r>
        <w:rPr>
          <w:spacing w:val="-74"/>
        </w:rPr>
      </w:r>
      <w:r>
        <w:rPr>
          <w:spacing w:val="-2"/>
        </w:rPr>
        <w:t>率提升，传感器芯片、控制器芯片、智能座舱芯片等市场规模有望快速成长。中国市场由于国家强制性安</w:t>
      </w:r>
      <w:r>
        <w:rPr>
          <w:spacing w:val="-47"/>
        </w:rPr>
        <w:t> </w:t>
      </w:r>
      <w:r>
        <w:rPr>
          <w:spacing w:val="-47"/>
        </w:rPr>
      </w:r>
      <w:r>
        <w:rPr/>
        <w:t>装要求，</w:t>
      </w:r>
      <w:r>
        <w:rPr>
          <w:rFonts w:ascii="宋体" w:hAnsi="宋体" w:cs="宋体" w:eastAsia="宋体" w:hint="default"/>
        </w:rPr>
        <w:t>TPMS</w:t>
      </w:r>
      <w:r>
        <w:rPr>
          <w:rFonts w:ascii="宋体" w:hAnsi="宋体" w:cs="宋体" w:eastAsia="宋体" w:hint="default"/>
          <w:spacing w:val="-60"/>
        </w:rPr>
        <w:t> </w:t>
      </w:r>
      <w:r>
        <w:rPr/>
        <w:t>芯片产品迎来一轮强劲的市场增长机会。</w:t>
      </w:r>
      <w:r>
        <w:rPr>
          <w:rFonts w:ascii="宋体" w:hAnsi="宋体" w:cs="宋体" w:eastAsia="宋体" w:hint="default"/>
        </w:rPr>
        <w:t> </w:t>
      </w:r>
    </w:p>
    <w:p>
      <w:pPr>
        <w:pStyle w:val="Heading5"/>
        <w:spacing w:line="408" w:lineRule="auto" w:before="85"/>
        <w:ind w:right="1126"/>
        <w:jc w:val="both"/>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7"/>
        </w:rPr>
        <w:t> </w:t>
      </w:r>
      <w:r>
        <w:rPr>
          <w:spacing w:val="-4"/>
        </w:rPr>
        <w:t>年，公司通过收购杰发科技具备了为车厂提供高性能车规级汽车电子芯片的能力。杰发科技作为</w:t>
      </w:r>
      <w:r>
        <w:rPr>
          <w:w w:val="100"/>
        </w:rPr>
        <w:t> </w:t>
      </w:r>
      <w:r>
        <w:rPr/>
        <w:t>国内芯片产业的主要代表企业之一，其</w:t>
      </w:r>
      <w:r>
        <w:rPr>
          <w:spacing w:val="-65"/>
        </w:rPr>
        <w:t> </w:t>
      </w:r>
      <w:r>
        <w:rPr>
          <w:rFonts w:ascii="宋体" w:hAnsi="宋体" w:cs="宋体" w:eastAsia="宋体" w:hint="default"/>
        </w:rPr>
        <w:t>IVI</w:t>
      </w:r>
      <w:r>
        <w:rPr>
          <w:rFonts w:ascii="宋体" w:hAnsi="宋体" w:cs="宋体" w:eastAsia="宋体" w:hint="default"/>
          <w:spacing w:val="-66"/>
        </w:rPr>
        <w:t> </w:t>
      </w:r>
      <w:r>
        <w:rPr/>
        <w:t>芯片连续多年保持国内后装市场领先地位，并在前装市场不断</w:t>
      </w:r>
      <w:r>
        <w:rPr>
          <w:w w:val="100"/>
        </w:rPr>
        <w:t> </w:t>
      </w:r>
      <w:r>
        <w:rPr>
          <w:spacing w:val="-2"/>
        </w:rPr>
        <w:t>拓展。面对汽车智能化水平的不断提升，公司在传感器芯片、控制器芯片等领域加大研发投入，自主研发</w:t>
      </w:r>
      <w:r>
        <w:rPr>
          <w:spacing w:val="-50"/>
        </w:rPr>
        <w:t> </w:t>
      </w:r>
      <w:r>
        <w:rPr>
          <w:spacing w:val="-50"/>
        </w:rPr>
      </w:r>
      <w:r>
        <w:rPr/>
        <w:t>的</w:t>
      </w:r>
      <w:r>
        <w:rPr>
          <w:spacing w:val="-53"/>
        </w:rPr>
        <w:t> </w:t>
      </w:r>
      <w:r>
        <w:rPr>
          <w:rFonts w:ascii="宋体" w:hAnsi="宋体" w:cs="宋体" w:eastAsia="宋体" w:hint="default"/>
        </w:rPr>
        <w:t>MCU</w:t>
      </w:r>
      <w:r>
        <w:rPr>
          <w:rFonts w:ascii="宋体" w:hAnsi="宋体" w:cs="宋体" w:eastAsia="宋体" w:hint="default"/>
          <w:spacing w:val="-56"/>
        </w:rPr>
        <w:t> </w:t>
      </w:r>
      <w:r>
        <w:rPr/>
        <w:t>芯片作为国内首颗车规级</w:t>
      </w:r>
      <w:r>
        <w:rPr>
          <w:spacing w:val="-54"/>
        </w:rPr>
        <w:t> </w:t>
      </w:r>
      <w:r>
        <w:rPr>
          <w:rFonts w:ascii="宋体" w:hAnsi="宋体" w:cs="宋体" w:eastAsia="宋体" w:hint="default"/>
        </w:rPr>
        <w:t>MCU</w:t>
      </w:r>
      <w:r>
        <w:rPr>
          <w:rFonts w:ascii="宋体" w:hAnsi="宋体" w:cs="宋体" w:eastAsia="宋体" w:hint="default"/>
          <w:spacing w:val="-56"/>
        </w:rPr>
        <w:t> </w:t>
      </w:r>
      <w:r>
        <w:rPr/>
        <w:t>芯片已于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月通过</w:t>
      </w:r>
      <w:r>
        <w:rPr>
          <w:spacing w:val="-53"/>
        </w:rPr>
        <w:t> </w:t>
      </w:r>
      <w:r>
        <w:rPr>
          <w:rFonts w:ascii="宋体" w:hAnsi="宋体" w:cs="宋体" w:eastAsia="宋体" w:hint="default"/>
        </w:rPr>
        <w:t>AEC-Q100</w:t>
      </w:r>
      <w:r>
        <w:rPr>
          <w:rFonts w:ascii="宋体" w:hAnsi="宋体" w:cs="宋体" w:eastAsia="宋体" w:hint="default"/>
          <w:spacing w:val="-22"/>
        </w:rPr>
        <w:t> </w:t>
      </w:r>
      <w:r>
        <w:rPr>
          <w:rFonts w:ascii="宋体" w:hAnsi="宋体" w:cs="宋体" w:eastAsia="宋体" w:hint="default"/>
        </w:rPr>
        <w:t>Grade1</w:t>
      </w:r>
      <w:r>
        <w:rPr>
          <w:rFonts w:ascii="宋体" w:hAnsi="宋体" w:cs="宋体" w:eastAsia="宋体" w:hint="default"/>
          <w:spacing w:val="-54"/>
        </w:rPr>
        <w:t> </w:t>
      </w:r>
      <w:r>
        <w:rPr/>
        <w:t>验证，打破了一直以来</w:t>
      </w:r>
      <w:r>
        <w:rPr>
          <w:w w:val="100"/>
        </w:rPr>
        <w:t> </w:t>
      </w:r>
      <w:r>
        <w:rPr>
          <w:spacing w:val="-3"/>
        </w:rPr>
        <w:t>国际巨头的技术垄断局面，自主研发的</w:t>
      </w:r>
      <w:r>
        <w:rPr>
          <w:spacing w:val="-47"/>
        </w:rPr>
        <w:t> </w:t>
      </w:r>
      <w:r>
        <w:rPr>
          <w:rFonts w:ascii="宋体" w:hAnsi="宋体" w:cs="宋体" w:eastAsia="宋体" w:hint="default"/>
        </w:rPr>
        <w:t>TPMS</w:t>
      </w:r>
      <w:r>
        <w:rPr>
          <w:rFonts w:ascii="宋体" w:hAnsi="宋体" w:cs="宋体" w:eastAsia="宋体" w:hint="default"/>
          <w:spacing w:val="-50"/>
        </w:rPr>
        <w:t> </w:t>
      </w:r>
      <w:r>
        <w:rPr/>
        <w:t>胎压监测芯片作为国内首颗全集成胎压监测芯片已于</w:t>
      </w:r>
      <w:r>
        <w:rPr>
          <w:spacing w:val="-48"/>
        </w:rPr>
        <w:t> </w:t>
      </w:r>
      <w:r>
        <w:rPr>
          <w:rFonts w:ascii="宋体" w:hAnsi="宋体" w:cs="宋体" w:eastAsia="宋体" w:hint="default"/>
        </w:rPr>
        <w:t>2019</w:t>
      </w:r>
      <w:r>
        <w:rPr>
          <w:rFonts w:ascii="宋体" w:hAnsi="宋体" w:cs="宋体" w:eastAsia="宋体" w:hint="default"/>
          <w:spacing w:val="-50"/>
        </w:rPr>
        <w:t> </w:t>
      </w:r>
      <w:r>
        <w:rPr/>
        <w:t>年</w:t>
      </w:r>
      <w:r>
        <w:rPr>
          <w:spacing w:val="-103"/>
        </w:rPr>
        <w:t> </w:t>
      </w:r>
      <w:r>
        <w:rPr>
          <w:rFonts w:ascii="宋体" w:hAnsi="宋体" w:cs="宋体" w:eastAsia="宋体" w:hint="default"/>
        </w:rPr>
        <w:t>11</w:t>
      </w:r>
      <w:r>
        <w:rPr>
          <w:rFonts w:ascii="宋体" w:hAnsi="宋体" w:cs="宋体" w:eastAsia="宋体" w:hint="default"/>
          <w:spacing w:val="-35"/>
        </w:rPr>
        <w:t> </w:t>
      </w:r>
      <w:r>
        <w:rPr/>
        <w:t>月实现量产，智能座舱以及新一代</w:t>
      </w:r>
      <w:r>
        <w:rPr>
          <w:spacing w:val="-35"/>
        </w:rPr>
        <w:t> </w:t>
      </w:r>
      <w:r>
        <w:rPr>
          <w:rFonts w:ascii="宋体" w:hAnsi="宋体" w:cs="宋体" w:eastAsia="宋体" w:hint="default"/>
        </w:rPr>
        <w:t>4G</w:t>
      </w:r>
      <w:r>
        <w:rPr>
          <w:rFonts w:ascii="宋体" w:hAnsi="宋体" w:cs="宋体" w:eastAsia="宋体" w:hint="default"/>
          <w:spacing w:val="-35"/>
        </w:rPr>
        <w:t> </w:t>
      </w:r>
      <w:r>
        <w:rPr/>
        <w:t>车联网芯片已经投放市场，新一代</w:t>
      </w:r>
      <w:r>
        <w:rPr>
          <w:spacing w:val="-38"/>
        </w:rPr>
        <w:t> </w:t>
      </w:r>
      <w:r>
        <w:rPr>
          <w:rFonts w:ascii="宋体" w:hAnsi="宋体" w:cs="宋体" w:eastAsia="宋体" w:hint="default"/>
        </w:rPr>
        <w:t>MCU</w:t>
      </w:r>
      <w:r>
        <w:rPr/>
        <w:t>、功放等多款新产品商业</w:t>
      </w:r>
      <w:r>
        <w:rPr>
          <w:w w:val="100"/>
        </w:rPr>
        <w:t> </w:t>
      </w:r>
      <w:r>
        <w:rPr/>
        <w:t>化进度也在不断推进。</w:t>
      </w:r>
      <w:r>
        <w:rPr>
          <w:rFonts w:ascii="宋体" w:hAnsi="宋体" w:cs="宋体" w:eastAsia="宋体" w:hint="default"/>
        </w:rPr>
        <w:t> </w:t>
      </w:r>
    </w:p>
    <w:p>
      <w:pPr>
        <w:pStyle w:val="Heading5"/>
        <w:spacing w:line="408" w:lineRule="auto" w:before="87"/>
        <w:ind w:right="1126"/>
        <w:jc w:val="both"/>
        <w:rPr>
          <w:rFonts w:ascii="宋体" w:hAnsi="宋体" w:cs="宋体" w:eastAsia="宋体" w:hint="default"/>
        </w:rPr>
      </w:pPr>
      <w:r>
        <w:rPr>
          <w:spacing w:val="-2"/>
        </w:rPr>
        <w:t>近年全球汽车销售市场遭遇下滑拐点，公司芯片业务承受较大价格压力。面向未来，公司将加速推进</w:t>
      </w:r>
      <w:r>
        <w:rPr>
          <w:w w:val="100"/>
        </w:rPr>
        <w:t> </w:t>
      </w:r>
      <w:r>
        <w:rPr>
          <w:spacing w:val="-2"/>
        </w:rPr>
        <w:t>新产品的研发及量产进度，并充分发挥与高精度地图、高精度定位、自动驾驶等业务的协同效应，强化公</w:t>
      </w:r>
      <w:r>
        <w:rPr>
          <w:spacing w:val="-47"/>
        </w:rPr>
        <w:t> </w:t>
      </w:r>
      <w:r>
        <w:rPr>
          <w:spacing w:val="-47"/>
        </w:rPr>
      </w:r>
      <w:r>
        <w:rPr/>
        <w:t>司软硬一体化能力建设，为稳定推进“智能汽车大脑“战略落地奠定基础。</w:t>
      </w:r>
      <w:r>
        <w:rPr>
          <w:rFonts w:ascii="宋体" w:hAnsi="宋体" w:cs="宋体" w:eastAsia="宋体" w:hint="default"/>
        </w:rPr>
        <w:t> </w:t>
      </w:r>
    </w:p>
    <w:p>
      <w:pPr>
        <w:spacing w:line="350" w:lineRule="auto" w:before="20"/>
        <w:ind w:left="573" w:right="0" w:firstLine="2"/>
        <w:jc w:val="left"/>
        <w:rPr>
          <w:rFonts w:ascii="宋体" w:hAnsi="宋体" w:cs="宋体" w:eastAsia="宋体"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、位置大数据服务行业的发展阶段、周期性特点及公司所处的行业地位</w:t>
      </w:r>
      <w:r>
        <w:rPr>
          <w:rFonts w:ascii="Microsoft JhengHei" w:hAnsi="Microsoft JhengHei" w:cs="Microsoft JhengHei" w:eastAsia="Microsoft JhengHei" w:hint="default"/>
          <w:b/>
          <w:bCs/>
          <w:spacing w:val="-43"/>
          <w:sz w:val="21"/>
          <w:szCs w:val="21"/>
        </w:rPr>
        <w:t> </w:t>
      </w:r>
      <w:r>
        <w:rPr>
          <w:rFonts w:ascii="Arial" w:hAnsi="Arial" w:cs="Arial" w:eastAsia="Arial" w:hint="default"/>
          <w:b/>
          <w:bCs/>
          <w:spacing w:val="-43"/>
          <w:sz w:val="21"/>
          <w:szCs w:val="21"/>
        </w:rPr>
      </w:r>
      <w:r>
        <w:rPr>
          <w:rFonts w:ascii="宋体" w:hAnsi="宋体" w:cs="宋体" w:eastAsia="宋体" w:hint="default"/>
          <w:sz w:val="21"/>
          <w:szCs w:val="21"/>
        </w:rPr>
        <w:t>伴随科技互联网头部企业加速向产业互联网领域渗透转型，基于</w:t>
      </w:r>
      <w:r>
        <w:rPr>
          <w:rFonts w:ascii="宋体" w:hAnsi="宋体" w:cs="宋体" w:eastAsia="宋体" w:hint="default"/>
          <w:spacing w:val="-56"/>
          <w:sz w:val="21"/>
          <w:szCs w:val="21"/>
        </w:rPr>
        <w:t> </w:t>
      </w:r>
      <w:r>
        <w:rPr>
          <w:rFonts w:ascii="宋体" w:hAnsi="宋体" w:cs="宋体" w:eastAsia="宋体" w:hint="default"/>
          <w:sz w:val="21"/>
          <w:szCs w:val="21"/>
        </w:rPr>
        <w:t>AI</w:t>
      </w:r>
      <w:r>
        <w:rPr>
          <w:rFonts w:ascii="宋体" w:hAnsi="宋体" w:cs="宋体" w:eastAsia="宋体" w:hint="default"/>
          <w:spacing w:val="-56"/>
          <w:sz w:val="21"/>
          <w:szCs w:val="21"/>
        </w:rPr>
        <w:t> </w:t>
      </w:r>
      <w:r>
        <w:rPr>
          <w:rFonts w:ascii="宋体" w:hAnsi="宋体" w:cs="宋体" w:eastAsia="宋体" w:hint="default"/>
          <w:sz w:val="21"/>
          <w:szCs w:val="21"/>
        </w:rPr>
        <w:t>人工智能、</w:t>
      </w:r>
      <w:r>
        <w:rPr>
          <w:rFonts w:ascii="宋体" w:hAnsi="宋体" w:cs="宋体" w:eastAsia="宋体" w:hint="default"/>
          <w:sz w:val="21"/>
          <w:szCs w:val="21"/>
        </w:rPr>
        <w:t>GIS</w:t>
      </w:r>
      <w:r>
        <w:rPr>
          <w:rFonts w:ascii="宋体" w:hAnsi="宋体" w:cs="宋体" w:eastAsia="宋体" w:hint="default"/>
          <w:spacing w:val="-57"/>
          <w:sz w:val="21"/>
          <w:szCs w:val="21"/>
        </w:rPr>
        <w:t> </w:t>
      </w:r>
      <w:r>
        <w:rPr>
          <w:rFonts w:ascii="宋体" w:hAnsi="宋体" w:cs="宋体" w:eastAsia="宋体" w:hint="default"/>
          <w:sz w:val="21"/>
          <w:szCs w:val="21"/>
        </w:rPr>
        <w:t>地理信息系统、</w:t>
      </w:r>
    </w:p>
    <w:p>
      <w:pPr>
        <w:pStyle w:val="Heading5"/>
        <w:spacing w:line="408" w:lineRule="auto" w:before="96"/>
        <w:ind w:right="1157" w:firstLine="0"/>
        <w:jc w:val="left"/>
        <w:rPr>
          <w:rFonts w:ascii="宋体" w:hAnsi="宋体" w:cs="宋体" w:eastAsia="宋体" w:hint="default"/>
        </w:rPr>
      </w:pPr>
      <w:r>
        <w:rPr/>
        <w:t>大数据云平台等技术的</w:t>
      </w:r>
      <w:r>
        <w:rPr>
          <w:spacing w:val="-58"/>
        </w:rPr>
        <w:t> </w:t>
      </w:r>
      <w:r>
        <w:rPr>
          <w:rFonts w:ascii="宋体" w:hAnsi="宋体" w:cs="宋体" w:eastAsia="宋体" w:hint="default"/>
        </w:rPr>
        <w:t>SaaS</w:t>
      </w:r>
      <w:r>
        <w:rPr>
          <w:rFonts w:ascii="宋体" w:hAnsi="宋体" w:cs="宋体" w:eastAsia="宋体" w:hint="default"/>
          <w:spacing w:val="-58"/>
        </w:rPr>
        <w:t> </w:t>
      </w:r>
      <w:r>
        <w:rPr/>
        <w:t>生态建设以及数字化重构成为新一轮城市智慧化建设的重要驱动因素，我国</w:t>
      </w:r>
      <w:r>
        <w:rPr>
          <w:w w:val="100"/>
        </w:rPr>
        <w:t> </w:t>
      </w:r>
      <w:r>
        <w:rPr/>
        <w:t>智慧城市建设也在向着都市圈集群式发展以及以人为本的多方联合建设运营模式演进，与位置相关的数</w:t>
      </w:r>
      <w:r>
        <w:rPr>
          <w:w w:val="100"/>
        </w:rPr>
        <w:t> </w:t>
      </w:r>
      <w:r>
        <w:rPr>
          <w:spacing w:val="-2"/>
        </w:rPr>
        <w:t>字政府、智慧交通、共享出行、新电商</w:t>
      </w:r>
      <w:r>
        <w:rPr>
          <w:rFonts w:ascii="宋体" w:hAnsi="宋体" w:cs="宋体" w:eastAsia="宋体" w:hint="default"/>
          <w:spacing w:val="-2"/>
        </w:rPr>
        <w:t>/</w:t>
      </w:r>
      <w:r>
        <w:rPr>
          <w:spacing w:val="-2"/>
        </w:rPr>
        <w:t>物流、智慧景区、金融保险、选址分析等应用场景不断拓展，基</w:t>
      </w:r>
      <w:r>
        <w:rPr>
          <w:spacing w:val="-22"/>
        </w:rPr>
        <w:t> </w:t>
      </w:r>
      <w:r>
        <w:rPr>
          <w:spacing w:val="-22"/>
        </w:rPr>
      </w:r>
      <w:r>
        <w:rPr/>
        <w:t>于</w:t>
      </w:r>
      <w:r>
        <w:rPr>
          <w:spacing w:val="-58"/>
        </w:rPr>
        <w:t> </w:t>
      </w:r>
      <w:r>
        <w:rPr>
          <w:rFonts w:ascii="宋体" w:hAnsi="宋体" w:cs="宋体" w:eastAsia="宋体" w:hint="default"/>
        </w:rPr>
        <w:t>SaaS</w:t>
      </w:r>
      <w:r>
        <w:rPr>
          <w:rFonts w:ascii="宋体" w:hAnsi="宋体" w:cs="宋体" w:eastAsia="宋体" w:hint="default"/>
          <w:spacing w:val="-58"/>
        </w:rPr>
        <w:t> </w:t>
      </w:r>
      <w:r>
        <w:rPr/>
        <w:t>平台的能够满足区域性特点及垂直领域应用特点的定制化解决方案需求日益明显。</w:t>
      </w:r>
      <w:r>
        <w:rPr>
          <w:rFonts w:ascii="宋体" w:hAnsi="宋体" w:cs="宋体" w:eastAsia="宋体" w:hint="default"/>
        </w:rPr>
        <w:t> </w:t>
      </w:r>
    </w:p>
    <w:p>
      <w:pPr>
        <w:pStyle w:val="Heading5"/>
        <w:spacing w:line="408" w:lineRule="auto"/>
        <w:ind w:right="0"/>
        <w:jc w:val="left"/>
        <w:rPr>
          <w:rFonts w:ascii="宋体" w:hAnsi="宋体" w:cs="宋体" w:eastAsia="宋体" w:hint="default"/>
        </w:rPr>
      </w:pPr>
      <w:r>
        <w:rPr/>
        <w:t>《交通强国建设纲要》等国家政策陆续颁布，</w:t>
      </w:r>
      <w:r>
        <w:rPr>
          <w:rFonts w:ascii="宋体" w:hAnsi="宋体" w:cs="宋体" w:eastAsia="宋体" w:hint="default"/>
        </w:rPr>
        <w:t>5G</w:t>
      </w:r>
      <w:r>
        <w:rPr/>
        <w:t>、人工智能、工业互联网等新基建商业化进程不断</w:t>
      </w:r>
      <w:r>
        <w:rPr>
          <w:w w:val="100"/>
        </w:rPr>
        <w:t> </w:t>
      </w:r>
      <w:r>
        <w:rPr/>
        <w:t>提速，加速驱动大数据、互联网、人工智能、区块链、超级计算等新技术向交通出行相关行业的渗透和</w:t>
      </w:r>
      <w:r>
        <w:rPr>
          <w:w w:val="100"/>
        </w:rPr>
        <w:t> </w:t>
      </w:r>
      <w:r>
        <w:rPr>
          <w:spacing w:val="-2"/>
        </w:rPr>
        <w:t>融合。三维可视化技术的快速发展，也将加速拓展位置大数据资源在交警</w:t>
      </w:r>
      <w:r>
        <w:rPr>
          <w:rFonts w:ascii="宋体" w:hAnsi="宋体" w:cs="宋体" w:eastAsia="宋体" w:hint="default"/>
          <w:spacing w:val="-2"/>
        </w:rPr>
        <w:t>/</w:t>
      </w:r>
      <w:r>
        <w:rPr>
          <w:spacing w:val="-2"/>
        </w:rPr>
        <w:t>公安可视化研判及智能派遣、</w:t>
      </w:r>
      <w:r>
        <w:rPr>
          <w:spacing w:val="-22"/>
        </w:rPr>
        <w:t> </w:t>
      </w:r>
      <w:r>
        <w:rPr>
          <w:spacing w:val="-22"/>
        </w:rPr>
      </w:r>
      <w:r>
        <w:rPr/>
        <w:t>城市道路监测及智能出行规划、突发应急事件响应及处理、人员迁徙流动监控、保险理赔现场智能调度</w:t>
      </w:r>
      <w:r>
        <w:rPr>
          <w:w w:val="100"/>
        </w:rPr>
        <w:t> </w:t>
      </w:r>
      <w:r>
        <w:rPr/>
        <w:t>等领域的发展空间。</w:t>
      </w:r>
      <w:r>
        <w:rPr>
          <w:rFonts w:ascii="宋体" w:hAnsi="宋体" w:cs="宋体" w:eastAsia="宋体" w:hint="default"/>
        </w:rPr>
        <w:t> </w:t>
      </w:r>
    </w:p>
    <w:p>
      <w:pPr>
        <w:spacing w:after="0" w:line="408" w:lineRule="auto"/>
        <w:jc w:val="left"/>
        <w:rPr>
          <w:rFonts w:ascii="宋体" w:hAnsi="宋体" w:cs="宋体" w:eastAsia="宋体" w:hint="default"/>
        </w:rPr>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Heading5"/>
        <w:spacing w:line="408" w:lineRule="auto" w:before="176"/>
        <w:ind w:right="1208"/>
        <w:jc w:val="left"/>
        <w:rPr>
          <w:rFonts w:ascii="宋体" w:hAnsi="宋体" w:cs="宋体" w:eastAsia="宋体" w:hint="default"/>
        </w:rPr>
      </w:pPr>
      <w:r>
        <w:rPr/>
        <w:t>公司经过多年运作，基于成熟的多源位置相关大数据、算法和三维可视化技术优势搭建的企业级位</w:t>
      </w:r>
      <w:r>
        <w:rPr>
          <w:w w:val="100"/>
        </w:rPr>
        <w:t> </w:t>
      </w:r>
      <w:r>
        <w:rPr/>
        <w:t>置大数据</w:t>
      </w:r>
      <w:r>
        <w:rPr>
          <w:spacing w:val="-54"/>
        </w:rPr>
        <w:t> </w:t>
      </w:r>
      <w:r>
        <w:rPr>
          <w:rFonts w:ascii="宋体" w:hAnsi="宋体" w:cs="宋体" w:eastAsia="宋体" w:hint="default"/>
        </w:rPr>
        <w:t>SaaS</w:t>
      </w:r>
      <w:r>
        <w:rPr>
          <w:rFonts w:ascii="宋体" w:hAnsi="宋体" w:cs="宋体" w:eastAsia="宋体" w:hint="default"/>
          <w:spacing w:val="-57"/>
        </w:rPr>
        <w:t> </w:t>
      </w:r>
      <w:r>
        <w:rPr/>
        <w:t>平台</w:t>
      </w:r>
      <w:r>
        <w:rPr>
          <w:spacing w:val="-57"/>
        </w:rPr>
        <w:t> </w:t>
      </w:r>
      <w:r>
        <w:rPr>
          <w:rFonts w:ascii="宋体" w:hAnsi="宋体" w:cs="宋体" w:eastAsia="宋体" w:hint="default"/>
        </w:rPr>
        <w:t>MineData</w:t>
      </w:r>
      <w:r>
        <w:rPr>
          <w:rFonts w:ascii="宋体" w:hAnsi="宋体" w:cs="宋体" w:eastAsia="宋体" w:hint="default"/>
          <w:spacing w:val="-54"/>
        </w:rPr>
        <w:t> </w:t>
      </w:r>
      <w:r>
        <w:rPr/>
        <w:t>产品及系列解决方案，已在智慧城市管理和规划、智能交通</w:t>
      </w:r>
      <w:r>
        <w:rPr>
          <w:rFonts w:ascii="宋体" w:hAnsi="宋体" w:cs="宋体" w:eastAsia="宋体" w:hint="default"/>
        </w:rPr>
        <w:t>/</w:t>
      </w:r>
      <w:r>
        <w:rPr/>
        <w:t>公安、突发应</w:t>
      </w:r>
      <w:r>
        <w:rPr>
          <w:w w:val="100"/>
        </w:rPr>
        <w:t> </w:t>
      </w:r>
      <w:r>
        <w:rPr/>
        <w:t>急事件、智慧公路、保险等领域建立客户集群和行业生态，并得到了行业客户的广泛认可。面向未来，</w:t>
      </w:r>
      <w:r>
        <w:rPr>
          <w:w w:val="100"/>
        </w:rPr>
        <w:t> </w:t>
      </w:r>
      <w:r>
        <w:rPr/>
        <w:t>公司将不断推进</w:t>
      </w:r>
      <w:r>
        <w:rPr>
          <w:spacing w:val="-56"/>
        </w:rPr>
        <w:t> </w:t>
      </w:r>
      <w:r>
        <w:rPr>
          <w:rFonts w:ascii="宋体" w:hAnsi="宋体" w:cs="宋体" w:eastAsia="宋体" w:hint="default"/>
        </w:rPr>
        <w:t>Minedata</w:t>
      </w:r>
      <w:r>
        <w:rPr>
          <w:rFonts w:ascii="宋体" w:hAnsi="宋体" w:cs="宋体" w:eastAsia="宋体" w:hint="default"/>
          <w:spacing w:val="-58"/>
        </w:rPr>
        <w:t> </w:t>
      </w:r>
      <w:r>
        <w:rPr/>
        <w:t>行业方案的标准化落地及开放平台的演化升级，加强与产业上下游合作伙伴的</w:t>
      </w:r>
      <w:r>
        <w:rPr>
          <w:w w:val="100"/>
        </w:rPr>
        <w:t> </w:t>
      </w:r>
      <w:r>
        <w:rPr/>
        <w:t>沟通和联系，共同探索可面向未来的商业化合作模式并推进落地。</w:t>
      </w:r>
      <w:r>
        <w:rPr>
          <w:rFonts w:ascii="宋体" w:hAnsi="宋体" w:cs="宋体" w:eastAsia="宋体" w:hint="default"/>
        </w:rPr>
        <w:t> </w:t>
      </w:r>
    </w:p>
    <w:p>
      <w:pPr>
        <w:pStyle w:val="Heading4"/>
        <w:spacing w:line="345" w:lineRule="exact"/>
        <w:ind w:left="575" w:right="0"/>
        <w:jc w:val="left"/>
        <w:rPr>
          <w:rFonts w:ascii="Arial" w:hAnsi="Arial" w:cs="Arial" w:eastAsia="Arial" w:hint="default"/>
          <w:b w:val="0"/>
          <w:bCs w:val="0"/>
        </w:rPr>
      </w:pPr>
      <w:r>
        <w:rPr>
          <w:rFonts w:ascii="Arial" w:hAnsi="Arial" w:cs="Arial" w:eastAsia="Arial" w:hint="default"/>
        </w:rPr>
        <w:t>5</w:t>
      </w:r>
      <w:r>
        <w:rPr/>
        <w:t>、车联网行业的发展阶段、周期性特点及公司所处的行业地位</w:t>
      </w:r>
      <w:r>
        <w:rPr>
          <w:rFonts w:ascii="Arial" w:hAnsi="Arial" w:cs="Arial" w:eastAsia="Arial" w:hint="default"/>
          <w:w w:val="180"/>
        </w:rPr>
        <w:t> </w:t>
      </w:r>
      <w:r>
        <w:rPr>
          <w:rFonts w:ascii="Arial" w:hAnsi="Arial" w:cs="Arial" w:eastAsia="Arial" w:hint="default"/>
          <w:b w:val="0"/>
          <w:bCs w:val="0"/>
        </w:rPr>
      </w:r>
    </w:p>
    <w:p>
      <w:pPr>
        <w:pStyle w:val="Heading5"/>
        <w:spacing w:line="408" w:lineRule="auto" w:before="169"/>
        <w:ind w:right="1159"/>
        <w:jc w:val="left"/>
        <w:rPr>
          <w:rFonts w:ascii="宋体" w:hAnsi="宋体" w:cs="宋体" w:eastAsia="宋体" w:hint="default"/>
        </w:rPr>
      </w:pPr>
      <w:r>
        <w:rPr/>
        <w:t>伴随国家《车联网（智能网联汽车）产业发展行动计划》、《交通强国战略》等车联网相关政策密</w:t>
      </w:r>
      <w:r>
        <w:rPr>
          <w:w w:val="100"/>
        </w:rPr>
        <w:t> </w:t>
      </w:r>
      <w:r>
        <w:rPr/>
        <w:t>集发布以及</w:t>
      </w:r>
      <w:r>
        <w:rPr>
          <w:spacing w:val="-53"/>
        </w:rPr>
        <w:t> </w:t>
      </w:r>
      <w:r>
        <w:rPr>
          <w:rFonts w:ascii="宋体" w:hAnsi="宋体" w:cs="宋体" w:eastAsia="宋体" w:hint="default"/>
        </w:rPr>
        <w:t>5G/V2X</w:t>
      </w:r>
      <w:r>
        <w:rPr>
          <w:rFonts w:ascii="宋体" w:hAnsi="宋体" w:cs="宋体" w:eastAsia="宋体" w:hint="default"/>
          <w:spacing w:val="-56"/>
        </w:rPr>
        <w:t> </w:t>
      </w:r>
      <w:r>
        <w:rPr/>
        <w:t>新一代通信及车路协同技术商业应用进程加速，汽车智能网联小规模示范</w:t>
      </w:r>
      <w:r>
        <w:rPr>
          <w:rFonts w:ascii="宋体" w:hAnsi="宋体" w:cs="宋体" w:eastAsia="宋体" w:hint="default"/>
        </w:rPr>
        <w:t>/</w:t>
      </w:r>
      <w:r>
        <w:rPr/>
        <w:t>测试逐渐</w:t>
      </w:r>
      <w:r>
        <w:rPr>
          <w:w w:val="100"/>
        </w:rPr>
        <w:t> </w:t>
      </w:r>
      <w:r>
        <w:rPr>
          <w:spacing w:val="-2"/>
        </w:rPr>
        <w:t>向规模化先导应用过度，“人</w:t>
      </w:r>
      <w:r>
        <w:rPr>
          <w:rFonts w:ascii="宋体" w:hAnsi="宋体" w:cs="宋体" w:eastAsia="宋体" w:hint="default"/>
          <w:spacing w:val="-2"/>
        </w:rPr>
        <w:t>-</w:t>
      </w:r>
      <w:r>
        <w:rPr>
          <w:spacing w:val="-2"/>
        </w:rPr>
        <w:t>车</w:t>
      </w:r>
      <w:r>
        <w:rPr>
          <w:rFonts w:ascii="宋体" w:hAnsi="宋体" w:cs="宋体" w:eastAsia="宋体" w:hint="default"/>
          <w:spacing w:val="-2"/>
        </w:rPr>
        <w:t>-</w:t>
      </w:r>
      <w:r>
        <w:rPr>
          <w:spacing w:val="-2"/>
        </w:rPr>
        <w:t>路</w:t>
      </w:r>
      <w:r>
        <w:rPr>
          <w:rFonts w:ascii="宋体" w:hAnsi="宋体" w:cs="宋体" w:eastAsia="宋体" w:hint="default"/>
          <w:spacing w:val="-2"/>
        </w:rPr>
        <w:t>-</w:t>
      </w:r>
      <w:r>
        <w:rPr>
          <w:spacing w:val="-2"/>
        </w:rPr>
        <w:t>云”协同能力以及基于车辆联网形成的大数据生态加速形成，车联</w:t>
      </w:r>
      <w:r>
        <w:rPr>
          <w:spacing w:val="-20"/>
        </w:rPr>
        <w:t> </w:t>
      </w:r>
      <w:r>
        <w:rPr>
          <w:spacing w:val="-20"/>
        </w:rPr>
      </w:r>
      <w:r>
        <w:rPr>
          <w:spacing w:val="-2"/>
        </w:rPr>
        <w:t>网产品和服务形态正在从</w:t>
      </w:r>
      <w:r>
        <w:rPr/>
        <w:t> </w:t>
      </w:r>
      <w:r>
        <w:rPr>
          <w:rFonts w:ascii="宋体" w:hAnsi="宋体" w:cs="宋体" w:eastAsia="宋体" w:hint="default"/>
          <w:spacing w:val="-2"/>
        </w:rPr>
        <w:t>T-BOX</w:t>
      </w:r>
      <w:r>
        <w:rPr>
          <w:spacing w:val="-2"/>
        </w:rPr>
        <w:t>、智能车机等安全功能类产品，向智能座舱、智能出行、车路协同整体解</w:t>
      </w:r>
      <w:r>
        <w:rPr>
          <w:spacing w:val="-72"/>
        </w:rPr>
        <w:t> </w:t>
      </w:r>
      <w:r>
        <w:rPr>
          <w:spacing w:val="-72"/>
        </w:rPr>
      </w:r>
      <w:r>
        <w:rPr/>
        <w:t>决方案以及基于汽车联网的全生命周期大数据运营方向转变，基于大数据的场景化、个性化应用需求进</w:t>
      </w:r>
      <w:r>
        <w:rPr>
          <w:w w:val="100"/>
        </w:rPr>
        <w:t> </w:t>
      </w:r>
      <w:r>
        <w:rPr/>
        <w:t>一步显现，车联网产业进入到一个面向未来规模化落地的关键阶段。</w:t>
      </w:r>
      <w:r>
        <w:rPr>
          <w:rFonts w:ascii="宋体" w:hAnsi="宋体" w:cs="宋体" w:eastAsia="宋体" w:hint="default"/>
        </w:rPr>
        <w:t> </w:t>
      </w:r>
    </w:p>
    <w:p>
      <w:pPr>
        <w:spacing w:line="4320" w:lineRule="exact"/>
        <w:ind w:left="574"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5881903" cy="274358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5881903" cy="2743580"/>
                    </a:xfrm>
                    <a:prstGeom prst="rect">
                      <a:avLst/>
                    </a:prstGeom>
                  </pic:spPr>
                </pic:pic>
              </a:graphicData>
            </a:graphic>
          </wp:inline>
        </w:drawing>
      </w:r>
      <w:r>
        <w:rPr>
          <w:rFonts w:ascii="宋体" w:hAnsi="宋体" w:cs="宋体" w:eastAsia="宋体" w:hint="default"/>
          <w:position w:val="-85"/>
          <w:sz w:val="20"/>
          <w:szCs w:val="20"/>
        </w:rPr>
      </w:r>
    </w:p>
    <w:p>
      <w:pPr>
        <w:pStyle w:val="Heading5"/>
        <w:spacing w:line="410" w:lineRule="auto" w:before="107"/>
        <w:ind w:left="573" w:right="0" w:firstLine="0"/>
        <w:jc w:val="left"/>
      </w:pPr>
      <w:r>
        <w:rPr/>
        <w:t>资料来源：《中国商用车车联网白皮书》</w:t>
      </w:r>
      <w:r>
        <w:rPr>
          <w:rFonts w:ascii="宋体" w:hAnsi="宋体" w:cs="宋体" w:eastAsia="宋体" w:hint="default"/>
          <w:w w:val="100"/>
        </w:rPr>
        <w:t> </w:t>
      </w:r>
      <w:r>
        <w:rPr>
          <w:spacing w:val="-2"/>
        </w:rPr>
        <w:t>面对全球汽车数字化、智能化、新能源化、共享化发展趋势，多个主机厂不断推进智能化、新能源</w:t>
      </w:r>
    </w:p>
    <w:p>
      <w:pPr>
        <w:pStyle w:val="Heading5"/>
        <w:spacing w:line="408" w:lineRule="auto" w:before="44"/>
        <w:ind w:right="1157" w:firstLine="0"/>
        <w:jc w:val="left"/>
        <w:rPr>
          <w:rFonts w:ascii="宋体" w:hAnsi="宋体" w:cs="宋体" w:eastAsia="宋体" w:hint="default"/>
        </w:rPr>
      </w:pPr>
      <w:r>
        <w:rPr/>
        <w:t>化量产车型上市计划，大力拓展与生态内企业的深入整合与协同合作，大众—福特、宝马—戴姆勒—奥</w:t>
      </w:r>
      <w:r>
        <w:rPr>
          <w:w w:val="100"/>
        </w:rPr>
        <w:t> </w:t>
      </w:r>
      <w:r>
        <w:rPr/>
        <w:t>迪、</w:t>
      </w:r>
      <w:r>
        <w:rPr>
          <w:rFonts w:ascii="宋体" w:hAnsi="宋体" w:cs="宋体" w:eastAsia="宋体" w:hint="default"/>
        </w:rPr>
        <w:t>PSA</w:t>
      </w:r>
      <w:r>
        <w:rPr/>
        <w:t>—</w:t>
      </w:r>
      <w:r>
        <w:rPr>
          <w:rFonts w:ascii="宋体" w:hAnsi="宋体" w:cs="宋体" w:eastAsia="宋体" w:hint="default"/>
        </w:rPr>
        <w:t>FCA</w:t>
      </w:r>
      <w:r>
        <w:rPr/>
        <w:t>、上汽—广汽等超级联盟陆续出现，与互联网企业的商业化探索进一步加深，并对软硬件</w:t>
      </w:r>
      <w:r>
        <w:rPr>
          <w:w w:val="100"/>
        </w:rPr>
        <w:t> </w:t>
      </w:r>
      <w:r>
        <w:rPr/>
        <w:t>一体化整合、汽车智能化出行整体解决方案等供应商能力提出明确需求。华为等通信企业不断推进单车</w:t>
      </w:r>
      <w:r>
        <w:rPr>
          <w:spacing w:val="-3"/>
          <w:w w:val="100"/>
        </w:rPr>
        <w:t> </w:t>
      </w:r>
      <w:r>
        <w:rPr>
          <w:spacing w:val="-2"/>
        </w:rPr>
        <w:t>智能向车路协同方向延伸，推动向智能网联汽车领域的战略部署和向纵深渗透。</w:t>
      </w:r>
      <w:r>
        <w:rPr>
          <w:rFonts w:ascii="宋体" w:hAnsi="宋体" w:cs="宋体" w:eastAsia="宋体" w:hint="default"/>
          <w:spacing w:val="-2"/>
        </w:rPr>
        <w:t>BAT</w:t>
      </w:r>
      <w:r>
        <w:rPr>
          <w:rFonts w:ascii="宋体" w:hAnsi="宋体" w:cs="宋体" w:eastAsia="宋体" w:hint="default"/>
        </w:rPr>
        <w:t> </w:t>
      </w:r>
      <w:r>
        <w:rPr>
          <w:spacing w:val="-2"/>
        </w:rPr>
        <w:t>等高科技企业基于联</w:t>
      </w:r>
      <w:r>
        <w:rPr>
          <w:spacing w:val="-70"/>
        </w:rPr>
        <w:t> </w:t>
      </w:r>
      <w:r>
        <w:rPr>
          <w:spacing w:val="-70"/>
        </w:rPr>
      </w:r>
      <w:r>
        <w:rPr/>
        <w:t>网及信息技术优势积极打造车路大生态朋友圈，不断拓展在智能网联汽车领域的市场发展空间及合作形</w:t>
      </w:r>
      <w:r>
        <w:rPr>
          <w:w w:val="100"/>
        </w:rPr>
        <w:t> </w:t>
      </w:r>
      <w:r>
        <w:rPr/>
        <w:t>态。</w:t>
      </w:r>
      <w:r>
        <w:rPr>
          <w:rFonts w:ascii="宋体" w:hAnsi="宋体" w:cs="宋体" w:eastAsia="宋体" w:hint="default"/>
        </w:rPr>
        <w:t> </w:t>
      </w:r>
    </w:p>
    <w:p>
      <w:pPr>
        <w:spacing w:after="0" w:line="408" w:lineRule="auto"/>
        <w:jc w:val="left"/>
        <w:rPr>
          <w:rFonts w:ascii="宋体" w:hAnsi="宋体" w:cs="宋体" w:eastAsia="宋体" w:hint="default"/>
        </w:rPr>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Heading5"/>
        <w:spacing w:line="408" w:lineRule="auto" w:before="176"/>
        <w:ind w:right="1203"/>
        <w:jc w:val="left"/>
        <w:rPr>
          <w:rFonts w:ascii="宋体" w:hAnsi="宋体" w:cs="宋体" w:eastAsia="宋体" w:hint="default"/>
        </w:rPr>
      </w:pPr>
      <w:r>
        <w:rPr/>
        <w:t>公司自</w:t>
      </w:r>
      <w:r>
        <w:rPr>
          <w:spacing w:val="-57"/>
        </w:rPr>
        <w:t> </w:t>
      </w:r>
      <w:r>
        <w:rPr>
          <w:rFonts w:ascii="宋体" w:hAnsi="宋体" w:cs="宋体" w:eastAsia="宋体" w:hint="default"/>
        </w:rPr>
        <w:t>2009</w:t>
      </w:r>
      <w:r>
        <w:rPr>
          <w:rFonts w:ascii="宋体" w:hAnsi="宋体" w:cs="宋体" w:eastAsia="宋体" w:hint="default"/>
          <w:spacing w:val="-57"/>
        </w:rPr>
        <w:t> </w:t>
      </w:r>
      <w:r>
        <w:rPr/>
        <w:t>年开始布局车联网产业，组建专业的产品研发团队及运营平台，积极打造基于车辆联网</w:t>
      </w:r>
      <w:r>
        <w:rPr>
          <w:w w:val="100"/>
        </w:rPr>
        <w:t> </w:t>
      </w:r>
      <w:r>
        <w:rPr/>
        <w:t>的数据生态以及覆盖动态交通信息、乘用车车联网和商用车车联网的软硬件一体化服务能力和应用体</w:t>
      </w:r>
      <w:r>
        <w:rPr>
          <w:w w:val="100"/>
        </w:rPr>
        <w:t> </w:t>
      </w:r>
      <w:r>
        <w:rPr/>
        <w:t>系。基于多年的行业地位、资源优势以及一系列资本运作，公司已经具备了从电子地图数据到动态交通</w:t>
      </w:r>
      <w:r>
        <w:rPr>
          <w:w w:val="100"/>
        </w:rPr>
        <w:t> </w:t>
      </w:r>
      <w:r>
        <w:rPr/>
        <w:t>信息、云平台、信息聚合、车载操作系统、车载硬件、手机车机互联、大数据赋能等在内的车联网产品</w:t>
      </w:r>
      <w:r>
        <w:rPr>
          <w:w w:val="100"/>
        </w:rPr>
        <w:t> </w:t>
      </w:r>
      <w:r>
        <w:rPr/>
        <w:t>组件和一体化服务能力，获得国内外众多客户的认可。在动态交通信息领域，公司持续保持行业领先地</w:t>
      </w:r>
      <w:r>
        <w:rPr>
          <w:w w:val="100"/>
        </w:rPr>
        <w:t> </w:t>
      </w:r>
      <w:r>
        <w:rPr/>
        <w:t>位，不断引领行业发展方向。在商用车车联网领域，面对商用车主机厂智能化发展诉求，以及围绕“物</w:t>
      </w:r>
      <w:r>
        <w:rPr>
          <w:w w:val="100"/>
        </w:rPr>
        <w:t> </w:t>
      </w:r>
      <w:r>
        <w:rPr/>
        <w:t>流”快速发展带来的发展契机，公司不断加大核心技术能力及应用场景拓展能力建设，商用车联网解决</w:t>
      </w:r>
      <w:r>
        <w:rPr>
          <w:w w:val="100"/>
        </w:rPr>
        <w:t> </w:t>
      </w:r>
      <w:r>
        <w:rPr/>
        <w:t>方案已占据</w:t>
      </w:r>
      <w:r>
        <w:rPr>
          <w:spacing w:val="-53"/>
        </w:rPr>
        <w:t> </w:t>
      </w:r>
      <w:r>
        <w:rPr>
          <w:rFonts w:ascii="宋体" w:hAnsi="宋体" w:cs="宋体" w:eastAsia="宋体" w:hint="default"/>
        </w:rPr>
        <w:t>70%</w:t>
      </w:r>
      <w:r>
        <w:rPr/>
        <w:t>以上市场份额，</w:t>
      </w:r>
      <w:r>
        <w:rPr>
          <w:rFonts w:ascii="宋体" w:hAnsi="宋体" w:cs="宋体" w:eastAsia="宋体" w:hint="default"/>
        </w:rPr>
        <w:t>PCC</w:t>
      </w:r>
      <w:r>
        <w:rPr>
          <w:rFonts w:ascii="宋体" w:hAnsi="宋体" w:cs="宋体" w:eastAsia="宋体" w:hint="default"/>
          <w:spacing w:val="-56"/>
        </w:rPr>
        <w:t> </w:t>
      </w:r>
      <w:r>
        <w:rPr/>
        <w:t>等节油产品不断获得行业好评，深度参与撰写的商用车联网产业研究</w:t>
      </w:r>
      <w:r>
        <w:rPr>
          <w:w w:val="100"/>
        </w:rPr>
        <w:t> </w:t>
      </w:r>
      <w:r>
        <w:rPr/>
        <w:t>报告得到广泛认可。在乘用车联网领域，参股公司四维智联不断引进腾讯、蔚来资本、博世集团等在互</w:t>
      </w:r>
      <w:r>
        <w:rPr>
          <w:w w:val="100"/>
        </w:rPr>
        <w:t> </w:t>
      </w:r>
      <w:r>
        <w:rPr/>
        <w:t>联网和汽车行业具有强大产业资源支持和行业影响力的战略投资者和股东，共同推进车联网平台、轻车</w:t>
      </w:r>
      <w:r>
        <w:rPr>
          <w:w w:val="100"/>
        </w:rPr>
        <w:t> </w:t>
      </w:r>
      <w:r>
        <w:rPr/>
        <w:t>联网解决方案、前后装智能硬件及整体解决方案的产品研发和商业化合作，通过成立新能源汽车充电桩</w:t>
      </w:r>
      <w:r>
        <w:rPr>
          <w:w w:val="100"/>
        </w:rPr>
        <w:t> </w:t>
      </w:r>
      <w:r>
        <w:rPr/>
        <w:t>运营服务公司、参股网络信息安全公司等，将进一步推进在智能出行、车辆联网安全等战略布局。面向</w:t>
      </w:r>
      <w:r>
        <w:rPr>
          <w:spacing w:val="-3"/>
          <w:w w:val="100"/>
        </w:rPr>
        <w:t> </w:t>
      </w:r>
      <w:r>
        <w:rPr/>
        <w:t>未来，公司将进一步打造面向智能座舱的软硬件一体化服务能力以及基础车辆全生命周期大数据平台运</w:t>
      </w:r>
      <w:r>
        <w:rPr>
          <w:w w:val="100"/>
        </w:rPr>
        <w:t> </w:t>
      </w:r>
      <w:r>
        <w:rPr/>
        <w:t>营能力，帮助</w:t>
      </w:r>
      <w:r>
        <w:rPr>
          <w:spacing w:val="-55"/>
        </w:rPr>
        <w:t> </w:t>
      </w:r>
      <w:r>
        <w:rPr>
          <w:rFonts w:ascii="宋体" w:hAnsi="宋体" w:cs="宋体" w:eastAsia="宋体" w:hint="default"/>
        </w:rPr>
        <w:t>OEM</w:t>
      </w:r>
      <w:r>
        <w:rPr>
          <w:rFonts w:ascii="宋体" w:hAnsi="宋体" w:cs="宋体" w:eastAsia="宋体" w:hint="default"/>
          <w:spacing w:val="-56"/>
        </w:rPr>
        <w:t> </w:t>
      </w:r>
      <w:r>
        <w:rPr/>
        <w:t>客户和互联网客户全面提升智能出行用户体验。</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4"/>
        <w:spacing w:line="335" w:lineRule="exact"/>
        <w:ind w:right="0"/>
        <w:jc w:val="left"/>
        <w:rPr>
          <w:b w:val="0"/>
          <w:bCs w:val="0"/>
        </w:rPr>
      </w:pPr>
      <w:r>
        <w:rPr/>
        <w:t>（三）总结回顾前期披露的发展战略和经营计划在报告期内的进展</w:t>
      </w:r>
      <w:r>
        <w:rPr>
          <w:b w:val="0"/>
          <w:bCs w:val="0"/>
        </w:rPr>
      </w:r>
    </w:p>
    <w:p>
      <w:pPr>
        <w:spacing w:line="240" w:lineRule="auto" w:before="1"/>
        <w:rPr>
          <w:rFonts w:ascii="Microsoft JhengHei" w:hAnsi="Microsoft JhengHei" w:cs="Microsoft JhengHei" w:eastAsia="Microsoft JhengHei" w:hint="default"/>
          <w:b/>
          <w:bCs/>
          <w:sz w:val="12"/>
          <w:szCs w:val="12"/>
        </w:rPr>
      </w:pPr>
    </w:p>
    <w:p>
      <w:pPr>
        <w:pStyle w:val="Heading5"/>
        <w:spacing w:line="408" w:lineRule="auto" w:before="0"/>
        <w:ind w:right="1157"/>
        <w:jc w:val="left"/>
        <w:rPr>
          <w:rFonts w:ascii="宋体" w:hAnsi="宋体" w:cs="宋体" w:eastAsia="宋体" w:hint="default"/>
        </w:rPr>
      </w:pPr>
      <w:r>
        <w:rPr>
          <w:rFonts w:ascii="宋体" w:hAnsi="宋体" w:cs="宋体" w:eastAsia="宋体" w:hint="default"/>
        </w:rPr>
        <w:t>2019 </w:t>
      </w:r>
      <w:r>
        <w:rPr/>
        <w:t>年，为了进一步推进</w:t>
      </w:r>
      <w:r>
        <w:rPr>
          <w:spacing w:val="-63"/>
        </w:rPr>
        <w:t> </w:t>
      </w:r>
      <w:r>
        <w:rPr>
          <w:rFonts w:ascii="宋体" w:hAnsi="宋体" w:cs="宋体" w:eastAsia="宋体" w:hint="default"/>
          <w:spacing w:val="-63"/>
        </w:rPr>
      </w:r>
      <w:r>
        <w:rPr/>
        <w:t>“智能汽车大脑”的战略部署，公司以数据、算法和算力为核心，不断加</w:t>
      </w:r>
      <w:r>
        <w:rPr>
          <w:w w:val="100"/>
        </w:rPr>
        <w:t> </w:t>
      </w:r>
      <w:r>
        <w:rPr/>
        <w:t>强与产业合作伙伴的沟通和交流，在自动驾驶、汽车电子芯片、智能网联、新能源智能出行解决方案等</w:t>
      </w:r>
      <w:r>
        <w:rPr>
          <w:w w:val="100"/>
        </w:rPr>
        <w:t> </w:t>
      </w:r>
      <w:r>
        <w:rPr/>
        <w:t>领域，通过股权合作、业务协同、联合开发、深度参与产业权威研究等方式，与产业上下游伙伴共同探</w:t>
      </w:r>
      <w:r>
        <w:rPr>
          <w:w w:val="100"/>
        </w:rPr>
        <w:t> </w:t>
      </w:r>
      <w:r>
        <w:rPr/>
        <w:t>索可落地的商业化模式，加速推动新产品</w:t>
      </w:r>
      <w:r>
        <w:rPr>
          <w:rFonts w:ascii="宋体" w:hAnsi="宋体" w:cs="宋体" w:eastAsia="宋体" w:hint="default"/>
        </w:rPr>
        <w:t>/</w:t>
      </w:r>
      <w:r>
        <w:rPr/>
        <w:t>技术验证和量产测试，并在合肥成立了第二总部。</w:t>
      </w:r>
      <w:r>
        <w:rPr>
          <w:rFonts w:ascii="宋体" w:hAnsi="宋体" w:cs="宋体" w:eastAsia="宋体" w:hint="default"/>
        </w:rPr>
        <w:t> </w:t>
      </w:r>
    </w:p>
    <w:p>
      <w:pPr>
        <w:pStyle w:val="Heading5"/>
        <w:spacing w:line="408" w:lineRule="auto" w:before="87"/>
        <w:ind w:right="1157"/>
        <w:jc w:val="left"/>
        <w:rPr>
          <w:rFonts w:ascii="宋体" w:hAnsi="宋体" w:cs="宋体" w:eastAsia="宋体" w:hint="default"/>
        </w:rPr>
      </w:pPr>
      <w:r>
        <w:rPr/>
        <w:t>面对国内汽车销量下行及行业低价竞争对公司业务带来的影响，公司加大内部资源整合力度，加速</w:t>
      </w:r>
      <w:r>
        <w:rPr>
          <w:w w:val="100"/>
        </w:rPr>
        <w:t> </w:t>
      </w:r>
      <w:r>
        <w:rPr/>
        <w:t>推动电子地图数据内外业一体化生产平台的自动化改造以及核心数据、算法、技术栈的云化整合，加强</w:t>
      </w:r>
      <w:r>
        <w:rPr>
          <w:w w:val="100"/>
        </w:rPr>
        <w:t> </w:t>
      </w:r>
      <w:r>
        <w:rPr/>
        <w:t>在线协同能力和</w:t>
      </w:r>
      <w:r>
        <w:rPr>
          <w:spacing w:val="-54"/>
        </w:rPr>
        <w:t> </w:t>
      </w:r>
      <w:r>
        <w:rPr>
          <w:rFonts w:ascii="宋体" w:hAnsi="宋体" w:cs="宋体" w:eastAsia="宋体" w:hint="default"/>
        </w:rPr>
        <w:t>AI</w:t>
      </w:r>
      <w:r>
        <w:rPr>
          <w:rFonts w:ascii="宋体" w:hAnsi="宋体" w:cs="宋体" w:eastAsia="宋体" w:hint="default"/>
          <w:spacing w:val="-56"/>
        </w:rPr>
        <w:t> </w:t>
      </w:r>
      <w:r>
        <w:rPr/>
        <w:t>支撑体系建设，在保障数据及服务品质的前提下，大幅降低</w:t>
      </w:r>
      <w:r>
        <w:rPr>
          <w:spacing w:val="-54"/>
        </w:rPr>
        <w:t> </w:t>
      </w:r>
      <w:r>
        <w:rPr>
          <w:rFonts w:ascii="宋体" w:hAnsi="宋体" w:cs="宋体" w:eastAsia="宋体" w:hint="default"/>
        </w:rPr>
        <w:t>IT</w:t>
      </w:r>
      <w:r>
        <w:rPr>
          <w:rFonts w:ascii="宋体" w:hAnsi="宋体" w:cs="宋体" w:eastAsia="宋体" w:hint="default"/>
          <w:spacing w:val="-56"/>
        </w:rPr>
        <w:t> </w:t>
      </w:r>
      <w:r>
        <w:rPr/>
        <w:t>资源使用成本，明显</w:t>
      </w:r>
      <w:r>
        <w:rPr>
          <w:w w:val="100"/>
        </w:rPr>
        <w:t> </w:t>
      </w:r>
      <w:r>
        <w:rPr/>
        <w:t>提升作业工效，缩短客户端的产品及服务响应周期，为进一步打造可面向不同等级自动驾驶应用需求的</w:t>
      </w:r>
      <w:r>
        <w:rPr>
          <w:w w:val="100"/>
        </w:rPr>
        <w:t> </w:t>
      </w:r>
      <w:r>
        <w:rPr/>
        <w:t>产品体系和综合解决方案服务能力奠定基础。同时，公司重新梳理各业务板块的产品和市场能力，通过</w:t>
      </w:r>
      <w:r>
        <w:rPr>
          <w:w w:val="100"/>
        </w:rPr>
        <w:t> </w:t>
      </w:r>
      <w:r>
        <w:rPr/>
        <w:t>举办 </w:t>
      </w:r>
      <w:r>
        <w:rPr>
          <w:rFonts w:ascii="宋体" w:hAnsi="宋体" w:cs="宋体" w:eastAsia="宋体" w:hint="default"/>
          <w:spacing w:val="-2"/>
        </w:rPr>
        <w:t>Techday</w:t>
      </w:r>
      <w:r>
        <w:rPr>
          <w:spacing w:val="-2"/>
        </w:rPr>
        <w:t>、参与客户及行业交流等多种方式，深度挖掘市场和客户需求变化，有针对性的进行产品和</w:t>
      </w:r>
      <w:r>
        <w:rPr>
          <w:spacing w:val="-70"/>
        </w:rPr>
        <w:t> </w:t>
      </w:r>
      <w:r>
        <w:rPr>
          <w:spacing w:val="-70"/>
        </w:rPr>
      </w:r>
      <w:r>
        <w:rPr/>
        <w:t>解决方案的优化和重组，进一步引导面向未来的新产品开发及技术服务能力建设方向。</w:t>
      </w:r>
      <w:r>
        <w:rPr>
          <w:rFonts w:ascii="宋体" w:hAnsi="宋体" w:cs="宋体" w:eastAsia="宋体" w:hint="default"/>
        </w:rPr>
        <w:t> </w:t>
      </w:r>
    </w:p>
    <w:p>
      <w:pPr>
        <w:pStyle w:val="Heading5"/>
        <w:spacing w:line="408" w:lineRule="auto" w:before="87"/>
        <w:ind w:right="0"/>
        <w:jc w:val="left"/>
      </w:pPr>
      <w:r>
        <w:rPr>
          <w:spacing w:val="-3"/>
        </w:rPr>
        <w:t>报告期内，公司客户合作粘性进一步加强，并在高级辅助驾驶及自动驾驶、位置大数据、车联网等公</w:t>
      </w:r>
      <w:r>
        <w:rPr>
          <w:w w:val="100"/>
        </w:rPr>
        <w:t> </w:t>
      </w:r>
      <w:r>
        <w:rPr>
          <w:spacing w:val="-2"/>
        </w:rPr>
        <w:t>司新业务领域签订量产订单，在新加坡等海外地区落地区域合作项目，在核心关键节点及关键领域取得专</w:t>
      </w:r>
    </w:p>
    <w:p>
      <w:pPr>
        <w:spacing w:after="0" w:line="408"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Heading5"/>
        <w:spacing w:line="408" w:lineRule="auto" w:before="176"/>
        <w:ind w:right="0" w:firstLine="0"/>
        <w:jc w:val="left"/>
        <w:rPr>
          <w:rFonts w:ascii="宋体" w:hAnsi="宋体" w:cs="宋体" w:eastAsia="宋体" w:hint="default"/>
        </w:rPr>
      </w:pPr>
      <w:r>
        <w:rPr>
          <w:spacing w:val="-2"/>
        </w:rPr>
        <w:t>利授权，产品创新能力及客户服务能力得到了来自行业及资本市场众多国内外权威机构的认可。总结回顾</w:t>
      </w:r>
      <w:r>
        <w:rPr>
          <w:spacing w:val="-42"/>
        </w:rPr>
        <w:t> </w:t>
      </w:r>
      <w:r>
        <w:rPr>
          <w:spacing w:val="-42"/>
        </w:rPr>
      </w:r>
      <w:r>
        <w:rPr/>
        <w:t>前期披露的发展战略和经营计划在报告期内的进展，具体如下：</w:t>
      </w:r>
      <w:r>
        <w:rPr>
          <w:rFonts w:ascii="宋体" w:hAnsi="宋体" w:cs="宋体" w:eastAsia="宋体" w:hint="default"/>
        </w:rPr>
        <w:t> </w:t>
      </w:r>
    </w:p>
    <w:p>
      <w:pPr>
        <w:pStyle w:val="Heading5"/>
        <w:spacing w:line="345" w:lineRule="exact" w:before="0"/>
        <w:ind w:right="0" w:firstLine="422"/>
        <w:jc w:val="left"/>
      </w:pPr>
      <w:r>
        <w:rPr>
          <w:rFonts w:ascii="Microsoft JhengHei" w:hAnsi="Microsoft JhengHei" w:cs="Microsoft JhengHei" w:eastAsia="Microsoft JhengHei" w:hint="default"/>
          <w:b/>
          <w:bCs/>
        </w:rPr>
        <w:t>在导航业务方面，</w:t>
      </w:r>
      <w:r>
        <w:rPr/>
        <w:t>公司着力打造行业领先的地图基础数据动态服务能力和云端大数据处理能力，加速</w:t>
      </w:r>
    </w:p>
    <w:p>
      <w:pPr>
        <w:pStyle w:val="Heading5"/>
        <w:spacing w:line="408" w:lineRule="auto" w:before="169"/>
        <w:ind w:right="0" w:firstLine="0"/>
        <w:jc w:val="left"/>
        <w:rPr>
          <w:rFonts w:ascii="宋体" w:hAnsi="宋体" w:cs="宋体" w:eastAsia="宋体" w:hint="default"/>
        </w:rPr>
      </w:pPr>
      <w:r>
        <w:rPr>
          <w:spacing w:val="-2"/>
        </w:rPr>
        <w:t>推进向管理中心化、系统联网化、生产自动化、流程智能化的新一代生产作业体系和运营模式转型。报告</w:t>
      </w:r>
      <w:r>
        <w:rPr>
          <w:spacing w:val="-47"/>
        </w:rPr>
        <w:t> </w:t>
      </w:r>
      <w:r>
        <w:rPr>
          <w:spacing w:val="-47"/>
        </w:rPr>
      </w:r>
      <w:r>
        <w:rPr>
          <w:spacing w:val="-2"/>
        </w:rPr>
        <w:t>期内，公司不断加强可以灵活支撑不同精度地图数据的采、编、出一体化、自动化作业平台能力建设和数</w:t>
      </w:r>
      <w:r>
        <w:rPr>
          <w:spacing w:val="-44"/>
        </w:rPr>
        <w:t> </w:t>
      </w:r>
      <w:r>
        <w:rPr>
          <w:spacing w:val="-44"/>
        </w:rPr>
      </w:r>
      <w:r>
        <w:rPr>
          <w:spacing w:val="-2"/>
        </w:rPr>
        <w:t>据采、编、出全要素人才的培养，应用图像识别、语音识别、多源数据融合、大数据挖掘及采集成果自动</w:t>
      </w:r>
      <w:r>
        <w:rPr>
          <w:spacing w:val="-40"/>
        </w:rPr>
        <w:t> </w:t>
      </w:r>
      <w:r>
        <w:rPr>
          <w:spacing w:val="-40"/>
        </w:rPr>
      </w:r>
      <w:r>
        <w:rPr>
          <w:spacing w:val="-2"/>
        </w:rPr>
        <w:t>录入等前沿技术，不断加强多源数据快速获取、融合和应用服务的一体化支撑，并正式上线第三代企业级</w:t>
      </w:r>
      <w:r>
        <w:rPr>
          <w:spacing w:val="-44"/>
        </w:rPr>
        <w:t> </w:t>
      </w:r>
      <w:r>
        <w:rPr>
          <w:spacing w:val="-44"/>
        </w:rPr>
      </w:r>
      <w:r>
        <w:rPr/>
        <w:t>生产作业体系 </w:t>
      </w:r>
      <w:r>
        <w:rPr>
          <w:rFonts w:ascii="宋体" w:hAnsi="宋体" w:cs="宋体" w:eastAsia="宋体" w:hint="default"/>
          <w:spacing w:val="-4"/>
        </w:rPr>
        <w:t>Fastmap3.0</w:t>
      </w:r>
      <w:r>
        <w:rPr>
          <w:spacing w:val="-4"/>
        </w:rPr>
        <w:t>，在保证数据品质、提升工艺水平与工效的同时，实行全面项目管理机制，大幅</w:t>
      </w:r>
      <w:r>
        <w:rPr>
          <w:spacing w:val="-64"/>
        </w:rPr>
        <w:t> </w:t>
      </w:r>
      <w:r>
        <w:rPr>
          <w:spacing w:val="-64"/>
        </w:rPr>
      </w:r>
      <w:r>
        <w:rPr/>
        <w:t>提升车规级产品的跨区域协同在线生产能力和小时级更新能力。公司面对新型应用场景对地图数据精度、</w:t>
      </w:r>
      <w:r>
        <w:rPr>
          <w:spacing w:val="-24"/>
        </w:rPr>
        <w:t> </w:t>
      </w:r>
      <w:r>
        <w:rPr>
          <w:spacing w:val="-24"/>
        </w:rPr>
      </w:r>
      <w:r>
        <w:rPr>
          <w:spacing w:val="-2"/>
        </w:rPr>
        <w:t>鲜度、精细化程度、数据品质及服务水平等提出的高等级应用要求，日出品能力大幅提升，多个城市数百</w:t>
      </w:r>
      <w:r>
        <w:rPr>
          <w:spacing w:val="-47"/>
        </w:rPr>
        <w:t> </w:t>
      </w:r>
      <w:r>
        <w:rPr>
          <w:spacing w:val="-47"/>
        </w:rPr>
      </w:r>
      <w:r>
        <w:rPr>
          <w:spacing w:val="-2"/>
        </w:rPr>
        <w:t>套停车场专用地图产品已交付车厂客户并联合实施辅助泊车及自动泊车服务测试，三维月度版数据服务能</w:t>
      </w:r>
      <w:r>
        <w:rPr>
          <w:spacing w:val="-42"/>
        </w:rPr>
        <w:t> </w:t>
      </w:r>
      <w:r>
        <w:rPr>
          <w:spacing w:val="-42"/>
        </w:rPr>
      </w:r>
      <w:r>
        <w:rPr/>
        <w:t>力实现全国主要城市覆盖。</w:t>
      </w:r>
      <w:r>
        <w:rPr>
          <w:rFonts w:ascii="宋体" w:hAnsi="宋体" w:cs="宋体" w:eastAsia="宋体" w:hint="default"/>
        </w:rPr>
        <w:t> </w:t>
      </w:r>
    </w:p>
    <w:p>
      <w:pPr>
        <w:pStyle w:val="Heading5"/>
        <w:spacing w:line="408" w:lineRule="auto"/>
        <w:ind w:right="1263"/>
        <w:jc w:val="both"/>
        <w:rPr>
          <w:rFonts w:ascii="宋体" w:hAnsi="宋体" w:cs="宋体" w:eastAsia="宋体" w:hint="default"/>
        </w:rPr>
      </w:pPr>
      <w:r>
        <w:rPr>
          <w:spacing w:val="-2"/>
        </w:rPr>
        <w:t>公司进一步加强体系化快速更新和动态服务能力建设，积极推进导航引擎算法、数据格式、服务器</w:t>
      </w:r>
      <w:r>
        <w:rPr>
          <w:w w:val="100"/>
        </w:rPr>
        <w:t> </w:t>
      </w:r>
      <w:r>
        <w:rPr>
          <w:spacing w:val="-2"/>
        </w:rPr>
        <w:t>架构等技术和能力的迭代升级，不断增强地图数据与导航数据编译服务及混合导航调用服务的动态融合</w:t>
      </w:r>
      <w:r>
        <w:rPr>
          <w:spacing w:val="-21"/>
        </w:rPr>
        <w:t> </w:t>
      </w:r>
      <w:r>
        <w:rPr>
          <w:spacing w:val="-21"/>
        </w:rPr>
      </w:r>
      <w:r>
        <w:rPr>
          <w:spacing w:val="-2"/>
        </w:rPr>
        <w:t>及整体解决方案服务能力。报告期内，公司加速推进导航终端应用与后台服务平台的整合能力，面向车</w:t>
      </w:r>
      <w:r>
        <w:rPr>
          <w:spacing w:val="-21"/>
        </w:rPr>
        <w:t> </w:t>
      </w:r>
      <w:r>
        <w:rPr>
          <w:spacing w:val="-21"/>
        </w:rPr>
      </w:r>
      <w:r>
        <w:rPr>
          <w:spacing w:val="-2"/>
        </w:rPr>
        <w:t>企客户的在线响应速度和服务能力得到全面提升，</w:t>
      </w:r>
      <w:r>
        <w:rPr>
          <w:rFonts w:ascii="宋体" w:hAnsi="宋体" w:cs="宋体" w:eastAsia="宋体" w:hint="default"/>
          <w:spacing w:val="-2"/>
        </w:rPr>
        <w:t>AR</w:t>
      </w:r>
      <w:r>
        <w:rPr>
          <w:rFonts w:ascii="宋体" w:hAnsi="宋体" w:cs="宋体" w:eastAsia="宋体" w:hint="default"/>
        </w:rPr>
        <w:t> </w:t>
      </w:r>
      <w:r>
        <w:rPr>
          <w:spacing w:val="-2"/>
        </w:rPr>
        <w:t>导航解决方案实现前装车型量产，与合作伙伴共同</w:t>
      </w:r>
      <w:r>
        <w:rPr>
          <w:spacing w:val="-75"/>
        </w:rPr>
        <w:t> </w:t>
      </w:r>
      <w:r>
        <w:rPr>
          <w:spacing w:val="-75"/>
        </w:rPr>
      </w:r>
      <w:r>
        <w:rPr/>
        <w:t>打造的</w:t>
      </w:r>
      <w:r>
        <w:rPr>
          <w:spacing w:val="-54"/>
        </w:rPr>
        <w:t> </w:t>
      </w:r>
      <w:r>
        <w:rPr>
          <w:rFonts w:ascii="宋体" w:hAnsi="宋体" w:cs="宋体" w:eastAsia="宋体" w:hint="default"/>
        </w:rPr>
        <w:t>AR-HUD</w:t>
      </w:r>
      <w:r>
        <w:rPr>
          <w:rFonts w:ascii="宋体" w:hAnsi="宋体" w:cs="宋体" w:eastAsia="宋体" w:hint="default"/>
          <w:spacing w:val="-57"/>
        </w:rPr>
        <w:t> </w:t>
      </w:r>
      <w:r>
        <w:rPr/>
        <w:t>导航已具备对接车厂前装需求的量产条件，低成本</w:t>
      </w:r>
      <w:r>
        <w:rPr>
          <w:spacing w:val="-54"/>
        </w:rPr>
        <w:t> </w:t>
      </w:r>
      <w:r>
        <w:rPr>
          <w:rFonts w:ascii="宋体" w:hAnsi="宋体" w:cs="宋体" w:eastAsia="宋体" w:hint="default"/>
        </w:rPr>
        <w:t>GenNDS</w:t>
      </w:r>
      <w:r>
        <w:rPr>
          <w:rFonts w:ascii="宋体" w:hAnsi="宋体" w:cs="宋体" w:eastAsia="宋体" w:hint="default"/>
          <w:spacing w:val="-55"/>
        </w:rPr>
        <w:t> </w:t>
      </w:r>
      <w:r>
        <w:rPr/>
        <w:t>编译服务向上可支持传统导航</w:t>
      </w:r>
      <w:r>
        <w:rPr>
          <w:w w:val="100"/>
        </w:rPr>
        <w:t> </w:t>
      </w:r>
      <w:r>
        <w:rPr/>
        <w:t>及</w:t>
      </w:r>
      <w:r>
        <w:rPr>
          <w:spacing w:val="-54"/>
        </w:rPr>
        <w:t> </w:t>
      </w:r>
      <w:r>
        <w:rPr>
          <w:rFonts w:ascii="宋体" w:hAnsi="宋体" w:cs="宋体" w:eastAsia="宋体" w:hint="default"/>
        </w:rPr>
        <w:t>ADAS</w:t>
      </w:r>
      <w:r>
        <w:rPr>
          <w:rFonts w:ascii="宋体" w:hAnsi="宋体" w:cs="宋体" w:eastAsia="宋体" w:hint="default"/>
          <w:spacing w:val="-55"/>
        </w:rPr>
        <w:t> </w:t>
      </w:r>
      <w:r>
        <w:rPr/>
        <w:t>地图编译应用。</w:t>
      </w:r>
      <w:r>
        <w:rPr>
          <w:rFonts w:ascii="宋体" w:hAnsi="宋体" w:cs="宋体" w:eastAsia="宋体" w:hint="default"/>
        </w:rPr>
        <w:t> </w:t>
      </w:r>
    </w:p>
    <w:p>
      <w:pPr>
        <w:spacing w:line="345" w:lineRule="exact" w:before="0"/>
        <w:ind w:left="152" w:right="0" w:firstLine="42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在高级辅助驾驶和自动驾驶业务方面，</w:t>
      </w:r>
      <w:r>
        <w:rPr>
          <w:rFonts w:ascii="宋体" w:hAnsi="宋体" w:cs="宋体" w:eastAsia="宋体" w:hint="default"/>
          <w:sz w:val="21"/>
          <w:szCs w:val="21"/>
        </w:rPr>
        <w:t>公司积极打造可面向不同等级自动驾驶应用需求的云端一站式</w:t>
      </w:r>
    </w:p>
    <w:p>
      <w:pPr>
        <w:pStyle w:val="Heading5"/>
        <w:spacing w:line="408" w:lineRule="auto" w:before="169"/>
        <w:ind w:right="1127" w:firstLine="0"/>
        <w:jc w:val="both"/>
        <w:rPr>
          <w:rFonts w:ascii="Arial" w:hAnsi="Arial" w:cs="Arial" w:eastAsia="Arial" w:hint="default"/>
        </w:rPr>
      </w:pPr>
      <w:r>
        <w:rPr>
          <w:spacing w:val="-2"/>
        </w:rPr>
        <w:t>平台服务能力。报告期内，公司强力推动核心算法、数据和技术栈的云化整合，打通内部数据隔离墙，整</w:t>
      </w:r>
      <w:r>
        <w:rPr>
          <w:spacing w:val="-43"/>
        </w:rPr>
        <w:t> </w:t>
      </w:r>
      <w:r>
        <w:rPr>
          <w:spacing w:val="-43"/>
        </w:rPr>
      </w:r>
      <w:r>
        <w:rPr>
          <w:spacing w:val="-2"/>
        </w:rPr>
        <w:t>合数据存储格式，聚合优秀算法，在行业内率先完成“自动成图算法体系”和“自动驾驶算法体系”统一</w:t>
      </w:r>
      <w:r>
        <w:rPr>
          <w:spacing w:val="-42"/>
        </w:rPr>
        <w:t> </w:t>
      </w:r>
      <w:r>
        <w:rPr>
          <w:spacing w:val="-42"/>
        </w:rPr>
      </w:r>
      <w:r>
        <w:rPr>
          <w:rFonts w:ascii="宋体" w:hAnsi="宋体" w:cs="宋体" w:eastAsia="宋体" w:hint="default"/>
        </w:rPr>
        <w:t>AI</w:t>
      </w:r>
      <w:r>
        <w:rPr>
          <w:rFonts w:ascii="宋体" w:hAnsi="宋体" w:cs="宋体" w:eastAsia="宋体" w:hint="default"/>
          <w:spacing w:val="-45"/>
        </w:rPr>
        <w:t> </w:t>
      </w:r>
      <w:r>
        <w:rPr/>
        <w:t>支撑。对内形成中台聚合效应，大幅降低</w:t>
      </w:r>
      <w:r>
        <w:rPr>
          <w:spacing w:val="-45"/>
        </w:rPr>
        <w:t> </w:t>
      </w:r>
      <w:r>
        <w:rPr>
          <w:rFonts w:ascii="宋体" w:hAnsi="宋体" w:cs="宋体" w:eastAsia="宋体" w:hint="default"/>
        </w:rPr>
        <w:t>IT</w:t>
      </w:r>
      <w:r>
        <w:rPr>
          <w:rFonts w:ascii="宋体" w:hAnsi="宋体" w:cs="宋体" w:eastAsia="宋体" w:hint="default"/>
          <w:spacing w:val="-47"/>
        </w:rPr>
        <w:t> </w:t>
      </w:r>
      <w:r>
        <w:rPr/>
        <w:t>整体运营成本，提升资源利用效率和协同能力，对外形成</w:t>
      </w:r>
      <w:r>
        <w:rPr>
          <w:w w:val="100"/>
        </w:rPr>
        <w:t> </w:t>
      </w:r>
      <w:r>
        <w:rPr/>
        <w:t>发展合力，满足国内外</w:t>
      </w:r>
      <w:r>
        <w:rPr>
          <w:spacing w:val="-36"/>
        </w:rPr>
        <w:t> </w:t>
      </w:r>
      <w:r>
        <w:rPr>
          <w:rFonts w:ascii="宋体" w:hAnsi="宋体" w:cs="宋体" w:eastAsia="宋体" w:hint="default"/>
        </w:rPr>
        <w:t>OEM</w:t>
      </w:r>
      <w:r>
        <w:rPr>
          <w:rFonts w:ascii="宋体" w:hAnsi="宋体" w:cs="宋体" w:eastAsia="宋体" w:hint="default"/>
          <w:spacing w:val="-37"/>
        </w:rPr>
        <w:t> </w:t>
      </w:r>
      <w:r>
        <w:rPr/>
        <w:t>及</w:t>
      </w:r>
      <w:r>
        <w:rPr>
          <w:spacing w:val="-33"/>
        </w:rPr>
        <w:t> </w:t>
      </w:r>
      <w:r>
        <w:rPr>
          <w:rFonts w:ascii="宋体" w:hAnsi="宋体" w:cs="宋体" w:eastAsia="宋体" w:hint="default"/>
        </w:rPr>
        <w:t>Tier-1</w:t>
      </w:r>
      <w:r>
        <w:rPr>
          <w:rFonts w:ascii="宋体" w:hAnsi="宋体" w:cs="宋体" w:eastAsia="宋体" w:hint="default"/>
          <w:spacing w:val="-34"/>
        </w:rPr>
        <w:t> </w:t>
      </w:r>
      <w:r>
        <w:rPr/>
        <w:t>客户建立自动驾驶数据统一存储框架的需求，并可以为原型车数据</w:t>
      </w:r>
      <w:r>
        <w:rPr>
          <w:w w:val="100"/>
        </w:rPr>
        <w:t> </w:t>
      </w:r>
      <w:r>
        <w:rPr/>
        <w:t>采集、量产车数据收集、自动驾驶能力验证及预研提供综合解决方案。</w:t>
      </w:r>
      <w:r>
        <w:rPr>
          <w:rFonts w:ascii="Arial" w:hAnsi="Arial" w:cs="Arial" w:eastAsia="Arial" w:hint="default"/>
          <w:b/>
          <w:bCs/>
          <w:w w:val="180"/>
        </w:rPr>
        <w:t> </w:t>
      </w:r>
      <w:r>
        <w:rPr>
          <w:rFonts w:ascii="Arial" w:hAnsi="Arial" w:cs="Arial" w:eastAsia="Arial" w:hint="default"/>
        </w:rPr>
      </w:r>
    </w:p>
    <w:p>
      <w:pPr>
        <w:pStyle w:val="Heading5"/>
        <w:spacing w:line="408" w:lineRule="auto"/>
        <w:ind w:right="1020"/>
        <w:jc w:val="left"/>
      </w:pPr>
      <w:r>
        <w:rPr/>
        <w:t>报告期内，公司加速推进高精度地图数据自动化生产工艺和更新体系升级，积极打造面向</w:t>
      </w:r>
      <w:r>
        <w:rPr>
          <w:spacing w:val="-58"/>
        </w:rPr>
        <w:t> </w:t>
      </w:r>
      <w:r>
        <w:rPr>
          <w:rFonts w:ascii="宋体" w:hAnsi="宋体" w:cs="宋体" w:eastAsia="宋体" w:hint="default"/>
        </w:rPr>
        <w:t>L2-L4</w:t>
      </w:r>
      <w:r>
        <w:rPr>
          <w:rFonts w:ascii="宋体" w:hAnsi="宋体" w:cs="宋体" w:eastAsia="宋体" w:hint="default"/>
          <w:spacing w:val="-61"/>
        </w:rPr>
        <w:t> </w:t>
      </w:r>
      <w:r>
        <w:rPr/>
        <w:t>不同</w:t>
      </w:r>
      <w:r>
        <w:rPr>
          <w:w w:val="100"/>
        </w:rPr>
        <w:t> </w:t>
      </w:r>
      <w:r>
        <w:rPr/>
        <w:t>等级自动驾驶、</w:t>
      </w:r>
      <w:r>
        <w:rPr>
          <w:rFonts w:ascii="宋体" w:hAnsi="宋体" w:cs="宋体" w:eastAsia="宋体" w:hint="default"/>
        </w:rPr>
        <w:t>5G/C-V2X</w:t>
      </w:r>
      <w:r>
        <w:rPr/>
        <w:t>、自动驾驶仿真测试等领域的高精度地图数据动态更新及应用能力。报告期内，</w:t>
      </w:r>
      <w:r>
        <w:rPr>
          <w:spacing w:val="-24"/>
        </w:rPr>
        <w:t> </w:t>
      </w:r>
      <w:r>
        <w:rPr>
          <w:spacing w:val="-24"/>
        </w:rPr>
      </w:r>
      <w:r>
        <w:rPr/>
        <w:t>公司高精度地图数据生产和更新能力持续保持行业领先水平，通过</w:t>
      </w:r>
      <w:r>
        <w:rPr>
          <w:spacing w:val="-47"/>
        </w:rPr>
        <w:t> </w:t>
      </w:r>
      <w:r>
        <w:rPr>
          <w:rFonts w:ascii="宋体" w:hAnsi="宋体" w:cs="宋体" w:eastAsia="宋体" w:hint="default"/>
        </w:rPr>
        <w:t>ISO9001</w:t>
      </w:r>
      <w:r>
        <w:rPr>
          <w:rFonts w:ascii="宋体" w:hAnsi="宋体" w:cs="宋体" w:eastAsia="宋体" w:hint="default"/>
          <w:spacing w:val="-48"/>
        </w:rPr>
        <w:t> </w:t>
      </w:r>
      <w:r>
        <w:rPr/>
        <w:t>及</w:t>
      </w:r>
      <w:r>
        <w:rPr>
          <w:spacing w:val="-45"/>
        </w:rPr>
        <w:t> </w:t>
      </w:r>
      <w:r>
        <w:rPr>
          <w:rFonts w:ascii="宋体" w:hAnsi="宋体" w:cs="宋体" w:eastAsia="宋体" w:hint="default"/>
        </w:rPr>
        <w:t>ASPICE</w:t>
      </w:r>
      <w:r>
        <w:rPr>
          <w:rFonts w:ascii="宋体" w:hAnsi="宋体" w:cs="宋体" w:eastAsia="宋体" w:hint="default"/>
          <w:spacing w:val="51"/>
        </w:rPr>
        <w:t> </w:t>
      </w:r>
      <w:r>
        <w:rPr>
          <w:rFonts w:ascii="宋体" w:hAnsi="宋体" w:cs="宋体" w:eastAsia="宋体" w:hint="default"/>
        </w:rPr>
        <w:t>CL2</w:t>
      </w:r>
      <w:r>
        <w:rPr>
          <w:rFonts w:ascii="宋体" w:hAnsi="宋体" w:cs="宋体" w:eastAsia="宋体" w:hint="default"/>
          <w:spacing w:val="-45"/>
        </w:rPr>
        <w:t> </w:t>
      </w:r>
      <w:r>
        <w:rPr/>
        <w:t>级（汽车行业</w:t>
      </w:r>
      <w:r>
        <w:rPr>
          <w:w w:val="100"/>
        </w:rPr>
        <w:t> </w:t>
      </w:r>
      <w:r>
        <w:rPr/>
        <w:t>软件过程改进和能力评估模型二级）审核认证，参与全球自动驾驶地图编译标准制定与产品开发，协同国</w:t>
      </w:r>
      <w:r>
        <w:rPr>
          <w:w w:val="100"/>
        </w:rPr>
        <w:t> </w:t>
      </w:r>
      <w:r>
        <w:rPr/>
        <w:t>际 </w:t>
      </w:r>
      <w:r>
        <w:rPr>
          <w:rFonts w:ascii="宋体" w:hAnsi="宋体" w:cs="宋体" w:eastAsia="宋体" w:hint="default"/>
        </w:rPr>
        <w:t>OEM</w:t>
      </w:r>
      <w:r>
        <w:rPr>
          <w:rFonts w:ascii="宋体" w:hAnsi="宋体" w:cs="宋体" w:eastAsia="宋体" w:hint="default"/>
          <w:spacing w:val="-28"/>
        </w:rPr>
        <w:t> </w:t>
      </w:r>
      <w:r>
        <w:rPr/>
        <w:t>进行联合测试并获得客户及行业机构的广泛认可，与宝马签订自动驾驶地图及相关服务许可协议，</w:t>
      </w:r>
      <w:r>
        <w:rPr>
          <w:w w:val="100"/>
        </w:rPr>
        <w:t> </w:t>
      </w:r>
      <w:r>
        <w:rPr/>
        <w:t>将为其在中国量产上市的新平台车型提供面向 </w:t>
      </w:r>
      <w:r>
        <w:rPr>
          <w:rFonts w:ascii="宋体" w:hAnsi="宋体" w:cs="宋体" w:eastAsia="宋体" w:hint="default"/>
        </w:rPr>
        <w:t>L3</w:t>
      </w:r>
      <w:r>
        <w:rPr>
          <w:rFonts w:ascii="宋体" w:hAnsi="宋体" w:cs="宋体" w:eastAsia="宋体" w:hint="default"/>
          <w:spacing w:val="-28"/>
        </w:rPr>
        <w:t> </w:t>
      </w:r>
      <w:r>
        <w:rPr/>
        <w:t>级及以上自动驾驶系统的自动驾驶地图产品及服务，与</w:t>
      </w:r>
    </w:p>
    <w:p>
      <w:pPr>
        <w:spacing w:after="0" w:line="408"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Heading5"/>
        <w:spacing w:line="408" w:lineRule="auto" w:before="176"/>
        <w:ind w:right="1126" w:firstLine="0"/>
        <w:jc w:val="both"/>
        <w:rPr>
          <w:rFonts w:ascii="宋体" w:hAnsi="宋体" w:cs="宋体" w:eastAsia="宋体" w:hint="default"/>
        </w:rPr>
      </w:pPr>
      <w:r>
        <w:rPr>
          <w:spacing w:val="-2"/>
        </w:rPr>
        <w:t>华为在高精度地图等领域建立战略合作关系，参与中国自然资源航空物探遥感中心委托的北斗车道级导航</w:t>
      </w:r>
      <w:r>
        <w:rPr>
          <w:spacing w:val="-43"/>
        </w:rPr>
        <w:t> </w:t>
      </w:r>
      <w:r>
        <w:rPr>
          <w:spacing w:val="-43"/>
        </w:rPr>
      </w:r>
      <w:r>
        <w:rPr/>
        <w:t>应用示范项目，作为牵头单位参编高精地图国家标准并已于</w:t>
      </w:r>
      <w:r>
        <w:rPr>
          <w:spacing w:val="-34"/>
        </w:rPr>
        <w:t> </w:t>
      </w:r>
      <w:r>
        <w:rPr>
          <w:rFonts w:ascii="宋体" w:hAnsi="宋体" w:cs="宋体" w:eastAsia="宋体" w:hint="default"/>
        </w:rPr>
        <w:t>2019</w:t>
      </w:r>
      <w:r>
        <w:rPr>
          <w:rFonts w:ascii="宋体" w:hAnsi="宋体" w:cs="宋体" w:eastAsia="宋体" w:hint="default"/>
          <w:spacing w:val="-35"/>
        </w:rPr>
        <w:t> </w:t>
      </w:r>
      <w:r>
        <w:rPr/>
        <w:t>年</w:t>
      </w:r>
      <w:r>
        <w:rPr>
          <w:spacing w:val="-34"/>
        </w:rPr>
        <w:t> </w:t>
      </w:r>
      <w:r>
        <w:rPr>
          <w:rFonts w:ascii="宋体" w:hAnsi="宋体" w:cs="宋体" w:eastAsia="宋体" w:hint="default"/>
        </w:rPr>
        <w:t>7</w:t>
      </w:r>
      <w:r>
        <w:rPr>
          <w:rFonts w:ascii="宋体" w:hAnsi="宋体" w:cs="宋体" w:eastAsia="宋体" w:hint="default"/>
          <w:spacing w:val="-32"/>
        </w:rPr>
        <w:t> </w:t>
      </w:r>
      <w:r>
        <w:rPr/>
        <w:t>月开始向全社会征求意见。为了进</w:t>
      </w:r>
      <w:r>
        <w:rPr>
          <w:w w:val="100"/>
        </w:rPr>
        <w:t> </w:t>
      </w:r>
      <w:r>
        <w:rPr>
          <w:spacing w:val="-2"/>
        </w:rPr>
        <w:t>一步推进高精度地图产品的应用能力和商业化进程，公司与德赛西威、</w:t>
      </w:r>
      <w:r>
        <w:rPr>
          <w:rFonts w:ascii="宋体" w:hAnsi="宋体" w:cs="宋体" w:eastAsia="宋体" w:hint="default"/>
          <w:spacing w:val="-2"/>
        </w:rPr>
        <w:t>Ibeo</w:t>
      </w:r>
      <w:r>
        <w:rPr>
          <w:spacing w:val="-2"/>
        </w:rPr>
        <w:t>、亮道等产业链上下游合作伙</w:t>
      </w:r>
      <w:r>
        <w:rPr>
          <w:spacing w:val="-41"/>
        </w:rPr>
        <w:t> </w:t>
      </w:r>
      <w:r>
        <w:rPr>
          <w:spacing w:val="-41"/>
        </w:rPr>
      </w:r>
      <w:r>
        <w:rPr/>
        <w:t>伴在联合验证等领域不断拓展合作关系。</w:t>
      </w:r>
      <w:r>
        <w:rPr>
          <w:rFonts w:ascii="宋体" w:hAnsi="宋体" w:cs="宋体" w:eastAsia="宋体" w:hint="default"/>
        </w:rPr>
        <w:t> </w:t>
      </w:r>
    </w:p>
    <w:p>
      <w:pPr>
        <w:pStyle w:val="Heading5"/>
        <w:spacing w:line="408" w:lineRule="auto"/>
        <w:ind w:right="1126"/>
        <w:jc w:val="both"/>
        <w:rPr>
          <w:rFonts w:ascii="宋体" w:hAnsi="宋体" w:cs="宋体" w:eastAsia="宋体" w:hint="default"/>
        </w:rPr>
      </w:pPr>
      <w:r>
        <w:rPr>
          <w:spacing w:val="-2"/>
        </w:rPr>
        <w:t>报告期内，公司加速推动基于全国北斗地基增强网络的高精度定位算法、解算平台及终端硬件的产品</w:t>
      </w:r>
      <w:r>
        <w:rPr>
          <w:w w:val="100"/>
        </w:rPr>
        <w:t> </w:t>
      </w:r>
      <w:r>
        <w:rPr/>
        <w:t>研发及验证进度，完成近</w:t>
      </w:r>
      <w:r>
        <w:rPr>
          <w:spacing w:val="-42"/>
        </w:rPr>
        <w:t> </w:t>
      </w:r>
      <w:r>
        <w:rPr>
          <w:rFonts w:ascii="宋体" w:hAnsi="宋体" w:cs="宋体" w:eastAsia="宋体" w:hint="default"/>
        </w:rPr>
        <w:t>2000</w:t>
      </w:r>
      <w:r>
        <w:rPr>
          <w:rFonts w:ascii="宋体" w:hAnsi="宋体" w:cs="宋体" w:eastAsia="宋体" w:hint="default"/>
          <w:spacing w:val="-41"/>
        </w:rPr>
        <w:t> </w:t>
      </w:r>
      <w:r>
        <w:rPr/>
        <w:t>个</w:t>
      </w:r>
      <w:r>
        <w:rPr>
          <w:spacing w:val="-40"/>
        </w:rPr>
        <w:t> </w:t>
      </w:r>
      <w:r>
        <w:rPr>
          <w:rFonts w:ascii="宋体" w:hAnsi="宋体" w:cs="宋体" w:eastAsia="宋体" w:hint="default"/>
        </w:rPr>
        <w:t>CORS</w:t>
      </w:r>
      <w:r>
        <w:rPr>
          <w:rFonts w:ascii="宋体" w:hAnsi="宋体" w:cs="宋体" w:eastAsia="宋体" w:hint="default"/>
          <w:spacing w:val="-40"/>
        </w:rPr>
        <w:t> </w:t>
      </w:r>
      <w:r>
        <w:rPr>
          <w:spacing w:val="-3"/>
        </w:rPr>
        <w:t>基站建设及部署，已在重点区域具备了“网</w:t>
      </w:r>
      <w:r>
        <w:rPr>
          <w:rFonts w:ascii="宋体" w:hAnsi="宋体" w:cs="宋体" w:eastAsia="宋体" w:hint="default"/>
          <w:spacing w:val="-3"/>
        </w:rPr>
        <w:t>-</w:t>
      </w:r>
      <w:r>
        <w:rPr>
          <w:spacing w:val="-3"/>
        </w:rPr>
        <w:t>云</w:t>
      </w:r>
      <w:r>
        <w:rPr>
          <w:rFonts w:ascii="宋体" w:hAnsi="宋体" w:cs="宋体" w:eastAsia="宋体" w:hint="default"/>
          <w:spacing w:val="-3"/>
        </w:rPr>
        <w:t>-</w:t>
      </w:r>
      <w:r>
        <w:rPr>
          <w:spacing w:val="-3"/>
        </w:rPr>
        <w:t>端”完整解决方案</w:t>
      </w:r>
      <w:r>
        <w:rPr>
          <w:spacing w:val="-99"/>
        </w:rPr>
        <w:t> </w:t>
      </w:r>
      <w:r>
        <w:rPr>
          <w:spacing w:val="-99"/>
        </w:rPr>
      </w:r>
      <w:r>
        <w:rPr>
          <w:spacing w:val="-5"/>
        </w:rPr>
        <w:t>商业化能力，并成功增项国家大地测量甲级测绘资质，终端模组产品计划</w:t>
      </w:r>
      <w:r>
        <w:rPr>
          <w:spacing w:val="-15"/>
        </w:rPr>
        <w:t> </w:t>
      </w:r>
      <w:r>
        <w:rPr>
          <w:rFonts w:ascii="宋体" w:hAnsi="宋体" w:cs="宋体" w:eastAsia="宋体" w:hint="default"/>
        </w:rPr>
        <w:t>2020</w:t>
      </w:r>
      <w:r>
        <w:rPr>
          <w:rFonts w:ascii="宋体" w:hAnsi="宋体" w:cs="宋体" w:eastAsia="宋体" w:hint="default"/>
          <w:spacing w:val="-16"/>
        </w:rPr>
        <w:t> </w:t>
      </w:r>
      <w:r>
        <w:rPr>
          <w:spacing w:val="-6"/>
        </w:rPr>
        <w:t>年实现量产。公司为了进一</w:t>
      </w:r>
      <w:r>
        <w:rPr>
          <w:spacing w:val="-87"/>
        </w:rPr>
        <w:t> </w:t>
      </w:r>
      <w:r>
        <w:rPr>
          <w:spacing w:val="-87"/>
        </w:rPr>
      </w:r>
      <w:r>
        <w:rPr/>
        <w:t>步推动</w:t>
      </w:r>
      <w:r>
        <w:rPr>
          <w:spacing w:val="-65"/>
        </w:rPr>
        <w:t> </w:t>
      </w:r>
      <w:r>
        <w:rPr>
          <w:rFonts w:ascii="宋体" w:hAnsi="宋体" w:cs="宋体" w:eastAsia="宋体" w:hint="default"/>
        </w:rPr>
        <w:t>RTK</w:t>
      </w:r>
      <w:r>
        <w:rPr>
          <w:rFonts w:ascii="宋体" w:hAnsi="宋体" w:cs="宋体" w:eastAsia="宋体" w:hint="default"/>
          <w:spacing w:val="-66"/>
        </w:rPr>
        <w:t> </w:t>
      </w:r>
      <w:r>
        <w:rPr/>
        <w:t>高精度定位产品和服务的商业化进程，通过以子公司北京六分科技有限公司为主体进行增资扩</w:t>
      </w:r>
      <w:r>
        <w:rPr>
          <w:w w:val="100"/>
        </w:rPr>
        <w:t> </w:t>
      </w:r>
      <w:r>
        <w:rPr>
          <w:spacing w:val="-2"/>
        </w:rPr>
        <w:t>股的方式，引进中国电信、互联网基金等战略投资者和产业优质资源，不断推进产业协同，并与海克斯康</w:t>
      </w:r>
      <w:r>
        <w:rPr>
          <w:spacing w:val="-50"/>
        </w:rPr>
        <w:t> </w:t>
      </w:r>
      <w:r>
        <w:rPr>
          <w:spacing w:val="-50"/>
        </w:rPr>
      </w:r>
      <w:r>
        <w:rPr>
          <w:spacing w:val="-3"/>
        </w:rPr>
        <w:t>建立战略合作伙伴关系。公司基于 </w:t>
      </w:r>
      <w:r>
        <w:rPr>
          <w:rFonts w:ascii="宋体" w:hAnsi="宋体" w:cs="宋体" w:eastAsia="宋体" w:hint="default"/>
          <w:spacing w:val="-4"/>
        </w:rPr>
        <w:t>GNSS</w:t>
      </w:r>
      <w:r>
        <w:rPr>
          <w:spacing w:val="-4"/>
        </w:rPr>
        <w:t>、视觉、惯导、激光雷达、高精度地图等车身传感器数据融合，辅</w:t>
      </w:r>
      <w:r>
        <w:rPr>
          <w:spacing w:val="-66"/>
        </w:rPr>
        <w:t> </w:t>
      </w:r>
      <w:r>
        <w:rPr>
          <w:spacing w:val="-66"/>
        </w:rPr>
      </w:r>
      <w:r>
        <w:rPr>
          <w:spacing w:val="-2"/>
        </w:rPr>
        <w:t>助自动驾驶车辆在隧道、山区、城市楼宇间等特定场景下的精准定位服务能力不断提升，正在通过与多个</w:t>
      </w:r>
      <w:r>
        <w:rPr>
          <w:spacing w:val="-43"/>
        </w:rPr>
        <w:t> </w:t>
      </w:r>
      <w:r>
        <w:rPr>
          <w:spacing w:val="-43"/>
        </w:rPr>
      </w:r>
      <w:r>
        <w:rPr/>
        <w:t>车厂联合开发项目加速推进商业化验证进程。</w:t>
      </w:r>
      <w:r>
        <w:rPr>
          <w:rFonts w:ascii="宋体" w:hAnsi="宋体" w:cs="宋体" w:eastAsia="宋体" w:hint="default"/>
        </w:rPr>
        <w:t> </w:t>
      </w:r>
    </w:p>
    <w:p>
      <w:pPr>
        <w:pStyle w:val="Heading5"/>
        <w:spacing w:line="408" w:lineRule="auto"/>
        <w:ind w:right="0"/>
        <w:jc w:val="left"/>
      </w:pPr>
      <w:r>
        <w:rPr>
          <w:spacing w:val="-6"/>
          <w:w w:val="100"/>
        </w:rPr>
        <w:t>报告期内，公司基于在高精度地图和高精度定位领域的技术研发及行业优势，不断提升面向</w:t>
      </w:r>
      <w:r>
        <w:rPr>
          <w:spacing w:val="-49"/>
          <w:w w:val="100"/>
        </w:rPr>
        <w:t> </w:t>
      </w:r>
      <w:r>
        <w:rPr>
          <w:rFonts w:ascii="宋体" w:hAnsi="宋体" w:cs="宋体" w:eastAsia="宋体" w:hint="default"/>
          <w:spacing w:val="-1"/>
          <w:w w:val="100"/>
        </w:rPr>
        <w:t>5G/C-V2X</w:t>
      </w:r>
      <w:r>
        <w:rPr>
          <w:spacing w:val="-1"/>
          <w:w w:val="100"/>
        </w:rPr>
        <w:t>、</w:t>
      </w:r>
      <w:r>
        <w:rPr>
          <w:w w:val="100"/>
        </w:rPr>
        <w:t> </w:t>
      </w:r>
      <w:r>
        <w:rPr/>
        <w:t>高等级自动驾驶、仿真测试等领域的前沿技术研发、验证及商业化服务能力。公司基于 </w:t>
      </w:r>
      <w:r>
        <w:rPr>
          <w:rFonts w:ascii="宋体" w:hAnsi="宋体" w:cs="宋体" w:eastAsia="宋体" w:hint="default"/>
        </w:rPr>
        <w:t>16</w:t>
      </w:r>
      <w:r>
        <w:rPr>
          <w:rFonts w:ascii="宋体" w:hAnsi="宋体" w:cs="宋体" w:eastAsia="宋体" w:hint="default"/>
          <w:spacing w:val="-28"/>
        </w:rPr>
        <w:t> </w:t>
      </w:r>
      <w:r>
        <w:rPr/>
        <w:t>线激光雷达和</w:t>
      </w:r>
      <w:r>
        <w:rPr>
          <w:w w:val="100"/>
        </w:rPr>
        <w:t> </w:t>
      </w:r>
      <w:r>
        <w:rPr/>
        <w:t>单目视觉的低成本自动驾驶解决方案率先获得北京市自动驾驶车辆道路测试 </w:t>
      </w:r>
      <w:r>
        <w:rPr>
          <w:rFonts w:ascii="宋体" w:hAnsi="宋体" w:cs="宋体" w:eastAsia="宋体" w:hint="default"/>
        </w:rPr>
        <w:t>T3</w:t>
      </w:r>
      <w:r>
        <w:rPr>
          <w:rFonts w:ascii="宋体" w:hAnsi="宋体" w:cs="宋体" w:eastAsia="宋体" w:hint="default"/>
          <w:spacing w:val="-29"/>
        </w:rPr>
        <w:t> </w:t>
      </w:r>
      <w:r>
        <w:rPr/>
        <w:t>牌照，通过参与政府合作</w:t>
      </w:r>
      <w:r>
        <w:rPr>
          <w:w w:val="100"/>
        </w:rPr>
        <w:t> </w:t>
      </w:r>
      <w:r>
        <w:rPr/>
        <w:t>项目，真实道路实测里程持续增加。公司作为高精度地图合作商，为延崇高速（北京段）长隧道双向四车</w:t>
      </w:r>
      <w:r>
        <w:rPr>
          <w:w w:val="100"/>
        </w:rPr>
        <w:t> </w:t>
      </w:r>
      <w:r>
        <w:rPr/>
        <w:t>道高速路场景下，开展基于</w:t>
      </w:r>
      <w:r>
        <w:rPr>
          <w:spacing w:val="-33"/>
        </w:rPr>
        <w:t> </w:t>
      </w:r>
      <w:r>
        <w:rPr>
          <w:rFonts w:ascii="宋体" w:hAnsi="宋体" w:cs="宋体" w:eastAsia="宋体" w:hint="default"/>
        </w:rPr>
        <w:t>C-V2X</w:t>
      </w:r>
      <w:r>
        <w:rPr>
          <w:rFonts w:ascii="宋体" w:hAnsi="宋体" w:cs="宋体" w:eastAsia="宋体" w:hint="default"/>
          <w:spacing w:val="-33"/>
        </w:rPr>
        <w:t> </w:t>
      </w:r>
      <w:r>
        <w:rPr/>
        <w:t>车路协同技术的</w:t>
      </w:r>
      <w:r>
        <w:rPr>
          <w:spacing w:val="-36"/>
        </w:rPr>
        <w:t> </w:t>
      </w:r>
      <w:r>
        <w:rPr>
          <w:rFonts w:ascii="宋体" w:hAnsi="宋体" w:cs="宋体" w:eastAsia="宋体" w:hint="default"/>
        </w:rPr>
        <w:t>L4</w:t>
      </w:r>
      <w:r>
        <w:rPr>
          <w:rFonts w:ascii="宋体" w:hAnsi="宋体" w:cs="宋体" w:eastAsia="宋体" w:hint="default"/>
          <w:spacing w:val="-33"/>
        </w:rPr>
        <w:t> </w:t>
      </w:r>
      <w:r>
        <w:rPr/>
        <w:t>级自动驾驶和车辆队列跟驰测试提供了地图数据与</w:t>
      </w:r>
      <w:r>
        <w:rPr>
          <w:w w:val="100"/>
        </w:rPr>
        <w:t> </w:t>
      </w:r>
      <w:r>
        <w:rPr/>
        <w:t>服务支持。公司作为无锡车联网城市级示范项目的唯一位置服务供应商和战略合作伙伴，为项目组研发网</w:t>
      </w:r>
      <w:r>
        <w:rPr>
          <w:w w:val="100"/>
        </w:rPr>
        <w:t> </w:t>
      </w:r>
      <w:r>
        <w:rPr/>
        <w:t>页端信息监控平台与</w:t>
      </w:r>
      <w:r>
        <w:rPr>
          <w:spacing w:val="-40"/>
        </w:rPr>
        <w:t> </w:t>
      </w:r>
      <w:r>
        <w:rPr>
          <w:rFonts w:ascii="宋体" w:hAnsi="宋体" w:cs="宋体" w:eastAsia="宋体" w:hint="default"/>
        </w:rPr>
        <w:t>C-V2X</w:t>
      </w:r>
      <w:r>
        <w:rPr>
          <w:rFonts w:ascii="宋体" w:hAnsi="宋体" w:cs="宋体" w:eastAsia="宋体" w:hint="default"/>
          <w:spacing w:val="-40"/>
        </w:rPr>
        <w:t> </w:t>
      </w:r>
      <w:r>
        <w:rPr/>
        <w:t>终端应用平台。公司通过在量产车上加装</w:t>
      </w:r>
      <w:r>
        <w:rPr>
          <w:spacing w:val="-42"/>
        </w:rPr>
        <w:t> </w:t>
      </w:r>
      <w:r>
        <w:rPr>
          <w:rFonts w:ascii="宋体" w:hAnsi="宋体" w:cs="宋体" w:eastAsia="宋体" w:hint="default"/>
        </w:rPr>
        <w:t>5G</w:t>
      </w:r>
      <w:r>
        <w:rPr>
          <w:rFonts w:ascii="宋体" w:hAnsi="宋体" w:cs="宋体" w:eastAsia="宋体" w:hint="default"/>
          <w:spacing w:val="-43"/>
        </w:rPr>
        <w:t> </w:t>
      </w:r>
      <w:r>
        <w:rPr/>
        <w:t>和</w:t>
      </w:r>
      <w:r>
        <w:rPr>
          <w:spacing w:val="-40"/>
        </w:rPr>
        <w:t> </w:t>
      </w:r>
      <w:r>
        <w:rPr>
          <w:rFonts w:ascii="宋体" w:hAnsi="宋体" w:cs="宋体" w:eastAsia="宋体" w:hint="default"/>
        </w:rPr>
        <w:t>V2X</w:t>
      </w:r>
      <w:r>
        <w:rPr>
          <w:rFonts w:ascii="宋体" w:hAnsi="宋体" w:cs="宋体" w:eastAsia="宋体" w:hint="default"/>
          <w:spacing w:val="-40"/>
        </w:rPr>
        <w:t> </w:t>
      </w:r>
      <w:r>
        <w:rPr/>
        <w:t>通讯设备以及对场端进行</w:t>
      </w:r>
      <w:r>
        <w:rPr>
          <w:w w:val="100"/>
        </w:rPr>
        <w:t> </w:t>
      </w:r>
      <w:r>
        <w:rPr>
          <w:spacing w:val="-2"/>
        </w:rPr>
        <w:t>智能化改造，融合量产车端现有感知设备，实现在特定场景（试车场）下基于</w:t>
      </w:r>
      <w:r>
        <w:rPr/>
        <w:t> </w:t>
      </w:r>
      <w:r>
        <w:rPr>
          <w:rFonts w:ascii="宋体" w:hAnsi="宋体" w:cs="宋体" w:eastAsia="宋体" w:hint="default"/>
          <w:spacing w:val="-1"/>
        </w:rPr>
        <w:t>5G-V2X</w:t>
      </w:r>
      <w:r>
        <w:rPr>
          <w:rFonts w:ascii="宋体" w:hAnsi="宋体" w:cs="宋体" w:eastAsia="宋体" w:hint="default"/>
          <w:spacing w:val="-45"/>
        </w:rPr>
        <w:t> </w:t>
      </w:r>
      <w:r>
        <w:rPr>
          <w:spacing w:val="-2"/>
        </w:rPr>
        <w:t>的一键“地下</w:t>
      </w:r>
      <w:r>
        <w:rPr>
          <w:rFonts w:ascii="宋体" w:hAnsi="宋体" w:cs="宋体" w:eastAsia="宋体" w:hint="default"/>
          <w:spacing w:val="-2"/>
        </w:rPr>
        <w:t>-</w:t>
      </w:r>
      <w:r>
        <w:rPr>
          <w:spacing w:val="-2"/>
        </w:rPr>
        <w:t>地上</w:t>
      </w:r>
    </w:p>
    <w:p>
      <w:pPr>
        <w:pStyle w:val="Heading5"/>
        <w:spacing w:line="408" w:lineRule="auto"/>
        <w:ind w:right="1126" w:firstLine="0"/>
        <w:jc w:val="both"/>
      </w:pPr>
      <w:r>
        <w:rPr>
          <w:rFonts w:ascii="宋体" w:hAnsi="宋体" w:cs="宋体" w:eastAsia="宋体" w:hint="default"/>
        </w:rPr>
        <w:t>-</w:t>
      </w:r>
      <w:r>
        <w:rPr/>
        <w:t>地下”</w:t>
      </w:r>
      <w:r>
        <w:rPr>
          <w:rFonts w:ascii="宋体" w:hAnsi="宋体" w:cs="宋体" w:eastAsia="宋体" w:hint="default"/>
        </w:rPr>
        <w:t>AVP Demo </w:t>
      </w:r>
      <w:r>
        <w:rPr/>
        <w:t>功能验证。面向海外市场，公司与凯德集团签署新加坡最大的 </w:t>
      </w:r>
      <w:r>
        <w:rPr>
          <w:rFonts w:ascii="宋体" w:hAnsi="宋体" w:cs="宋体" w:eastAsia="宋体" w:hint="default"/>
        </w:rPr>
        <w:t>5G</w:t>
      </w:r>
      <w:r>
        <w:rPr>
          <w:rFonts w:ascii="宋体" w:hAnsi="宋体" w:cs="宋体" w:eastAsia="宋体" w:hint="default"/>
          <w:spacing w:val="-30"/>
        </w:rPr>
        <w:t> </w:t>
      </w:r>
      <w:r>
        <w:rPr/>
        <w:t>智慧地产试验基地项</w:t>
      </w:r>
      <w:r>
        <w:rPr>
          <w:w w:val="100"/>
        </w:rPr>
        <w:t> </w:t>
      </w:r>
      <w:r>
        <w:rPr>
          <w:spacing w:val="-2"/>
        </w:rPr>
        <w:t>目，将为园区构建高精度卫星定位系统、云控制平台、自动驾驶地图等提供综合解决方案和技术支持。面</w:t>
      </w:r>
      <w:r>
        <w:rPr>
          <w:spacing w:val="-47"/>
        </w:rPr>
        <w:t> </w:t>
      </w:r>
      <w:r>
        <w:rPr>
          <w:spacing w:val="-47"/>
        </w:rPr>
      </w:r>
      <w:r>
        <w:rPr>
          <w:spacing w:val="-2"/>
        </w:rPr>
        <w:t>对市场对于自动驾驶仿真测试的需求，公司牵头国汽智联等十七家公司和研究机构，共同承建工信部“面</w:t>
      </w:r>
      <w:r>
        <w:rPr>
          <w:spacing w:val="-42"/>
        </w:rPr>
        <w:t> </w:t>
      </w:r>
      <w:r>
        <w:rPr>
          <w:spacing w:val="-42"/>
        </w:rPr>
      </w:r>
      <w:r>
        <w:rPr>
          <w:spacing w:val="-2"/>
        </w:rPr>
        <w:t>向车联网（智能网联汽车）领域的基础数据服务和基础地图服务平台建设”项目。面对自动驾驶数据安全</w:t>
      </w:r>
      <w:r>
        <w:rPr>
          <w:spacing w:val="-50"/>
        </w:rPr>
        <w:t> </w:t>
      </w:r>
      <w:r>
        <w:rPr>
          <w:spacing w:val="-50"/>
        </w:rPr>
      </w:r>
      <w:r>
        <w:rPr>
          <w:spacing w:val="-5"/>
          <w:w w:val="100"/>
        </w:rPr>
        <w:t>防护体系和技术架构，公司作为牵头单位参与编写工信部《自动驾驶数据安全白皮书》，白皮书于</w:t>
      </w:r>
      <w:r>
        <w:rPr>
          <w:w w:val="100"/>
        </w:rPr>
        <w:t> </w:t>
      </w:r>
      <w:r>
        <w:rPr>
          <w:rFonts w:ascii="宋体" w:hAnsi="宋体" w:cs="宋体" w:eastAsia="宋体" w:hint="default"/>
          <w:spacing w:val="-2"/>
          <w:w w:val="100"/>
        </w:rPr>
        <w:t>2020</w:t>
      </w:r>
      <w:r>
        <w:rPr>
          <w:rFonts w:ascii="宋体" w:hAnsi="宋体" w:cs="宋体" w:eastAsia="宋体" w:hint="default"/>
          <w:spacing w:val="-74"/>
          <w:w w:val="100"/>
        </w:rPr>
        <w:t> </w:t>
      </w:r>
      <w:r>
        <w:rPr>
          <w:w w:val="100"/>
        </w:rPr>
        <w:t>年</w:t>
      </w:r>
    </w:p>
    <w:p>
      <w:pPr>
        <w:pStyle w:val="Heading5"/>
        <w:spacing w:line="350" w:lineRule="auto"/>
        <w:ind w:left="575" w:right="1157" w:hanging="423"/>
        <w:jc w:val="left"/>
      </w:pPr>
      <w:r>
        <w:rPr>
          <w:rFonts w:ascii="宋体" w:hAnsi="宋体" w:cs="宋体" w:eastAsia="宋体" w:hint="default"/>
        </w:rPr>
        <w:t>2</w:t>
      </w:r>
      <w:r>
        <w:rPr>
          <w:rFonts w:ascii="宋体" w:hAnsi="宋体" w:cs="宋体" w:eastAsia="宋体" w:hint="default"/>
          <w:spacing w:val="-52"/>
        </w:rPr>
        <w:t> </w:t>
      </w:r>
      <w:r>
        <w:rPr/>
        <w:t>月正式发布。</w:t>
      </w:r>
      <w:r>
        <w:rPr>
          <w:rFonts w:ascii="宋体" w:hAnsi="宋体" w:cs="宋体" w:eastAsia="宋体" w:hint="default"/>
          <w:w w:val="100"/>
        </w:rPr>
        <w:t> </w:t>
      </w:r>
      <w:r>
        <w:rPr>
          <w:rFonts w:ascii="Microsoft JhengHei" w:hAnsi="Microsoft JhengHei" w:cs="Microsoft JhengHei" w:eastAsia="Microsoft JhengHei" w:hint="default"/>
          <w:b/>
          <w:bCs/>
          <w:spacing w:val="-2"/>
        </w:rPr>
        <w:t>在芯片业务方面，</w:t>
      </w:r>
      <w:r>
        <w:rPr>
          <w:spacing w:val="-2"/>
        </w:rPr>
        <w:t>面对国内整车市场整体销量下滑趋势给中国市场带来的不利影响，公司芯片产品出</w:t>
      </w:r>
    </w:p>
    <w:p>
      <w:pPr>
        <w:pStyle w:val="Heading5"/>
        <w:spacing w:line="408" w:lineRule="auto" w:before="41"/>
        <w:ind w:right="1126" w:firstLine="0"/>
        <w:jc w:val="both"/>
        <w:rPr>
          <w:rFonts w:ascii="宋体" w:hAnsi="宋体" w:cs="宋体" w:eastAsia="宋体" w:hint="default"/>
        </w:rPr>
      </w:pPr>
      <w:r>
        <w:rPr>
          <w:spacing w:val="-2"/>
        </w:rPr>
        <w:t>货价格承受较大压力。报告期内，公司积极发挥产品技术的整合和协同优势，提升面向客户的定制化服务</w:t>
      </w:r>
      <w:r>
        <w:rPr>
          <w:spacing w:val="-44"/>
        </w:rPr>
        <w:t> </w:t>
      </w:r>
      <w:r>
        <w:rPr>
          <w:spacing w:val="-44"/>
        </w:rPr>
      </w:r>
      <w:r>
        <w:rPr>
          <w:spacing w:val="-3"/>
        </w:rPr>
        <w:t>能力，积极推进</w:t>
      </w:r>
      <w:r>
        <w:rPr>
          <w:spacing w:val="-56"/>
        </w:rPr>
        <w:t> </w:t>
      </w:r>
      <w:r>
        <w:rPr>
          <w:rFonts w:ascii="宋体" w:hAnsi="宋体" w:cs="宋体" w:eastAsia="宋体" w:hint="default"/>
        </w:rPr>
        <w:t>IVI</w:t>
      </w:r>
      <w:r>
        <w:rPr>
          <w:rFonts w:ascii="宋体" w:hAnsi="宋体" w:cs="宋体" w:eastAsia="宋体" w:hint="default"/>
          <w:spacing w:val="-58"/>
        </w:rPr>
        <w:t> </w:t>
      </w:r>
      <w:r>
        <w:rPr/>
        <w:t>车载信息娱乐系统芯片产品的市场拓展力度，稳定后装市场市占率，加速推进前装市</w:t>
      </w:r>
      <w:r>
        <w:rPr>
          <w:w w:val="100"/>
        </w:rPr>
        <w:t> </w:t>
      </w:r>
      <w:r>
        <w:rPr/>
        <w:t>场拓展力度，与</w:t>
      </w:r>
      <w:r>
        <w:rPr>
          <w:spacing w:val="-56"/>
        </w:rPr>
        <w:t> </w:t>
      </w:r>
      <w:r>
        <w:rPr>
          <w:rFonts w:ascii="宋体" w:hAnsi="宋体" w:cs="宋体" w:eastAsia="宋体" w:hint="default"/>
        </w:rPr>
        <w:t>Tier-1</w:t>
      </w:r>
      <w:r>
        <w:rPr>
          <w:rFonts w:ascii="宋体" w:hAnsi="宋体" w:cs="宋体" w:eastAsia="宋体" w:hint="default"/>
          <w:spacing w:val="-58"/>
        </w:rPr>
        <w:t> </w:t>
      </w:r>
      <w:r>
        <w:rPr/>
        <w:t>客户签订合作订单。</w:t>
      </w:r>
      <w:r>
        <w:rPr>
          <w:rFonts w:ascii="宋体" w:hAnsi="宋体" w:cs="宋体" w:eastAsia="宋体" w:hint="default"/>
        </w:rPr>
        <w:t> </w:t>
      </w:r>
    </w:p>
    <w:p>
      <w:pPr>
        <w:spacing w:after="0" w:line="408" w:lineRule="auto"/>
        <w:jc w:val="both"/>
        <w:rPr>
          <w:rFonts w:ascii="宋体" w:hAnsi="宋体" w:cs="宋体" w:eastAsia="宋体" w:hint="default"/>
        </w:rPr>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Heading5"/>
        <w:spacing w:line="408" w:lineRule="auto" w:before="176"/>
        <w:ind w:right="1126"/>
        <w:jc w:val="both"/>
        <w:rPr>
          <w:rFonts w:ascii="宋体" w:hAnsi="宋体" w:cs="宋体" w:eastAsia="宋体" w:hint="default"/>
        </w:rPr>
      </w:pPr>
      <w:r>
        <w:rPr>
          <w:spacing w:val="-2"/>
        </w:rPr>
        <w:t>面对国家对于自主芯片企业快速发展给予的产业扶持优势，以及主动安全、智能网联、自动驾驶、新</w:t>
      </w:r>
      <w:r>
        <w:rPr>
          <w:w w:val="100"/>
        </w:rPr>
        <w:t> </w:t>
      </w:r>
      <w:r>
        <w:rPr>
          <w:spacing w:val="-2"/>
        </w:rPr>
        <w:t>能源等行业快速发展给车规级芯片应用领域带来的极具前景的发展契机，公司加速提升自主研发能力，扩</w:t>
      </w:r>
      <w:r>
        <w:rPr>
          <w:spacing w:val="-44"/>
        </w:rPr>
        <w:t> </w:t>
      </w:r>
      <w:r>
        <w:rPr>
          <w:spacing w:val="-44"/>
        </w:rPr>
      </w:r>
      <w:r>
        <w:rPr>
          <w:spacing w:val="-2"/>
        </w:rPr>
        <w:t>展产品应用领域，面向新兴应用场景进行产品和技术创新，丰富产品维度，加速推进商用化验证和量产落</w:t>
      </w:r>
      <w:r>
        <w:rPr>
          <w:spacing w:val="-42"/>
        </w:rPr>
        <w:t> </w:t>
      </w:r>
      <w:r>
        <w:rPr>
          <w:spacing w:val="-42"/>
        </w:rPr>
      </w:r>
      <w:r>
        <w:rPr>
          <w:spacing w:val="-3"/>
        </w:rPr>
        <w:t>地。报告期内，公司车身控制</w:t>
      </w:r>
      <w:r>
        <w:rPr>
          <w:spacing w:val="-49"/>
        </w:rPr>
        <w:t> </w:t>
      </w:r>
      <w:r>
        <w:rPr>
          <w:rFonts w:ascii="宋体" w:hAnsi="宋体" w:cs="宋体" w:eastAsia="宋体" w:hint="default"/>
        </w:rPr>
        <w:t>MCU</w:t>
      </w:r>
      <w:r>
        <w:rPr>
          <w:rFonts w:ascii="宋体" w:hAnsi="宋体" w:cs="宋体" w:eastAsia="宋体" w:hint="default"/>
          <w:spacing w:val="-50"/>
        </w:rPr>
        <w:t> </w:t>
      </w:r>
      <w:r>
        <w:rPr/>
        <w:t>芯片产品不断打破汽车高端市场国际巨头垄断的市场格局，被数十家企</w:t>
      </w:r>
      <w:r>
        <w:rPr>
          <w:w w:val="100"/>
        </w:rPr>
        <w:t> </w:t>
      </w:r>
      <w:r>
        <w:rPr/>
        <w:t>业导入终端产品设计并量产，第二代车身控制</w:t>
      </w:r>
      <w:r>
        <w:rPr>
          <w:spacing w:val="-33"/>
        </w:rPr>
        <w:t> </w:t>
      </w:r>
      <w:r>
        <w:rPr>
          <w:rFonts w:ascii="宋体" w:hAnsi="宋体" w:cs="宋体" w:eastAsia="宋体" w:hint="default"/>
        </w:rPr>
        <w:t>MCU</w:t>
      </w:r>
      <w:r>
        <w:rPr>
          <w:rFonts w:ascii="宋体" w:hAnsi="宋体" w:cs="宋体" w:eastAsia="宋体" w:hint="default"/>
          <w:spacing w:val="-36"/>
        </w:rPr>
        <w:t> </w:t>
      </w:r>
      <w:r>
        <w:rPr/>
        <w:t>芯片进入到流片阶段。第一代</w:t>
      </w:r>
      <w:r>
        <w:rPr>
          <w:spacing w:val="-35"/>
        </w:rPr>
        <w:t> </w:t>
      </w:r>
      <w:r>
        <w:rPr>
          <w:rFonts w:ascii="宋体" w:hAnsi="宋体" w:cs="宋体" w:eastAsia="宋体" w:hint="default"/>
        </w:rPr>
        <w:t>TPMS</w:t>
      </w:r>
      <w:r>
        <w:rPr>
          <w:rFonts w:ascii="宋体" w:hAnsi="宋体" w:cs="宋体" w:eastAsia="宋体" w:hint="default"/>
          <w:spacing w:val="-33"/>
        </w:rPr>
        <w:t> </w:t>
      </w:r>
      <w:r>
        <w:rPr/>
        <w:t>胎压监测系统芯片</w:t>
      </w:r>
      <w:r>
        <w:rPr>
          <w:w w:val="100"/>
        </w:rPr>
        <w:t> </w:t>
      </w:r>
      <w:r>
        <w:rPr>
          <w:spacing w:val="-2"/>
        </w:rPr>
        <w:t>正式量产上市，并获得数十万颗客户订单。新一代车联网芯片实现量产出货，面向智能座舱领域的芯片产</w:t>
      </w:r>
      <w:r>
        <w:rPr>
          <w:spacing w:val="-45"/>
        </w:rPr>
        <w:t> </w:t>
      </w:r>
      <w:r>
        <w:rPr>
          <w:spacing w:val="-45"/>
        </w:rPr>
      </w:r>
      <w:r>
        <w:rPr>
          <w:spacing w:val="-5"/>
          <w:w w:val="100"/>
        </w:rPr>
        <w:t>品完成了样片回片和验证并已导入首批客户进行产品化设计。</w:t>
      </w:r>
      <w:r>
        <w:rPr>
          <w:rFonts w:ascii="宋体" w:hAnsi="宋体" w:cs="宋体" w:eastAsia="宋体" w:hint="default"/>
          <w:spacing w:val="-5"/>
          <w:w w:val="100"/>
        </w:rPr>
        <w:t>AMP</w:t>
      </w:r>
      <w:r>
        <w:rPr>
          <w:rFonts w:ascii="宋体" w:hAnsi="宋体" w:cs="宋体" w:eastAsia="宋体" w:hint="default"/>
          <w:spacing w:val="-34"/>
          <w:w w:val="100"/>
        </w:rPr>
        <w:t> </w:t>
      </w:r>
      <w:r>
        <w:rPr>
          <w:spacing w:val="-7"/>
          <w:w w:val="100"/>
        </w:rPr>
        <w:t>功放芯片投放市场，得到客户广泛认可，</w:t>
      </w:r>
      <w:r>
        <w:rPr>
          <w:spacing w:val="-96"/>
          <w:w w:val="100"/>
        </w:rPr>
        <w:t> </w:t>
      </w:r>
      <w:r>
        <w:rPr>
          <w:spacing w:val="-96"/>
          <w:w w:val="100"/>
        </w:rPr>
      </w:r>
      <w:r>
        <w:rPr/>
        <w:t>第二代</w:t>
      </w:r>
      <w:r>
        <w:rPr>
          <w:spacing w:val="-64"/>
        </w:rPr>
        <w:t> </w:t>
      </w:r>
      <w:r>
        <w:rPr>
          <w:rFonts w:ascii="宋体" w:hAnsi="宋体" w:cs="宋体" w:eastAsia="宋体" w:hint="default"/>
        </w:rPr>
        <w:t>AMP</w:t>
      </w:r>
      <w:r>
        <w:rPr>
          <w:rFonts w:ascii="宋体" w:hAnsi="宋体" w:cs="宋体" w:eastAsia="宋体" w:hint="default"/>
          <w:spacing w:val="-66"/>
        </w:rPr>
        <w:t> </w:t>
      </w:r>
      <w:r>
        <w:rPr/>
        <w:t>芯片已进入量产版流片。公司不断推动与航天机电等产业链上下游企业的合作和协同发展，共</w:t>
      </w:r>
      <w:r>
        <w:rPr>
          <w:w w:val="100"/>
        </w:rPr>
        <w:t> </w:t>
      </w:r>
      <w:r>
        <w:rPr/>
        <w:t>同推进“中国芯”的创新发展。</w:t>
      </w:r>
      <w:r>
        <w:rPr>
          <w:rFonts w:ascii="宋体" w:hAnsi="宋体" w:cs="宋体" w:eastAsia="宋体" w:hint="default"/>
        </w:rPr>
        <w:t> </w:t>
      </w:r>
    </w:p>
    <w:p>
      <w:pPr>
        <w:spacing w:line="345" w:lineRule="exact" w:before="0"/>
        <w:ind w:left="152" w:right="0" w:firstLine="422"/>
        <w:jc w:val="both"/>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在位置大数据服务方面，</w:t>
      </w:r>
      <w:r>
        <w:rPr>
          <w:rFonts w:ascii="宋体" w:hAnsi="宋体" w:cs="宋体" w:eastAsia="宋体" w:hint="default"/>
          <w:sz w:val="21"/>
          <w:szCs w:val="21"/>
        </w:rPr>
        <w:t>公司三维可视化和分析能力持续增强，可实现“平面球面一体化、二维三维</w:t>
      </w:r>
    </w:p>
    <w:p>
      <w:pPr>
        <w:pStyle w:val="Heading5"/>
        <w:spacing w:line="408" w:lineRule="auto" w:before="169"/>
        <w:ind w:right="0" w:firstLine="0"/>
        <w:jc w:val="left"/>
        <w:rPr>
          <w:rFonts w:ascii="宋体" w:hAnsi="宋体" w:cs="宋体" w:eastAsia="宋体" w:hint="default"/>
        </w:rPr>
      </w:pPr>
      <w:r>
        <w:rPr>
          <w:spacing w:val="-7"/>
        </w:rPr>
        <w:t>一体化、室内室外一体化、栅格矢量一体化、空天地表地下一体化”五个一体化三维数据展示和特效渲染，</w:t>
      </w:r>
      <w:r>
        <w:rPr>
          <w:spacing w:val="-18"/>
        </w:rPr>
        <w:t> </w:t>
      </w:r>
      <w:r>
        <w:rPr>
          <w:spacing w:val="-18"/>
        </w:rPr>
      </w:r>
      <w:r>
        <w:rPr>
          <w:spacing w:val="-2"/>
        </w:rPr>
        <w:t>新推出的裁剪、可视域分析、地形分析、光照分析、淹没分析等三维分析工具可支撑各类精细化场景下的</w:t>
      </w:r>
      <w:r>
        <w:rPr>
          <w:spacing w:val="-47"/>
        </w:rPr>
        <w:t> </w:t>
      </w:r>
      <w:r>
        <w:rPr>
          <w:spacing w:val="-47"/>
        </w:rPr>
      </w:r>
      <w:r>
        <w:rPr>
          <w:spacing w:val="-7"/>
        </w:rPr>
        <w:t>空间分析需求。同时，公司全面整合位置大数据平台的各产品线能力，重新打造的集数据生态、算法预研、</w:t>
      </w:r>
      <w:r>
        <w:rPr>
          <w:spacing w:val="-18"/>
        </w:rPr>
        <w:t> </w:t>
      </w:r>
      <w:r>
        <w:rPr>
          <w:spacing w:val="-18"/>
        </w:rPr>
      </w:r>
      <w:r>
        <w:rPr/>
        <w:t>交互式开发和可运营服务为一体的</w:t>
      </w:r>
      <w:r>
        <w:rPr>
          <w:spacing w:val="-42"/>
        </w:rPr>
        <w:t> </w:t>
      </w:r>
      <w:r>
        <w:rPr>
          <w:rFonts w:ascii="宋体" w:hAnsi="宋体" w:cs="宋体" w:eastAsia="宋体" w:hint="default"/>
        </w:rPr>
        <w:t>Minedata3.0</w:t>
      </w:r>
      <w:r>
        <w:rPr>
          <w:rFonts w:ascii="宋体" w:hAnsi="宋体" w:cs="宋体" w:eastAsia="宋体" w:hint="default"/>
          <w:spacing w:val="-44"/>
        </w:rPr>
        <w:t> </w:t>
      </w:r>
      <w:r>
        <w:rPr>
          <w:spacing w:val="-3"/>
        </w:rPr>
        <w:t>开放平台正式发布，可以实现从数据接入、算法分析、精</w:t>
      </w:r>
      <w:r>
        <w:rPr>
          <w:spacing w:val="-82"/>
        </w:rPr>
        <w:t> </w:t>
      </w:r>
      <w:r>
        <w:rPr>
          <w:spacing w:val="-82"/>
        </w:rPr>
      </w:r>
      <w:r>
        <w:rPr/>
        <w:t>细化地图可视化到服务发布以及运营监控的全面一体化运作，并满足便捷、易扩展、轻量化的访问需求，</w:t>
      </w:r>
      <w:r>
        <w:rPr>
          <w:spacing w:val="-24"/>
        </w:rPr>
        <w:t> </w:t>
      </w:r>
      <w:r>
        <w:rPr>
          <w:spacing w:val="-24"/>
        </w:rPr>
      </w:r>
      <w:r>
        <w:rPr/>
        <w:t>帮助行业用户快速实现创新应用落地。</w:t>
      </w:r>
      <w:r>
        <w:rPr>
          <w:rFonts w:ascii="宋体" w:hAnsi="宋体" w:cs="宋体" w:eastAsia="宋体" w:hint="default"/>
        </w:rPr>
        <w:t>Minedata</w:t>
      </w:r>
      <w:r>
        <w:rPr>
          <w:rFonts w:ascii="宋体" w:hAnsi="宋体" w:cs="宋体" w:eastAsia="宋体" w:hint="default"/>
          <w:spacing w:val="-56"/>
        </w:rPr>
        <w:t> </w:t>
      </w:r>
      <w:r>
        <w:rPr/>
        <w:t>产品在</w:t>
      </w:r>
      <w:r>
        <w:rPr>
          <w:spacing w:val="-54"/>
        </w:rPr>
        <w:t> </w:t>
      </w:r>
      <w:r>
        <w:rPr>
          <w:rFonts w:ascii="宋体" w:hAnsi="宋体" w:cs="宋体" w:eastAsia="宋体" w:hint="default"/>
        </w:rPr>
        <w:t>ITS</w:t>
      </w:r>
      <w:r>
        <w:rPr>
          <w:rFonts w:ascii="宋体" w:hAnsi="宋体" w:cs="宋体" w:eastAsia="宋体" w:hint="default"/>
          <w:spacing w:val="13"/>
        </w:rPr>
        <w:t> </w:t>
      </w:r>
      <w:r>
        <w:rPr>
          <w:rFonts w:ascii="宋体" w:hAnsi="宋体" w:cs="宋体" w:eastAsia="宋体" w:hint="default"/>
        </w:rPr>
        <w:t>Asia</w:t>
      </w:r>
      <w:r>
        <w:rPr>
          <w:rFonts w:ascii="宋体" w:hAnsi="宋体" w:cs="宋体" w:eastAsia="宋体" w:hint="default"/>
          <w:spacing w:val="13"/>
        </w:rPr>
        <w:t> </w:t>
      </w:r>
      <w:r>
        <w:rPr>
          <w:rFonts w:ascii="宋体" w:hAnsi="宋体" w:cs="宋体" w:eastAsia="宋体" w:hint="default"/>
        </w:rPr>
        <w:t>2019</w:t>
      </w:r>
      <w:r>
        <w:rPr>
          <w:rFonts w:ascii="宋体" w:hAnsi="宋体" w:cs="宋体" w:eastAsia="宋体" w:hint="default"/>
          <w:spacing w:val="-53"/>
        </w:rPr>
        <w:t> </w:t>
      </w:r>
      <w:r>
        <w:rPr/>
        <w:t>获得第六届智能交通杯</w:t>
      </w:r>
      <w:r>
        <w:rPr>
          <w:spacing w:val="-4"/>
        </w:rPr>
        <w:t> </w:t>
      </w:r>
      <w:r>
        <w:rPr>
          <w:rFonts w:ascii="宋体" w:hAnsi="宋体" w:cs="宋体" w:eastAsia="宋体" w:hint="default"/>
          <w:spacing w:val="-4"/>
        </w:rPr>
      </w:r>
      <w:r>
        <w:rPr/>
        <w:t>“优秀解</w:t>
      </w:r>
      <w:r>
        <w:rPr>
          <w:w w:val="100"/>
        </w:rPr>
        <w:t> </w:t>
      </w:r>
      <w:r>
        <w:rPr/>
        <w:t>决方案奖”，这是公司在</w:t>
      </w:r>
      <w:r>
        <w:rPr>
          <w:spacing w:val="-57"/>
        </w:rPr>
        <w:t> </w:t>
      </w:r>
      <w:r>
        <w:rPr>
          <w:rFonts w:ascii="宋体" w:hAnsi="宋体" w:cs="宋体" w:eastAsia="宋体" w:hint="default"/>
        </w:rPr>
        <w:t>ITS</w:t>
      </w:r>
      <w:r>
        <w:rPr>
          <w:rFonts w:ascii="宋体" w:hAnsi="宋体" w:cs="宋体" w:eastAsia="宋体" w:hint="default"/>
          <w:spacing w:val="-2"/>
        </w:rPr>
        <w:t> </w:t>
      </w:r>
      <w:r>
        <w:rPr>
          <w:rFonts w:ascii="宋体" w:hAnsi="宋体" w:cs="宋体" w:eastAsia="宋体" w:hint="default"/>
        </w:rPr>
        <w:t>Asia</w:t>
      </w:r>
      <w:r>
        <w:rPr>
          <w:rFonts w:ascii="宋体" w:hAnsi="宋体" w:cs="宋体" w:eastAsia="宋体" w:hint="default"/>
          <w:spacing w:val="-57"/>
        </w:rPr>
        <w:t> </w:t>
      </w:r>
      <w:r>
        <w:rPr/>
        <w:t>奖项评选中连续三届获得奖项。</w:t>
      </w:r>
      <w:r>
        <w:rPr>
          <w:rFonts w:ascii="宋体" w:hAnsi="宋体" w:cs="宋体" w:eastAsia="宋体" w:hint="default"/>
        </w:rPr>
        <w:t> </w:t>
      </w:r>
    </w:p>
    <w:p>
      <w:pPr>
        <w:pStyle w:val="Heading5"/>
        <w:spacing w:line="408" w:lineRule="auto"/>
        <w:ind w:right="1128"/>
        <w:jc w:val="both"/>
        <w:rPr>
          <w:rFonts w:ascii="宋体" w:hAnsi="宋体" w:cs="宋体" w:eastAsia="宋体" w:hint="default"/>
        </w:rPr>
      </w:pPr>
      <w:r>
        <w:rPr>
          <w:spacing w:val="-4"/>
        </w:rPr>
        <w:t>报告期内，公司结合行业发展特点和客户定制化需求，基于行业领先的可视化能力和全新的</w:t>
      </w:r>
      <w:r>
        <w:rPr>
          <w:spacing w:val="-1"/>
        </w:rPr>
        <w:t> </w:t>
      </w:r>
      <w:r>
        <w:rPr>
          <w:rFonts w:ascii="宋体" w:hAnsi="宋体" w:cs="宋体" w:eastAsia="宋体" w:hint="default"/>
        </w:rPr>
        <w:t>MineData</w:t>
      </w:r>
      <w:r>
        <w:rPr>
          <w:rFonts w:ascii="宋体" w:hAnsi="宋体" w:cs="宋体" w:eastAsia="宋体" w:hint="default"/>
          <w:w w:val="100"/>
        </w:rPr>
        <w:t> </w:t>
      </w:r>
      <w:r>
        <w:rPr>
          <w:spacing w:val="-3"/>
        </w:rPr>
        <w:t>平台，持续优化细分行业解决方案，推出全新的交警、公安、交通、规划、保险、运营商等系列行业整体</w:t>
      </w:r>
      <w:r>
        <w:rPr>
          <w:spacing w:val="-5"/>
        </w:rPr>
        <w:t> </w:t>
      </w:r>
      <w:r>
        <w:rPr>
          <w:spacing w:val="-5"/>
        </w:rPr>
      </w:r>
      <w:r>
        <w:rPr/>
        <w:t>解决方案。</w:t>
      </w:r>
      <w:r>
        <w:rPr>
          <w:rFonts w:ascii="宋体" w:hAnsi="宋体" w:cs="宋体" w:eastAsia="宋体" w:hint="default"/>
        </w:rPr>
        <w:t> </w:t>
      </w:r>
    </w:p>
    <w:p>
      <w:pPr>
        <w:pStyle w:val="Heading5"/>
        <w:spacing w:line="408" w:lineRule="auto"/>
        <w:ind w:right="1126"/>
        <w:jc w:val="both"/>
        <w:rPr>
          <w:rFonts w:ascii="宋体" w:hAnsi="宋体" w:cs="宋体" w:eastAsia="宋体" w:hint="default"/>
        </w:rPr>
      </w:pPr>
      <w:r>
        <w:rPr>
          <w:spacing w:val="-2"/>
        </w:rPr>
        <w:t>在交警领域，公司继与西安交警连续合作路况数据工程一期、二期项目后，签约西安交警路况数据工</w:t>
      </w:r>
      <w:r>
        <w:rPr>
          <w:w w:val="100"/>
        </w:rPr>
        <w:t> </w:t>
      </w:r>
      <w:r>
        <w:rPr/>
        <w:t>程三期项目</w:t>
      </w:r>
      <w:r>
        <w:rPr>
          <w:rFonts w:ascii="宋体" w:hAnsi="宋体" w:cs="宋体" w:eastAsia="宋体" w:hint="default"/>
        </w:rPr>
        <w:t>,</w:t>
      </w:r>
      <w:r>
        <w:rPr/>
        <w:t>并助力西安交警获得陕西省公安科技创新大赛一等奖。公司与济南交警建立合作关系，实施</w:t>
      </w:r>
      <w:r>
        <w:rPr>
          <w:spacing w:val="-24"/>
        </w:rPr>
        <w:t> </w:t>
      </w:r>
      <w:r>
        <w:rPr>
          <w:spacing w:val="-24"/>
        </w:rPr>
      </w:r>
      <w:r>
        <w:rPr>
          <w:spacing w:val="-2"/>
        </w:rPr>
        <w:t>济南交警交通大脑项目，为交通大脑系统提供位置数据服务、交通感知研判和态势分析预测等服务，推进</w:t>
      </w:r>
      <w:r>
        <w:rPr>
          <w:spacing w:val="-43"/>
        </w:rPr>
        <w:t> </w:t>
      </w:r>
      <w:r>
        <w:rPr>
          <w:spacing w:val="-43"/>
        </w:rPr>
      </w:r>
      <w:r>
        <w:rPr>
          <w:spacing w:val="-2"/>
        </w:rPr>
        <w:t>位置大数据与交警行业的深度融合。公司联合河北伊诺光学科技股份有限公司负责承建的张家口市交警大</w:t>
      </w:r>
      <w:r>
        <w:rPr>
          <w:spacing w:val="-43"/>
        </w:rPr>
        <w:t> </w:t>
      </w:r>
      <w:r>
        <w:rPr>
          <w:spacing w:val="-43"/>
        </w:rPr>
      </w:r>
      <w:r>
        <w:rPr>
          <w:spacing w:val="-2"/>
        </w:rPr>
        <w:t>数据一体化项目正式验收完成，为张家口交警打造高效智慧的交通调控、综合研判、决策支持完整体系提</w:t>
      </w:r>
      <w:r>
        <w:rPr>
          <w:spacing w:val="-44"/>
        </w:rPr>
        <w:t> </w:t>
      </w:r>
      <w:r>
        <w:rPr>
          <w:spacing w:val="-44"/>
        </w:rPr>
      </w:r>
      <w:r>
        <w:rPr/>
        <w:t>供有力支撑，赋能智慧冬奥。</w:t>
      </w:r>
      <w:r>
        <w:rPr>
          <w:rFonts w:ascii="宋体" w:hAnsi="宋体" w:cs="宋体" w:eastAsia="宋体" w:hint="default"/>
        </w:rPr>
        <w:t> </w:t>
      </w:r>
    </w:p>
    <w:p>
      <w:pPr>
        <w:pStyle w:val="Heading5"/>
        <w:spacing w:line="408" w:lineRule="auto"/>
        <w:ind w:right="1126"/>
        <w:jc w:val="both"/>
      </w:pPr>
      <w:r>
        <w:rPr>
          <w:spacing w:val="-2"/>
        </w:rPr>
        <w:t>在公安领域，公司牵头公安部全国公安地图服务管理系统项目，将结合自身多年在全国地图数据、实</w:t>
      </w:r>
      <w:r>
        <w:rPr>
          <w:w w:val="100"/>
        </w:rPr>
        <w:t> </w:t>
      </w:r>
      <w:r>
        <w:rPr/>
        <w:t>时路况数据和地理信息系统建设方面优势</w:t>
      </w:r>
      <w:r>
        <w:rPr>
          <w:rFonts w:ascii="宋体" w:hAnsi="宋体" w:cs="宋体" w:eastAsia="宋体" w:hint="default"/>
        </w:rPr>
        <w:t>,</w:t>
      </w:r>
      <w:r>
        <w:rPr/>
        <w:t>依托云计算、大数据等技术</w:t>
      </w:r>
      <w:r>
        <w:rPr>
          <w:rFonts w:ascii="宋体" w:hAnsi="宋体" w:cs="宋体" w:eastAsia="宋体" w:hint="default"/>
        </w:rPr>
        <w:t>,</w:t>
      </w:r>
      <w:r>
        <w:rPr/>
        <w:t>为 </w:t>
      </w:r>
      <w:r>
        <w:rPr>
          <w:rFonts w:ascii="宋体" w:hAnsi="宋体" w:cs="宋体" w:eastAsia="宋体" w:hint="default"/>
        </w:rPr>
        <w:t>PGIS</w:t>
      </w:r>
      <w:r>
        <w:rPr>
          <w:rFonts w:ascii="宋体" w:hAnsi="宋体" w:cs="宋体" w:eastAsia="宋体" w:hint="default"/>
          <w:spacing w:val="-32"/>
        </w:rPr>
        <w:t> </w:t>
      </w:r>
      <w:r>
        <w:rPr/>
        <w:t>平台软件优化升级、云图</w:t>
      </w:r>
      <w:r>
        <w:rPr>
          <w:w w:val="100"/>
        </w:rPr>
        <w:t> </w:t>
      </w:r>
      <w:r>
        <w:rPr/>
        <w:t>系统建设以及专网 </w:t>
      </w:r>
      <w:r>
        <w:rPr>
          <w:rFonts w:ascii="宋体" w:hAnsi="宋体" w:cs="宋体" w:eastAsia="宋体" w:hint="default"/>
        </w:rPr>
        <w:t>PGIS</w:t>
      </w:r>
      <w:r>
        <w:rPr>
          <w:rFonts w:ascii="宋体" w:hAnsi="宋体" w:cs="宋体" w:eastAsia="宋体" w:hint="default"/>
          <w:spacing w:val="-29"/>
        </w:rPr>
        <w:t> </w:t>
      </w:r>
      <w:r>
        <w:rPr/>
        <w:t>系统的定制化等工作提供支撑，有助于地图及大数据业务在公安领域的进一步拓</w:t>
      </w:r>
      <w:r>
        <w:rPr>
          <w:w w:val="100"/>
        </w:rPr>
        <w:t> </w:t>
      </w:r>
      <w:r>
        <w:rPr>
          <w:spacing w:val="-2"/>
        </w:rPr>
        <w:t>展，也为将来推进警用公众地理信息服务平台在全国公安系统的应用推广奠定坚实基础。此外，公司承接</w:t>
      </w:r>
    </w:p>
    <w:p>
      <w:pPr>
        <w:spacing w:after="0" w:line="408" w:lineRule="auto"/>
        <w:jc w:val="both"/>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Heading5"/>
        <w:spacing w:line="408" w:lineRule="auto" w:before="176"/>
        <w:ind w:right="1020" w:firstLine="0"/>
        <w:jc w:val="left"/>
        <w:rPr>
          <w:rFonts w:ascii="宋体" w:hAnsi="宋体" w:cs="宋体" w:eastAsia="宋体" w:hint="default"/>
        </w:rPr>
      </w:pPr>
      <w:r>
        <w:rPr/>
        <w:t>西安市公安局“平安地图”集成项目，支撑西安市公安局平安地图公安版、新一代移动警务平台及</w:t>
      </w:r>
      <w:r>
        <w:rPr>
          <w:spacing w:val="66"/>
        </w:rPr>
        <w:t> </w:t>
      </w:r>
      <w:r>
        <w:rPr>
          <w:rFonts w:ascii="宋体" w:hAnsi="宋体" w:cs="宋体" w:eastAsia="宋体" w:hint="default"/>
          <w:spacing w:val="66"/>
        </w:rPr>
      </w:r>
      <w:r>
        <w:rPr>
          <w:rFonts w:ascii="宋体" w:hAnsi="宋体" w:cs="宋体" w:eastAsia="宋体" w:hint="default"/>
        </w:rPr>
        <w:t>PGIS</w:t>
      </w:r>
      <w:r>
        <w:rPr>
          <w:rFonts w:ascii="宋体" w:hAnsi="宋体" w:cs="宋体" w:eastAsia="宋体" w:hint="default"/>
          <w:spacing w:val="-93"/>
        </w:rPr>
        <w:t> </w:t>
      </w:r>
      <w:r>
        <w:rPr>
          <w:spacing w:val="-2"/>
        </w:rPr>
        <w:t>升级改造建设，并与云南省公安厅、甘肃省公安厅、贵州省公安厅、南京市公安局等多个单位加强合作关</w:t>
      </w:r>
      <w:r>
        <w:rPr>
          <w:spacing w:val="-46"/>
        </w:rPr>
        <w:t> </w:t>
      </w:r>
      <w:r>
        <w:rPr>
          <w:spacing w:val="-46"/>
        </w:rPr>
      </w:r>
      <w:r>
        <w:rPr/>
        <w:t>系。</w:t>
      </w:r>
      <w:r>
        <w:rPr>
          <w:rFonts w:ascii="宋体" w:hAnsi="宋体" w:cs="宋体" w:eastAsia="宋体" w:hint="default"/>
        </w:rPr>
        <w:t> </w:t>
      </w:r>
    </w:p>
    <w:p>
      <w:pPr>
        <w:pStyle w:val="Heading5"/>
        <w:spacing w:line="408" w:lineRule="auto"/>
        <w:ind w:right="1126"/>
        <w:jc w:val="both"/>
        <w:rPr>
          <w:rFonts w:ascii="宋体" w:hAnsi="宋体" w:cs="宋体" w:eastAsia="宋体" w:hint="default"/>
        </w:rPr>
      </w:pPr>
      <w:r>
        <w:rPr>
          <w:spacing w:val="-2"/>
        </w:rPr>
        <w:t>在保险领域，公司助力中国再保险集团股份有限公司发布第一个经中国地震学会认证、拥有自主知识</w:t>
      </w:r>
      <w:r>
        <w:rPr>
          <w:w w:val="100"/>
        </w:rPr>
        <w:t> </w:t>
      </w:r>
      <w:r>
        <w:rPr/>
        <w:t>产权、可商业应用的“中国地震巨灾模型</w:t>
      </w:r>
      <w:r>
        <w:rPr>
          <w:spacing w:val="-29"/>
        </w:rPr>
        <w:t> </w:t>
      </w:r>
      <w:r>
        <w:rPr>
          <w:rFonts w:ascii="宋体" w:hAnsi="宋体" w:cs="宋体" w:eastAsia="宋体" w:hint="default"/>
        </w:rPr>
        <w:t>2.0</w:t>
      </w:r>
      <w:r>
        <w:rPr/>
        <w:t>”。公司携手安世联合共同打造的大中华区智能派遣项目荣</w:t>
      </w:r>
      <w:r>
        <w:rPr>
          <w:w w:val="100"/>
        </w:rPr>
        <w:t> </w:t>
      </w:r>
      <w:r>
        <w:rPr>
          <w:spacing w:val="-5"/>
        </w:rPr>
        <w:t>获“安联集团最具商业价值的数据驱动解决方案奖”冠军，该方案首次引入“算法引擎”和</w:t>
      </w:r>
      <w:r>
        <w:rPr>
          <w:spacing w:val="46"/>
        </w:rPr>
        <w:t> </w:t>
      </w:r>
      <w:r>
        <w:rPr>
          <w:rFonts w:ascii="宋体" w:hAnsi="宋体" w:cs="宋体" w:eastAsia="宋体" w:hint="default"/>
          <w:spacing w:val="46"/>
        </w:rPr>
      </w:r>
      <w:r>
        <w:rPr/>
        <w:t>“仿真工具”</w:t>
      </w:r>
      <w:r>
        <w:rPr>
          <w:spacing w:val="-87"/>
        </w:rPr>
        <w:t> </w:t>
      </w:r>
      <w:r>
        <w:rPr>
          <w:spacing w:val="-87"/>
        </w:rPr>
      </w:r>
      <w:r>
        <w:rPr/>
        <w:t>概念。</w:t>
      </w:r>
      <w:r>
        <w:rPr>
          <w:rFonts w:ascii="宋体" w:hAnsi="宋体" w:cs="宋体" w:eastAsia="宋体" w:hint="default"/>
        </w:rPr>
        <w:t> </w:t>
      </w:r>
    </w:p>
    <w:p>
      <w:pPr>
        <w:pStyle w:val="Heading5"/>
        <w:spacing w:line="408" w:lineRule="auto"/>
        <w:ind w:right="1020"/>
        <w:jc w:val="left"/>
        <w:rPr>
          <w:rFonts w:ascii="宋体" w:hAnsi="宋体" w:cs="宋体" w:eastAsia="宋体" w:hint="default"/>
        </w:rPr>
      </w:pPr>
      <w:r>
        <w:rPr/>
        <w:t>在交通领域，公司与贵州交通委在道路运行状态监测、精细化道路等交通智能化项目进行深度合作，</w:t>
      </w:r>
      <w:r>
        <w:rPr>
          <w:w w:val="100"/>
        </w:rPr>
        <w:t> </w:t>
      </w:r>
      <w:r>
        <w:rPr>
          <w:spacing w:val="2"/>
        </w:rPr>
        <w:t>与苏州市信息中心共同打造苏州智能交通信息发布云平台。同时，公司联手华为云正式推出交通智能体</w:t>
      </w:r>
      <w:r>
        <w:rPr>
          <w:spacing w:val="-30"/>
        </w:rPr>
        <w:t> </w:t>
      </w:r>
      <w:r>
        <w:rPr>
          <w:spacing w:val="-30"/>
        </w:rPr>
      </w:r>
      <w:r>
        <w:rPr>
          <w:rFonts w:ascii="宋体" w:hAnsi="宋体" w:cs="宋体" w:eastAsia="宋体" w:hint="default"/>
        </w:rPr>
        <w:t>TrafficGo</w:t>
      </w:r>
      <w:r>
        <w:rPr>
          <w:rFonts w:ascii="宋体" w:hAnsi="宋体" w:cs="宋体" w:eastAsia="宋体" w:hint="default"/>
          <w:spacing w:val="-38"/>
        </w:rPr>
        <w:t> </w:t>
      </w:r>
      <w:r>
        <w:rPr>
          <w:spacing w:val="-6"/>
        </w:rPr>
        <w:t>解决方案，秉承“智能</w:t>
      </w:r>
      <w:r>
        <w:rPr>
          <w:rFonts w:ascii="宋体" w:hAnsi="宋体" w:cs="宋体" w:eastAsia="宋体" w:hint="default"/>
          <w:spacing w:val="-6"/>
        </w:rPr>
        <w:t>+</w:t>
      </w:r>
      <w:r>
        <w:rPr>
          <w:spacing w:val="-6"/>
        </w:rPr>
        <w:t>交通”理念，有效融合</w:t>
      </w:r>
      <w:r>
        <w:rPr>
          <w:spacing w:val="-35"/>
        </w:rPr>
        <w:t> </w:t>
      </w:r>
      <w:r>
        <w:rPr>
          <w:rFonts w:ascii="宋体" w:hAnsi="宋体" w:cs="宋体" w:eastAsia="宋体" w:hint="default"/>
          <w:spacing w:val="-4"/>
        </w:rPr>
        <w:t>AI</w:t>
      </w:r>
      <w:r>
        <w:rPr>
          <w:spacing w:val="-4"/>
        </w:rPr>
        <w:t>、大数据和可视化等技术，充分结合交通部门</w:t>
      </w:r>
      <w:r>
        <w:rPr>
          <w:spacing w:val="-63"/>
        </w:rPr>
        <w:t> </w:t>
      </w:r>
      <w:r>
        <w:rPr>
          <w:spacing w:val="-63"/>
        </w:rPr>
      </w:r>
      <w:r>
        <w:rPr>
          <w:spacing w:val="-2"/>
        </w:rPr>
        <w:t>实际业务需求，把信号灯优化、交通预测、全域路网分析等相关智能创新服务应用于交通领域，帮助管理</w:t>
      </w:r>
      <w:r>
        <w:rPr>
          <w:spacing w:val="-47"/>
        </w:rPr>
        <w:t> </w:t>
      </w:r>
      <w:r>
        <w:rPr>
          <w:spacing w:val="-47"/>
        </w:rPr>
      </w:r>
      <w:r>
        <w:rPr/>
        <w:t>部门提升交通精细化管理能力，实现交通治理智能化，目前</w:t>
      </w:r>
      <w:r>
        <w:rPr>
          <w:spacing w:val="-55"/>
        </w:rPr>
        <w:t> </w:t>
      </w:r>
      <w:r>
        <w:rPr>
          <w:rFonts w:ascii="宋体" w:hAnsi="宋体" w:cs="宋体" w:eastAsia="宋体" w:hint="default"/>
        </w:rPr>
        <w:t>TrafficGo</w:t>
      </w:r>
      <w:r>
        <w:rPr>
          <w:rFonts w:ascii="宋体" w:hAnsi="宋体" w:cs="宋体" w:eastAsia="宋体" w:hint="default"/>
          <w:spacing w:val="-58"/>
        </w:rPr>
        <w:t> </w:t>
      </w:r>
      <w:r>
        <w:rPr/>
        <w:t>已应用于深圳、天津等城市。</w:t>
      </w:r>
      <w:r>
        <w:rPr>
          <w:rFonts w:ascii="宋体" w:hAnsi="宋体" w:cs="宋体" w:eastAsia="宋体" w:hint="default"/>
        </w:rPr>
        <w:t> </w:t>
      </w:r>
    </w:p>
    <w:p>
      <w:pPr>
        <w:pStyle w:val="Heading5"/>
        <w:spacing w:line="408" w:lineRule="auto"/>
        <w:ind w:right="1126"/>
        <w:jc w:val="both"/>
        <w:rPr>
          <w:rFonts w:ascii="宋体" w:hAnsi="宋体" w:cs="宋体" w:eastAsia="宋体" w:hint="default"/>
        </w:rPr>
      </w:pPr>
      <w:r>
        <w:rPr>
          <w:spacing w:val="-2"/>
        </w:rPr>
        <w:t>在规划领域，公司持续加深与中国城市规划设计研究院的合作，以双方共同搭建的全国主要城市道路</w:t>
      </w:r>
      <w:r>
        <w:rPr>
          <w:w w:val="100"/>
        </w:rPr>
        <w:t> </w:t>
      </w:r>
      <w:r>
        <w:rPr>
          <w:spacing w:val="-3"/>
        </w:rPr>
        <w:t>网密度监测平台系统为基础，共同编制并联合发布</w:t>
      </w:r>
      <w:r>
        <w:rPr>
          <w:spacing w:val="-29"/>
        </w:rPr>
        <w:t> </w:t>
      </w:r>
      <w:r>
        <w:rPr>
          <w:rFonts w:ascii="宋体" w:hAnsi="宋体" w:cs="宋体" w:eastAsia="宋体" w:hint="default"/>
        </w:rPr>
        <w:t>2019</w:t>
      </w:r>
      <w:r>
        <w:rPr>
          <w:rFonts w:ascii="宋体" w:hAnsi="宋体" w:cs="宋体" w:eastAsia="宋体" w:hint="default"/>
          <w:spacing w:val="-30"/>
        </w:rPr>
        <w:t> </w:t>
      </w:r>
      <w:r>
        <w:rPr>
          <w:spacing w:val="-6"/>
        </w:rPr>
        <w:t>年度《中国主要城市道路网密度监测报告》，双方</w:t>
      </w:r>
      <w:r>
        <w:rPr>
          <w:spacing w:val="-94"/>
        </w:rPr>
        <w:t> </w:t>
      </w:r>
      <w:r>
        <w:rPr>
          <w:spacing w:val="-94"/>
        </w:rPr>
      </w:r>
      <w:r>
        <w:rPr/>
        <w:t>联合打造的国内首款专业面向城市交通规划领域的大数据平台智绘城市规划平台正式推出。</w:t>
      </w:r>
      <w:r>
        <w:rPr>
          <w:rFonts w:ascii="宋体" w:hAnsi="宋体" w:cs="宋体" w:eastAsia="宋体" w:hint="default"/>
        </w:rPr>
        <w:t> </w:t>
      </w:r>
    </w:p>
    <w:p>
      <w:pPr>
        <w:pStyle w:val="Heading5"/>
        <w:spacing w:line="408" w:lineRule="auto"/>
        <w:ind w:right="0"/>
        <w:jc w:val="left"/>
        <w:rPr>
          <w:rFonts w:ascii="宋体" w:hAnsi="宋体" w:cs="宋体" w:eastAsia="宋体" w:hint="default"/>
        </w:rPr>
      </w:pPr>
      <w:r>
        <w:rPr>
          <w:spacing w:val="-2"/>
        </w:rPr>
        <w:t>在通信运营商领域，公司与中国移动位置服务中心基于各自的数据及能力优势，不断推进在路况处理</w:t>
      </w:r>
      <w:r>
        <w:rPr>
          <w:w w:val="100"/>
        </w:rPr>
        <w:t> </w:t>
      </w:r>
      <w:r>
        <w:rPr/>
        <w:t>系统、室内空间、智慧红绿灯调优、实时热力图、交警信息可视化等领域的联合解决方案的研发和落地，</w:t>
      </w:r>
      <w:r>
        <w:rPr>
          <w:spacing w:val="-24"/>
        </w:rPr>
        <w:t> </w:t>
      </w:r>
      <w:r>
        <w:rPr>
          <w:spacing w:val="-24"/>
        </w:rPr>
      </w:r>
      <w:r>
        <w:rPr/>
        <w:t>助力中国移动位置服务中心在打造核心能力、提升支撑价值、创新差异服务等方面快速发展。</w:t>
      </w:r>
      <w:r>
        <w:rPr>
          <w:rFonts w:ascii="宋体" w:hAnsi="宋体" w:cs="宋体" w:eastAsia="宋体" w:hint="default"/>
        </w:rPr>
        <w:t> </w:t>
      </w:r>
    </w:p>
    <w:p>
      <w:pPr>
        <w:pStyle w:val="Heading5"/>
        <w:spacing w:line="408" w:lineRule="auto"/>
        <w:ind w:right="1126"/>
        <w:jc w:val="both"/>
        <w:rPr>
          <w:rFonts w:ascii="宋体" w:hAnsi="宋体" w:cs="宋体" w:eastAsia="宋体" w:hint="default"/>
        </w:rPr>
      </w:pPr>
      <w:r>
        <w:rPr>
          <w:spacing w:val="-2"/>
        </w:rPr>
        <w:t>报告期内，公司与杭州海康威视系统技术有限公司、平安国际智慧城市科技股份有限公司、国网信通</w:t>
      </w:r>
      <w:r>
        <w:rPr>
          <w:w w:val="100"/>
        </w:rPr>
        <w:t> </w:t>
      </w:r>
      <w:r>
        <w:rPr>
          <w:spacing w:val="-2"/>
        </w:rPr>
        <w:t>产业集团旗下厦门亿力吉奥信息科技有限公司、公安部道路交通安全研究中心、苏州智能交通信息科技股</w:t>
      </w:r>
      <w:r>
        <w:rPr>
          <w:spacing w:val="-44"/>
        </w:rPr>
        <w:t> </w:t>
      </w:r>
      <w:r>
        <w:rPr>
          <w:spacing w:val="-44"/>
        </w:rPr>
      </w:r>
      <w:r>
        <w:rPr>
          <w:spacing w:val="-2"/>
        </w:rPr>
        <w:t>份有限公司、高新兴科技集团股份有限公司等多方机构建立战略合作关系，并与多个海外合作伙伴及客户</w:t>
      </w:r>
      <w:r>
        <w:rPr>
          <w:spacing w:val="-43"/>
        </w:rPr>
        <w:t> </w:t>
      </w:r>
      <w:r>
        <w:rPr>
          <w:spacing w:val="-43"/>
        </w:rPr>
      </w:r>
      <w:r>
        <w:rPr/>
        <w:t>在产品技术开发、项目合作等方面进行深入的沟通。</w:t>
      </w:r>
      <w:r>
        <w:rPr>
          <w:rFonts w:ascii="宋体" w:hAnsi="宋体" w:cs="宋体" w:eastAsia="宋体" w:hint="default"/>
        </w:rPr>
        <w:t> </w:t>
      </w:r>
    </w:p>
    <w:p>
      <w:pPr>
        <w:spacing w:line="345" w:lineRule="exact" w:before="0"/>
        <w:ind w:left="152" w:right="0" w:firstLine="422"/>
        <w:jc w:val="both"/>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在动态交通信息服务方面，</w:t>
      </w:r>
      <w:r>
        <w:rPr>
          <w:rFonts w:ascii="宋体" w:hAnsi="宋体" w:cs="宋体" w:eastAsia="宋体" w:hint="default"/>
          <w:sz w:val="21"/>
          <w:szCs w:val="21"/>
        </w:rPr>
        <w:t>公司凭借多年来行业领先的产业优势，持续创新，拓展产品维度，提升用</w:t>
      </w:r>
    </w:p>
    <w:p>
      <w:pPr>
        <w:pStyle w:val="Heading5"/>
        <w:spacing w:line="408" w:lineRule="auto" w:before="169"/>
        <w:ind w:right="0" w:firstLine="0"/>
        <w:jc w:val="left"/>
        <w:rPr>
          <w:rFonts w:ascii="宋体" w:hAnsi="宋体" w:cs="宋体" w:eastAsia="宋体" w:hint="default"/>
        </w:rPr>
      </w:pPr>
      <w:r>
        <w:rPr>
          <w:spacing w:val="-2"/>
        </w:rPr>
        <w:t>户体验，在技术能力和服务水平方面均实现突破。报告期内，在交通路况服务领域，通过将最新的机器学</w:t>
      </w:r>
      <w:r>
        <w:rPr>
          <w:spacing w:val="-50"/>
        </w:rPr>
        <w:t> </w:t>
      </w:r>
      <w:r>
        <w:rPr>
          <w:spacing w:val="-50"/>
        </w:rPr>
      </w:r>
      <w:r>
        <w:rPr>
          <w:spacing w:val="-5"/>
        </w:rPr>
        <w:t>习和人工智能技术应用于全新的第三代路况计算引擎，路况准确率显著提升。通过数据源拓展和技术提升，</w:t>
      </w:r>
      <w:r>
        <w:rPr>
          <w:spacing w:val="-4"/>
        </w:rPr>
        <w:t> </w:t>
      </w:r>
      <w:r>
        <w:rPr>
          <w:spacing w:val="-4"/>
        </w:rPr>
      </w:r>
      <w:r>
        <w:rPr>
          <w:spacing w:val="-2"/>
        </w:rPr>
        <w:t>新增台湾地区路况发布能力以及基于地图日更新的路况发布能力。在交通事件服务领域，通过接入舆情信</w:t>
      </w:r>
      <w:r>
        <w:rPr>
          <w:spacing w:val="-43"/>
        </w:rPr>
        <w:t> </w:t>
      </w:r>
      <w:r>
        <w:rPr>
          <w:spacing w:val="-43"/>
        </w:rPr>
      </w:r>
      <w:r>
        <w:rPr>
          <w:spacing w:val="-5"/>
        </w:rPr>
        <w:t>息、交通部官方事件源，配合</w:t>
      </w:r>
      <w:r>
        <w:rPr>
          <w:spacing w:val="-34"/>
        </w:rPr>
        <w:t> </w:t>
      </w:r>
      <w:r>
        <w:rPr>
          <w:rFonts w:ascii="宋体" w:hAnsi="宋体" w:cs="宋体" w:eastAsia="宋体" w:hint="default"/>
        </w:rPr>
        <w:t>AI</w:t>
      </w:r>
      <w:r>
        <w:rPr>
          <w:rFonts w:ascii="宋体" w:hAnsi="宋体" w:cs="宋体" w:eastAsia="宋体" w:hint="default"/>
          <w:spacing w:val="-36"/>
        </w:rPr>
        <w:t> </w:t>
      </w:r>
      <w:r>
        <w:rPr>
          <w:spacing w:val="-5"/>
        </w:rPr>
        <w:t>语义分析，提升事件录入、检索、更新效率，实现事件产品数量、品质提</w:t>
      </w:r>
      <w:r>
        <w:rPr>
          <w:spacing w:val="-59"/>
        </w:rPr>
        <w:t> </w:t>
      </w:r>
      <w:r>
        <w:rPr>
          <w:spacing w:val="-59"/>
        </w:rPr>
      </w:r>
      <w:r>
        <w:rPr/>
        <w:t>升。在新型服务领域，公司结合车厂客户需求，加大研发投入，打造语音交通、道路天气等创新服务。</w:t>
      </w:r>
      <w:r>
        <w:rPr>
          <w:rFonts w:ascii="宋体" w:hAnsi="宋体" w:cs="宋体" w:eastAsia="宋体" w:hint="default"/>
        </w:rPr>
        <w:t> </w:t>
      </w:r>
    </w:p>
    <w:p>
      <w:pPr>
        <w:pStyle w:val="Heading5"/>
        <w:spacing w:line="408" w:lineRule="auto"/>
        <w:ind w:right="0"/>
        <w:jc w:val="left"/>
      </w:pPr>
      <w:r>
        <w:rPr>
          <w:spacing w:val="2"/>
        </w:rPr>
        <w:t>报告期内，公司加大动态交通信息服务的市场拓展力度，与宝马签署 </w:t>
      </w:r>
      <w:r>
        <w:rPr>
          <w:rFonts w:ascii="宋体" w:hAnsi="宋体" w:cs="宋体" w:eastAsia="宋体" w:hint="default"/>
        </w:rPr>
        <w:t>CNS</w:t>
      </w:r>
      <w:r>
        <w:rPr/>
        <w:t>（</w:t>
      </w:r>
      <w:r>
        <w:rPr>
          <w:rFonts w:ascii="宋体" w:hAnsi="宋体" w:cs="宋体" w:eastAsia="宋体" w:hint="default"/>
        </w:rPr>
        <w:t>Connected</w:t>
      </w:r>
      <w:r>
        <w:rPr>
          <w:rFonts w:ascii="宋体" w:hAnsi="宋体" w:cs="宋体" w:eastAsia="宋体" w:hint="default"/>
          <w:spacing w:val="95"/>
        </w:rPr>
        <w:t> </w:t>
      </w:r>
      <w:r>
        <w:rPr>
          <w:rFonts w:ascii="宋体" w:hAnsi="宋体" w:cs="宋体" w:eastAsia="宋体" w:hint="default"/>
        </w:rPr>
        <w:t>Navigation</w:t>
      </w:r>
      <w:r>
        <w:rPr>
          <w:rFonts w:ascii="宋体" w:hAnsi="宋体" w:cs="宋体" w:eastAsia="宋体" w:hint="default"/>
          <w:w w:val="100"/>
        </w:rPr>
        <w:t> </w:t>
      </w:r>
      <w:r>
        <w:rPr>
          <w:rFonts w:ascii="宋体" w:hAnsi="宋体" w:cs="宋体" w:eastAsia="宋体" w:hint="default"/>
          <w:spacing w:val="-3"/>
        </w:rPr>
        <w:t>Services</w:t>
      </w:r>
      <w:r>
        <w:rPr>
          <w:spacing w:val="-3"/>
        </w:rPr>
        <w:t>，汽车互联系统）服务协议，将为其在中国销售的</w:t>
      </w:r>
      <w:r>
        <w:rPr>
          <w:spacing w:val="-32"/>
        </w:rPr>
        <w:t> </w:t>
      </w:r>
      <w:r>
        <w:rPr>
          <w:rFonts w:ascii="宋体" w:hAnsi="宋体" w:cs="宋体" w:eastAsia="宋体" w:hint="default"/>
        </w:rPr>
        <w:t>2021</w:t>
      </w:r>
      <w:r>
        <w:rPr>
          <w:rFonts w:ascii="宋体" w:hAnsi="宋体" w:cs="宋体" w:eastAsia="宋体" w:hint="default"/>
          <w:spacing w:val="-35"/>
        </w:rPr>
        <w:t> </w:t>
      </w:r>
      <w:r>
        <w:rPr/>
        <w:t>年</w:t>
      </w:r>
      <w:r>
        <w:rPr>
          <w:rFonts w:ascii="宋体" w:hAnsi="宋体" w:cs="宋体" w:eastAsia="宋体" w:hint="default"/>
        </w:rPr>
        <w:t>-2025</w:t>
      </w:r>
      <w:r>
        <w:rPr>
          <w:rFonts w:ascii="宋体" w:hAnsi="宋体" w:cs="宋体" w:eastAsia="宋体" w:hint="default"/>
          <w:spacing w:val="-35"/>
        </w:rPr>
        <w:t> </w:t>
      </w:r>
      <w:r>
        <w:rPr>
          <w:spacing w:val="-4"/>
        </w:rPr>
        <w:t>年（协议到期后，将自动续签至</w:t>
      </w:r>
    </w:p>
    <w:p>
      <w:pPr>
        <w:spacing w:after="0" w:line="408"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Heading5"/>
        <w:spacing w:line="408" w:lineRule="auto" w:before="176"/>
        <w:ind w:right="1128" w:firstLine="0"/>
        <w:jc w:val="both"/>
        <w:rPr>
          <w:rFonts w:ascii="宋体" w:hAnsi="宋体" w:cs="宋体" w:eastAsia="宋体" w:hint="default"/>
        </w:rPr>
      </w:pPr>
      <w:r>
        <w:rPr>
          <w:rFonts w:ascii="宋体" w:hAnsi="宋体" w:cs="宋体" w:eastAsia="宋体" w:hint="default"/>
        </w:rPr>
        <w:t>2029 </w:t>
      </w:r>
      <w:r>
        <w:rPr>
          <w:spacing w:val="-4"/>
        </w:rPr>
        <w:t>年）量产上市的宝马集团所属品牌汽车（包括国产宝马及进口宝马，涉及品牌包括宝马、</w:t>
      </w:r>
      <w:r>
        <w:rPr>
          <w:rFonts w:ascii="宋体" w:hAnsi="宋体" w:cs="宋体" w:eastAsia="宋体" w:hint="default"/>
          <w:spacing w:val="-4"/>
        </w:rPr>
        <w:t>Mini</w:t>
      </w:r>
      <w:r>
        <w:rPr>
          <w:spacing w:val="-4"/>
        </w:rPr>
        <w:t>、劳斯</w:t>
      </w:r>
      <w:r>
        <w:rPr>
          <w:spacing w:val="-60"/>
        </w:rPr>
        <w:t> </w:t>
      </w:r>
      <w:r>
        <w:rPr>
          <w:spacing w:val="-60"/>
        </w:rPr>
      </w:r>
      <w:r>
        <w:rPr>
          <w:spacing w:val="-2"/>
        </w:rPr>
        <w:t>莱斯等）提供包括动态交通信息、路径规划、电动车路径规划、电动车剩余行驶里程计算等一体化的汽车</w:t>
      </w:r>
      <w:r>
        <w:rPr>
          <w:spacing w:val="-47"/>
        </w:rPr>
        <w:t> </w:t>
      </w:r>
      <w:r>
        <w:rPr>
          <w:spacing w:val="-47"/>
        </w:rPr>
      </w:r>
      <w:r>
        <w:rPr>
          <w:spacing w:val="-3"/>
        </w:rPr>
        <w:t>互联服务。此外，公司与</w:t>
      </w:r>
      <w:r>
        <w:rPr>
          <w:spacing w:val="-48"/>
        </w:rPr>
        <w:t> </w:t>
      </w:r>
      <w:r>
        <w:rPr>
          <w:rFonts w:ascii="宋体" w:hAnsi="宋体" w:cs="宋体" w:eastAsia="宋体" w:hint="default"/>
        </w:rPr>
        <w:t>Inrix</w:t>
      </w:r>
      <w:r>
        <w:rPr>
          <w:rFonts w:ascii="宋体" w:hAnsi="宋体" w:cs="宋体" w:eastAsia="宋体" w:hint="default"/>
          <w:spacing w:val="-50"/>
        </w:rPr>
        <w:t> </w:t>
      </w:r>
      <w:r>
        <w:rPr/>
        <w:t>签署</w:t>
      </w:r>
      <w:r>
        <w:rPr>
          <w:spacing w:val="-48"/>
        </w:rPr>
        <w:t> </w:t>
      </w:r>
      <w:r>
        <w:rPr>
          <w:rFonts w:ascii="宋体" w:hAnsi="宋体" w:cs="宋体" w:eastAsia="宋体" w:hint="default"/>
        </w:rPr>
        <w:t>Volvo</w:t>
      </w:r>
      <w:r>
        <w:rPr>
          <w:rFonts w:ascii="宋体" w:hAnsi="宋体" w:cs="宋体" w:eastAsia="宋体" w:hint="default"/>
          <w:spacing w:val="-48"/>
        </w:rPr>
        <w:t> </w:t>
      </w:r>
      <w:r>
        <w:rPr>
          <w:spacing w:val="-3"/>
        </w:rPr>
        <w:t>项目服务转移合同，将为</w:t>
      </w:r>
      <w:r>
        <w:rPr>
          <w:spacing w:val="-48"/>
        </w:rPr>
        <w:t> </w:t>
      </w:r>
      <w:r>
        <w:rPr>
          <w:rFonts w:ascii="宋体" w:hAnsi="宋体" w:cs="宋体" w:eastAsia="宋体" w:hint="default"/>
        </w:rPr>
        <w:t>Volvo</w:t>
      </w:r>
      <w:r>
        <w:rPr>
          <w:rFonts w:ascii="宋体" w:hAnsi="宋体" w:cs="宋体" w:eastAsia="宋体" w:hint="default"/>
          <w:spacing w:val="-48"/>
        </w:rPr>
        <w:t> </w:t>
      </w:r>
      <w:r>
        <w:rPr/>
        <w:t>车主提供在中国大陆的动态交</w:t>
      </w:r>
      <w:r>
        <w:rPr>
          <w:spacing w:val="-103"/>
        </w:rPr>
        <w:t> </w:t>
      </w:r>
      <w:r>
        <w:rPr>
          <w:spacing w:val="-103"/>
        </w:rPr>
      </w:r>
      <w:r>
        <w:rPr/>
        <w:t>通信息服务。</w:t>
      </w:r>
      <w:r>
        <w:rPr>
          <w:rFonts w:ascii="宋体" w:hAnsi="宋体" w:cs="宋体" w:eastAsia="宋体" w:hint="default"/>
        </w:rPr>
        <w:t> </w:t>
      </w:r>
    </w:p>
    <w:p>
      <w:pPr>
        <w:pStyle w:val="Heading5"/>
        <w:spacing w:line="240" w:lineRule="auto" w:before="58"/>
        <w:ind w:left="573" w:right="0" w:firstLine="0"/>
        <w:jc w:val="left"/>
      </w:pPr>
      <w:r>
        <w:rPr>
          <w:w w:val="100"/>
        </w:rPr>
        <w:t>报告</w:t>
      </w:r>
      <w:r>
        <w:rPr>
          <w:spacing w:val="-3"/>
          <w:w w:val="100"/>
        </w:rPr>
        <w:t>期</w:t>
      </w:r>
      <w:r>
        <w:rPr>
          <w:w w:val="100"/>
        </w:rPr>
        <w:t>内</w:t>
      </w:r>
      <w:r>
        <w:rPr>
          <w:spacing w:val="-108"/>
          <w:w w:val="100"/>
        </w:rPr>
        <w:t>，</w:t>
      </w:r>
      <w:r>
        <w:rPr>
          <w:w w:val="100"/>
        </w:rPr>
        <w:t>公</w:t>
      </w:r>
      <w:r>
        <w:rPr>
          <w:spacing w:val="-3"/>
          <w:w w:val="100"/>
        </w:rPr>
        <w:t>司</w:t>
      </w:r>
      <w:r>
        <w:rPr>
          <w:w w:val="100"/>
        </w:rPr>
        <w:t>不</w:t>
      </w:r>
      <w:r>
        <w:rPr>
          <w:spacing w:val="-3"/>
          <w:w w:val="100"/>
        </w:rPr>
        <w:t>断</w:t>
      </w:r>
      <w:r>
        <w:rPr>
          <w:w w:val="100"/>
        </w:rPr>
        <w:t>提</w:t>
      </w:r>
      <w:r>
        <w:rPr>
          <w:spacing w:val="-1"/>
          <w:w w:val="100"/>
        </w:rPr>
        <w:t>升</w:t>
      </w:r>
      <w:r>
        <w:rPr>
          <w:w w:val="100"/>
        </w:rPr>
        <w:t>在</w:t>
      </w:r>
      <w:r>
        <w:rPr>
          <w:spacing w:val="-71"/>
        </w:rPr>
        <w:t> </w:t>
      </w:r>
      <w:r>
        <w:rPr>
          <w:rFonts w:ascii="宋体" w:hAnsi="宋体" w:cs="宋体" w:eastAsia="宋体" w:hint="default"/>
          <w:w w:val="100"/>
        </w:rPr>
        <w:t>ADAS</w:t>
      </w:r>
      <w:r>
        <w:rPr>
          <w:rFonts w:ascii="宋体" w:hAnsi="宋体" w:cs="宋体" w:eastAsia="宋体" w:hint="default"/>
          <w:spacing w:val="-69"/>
        </w:rPr>
        <w:t> </w:t>
      </w:r>
      <w:r>
        <w:rPr>
          <w:spacing w:val="-3"/>
          <w:w w:val="100"/>
        </w:rPr>
        <w:t>以</w:t>
      </w:r>
      <w:r>
        <w:rPr>
          <w:w w:val="100"/>
        </w:rPr>
        <w:t>及</w:t>
      </w:r>
      <w:r>
        <w:rPr>
          <w:rFonts w:ascii="Microsoft JhengHei" w:hAnsi="Microsoft JhengHei" w:cs="Microsoft JhengHei" w:eastAsia="Microsoft JhengHei" w:hint="default"/>
          <w:spacing w:val="-3"/>
          <w:w w:val="100"/>
        </w:rPr>
        <w:t>⾃</w:t>
      </w:r>
      <w:r>
        <w:rPr>
          <w:w w:val="100"/>
        </w:rPr>
        <w:t>动</w:t>
      </w:r>
      <w:r>
        <w:rPr>
          <w:spacing w:val="-3"/>
          <w:w w:val="100"/>
        </w:rPr>
        <w:t>驾</w:t>
      </w:r>
      <w:r>
        <w:rPr>
          <w:w w:val="100"/>
        </w:rPr>
        <w:t>驶</w:t>
      </w:r>
      <w:r>
        <w:rPr>
          <w:spacing w:val="-3"/>
          <w:w w:val="100"/>
        </w:rPr>
        <w:t>领</w:t>
      </w:r>
      <w:r>
        <w:rPr>
          <w:w w:val="100"/>
        </w:rPr>
        <w:t>域</w:t>
      </w:r>
      <w:r>
        <w:rPr>
          <w:spacing w:val="-3"/>
          <w:w w:val="100"/>
        </w:rPr>
        <w:t>的</w:t>
      </w:r>
      <w:r>
        <w:rPr>
          <w:w w:val="100"/>
        </w:rPr>
        <w:t>产品</w:t>
      </w:r>
      <w:r>
        <w:rPr>
          <w:spacing w:val="-3"/>
          <w:w w:val="100"/>
        </w:rPr>
        <w:t>及</w:t>
      </w:r>
      <w:r>
        <w:rPr>
          <w:w w:val="100"/>
        </w:rPr>
        <w:t>服</w:t>
      </w:r>
      <w:r>
        <w:rPr>
          <w:spacing w:val="-3"/>
          <w:w w:val="100"/>
        </w:rPr>
        <w:t>务</w:t>
      </w:r>
      <w:r>
        <w:rPr>
          <w:w w:val="100"/>
        </w:rPr>
        <w:t>能</w:t>
      </w:r>
      <w:r>
        <w:rPr>
          <w:spacing w:val="-3"/>
          <w:w w:val="100"/>
        </w:rPr>
        <w:t>力</w:t>
      </w:r>
      <w:r>
        <w:rPr>
          <w:spacing w:val="-106"/>
          <w:w w:val="100"/>
        </w:rPr>
        <w:t>，</w:t>
      </w:r>
      <w:r>
        <w:rPr>
          <w:spacing w:val="-3"/>
          <w:w w:val="100"/>
        </w:rPr>
        <w:t>为</w:t>
      </w:r>
      <w:r>
        <w:rPr>
          <w:w w:val="100"/>
        </w:rPr>
        <w:t>宝马</w:t>
      </w:r>
      <w:r>
        <w:rPr>
          <w:spacing w:val="-70"/>
        </w:rPr>
        <w:t> </w:t>
      </w:r>
      <w:r>
        <w:rPr>
          <w:rFonts w:ascii="宋体" w:hAnsi="宋体" w:cs="宋体" w:eastAsia="宋体" w:hint="default"/>
          <w:spacing w:val="-3"/>
          <w:w w:val="100"/>
        </w:rPr>
        <w:t>L</w:t>
      </w:r>
      <w:r>
        <w:rPr>
          <w:spacing w:val="-209"/>
          <w:w w:val="100"/>
        </w:rPr>
        <w:t>（</w:t>
      </w:r>
      <w:r>
        <w:rPr>
          <w:rFonts w:ascii="宋体" w:hAnsi="宋体" w:cs="宋体" w:eastAsia="宋体" w:hint="default"/>
          <w:w w:val="100"/>
        </w:rPr>
        <w:t>P</w:t>
      </w:r>
      <w:r>
        <w:rPr>
          <w:rFonts w:ascii="宋体" w:hAnsi="宋体" w:cs="宋体" w:eastAsia="宋体" w:hint="default"/>
          <w:spacing w:val="-2"/>
        </w:rPr>
        <w:t> </w:t>
      </w:r>
      <w:r>
        <w:rPr>
          <w:rFonts w:ascii="宋体" w:hAnsi="宋体" w:cs="宋体" w:eastAsia="宋体" w:hint="default"/>
          <w:w w:val="100"/>
        </w:rPr>
        <w:t>Loca</w:t>
      </w:r>
      <w:r>
        <w:rPr>
          <w:rFonts w:ascii="宋体" w:hAnsi="宋体" w:cs="宋体" w:eastAsia="宋体" w:hint="default"/>
          <w:spacing w:val="-3"/>
          <w:w w:val="100"/>
        </w:rPr>
        <w:t>t</w:t>
      </w:r>
      <w:r>
        <w:rPr>
          <w:rFonts w:ascii="宋体" w:hAnsi="宋体" w:cs="宋体" w:eastAsia="宋体" w:hint="default"/>
          <w:w w:val="100"/>
        </w:rPr>
        <w:t>ion</w:t>
      </w:r>
      <w:r>
        <w:rPr>
          <w:rFonts w:ascii="宋体" w:hAnsi="宋体" w:cs="宋体" w:eastAsia="宋体" w:hint="default"/>
          <w:spacing w:val="-29"/>
          <w:w w:val="100"/>
        </w:rPr>
        <w:t> </w:t>
      </w:r>
      <w:r>
        <w:rPr>
          <w:rFonts w:ascii="宋体" w:hAnsi="宋体" w:cs="宋体" w:eastAsia="宋体" w:hint="default"/>
          <w:w w:val="100"/>
        </w:rPr>
        <w:t>Pla</w:t>
      </w:r>
      <w:r>
        <w:rPr>
          <w:rFonts w:ascii="宋体" w:hAnsi="宋体" w:cs="宋体" w:eastAsia="宋体" w:hint="default"/>
          <w:spacing w:val="-3"/>
          <w:w w:val="100"/>
        </w:rPr>
        <w:t>t</w:t>
      </w:r>
      <w:r>
        <w:rPr>
          <w:rFonts w:ascii="宋体" w:hAnsi="宋体" w:cs="宋体" w:eastAsia="宋体" w:hint="default"/>
          <w:w w:val="100"/>
        </w:rPr>
        <w:t>for</w:t>
      </w:r>
      <w:r>
        <w:rPr>
          <w:rFonts w:ascii="宋体" w:hAnsi="宋体" w:cs="宋体" w:eastAsia="宋体" w:hint="default"/>
          <w:spacing w:val="-3"/>
          <w:w w:val="100"/>
        </w:rPr>
        <w:t>m</w:t>
      </w:r>
      <w:r>
        <w:rPr>
          <w:w w:val="100"/>
        </w:rPr>
        <w:t>）</w:t>
      </w:r>
    </w:p>
    <w:p>
      <w:pPr>
        <w:spacing w:line="240" w:lineRule="auto" w:before="1"/>
        <w:rPr>
          <w:rFonts w:ascii="宋体" w:hAnsi="宋体" w:cs="宋体" w:eastAsia="宋体" w:hint="default"/>
          <w:sz w:val="16"/>
          <w:szCs w:val="16"/>
        </w:rPr>
      </w:pPr>
    </w:p>
    <w:p>
      <w:pPr>
        <w:pStyle w:val="Heading5"/>
        <w:spacing w:line="408" w:lineRule="auto" w:before="36"/>
        <w:ind w:right="0" w:firstLine="0"/>
        <w:jc w:val="left"/>
        <w:rPr>
          <w:rFonts w:ascii="宋体" w:hAnsi="宋体" w:cs="宋体" w:eastAsia="宋体" w:hint="default"/>
        </w:rPr>
      </w:pPr>
      <w:r>
        <w:rPr>
          <w:spacing w:val="-2"/>
        </w:rPr>
        <w:t>项目提供自动驾驶决策所需要的自动驾驶道路及交通事件信息服务，为奥迪提供基于云平台服务能力的实</w:t>
      </w:r>
      <w:r>
        <w:rPr>
          <w:spacing w:val="-43"/>
        </w:rPr>
        <w:t> </w:t>
      </w:r>
      <w:r>
        <w:rPr>
          <w:spacing w:val="-43"/>
        </w:rPr>
      </w:r>
      <w:r>
        <w:rPr/>
        <w:t>时路况信息收集和数据反馈的安全检测服务，保证并满足客户对数据有效传输与安全传输的属性要求。</w:t>
      </w:r>
      <w:r>
        <w:rPr>
          <w:rFonts w:ascii="宋体" w:hAnsi="宋体" w:cs="宋体" w:eastAsia="宋体" w:hint="default"/>
        </w:rPr>
        <w:t> </w:t>
      </w:r>
    </w:p>
    <w:p>
      <w:pPr>
        <w:spacing w:line="345" w:lineRule="exact" w:before="0"/>
        <w:ind w:left="152" w:right="0" w:firstLine="422"/>
        <w:jc w:val="both"/>
        <w:rPr>
          <w:rFonts w:ascii="宋体" w:hAnsi="宋体" w:cs="宋体" w:eastAsia="宋体" w:hint="default"/>
          <w:sz w:val="21"/>
          <w:szCs w:val="21"/>
        </w:rPr>
      </w:pPr>
      <w:r>
        <w:rPr>
          <w:rFonts w:ascii="Microsoft JhengHei" w:hAnsi="Microsoft JhengHei" w:cs="Microsoft JhengHei" w:eastAsia="Microsoft JhengHei" w:hint="default"/>
          <w:b/>
          <w:bCs/>
          <w:spacing w:val="-1"/>
          <w:sz w:val="21"/>
          <w:szCs w:val="21"/>
        </w:rPr>
        <w:t>在乘用车联网业务方面</w:t>
      </w:r>
      <w:r>
        <w:rPr>
          <w:rFonts w:ascii="宋体" w:hAnsi="宋体" w:cs="宋体" w:eastAsia="宋体" w:hint="default"/>
          <w:spacing w:val="-1"/>
          <w:sz w:val="21"/>
          <w:szCs w:val="21"/>
        </w:rPr>
        <w:t>，公司参股公司四维智联以大数据</w:t>
      </w:r>
      <w:r>
        <w:rPr>
          <w:rFonts w:ascii="宋体" w:hAnsi="宋体" w:cs="宋体" w:eastAsia="宋体" w:hint="default"/>
          <w:spacing w:val="-1"/>
          <w:sz w:val="21"/>
          <w:szCs w:val="21"/>
        </w:rPr>
        <w:t>/AI</w:t>
      </w:r>
      <w:r>
        <w:rPr>
          <w:rFonts w:ascii="宋体" w:hAnsi="宋体" w:cs="宋体" w:eastAsia="宋体" w:hint="default"/>
          <w:spacing w:val="31"/>
          <w:sz w:val="21"/>
          <w:szCs w:val="21"/>
        </w:rPr>
        <w:t> </w:t>
      </w:r>
      <w:r>
        <w:rPr>
          <w:rFonts w:ascii="宋体" w:hAnsi="宋体" w:cs="宋体" w:eastAsia="宋体" w:hint="default"/>
          <w:spacing w:val="-2"/>
          <w:sz w:val="21"/>
          <w:szCs w:val="21"/>
        </w:rPr>
        <w:t>为驱动，加大生态资源整合力度，打造</w:t>
      </w:r>
    </w:p>
    <w:p>
      <w:pPr>
        <w:pStyle w:val="Heading5"/>
        <w:spacing w:line="408" w:lineRule="auto" w:before="169"/>
        <w:ind w:right="1020" w:firstLine="0"/>
        <w:jc w:val="left"/>
        <w:rPr>
          <w:rFonts w:ascii="宋体" w:hAnsi="宋体" w:cs="宋体" w:eastAsia="宋体" w:hint="default"/>
        </w:rPr>
      </w:pPr>
      <w:r>
        <w:rPr>
          <w:spacing w:val="-2"/>
        </w:rPr>
        <w:t>通用型车联网云平台及服务组件，并面向新能源汽车智能出行、软硬一体、大数据运营等领域，打造具有</w:t>
      </w:r>
      <w:r>
        <w:rPr>
          <w:spacing w:val="-47"/>
        </w:rPr>
        <w:t> </w:t>
      </w:r>
      <w:r>
        <w:rPr>
          <w:spacing w:val="-47"/>
        </w:rPr>
      </w:r>
      <w:r>
        <w:rPr/>
        <w:t>市场竞争优势的产品和服务体系。通过参股广东为辰信安公司，实现了在智能网联安全领域的战略部署。</w:t>
      </w:r>
      <w:r>
        <w:rPr>
          <w:spacing w:val="-24"/>
        </w:rPr>
        <w:t> </w:t>
      </w:r>
      <w:r>
        <w:rPr>
          <w:spacing w:val="-24"/>
        </w:rPr>
      </w:r>
      <w:r>
        <w:rPr>
          <w:spacing w:val="-2"/>
        </w:rPr>
        <w:t>面对新能源汽车智能出行领域的市场需求，公司成立了满电出行公司，加速推进新能源汽车充电服务的商</w:t>
      </w:r>
      <w:r>
        <w:rPr>
          <w:spacing w:val="-43"/>
        </w:rPr>
        <w:t> </w:t>
      </w:r>
      <w:r>
        <w:rPr>
          <w:spacing w:val="-43"/>
        </w:rPr>
      </w:r>
      <w:r>
        <w:rPr/>
        <w:t>业化进程。</w:t>
      </w:r>
      <w:r>
        <w:rPr>
          <w:rFonts w:ascii="宋体" w:hAnsi="宋体" w:cs="宋体" w:eastAsia="宋体" w:hint="default"/>
        </w:rPr>
        <w:t> </w:t>
      </w:r>
    </w:p>
    <w:p>
      <w:pPr>
        <w:pStyle w:val="Heading5"/>
        <w:spacing w:line="408" w:lineRule="auto"/>
        <w:ind w:right="1126"/>
        <w:jc w:val="both"/>
        <w:rPr>
          <w:rFonts w:ascii="宋体" w:hAnsi="宋体" w:cs="宋体" w:eastAsia="宋体" w:hint="default"/>
        </w:rPr>
      </w:pPr>
      <w:r>
        <w:rPr>
          <w:spacing w:val="-2"/>
        </w:rPr>
        <w:t>报告期内，公司自主研发的车联网云平台能力大幅提升，自动发布功能和运维系统的技术升级已经完</w:t>
      </w:r>
      <w:r>
        <w:rPr>
          <w:w w:val="100"/>
        </w:rPr>
        <w:t> </w:t>
      </w:r>
      <w:r>
        <w:rPr>
          <w:spacing w:val="-4"/>
        </w:rPr>
        <w:t>成，</w:t>
      </w:r>
      <w:r>
        <w:rPr>
          <w:rFonts w:ascii="宋体" w:hAnsi="宋体" w:cs="宋体" w:eastAsia="宋体" w:hint="default"/>
          <w:spacing w:val="-4"/>
        </w:rPr>
        <w:t>FOTA</w:t>
      </w:r>
      <w:r>
        <w:rPr>
          <w:spacing w:val="-4"/>
        </w:rPr>
        <w:t>（</w:t>
      </w:r>
      <w:r>
        <w:rPr>
          <w:rFonts w:ascii="宋体" w:hAnsi="宋体" w:cs="宋体" w:eastAsia="宋体" w:hint="default"/>
          <w:spacing w:val="-4"/>
        </w:rPr>
        <w:t>Firmware </w:t>
      </w:r>
      <w:r>
        <w:rPr>
          <w:rFonts w:ascii="宋体" w:hAnsi="宋体" w:cs="宋体" w:eastAsia="宋体" w:hint="default"/>
          <w:spacing w:val="-3"/>
        </w:rPr>
        <w:t>Over-The-Air</w:t>
      </w:r>
      <w:r>
        <w:rPr>
          <w:spacing w:val="-3"/>
        </w:rPr>
        <w:t>）升级解决方案已在车厂落地，与滴滴共同启动数据中台联合开发，与</w:t>
      </w:r>
      <w:r>
        <w:rPr>
          <w:spacing w:val="-53"/>
        </w:rPr>
        <w:t> </w:t>
      </w:r>
      <w:r>
        <w:rPr>
          <w:spacing w:val="-53"/>
        </w:rPr>
      </w:r>
      <w:r>
        <w:rPr/>
        <w:t>博世就探索车辆智能诊断和新能源电池分析解决方案建立合作关系。</w:t>
      </w:r>
      <w:r>
        <w:rPr>
          <w:rFonts w:ascii="宋体" w:hAnsi="宋体" w:cs="宋体" w:eastAsia="宋体" w:hint="default"/>
        </w:rPr>
        <w:t> </w:t>
      </w:r>
    </w:p>
    <w:p>
      <w:pPr>
        <w:pStyle w:val="Heading5"/>
        <w:spacing w:line="408" w:lineRule="auto"/>
        <w:ind w:right="1128"/>
        <w:jc w:val="both"/>
        <w:rPr>
          <w:rFonts w:ascii="宋体" w:hAnsi="宋体" w:cs="宋体" w:eastAsia="宋体" w:hint="default"/>
        </w:rPr>
      </w:pPr>
      <w:r>
        <w:rPr>
          <w:spacing w:val="-2"/>
        </w:rPr>
        <w:t>报告期内，公司新能源汽车充电服务完成开放平台、营销平台、在线运营体系及基础平台建设，公共</w:t>
      </w:r>
      <w:r>
        <w:rPr>
          <w:w w:val="100"/>
        </w:rPr>
        <w:t> </w:t>
      </w:r>
      <w:r>
        <w:rPr/>
        <w:t>充电、私桩和管家代充电服务具备商用能力，并与福特、丰田多个国际</w:t>
      </w:r>
      <w:r>
        <w:rPr>
          <w:spacing w:val="-55"/>
        </w:rPr>
        <w:t> </w:t>
      </w:r>
      <w:r>
        <w:rPr>
          <w:rFonts w:ascii="宋体" w:hAnsi="宋体" w:cs="宋体" w:eastAsia="宋体" w:hint="default"/>
        </w:rPr>
        <w:t>OEM</w:t>
      </w:r>
      <w:r>
        <w:rPr>
          <w:rFonts w:ascii="宋体" w:hAnsi="宋体" w:cs="宋体" w:eastAsia="宋体" w:hint="default"/>
          <w:spacing w:val="-57"/>
        </w:rPr>
        <w:t> </w:t>
      </w:r>
      <w:r>
        <w:rPr/>
        <w:t>客户签订商业化合作协议。</w:t>
      </w:r>
      <w:r>
        <w:rPr>
          <w:rFonts w:ascii="宋体" w:hAnsi="宋体" w:cs="宋体" w:eastAsia="宋体" w:hint="default"/>
        </w:rPr>
        <w:t> </w:t>
      </w:r>
    </w:p>
    <w:p>
      <w:pPr>
        <w:pStyle w:val="Heading5"/>
        <w:spacing w:line="408" w:lineRule="auto" w:before="87"/>
        <w:ind w:right="1126"/>
        <w:jc w:val="both"/>
        <w:rPr>
          <w:rFonts w:ascii="宋体" w:hAnsi="宋体" w:cs="宋体" w:eastAsia="宋体" w:hint="default"/>
        </w:rPr>
      </w:pPr>
      <w:r>
        <w:rPr>
          <w:spacing w:val="-5"/>
        </w:rPr>
        <w:t>报告期内，公司参股企业前装车载智能终端硬件、车联网云平台及“云</w:t>
      </w:r>
      <w:r>
        <w:rPr>
          <w:rFonts w:ascii="宋体" w:hAnsi="宋体" w:cs="宋体" w:eastAsia="宋体" w:hint="default"/>
          <w:spacing w:val="-5"/>
        </w:rPr>
        <w:t>+</w:t>
      </w:r>
      <w:r>
        <w:rPr>
          <w:spacing w:val="-5"/>
        </w:rPr>
        <w:t>端”一体化解决方案落地多个</w:t>
      </w:r>
      <w:r>
        <w:rPr>
          <w:w w:val="100"/>
        </w:rPr>
        <w:t> </w:t>
      </w:r>
      <w:r>
        <w:rPr>
          <w:rFonts w:ascii="宋体" w:hAnsi="宋体" w:cs="宋体" w:eastAsia="宋体" w:hint="default"/>
        </w:rPr>
        <w:t>OEM</w:t>
      </w:r>
      <w:r>
        <w:rPr>
          <w:rFonts w:ascii="宋体" w:hAnsi="宋体" w:cs="宋体" w:eastAsia="宋体" w:hint="default"/>
          <w:spacing w:val="-29"/>
        </w:rPr>
        <w:t> </w:t>
      </w:r>
      <w:r>
        <w:rPr/>
        <w:t>合作项目。新一代车机操作系统“雅典娜”因具有高度集成能力和系统级打通能力，已经在前装车机</w:t>
      </w:r>
      <w:r>
        <w:rPr>
          <w:w w:val="100"/>
        </w:rPr>
        <w:t> </w:t>
      </w:r>
      <w:r>
        <w:rPr>
          <w:spacing w:val="-5"/>
        </w:rPr>
        <w:t>市场取得突破，并正式发布</w:t>
      </w:r>
      <w:r>
        <w:rPr>
          <w:spacing w:val="-42"/>
        </w:rPr>
        <w:t> </w:t>
      </w:r>
      <w:r>
        <w:rPr>
          <w:rFonts w:ascii="宋体" w:hAnsi="宋体" w:cs="宋体" w:eastAsia="宋体" w:hint="default"/>
        </w:rPr>
        <w:t>2.0</w:t>
      </w:r>
      <w:r>
        <w:rPr>
          <w:rFonts w:ascii="宋体" w:hAnsi="宋体" w:cs="宋体" w:eastAsia="宋体" w:hint="default"/>
          <w:spacing w:val="-43"/>
        </w:rPr>
        <w:t> </w:t>
      </w:r>
      <w:r>
        <w:rPr>
          <w:spacing w:val="-5"/>
        </w:rPr>
        <w:t>升级版本。</w:t>
      </w:r>
      <w:r>
        <w:rPr>
          <w:rFonts w:ascii="宋体" w:hAnsi="宋体" w:cs="宋体" w:eastAsia="宋体" w:hint="default"/>
          <w:spacing w:val="-5"/>
        </w:rPr>
        <w:t>WeLink</w:t>
      </w:r>
      <w:r>
        <w:rPr>
          <w:rFonts w:ascii="宋体" w:hAnsi="宋体" w:cs="宋体" w:eastAsia="宋体" w:hint="default"/>
          <w:spacing w:val="-44"/>
        </w:rPr>
        <w:t> </w:t>
      </w:r>
      <w:r>
        <w:rPr/>
        <w:t>轻车联网解决方案不断得到前装市场高端车型的项目认</w:t>
      </w:r>
      <w:r>
        <w:rPr>
          <w:spacing w:val="-101"/>
        </w:rPr>
        <w:t> </w:t>
      </w:r>
      <w:r>
        <w:rPr>
          <w:spacing w:val="-101"/>
        </w:rPr>
      </w:r>
      <w:r>
        <w:rPr>
          <w:spacing w:val="-5"/>
        </w:rPr>
        <w:t>可，基于全新的数据传输协议，产品体验大幅提升，产品安装率和激活率进一步提升。公司积极推动分</w:t>
      </w:r>
      <w:r>
        <w:rPr>
          <w:rFonts w:ascii="宋体" w:hAnsi="宋体" w:cs="宋体" w:eastAsia="宋体" w:hint="default"/>
          <w:spacing w:val="-5"/>
        </w:rPr>
        <w:t>/</w:t>
      </w:r>
      <w:r>
        <w:rPr>
          <w:spacing w:val="-5"/>
        </w:rPr>
        <w:t>子</w:t>
      </w:r>
      <w:r>
        <w:rPr>
          <w:spacing w:val="-13"/>
        </w:rPr>
        <w:t> </w:t>
      </w:r>
      <w:r>
        <w:rPr>
          <w:spacing w:val="2"/>
        </w:rPr>
        <w:t>公司与参股企业的协同协作，杰发科技自主研发的车机芯片成功搭载四维智联新一代人工智能语音车机</w:t>
      </w:r>
      <w:r>
        <w:rPr>
          <w:spacing w:val="-20"/>
        </w:rPr>
        <w:t> </w:t>
      </w:r>
      <w:r>
        <w:rPr>
          <w:spacing w:val="-20"/>
        </w:rPr>
      </w:r>
      <w:r>
        <w:rPr/>
        <w:t>“抖</w:t>
      </w:r>
      <w:r>
        <w:rPr>
          <w:spacing w:val="-53"/>
        </w:rPr>
        <w:t> </w:t>
      </w:r>
      <w:r>
        <w:rPr>
          <w:rFonts w:ascii="宋体" w:hAnsi="宋体" w:cs="宋体" w:eastAsia="宋体" w:hint="default"/>
        </w:rPr>
        <w:t>8</w:t>
      </w:r>
      <w:r>
        <w:rPr>
          <w:rFonts w:ascii="宋体" w:hAnsi="宋体" w:cs="宋体" w:eastAsia="宋体" w:hint="default"/>
          <w:spacing w:val="-56"/>
        </w:rPr>
        <w:t> </w:t>
      </w:r>
      <w:r>
        <w:rPr/>
        <w:t>音乐车机”，并于年内正式上市，</w:t>
      </w:r>
      <w:r>
        <w:rPr>
          <w:rFonts w:ascii="宋体" w:hAnsi="宋体" w:cs="宋体" w:eastAsia="宋体" w:hint="default"/>
        </w:rPr>
        <w:t>12</w:t>
      </w:r>
      <w:r>
        <w:rPr>
          <w:rFonts w:ascii="宋体" w:hAnsi="宋体" w:cs="宋体" w:eastAsia="宋体" w:hint="default"/>
          <w:spacing w:val="-56"/>
        </w:rPr>
        <w:t> </w:t>
      </w:r>
      <w:r>
        <w:rPr/>
        <w:t>月份单月销量超过</w:t>
      </w:r>
      <w:r>
        <w:rPr>
          <w:spacing w:val="-54"/>
        </w:rPr>
        <w:t> </w:t>
      </w:r>
      <w:r>
        <w:rPr>
          <w:rFonts w:ascii="宋体" w:hAnsi="宋体" w:cs="宋体" w:eastAsia="宋体" w:hint="default"/>
        </w:rPr>
        <w:t>4</w:t>
      </w:r>
      <w:r>
        <w:rPr>
          <w:rFonts w:ascii="宋体" w:hAnsi="宋体" w:cs="宋体" w:eastAsia="宋体" w:hint="default"/>
          <w:spacing w:val="-54"/>
        </w:rPr>
        <w:t> </w:t>
      </w:r>
      <w:r>
        <w:rPr/>
        <w:t>万台。</w:t>
      </w:r>
      <w:r>
        <w:rPr>
          <w:rFonts w:ascii="宋体" w:hAnsi="宋体" w:cs="宋体" w:eastAsia="宋体" w:hint="default"/>
          <w:spacing w:val="-3"/>
        </w:rPr>
        <w:t> </w:t>
      </w:r>
      <w:r>
        <w:rPr>
          <w:rFonts w:ascii="宋体" w:hAnsi="宋体" w:cs="宋体" w:eastAsia="宋体" w:hint="default"/>
        </w:rPr>
        <w:t> </w:t>
      </w:r>
    </w:p>
    <w:p>
      <w:pPr>
        <w:pStyle w:val="Heading5"/>
        <w:spacing w:line="350" w:lineRule="auto" w:before="17"/>
        <w:ind w:right="1126" w:firstLine="422"/>
        <w:jc w:val="both"/>
      </w:pPr>
      <w:r>
        <w:rPr>
          <w:rFonts w:ascii="Microsoft JhengHei" w:hAnsi="Microsoft JhengHei" w:cs="Microsoft JhengHei" w:eastAsia="Microsoft JhengHei" w:hint="default"/>
          <w:b/>
          <w:bCs/>
          <w:spacing w:val="-2"/>
        </w:rPr>
        <w:t>在商用车联网业务方面，</w:t>
      </w:r>
      <w:r>
        <w:rPr>
          <w:spacing w:val="-2"/>
        </w:rPr>
        <w:t>公司加速推进规模化的商用车车联网云平台服务能力及大数据场景落地能力</w:t>
      </w:r>
      <w:r>
        <w:rPr>
          <w:w w:val="100"/>
        </w:rPr>
        <w:t> </w:t>
      </w:r>
      <w:r>
        <w:rPr>
          <w:spacing w:val="-2"/>
        </w:rPr>
        <w:t>建设。报告期内，公司围绕整车厂及上下游企业数据化升级需求，持续推进车联网云平台能力建设，得到</w:t>
      </w:r>
    </w:p>
    <w:p>
      <w:pPr>
        <w:pStyle w:val="Heading5"/>
        <w:spacing w:line="408" w:lineRule="auto" w:before="96"/>
        <w:ind w:right="0" w:firstLine="0"/>
        <w:jc w:val="left"/>
        <w:rPr>
          <w:rFonts w:ascii="宋体" w:hAnsi="宋体" w:cs="宋体" w:eastAsia="宋体" w:hint="default"/>
        </w:rPr>
      </w:pPr>
      <w:r>
        <w:rPr>
          <w:spacing w:val="-2"/>
        </w:rPr>
        <w:t>车厂客户及行业伙伴的广泛认可，并与一汽解放签订战略合作协议，商业化智能网联服务方案服务的主流</w:t>
      </w:r>
      <w:r>
        <w:rPr>
          <w:spacing w:val="-44"/>
        </w:rPr>
        <w:t> </w:t>
      </w:r>
      <w:r>
        <w:rPr>
          <w:spacing w:val="-44"/>
        </w:rPr>
      </w:r>
      <w:r>
        <w:rPr/>
        <w:t>商用车厂达到</w:t>
      </w:r>
      <w:r>
        <w:rPr>
          <w:spacing w:val="-53"/>
        </w:rPr>
        <w:t> </w:t>
      </w:r>
      <w:r>
        <w:rPr>
          <w:rFonts w:ascii="宋体" w:hAnsi="宋体" w:cs="宋体" w:eastAsia="宋体" w:hint="default"/>
        </w:rPr>
        <w:t>8</w:t>
      </w:r>
      <w:r>
        <w:rPr>
          <w:rFonts w:ascii="宋体" w:hAnsi="宋体" w:cs="宋体" w:eastAsia="宋体" w:hint="default"/>
          <w:spacing w:val="-56"/>
        </w:rPr>
        <w:t> </w:t>
      </w:r>
      <w:r>
        <w:rPr/>
        <w:t>家，车联网运营服务入口进一步拓宽。</w:t>
      </w:r>
      <w:r>
        <w:rPr>
          <w:rFonts w:ascii="宋体" w:hAnsi="宋体" w:cs="宋体" w:eastAsia="宋体" w:hint="default"/>
        </w:rPr>
        <w:t> </w:t>
      </w:r>
    </w:p>
    <w:p>
      <w:pPr>
        <w:pStyle w:val="Heading5"/>
        <w:spacing w:line="408" w:lineRule="auto"/>
        <w:ind w:right="0" w:firstLine="566"/>
        <w:jc w:val="left"/>
      </w:pPr>
      <w:r>
        <w:rPr>
          <w:spacing w:val="-1"/>
        </w:rPr>
        <w:t>报告期内，公司积极打造大数据平台及大数据场景落地能力，首先完成以用户为中心、联通车辆全</w:t>
      </w:r>
      <w:r>
        <w:rPr>
          <w:w w:val="100"/>
        </w:rPr>
        <w:t> </w:t>
      </w:r>
      <w:r>
        <w:rPr>
          <w:spacing w:val="-4"/>
        </w:rPr>
        <w:t>生命周期数据的初步目标。公司自主研发的基于智能车载终端的驾驶行为分析算法、精准油耗里程（</w:t>
      </w:r>
      <w:r>
        <w:rPr>
          <w:rFonts w:ascii="宋体" w:hAnsi="宋体" w:cs="宋体" w:eastAsia="宋体" w:hint="default"/>
          <w:spacing w:val="-4"/>
        </w:rPr>
        <w:t>AI</w:t>
      </w:r>
      <w:r>
        <w:rPr>
          <w:rFonts w:ascii="宋体" w:hAnsi="宋体" w:cs="宋体" w:eastAsia="宋体" w:hint="default"/>
          <w:spacing w:val="47"/>
        </w:rPr>
        <w:t> </w:t>
      </w:r>
      <w:r>
        <w:rPr/>
        <w:t>里</w:t>
      </w:r>
    </w:p>
    <w:p>
      <w:pPr>
        <w:spacing w:after="0" w:line="408"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Heading5"/>
        <w:spacing w:line="408" w:lineRule="auto" w:before="176"/>
        <w:ind w:right="1126" w:firstLine="0"/>
        <w:jc w:val="both"/>
        <w:rPr>
          <w:rFonts w:ascii="宋体" w:hAnsi="宋体" w:cs="宋体" w:eastAsia="宋体" w:hint="default"/>
        </w:rPr>
      </w:pPr>
      <w:r>
        <w:rPr>
          <w:spacing w:val="-7"/>
          <w:w w:val="100"/>
        </w:rPr>
        <w:t>程）、载重算法已在多个车型进行推广应用。公司基于</w:t>
      </w:r>
      <w:r>
        <w:rPr>
          <w:spacing w:val="-48"/>
          <w:w w:val="100"/>
        </w:rPr>
        <w:t> </w:t>
      </w:r>
      <w:r>
        <w:rPr>
          <w:rFonts w:ascii="宋体" w:hAnsi="宋体" w:cs="宋体" w:eastAsia="宋体" w:hint="default"/>
          <w:spacing w:val="-1"/>
          <w:w w:val="100"/>
        </w:rPr>
        <w:t>ADASIS</w:t>
      </w:r>
      <w:r>
        <w:rPr>
          <w:rFonts w:ascii="宋体" w:hAnsi="宋体" w:cs="宋体" w:eastAsia="宋体" w:hint="default"/>
          <w:spacing w:val="-51"/>
          <w:w w:val="100"/>
        </w:rPr>
        <w:t> </w:t>
      </w:r>
      <w:r>
        <w:rPr>
          <w:spacing w:val="-2"/>
          <w:w w:val="100"/>
        </w:rPr>
        <w:t>协议开发的</w:t>
      </w:r>
      <w:r>
        <w:rPr>
          <w:spacing w:val="-49"/>
          <w:w w:val="100"/>
        </w:rPr>
        <w:t> </w:t>
      </w:r>
      <w:r>
        <w:rPr>
          <w:rFonts w:ascii="宋体" w:hAnsi="宋体" w:cs="宋体" w:eastAsia="宋体" w:hint="default"/>
          <w:spacing w:val="-1"/>
          <w:w w:val="100"/>
        </w:rPr>
        <w:t>PCC</w:t>
      </w:r>
      <w:r>
        <w:rPr>
          <w:rFonts w:ascii="宋体" w:hAnsi="宋体" w:cs="宋体" w:eastAsia="宋体" w:hint="default"/>
          <w:spacing w:val="-51"/>
          <w:w w:val="100"/>
        </w:rPr>
        <w:t> </w:t>
      </w:r>
      <w:r>
        <w:rPr>
          <w:spacing w:val="-2"/>
          <w:w w:val="100"/>
        </w:rPr>
        <w:t>等智能地平线产品已在多个</w:t>
      </w:r>
      <w:r>
        <w:rPr>
          <w:spacing w:val="-104"/>
          <w:w w:val="100"/>
        </w:rPr>
        <w:t> </w:t>
      </w:r>
      <w:r>
        <w:rPr>
          <w:spacing w:val="-104"/>
          <w:w w:val="100"/>
        </w:rPr>
      </w:r>
      <w:r>
        <w:rPr>
          <w:spacing w:val="-5"/>
        </w:rPr>
        <w:t>车型完成实车测试，计划</w:t>
      </w:r>
      <w:r>
        <w:rPr>
          <w:spacing w:val="-17"/>
        </w:rPr>
        <w:t> </w:t>
      </w:r>
      <w:r>
        <w:rPr>
          <w:rFonts w:ascii="宋体" w:hAnsi="宋体" w:cs="宋体" w:eastAsia="宋体" w:hint="default"/>
        </w:rPr>
        <w:t>2020</w:t>
      </w:r>
      <w:r>
        <w:rPr>
          <w:rFonts w:ascii="宋体" w:hAnsi="宋体" w:cs="宋体" w:eastAsia="宋体" w:hint="default"/>
          <w:spacing w:val="-17"/>
        </w:rPr>
        <w:t> </w:t>
      </w:r>
      <w:r>
        <w:rPr>
          <w:spacing w:val="-5"/>
        </w:rPr>
        <w:t>年可实现商业化落地。在车辆后市场变现方面，公司与中国财产再保险有限</w:t>
      </w:r>
      <w:r>
        <w:rPr>
          <w:spacing w:val="-91"/>
        </w:rPr>
        <w:t> </w:t>
      </w:r>
      <w:r>
        <w:rPr>
          <w:spacing w:val="-91"/>
        </w:rPr>
      </w:r>
      <w:r>
        <w:rPr>
          <w:spacing w:val="-3"/>
        </w:rPr>
        <w:t>责任公司签署战略协议，双方将在商用车智慧保险创新领域共同探索合作模式。</w:t>
      </w:r>
      <w:r>
        <w:rPr>
          <w:rFonts w:ascii="宋体" w:hAnsi="宋体" w:cs="宋体" w:eastAsia="宋体" w:hint="default"/>
          <w:spacing w:val="-3"/>
        </w:rPr>
        <w:t>2019</w:t>
      </w:r>
      <w:r>
        <w:rPr>
          <w:rFonts w:ascii="宋体" w:hAnsi="宋体" w:cs="宋体" w:eastAsia="宋体" w:hint="default"/>
          <w:spacing w:val="-34"/>
        </w:rPr>
        <w:t> </w:t>
      </w:r>
      <w:r>
        <w:rPr/>
        <w:t>年</w:t>
      </w:r>
      <w:r>
        <w:rPr>
          <w:spacing w:val="-30"/>
        </w:rPr>
        <w:t> </w:t>
      </w:r>
      <w:r>
        <w:rPr>
          <w:rFonts w:ascii="宋体" w:hAnsi="宋体" w:cs="宋体" w:eastAsia="宋体" w:hint="default"/>
        </w:rPr>
        <w:t>9</w:t>
      </w:r>
      <w:r>
        <w:rPr>
          <w:rFonts w:ascii="宋体" w:hAnsi="宋体" w:cs="宋体" w:eastAsia="宋体" w:hint="default"/>
          <w:spacing w:val="-34"/>
        </w:rPr>
        <w:t> </w:t>
      </w:r>
      <w:r>
        <w:rPr>
          <w:spacing w:val="-5"/>
        </w:rPr>
        <w:t>月，公司正式发</w:t>
      </w:r>
      <w:r>
        <w:rPr>
          <w:spacing w:val="-96"/>
        </w:rPr>
        <w:t> </w:t>
      </w:r>
      <w:r>
        <w:rPr>
          <w:spacing w:val="-96"/>
        </w:rPr>
      </w:r>
      <w:r>
        <w:rPr/>
        <w:t>布了在商用车领域的</w:t>
      </w:r>
      <w:r>
        <w:rPr>
          <w:spacing w:val="-6"/>
        </w:rPr>
        <w:t> </w:t>
      </w:r>
      <w:r>
        <w:rPr>
          <w:rFonts w:ascii="宋体" w:hAnsi="宋体" w:cs="宋体" w:eastAsia="宋体" w:hint="default"/>
          <w:spacing w:val="-6"/>
        </w:rPr>
      </w:r>
      <w:r>
        <w:rPr/>
        <w:t>“智能运力大脑”战略愿景。</w:t>
      </w:r>
      <w:r>
        <w:rPr>
          <w:rFonts w:ascii="宋体" w:hAnsi="宋体" w:cs="宋体" w:eastAsia="宋体" w:hint="default"/>
        </w:rPr>
        <w:t> </w:t>
      </w:r>
    </w:p>
    <w:p>
      <w:pPr>
        <w:pStyle w:val="Heading5"/>
        <w:spacing w:line="408" w:lineRule="auto"/>
        <w:ind w:right="0" w:firstLine="566"/>
        <w:jc w:val="left"/>
        <w:rPr>
          <w:rFonts w:ascii="宋体" w:hAnsi="宋体" w:cs="宋体" w:eastAsia="宋体" w:hint="default"/>
        </w:rPr>
      </w:pPr>
      <w:r>
        <w:rPr/>
        <w:t>报告期内，公司商用车联网领域的产品和服务能力得到了来自客户及众多行业权威机构的认可，获</w:t>
      </w:r>
      <w:r>
        <w:rPr>
          <w:w w:val="100"/>
        </w:rPr>
        <w:t> </w:t>
      </w:r>
      <w:r>
        <w:rPr>
          <w:spacing w:val="-3"/>
          <w:w w:val="100"/>
        </w:rPr>
        <w:t>得一汽解放“</w:t>
      </w:r>
      <w:r>
        <w:rPr>
          <w:rFonts w:ascii="宋体" w:hAnsi="宋体" w:cs="宋体" w:eastAsia="宋体" w:hint="default"/>
          <w:spacing w:val="-3"/>
          <w:w w:val="100"/>
        </w:rPr>
        <w:t>2019</w:t>
      </w:r>
      <w:r>
        <w:rPr>
          <w:rFonts w:ascii="宋体" w:hAnsi="宋体" w:cs="宋体" w:eastAsia="宋体" w:hint="default"/>
          <w:spacing w:val="-51"/>
          <w:w w:val="100"/>
        </w:rPr>
        <w:t> </w:t>
      </w:r>
      <w:r>
        <w:rPr>
          <w:spacing w:val="-10"/>
          <w:w w:val="100"/>
        </w:rPr>
        <w:t>年度研发贡献奖”、三一重卡“</w:t>
      </w:r>
      <w:r>
        <w:rPr>
          <w:rFonts w:ascii="宋体" w:hAnsi="宋体" w:cs="宋体" w:eastAsia="宋体" w:hint="default"/>
          <w:spacing w:val="-10"/>
          <w:w w:val="100"/>
        </w:rPr>
        <w:t>2019</w:t>
      </w:r>
      <w:r>
        <w:rPr>
          <w:rFonts w:ascii="宋体" w:hAnsi="宋体" w:cs="宋体" w:eastAsia="宋体" w:hint="default"/>
          <w:spacing w:val="-51"/>
          <w:w w:val="100"/>
        </w:rPr>
        <w:t> </w:t>
      </w:r>
      <w:r>
        <w:rPr>
          <w:spacing w:val="-4"/>
          <w:w w:val="100"/>
        </w:rPr>
        <w:t>年度合作共赢奖”</w:t>
      </w:r>
      <w:r>
        <w:rPr>
          <w:spacing w:val="6"/>
          <w:w w:val="100"/>
        </w:rPr>
        <w:t> </w:t>
      </w:r>
      <w:r>
        <w:rPr>
          <w:rFonts w:ascii="宋体" w:hAnsi="宋体" w:cs="宋体" w:eastAsia="宋体" w:hint="default"/>
          <w:spacing w:val="6"/>
          <w:w w:val="100"/>
        </w:rPr>
      </w:r>
      <w:r>
        <w:rPr>
          <w:spacing w:val="-5"/>
          <w:w w:val="100"/>
        </w:rPr>
        <w:t>、</w:t>
      </w:r>
      <w:r>
        <w:rPr>
          <w:rFonts w:ascii="宋体" w:hAnsi="宋体" w:cs="宋体" w:eastAsia="宋体" w:hint="default"/>
          <w:spacing w:val="-5"/>
          <w:w w:val="100"/>
        </w:rPr>
        <w:t>2019</w:t>
      </w:r>
      <w:r>
        <w:rPr>
          <w:spacing w:val="-5"/>
          <w:w w:val="100"/>
        </w:rPr>
        <w:t>（第五届）全国货运物流</w:t>
      </w:r>
      <w:r>
        <w:rPr>
          <w:spacing w:val="-98"/>
          <w:w w:val="100"/>
        </w:rPr>
        <w:t> </w:t>
      </w:r>
      <w:r>
        <w:rPr>
          <w:spacing w:val="-98"/>
          <w:w w:val="100"/>
        </w:rPr>
      </w:r>
      <w:r>
        <w:rPr>
          <w:spacing w:val="-11"/>
          <w:w w:val="100"/>
        </w:rPr>
        <w:t>行业年会“年度优秀供应商奖”、“</w:t>
      </w:r>
      <w:r>
        <w:rPr>
          <w:rFonts w:ascii="宋体" w:hAnsi="宋体" w:cs="宋体" w:eastAsia="宋体" w:hint="default"/>
          <w:spacing w:val="-11"/>
          <w:w w:val="100"/>
        </w:rPr>
        <w:t>2020</w:t>
      </w:r>
      <w:r>
        <w:rPr>
          <w:rFonts w:ascii="宋体" w:hAnsi="宋体" w:cs="宋体" w:eastAsia="宋体" w:hint="default"/>
          <w:spacing w:val="1"/>
          <w:w w:val="100"/>
        </w:rPr>
        <w:t> </w:t>
      </w:r>
      <w:r>
        <w:rPr>
          <w:spacing w:val="-1"/>
          <w:w w:val="100"/>
        </w:rPr>
        <w:t>年度智驾科技——预见性巡航</w:t>
      </w:r>
      <w:r>
        <w:rPr>
          <w:spacing w:val="1"/>
          <w:w w:val="100"/>
        </w:rPr>
        <w:t> </w:t>
      </w:r>
      <w:r>
        <w:rPr>
          <w:rFonts w:ascii="宋体" w:hAnsi="宋体" w:cs="宋体" w:eastAsia="宋体" w:hint="default"/>
          <w:spacing w:val="-13"/>
          <w:w w:val="100"/>
        </w:rPr>
        <w:t>PCC</w:t>
      </w:r>
      <w:r>
        <w:rPr>
          <w:spacing w:val="-13"/>
          <w:w w:val="100"/>
        </w:rPr>
        <w:t>”、</w:t>
      </w:r>
      <w:r>
        <w:rPr>
          <w:rFonts w:ascii="宋体" w:hAnsi="宋体" w:cs="宋体" w:eastAsia="宋体" w:hint="default"/>
          <w:spacing w:val="-13"/>
          <w:w w:val="100"/>
        </w:rPr>
        <w:t>2019</w:t>
      </w:r>
      <w:r>
        <w:rPr>
          <w:rFonts w:ascii="宋体" w:hAnsi="宋体" w:cs="宋体" w:eastAsia="宋体" w:hint="default"/>
          <w:spacing w:val="52"/>
          <w:w w:val="100"/>
        </w:rPr>
        <w:t> </w:t>
      </w:r>
      <w:r>
        <w:rPr>
          <w:rFonts w:ascii="宋体" w:hAnsi="宋体" w:cs="宋体" w:eastAsia="宋体" w:hint="default"/>
          <w:w w:val="100"/>
        </w:rPr>
        <w:t>AI</w:t>
      </w:r>
      <w:r>
        <w:rPr>
          <w:rFonts w:ascii="宋体" w:hAnsi="宋体" w:cs="宋体" w:eastAsia="宋体" w:hint="default"/>
          <w:spacing w:val="2"/>
          <w:w w:val="100"/>
        </w:rPr>
        <w:t> </w:t>
      </w:r>
      <w:r>
        <w:rPr>
          <w:spacing w:val="-1"/>
          <w:w w:val="100"/>
        </w:rPr>
        <w:t>开发者大会</w:t>
      </w:r>
      <w:r>
        <w:rPr>
          <w:spacing w:val="2"/>
          <w:w w:val="100"/>
        </w:rPr>
        <w:t> </w:t>
      </w:r>
      <w:r>
        <w:rPr>
          <w:rFonts w:ascii="宋体" w:hAnsi="宋体" w:cs="宋体" w:eastAsia="宋体" w:hint="default"/>
          <w:spacing w:val="2"/>
          <w:w w:val="100"/>
        </w:rPr>
      </w:r>
      <w:r>
        <w:rPr>
          <w:spacing w:val="-2"/>
          <w:w w:val="100"/>
        </w:rPr>
        <w:t>（</w:t>
      </w:r>
      <w:r>
        <w:rPr>
          <w:rFonts w:ascii="宋体" w:hAnsi="宋体" w:cs="宋体" w:eastAsia="宋体" w:hint="default"/>
          <w:spacing w:val="-2"/>
          <w:w w:val="100"/>
        </w:rPr>
        <w:t>AI</w:t>
      </w:r>
      <w:r>
        <w:rPr>
          <w:rFonts w:ascii="宋体" w:hAnsi="宋体" w:cs="宋体" w:eastAsia="宋体" w:hint="default"/>
          <w:spacing w:val="-104"/>
          <w:w w:val="100"/>
        </w:rPr>
        <w:t> </w:t>
      </w:r>
      <w:r>
        <w:rPr>
          <w:rFonts w:ascii="宋体" w:hAnsi="宋体" w:cs="宋体" w:eastAsia="宋体" w:hint="default"/>
          <w:spacing w:val="-10"/>
          <w:w w:val="100"/>
        </w:rPr>
        <w:t>ProCon</w:t>
      </w:r>
      <w:r>
        <w:rPr>
          <w:spacing w:val="-10"/>
          <w:w w:val="100"/>
        </w:rPr>
        <w:t>）“</w:t>
      </w:r>
      <w:r>
        <w:rPr>
          <w:rFonts w:ascii="宋体" w:hAnsi="宋体" w:cs="宋体" w:eastAsia="宋体" w:hint="default"/>
          <w:spacing w:val="-10"/>
          <w:w w:val="100"/>
        </w:rPr>
        <w:t>2019</w:t>
      </w:r>
      <w:r>
        <w:rPr>
          <w:rFonts w:ascii="宋体" w:hAnsi="宋体" w:cs="宋体" w:eastAsia="宋体" w:hint="default"/>
          <w:spacing w:val="-53"/>
          <w:w w:val="100"/>
        </w:rPr>
        <w:t> </w:t>
      </w:r>
      <w:r>
        <w:rPr>
          <w:spacing w:val="-2"/>
          <w:w w:val="100"/>
        </w:rPr>
        <w:t>中国</w:t>
      </w:r>
      <w:r>
        <w:rPr>
          <w:spacing w:val="-53"/>
          <w:w w:val="100"/>
        </w:rPr>
        <w:t> </w:t>
      </w:r>
      <w:r>
        <w:rPr>
          <w:rFonts w:ascii="宋体" w:hAnsi="宋体" w:cs="宋体" w:eastAsia="宋体" w:hint="default"/>
          <w:spacing w:val="-1"/>
          <w:w w:val="100"/>
        </w:rPr>
        <w:t>IoT</w:t>
      </w:r>
      <w:r>
        <w:rPr>
          <w:rFonts w:ascii="宋体" w:hAnsi="宋体" w:cs="宋体" w:eastAsia="宋体" w:hint="default"/>
          <w:spacing w:val="-55"/>
          <w:w w:val="100"/>
        </w:rPr>
        <w:t> </w:t>
      </w:r>
      <w:r>
        <w:rPr>
          <w:spacing w:val="-10"/>
          <w:w w:val="100"/>
        </w:rPr>
        <w:t>优秀应用案例奖”、</w:t>
      </w:r>
      <w:r>
        <w:rPr>
          <w:rFonts w:ascii="宋体" w:hAnsi="宋体" w:cs="宋体" w:eastAsia="宋体" w:hint="default"/>
          <w:spacing w:val="-10"/>
          <w:w w:val="100"/>
        </w:rPr>
        <w:t>2019</w:t>
      </w:r>
      <w:r>
        <w:rPr>
          <w:rFonts w:ascii="宋体" w:hAnsi="宋体" w:cs="宋体" w:eastAsia="宋体" w:hint="default"/>
          <w:spacing w:val="-55"/>
          <w:w w:val="100"/>
        </w:rPr>
        <w:t> </w:t>
      </w:r>
      <w:r>
        <w:rPr>
          <w:w w:val="100"/>
        </w:rPr>
        <w:t>年度</w:t>
      </w:r>
      <w:r>
        <w:rPr>
          <w:spacing w:val="-53"/>
          <w:w w:val="100"/>
        </w:rPr>
        <w:t> </w:t>
      </w:r>
      <w:r>
        <w:rPr>
          <w:rFonts w:ascii="宋体" w:hAnsi="宋体" w:cs="宋体" w:eastAsia="宋体" w:hint="default"/>
          <w:spacing w:val="-1"/>
          <w:w w:val="100"/>
        </w:rPr>
        <w:t>GGAI</w:t>
      </w:r>
      <w:r>
        <w:rPr>
          <w:rFonts w:ascii="宋体" w:hAnsi="宋体" w:cs="宋体" w:eastAsia="宋体" w:hint="default"/>
          <w:spacing w:val="-55"/>
          <w:w w:val="100"/>
        </w:rPr>
        <w:t> </w:t>
      </w:r>
      <w:r>
        <w:rPr>
          <w:spacing w:val="-2"/>
          <w:w w:val="100"/>
        </w:rPr>
        <w:t>智能网联商用车“大数据平台年度供应商”金</w:t>
      </w:r>
      <w:r>
        <w:rPr>
          <w:spacing w:val="-104"/>
          <w:w w:val="100"/>
        </w:rPr>
        <w:t> </w:t>
      </w:r>
      <w:r>
        <w:rPr>
          <w:spacing w:val="-104"/>
          <w:w w:val="100"/>
        </w:rPr>
      </w:r>
      <w:r>
        <w:rPr>
          <w:spacing w:val="-2"/>
        </w:rPr>
        <w:t>球奖等多个奖项。公司参与的由中国汽车工程研究院股份有限公司和罗兰贝格管理咨询公司联合制作的全</w:t>
      </w:r>
      <w:r>
        <w:rPr>
          <w:spacing w:val="-43"/>
        </w:rPr>
        <w:t> </w:t>
      </w:r>
      <w:r>
        <w:rPr>
          <w:spacing w:val="-43"/>
        </w:rPr>
      </w:r>
      <w:r>
        <w:rPr>
          <w:spacing w:val="-8"/>
          <w:w w:val="100"/>
        </w:rPr>
        <w:t>国首份《商用车车联网白皮书》，于</w:t>
      </w:r>
      <w:r>
        <w:rPr>
          <w:spacing w:val="-55"/>
          <w:w w:val="100"/>
        </w:rPr>
        <w:t> </w:t>
      </w:r>
      <w:r>
        <w:rPr>
          <w:rFonts w:ascii="宋体" w:hAnsi="宋体" w:cs="宋体" w:eastAsia="宋体" w:hint="default"/>
          <w:w w:val="100"/>
        </w:rPr>
        <w:t>2019</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spacing w:val="-2"/>
          <w:w w:val="100"/>
        </w:rPr>
        <w:t>12</w:t>
      </w:r>
      <w:r>
        <w:rPr>
          <w:rFonts w:ascii="宋体" w:hAnsi="宋体" w:cs="宋体" w:eastAsia="宋体" w:hint="default"/>
          <w:spacing w:val="-53"/>
          <w:w w:val="100"/>
        </w:rPr>
        <w:t> </w:t>
      </w:r>
      <w:r>
        <w:rPr>
          <w:spacing w:val="-2"/>
          <w:w w:val="100"/>
        </w:rPr>
        <w:t>月正式发布。</w:t>
      </w:r>
      <w:r>
        <w:rPr>
          <w:rFonts w:ascii="宋体" w:hAnsi="宋体" w:cs="宋体" w:eastAsia="宋体" w:hint="default"/>
          <w:w w:val="100"/>
        </w:rPr>
        <w:t> </w:t>
      </w:r>
    </w:p>
    <w:p>
      <w:pPr>
        <w:spacing w:line="345" w:lineRule="exact" w:before="0"/>
        <w:ind w:left="152" w:right="0" w:firstLine="422"/>
        <w:jc w:val="both"/>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在对外投融资及合作方面，</w:t>
      </w:r>
      <w:r>
        <w:rPr>
          <w:rFonts w:ascii="宋体" w:hAnsi="宋体" w:cs="宋体" w:eastAsia="宋体" w:hint="default"/>
          <w:sz w:val="21"/>
          <w:szCs w:val="21"/>
        </w:rPr>
        <w:t>公司基于连续十多年积累的数据和算法优势，不断加强与产业合作伙伴的</w:t>
      </w:r>
    </w:p>
    <w:p>
      <w:pPr>
        <w:pStyle w:val="Heading5"/>
        <w:spacing w:line="408" w:lineRule="auto" w:before="169"/>
        <w:ind w:right="1127" w:firstLine="0"/>
        <w:jc w:val="both"/>
        <w:rPr>
          <w:rFonts w:ascii="宋体" w:hAnsi="宋体" w:cs="宋体" w:eastAsia="宋体" w:hint="default"/>
        </w:rPr>
      </w:pPr>
      <w:r>
        <w:rPr>
          <w:spacing w:val="-2"/>
        </w:rPr>
        <w:t>连接和协作，在自动驾驶、汽车电子芯片、智能网联、新能源智能出行等领域，通过股权合作、战略协同</w:t>
      </w:r>
      <w:r>
        <w:rPr>
          <w:spacing w:val="-42"/>
        </w:rPr>
        <w:t> </w:t>
      </w:r>
      <w:r>
        <w:rPr>
          <w:spacing w:val="-42"/>
        </w:rPr>
      </w:r>
      <w:r>
        <w:rPr/>
        <w:t>等方式，吸引产业优势资源和能力，加速推动“智能汽车大脑”战略部署和落地。</w:t>
      </w:r>
      <w:r>
        <w:rPr>
          <w:rFonts w:ascii="宋体" w:hAnsi="宋体" w:cs="宋体" w:eastAsia="宋体" w:hint="default"/>
        </w:rPr>
        <w:t> </w:t>
      </w:r>
    </w:p>
    <w:p>
      <w:pPr>
        <w:pStyle w:val="Heading5"/>
        <w:spacing w:line="408" w:lineRule="auto"/>
        <w:ind w:right="1126"/>
        <w:jc w:val="both"/>
        <w:rPr>
          <w:rFonts w:ascii="宋体" w:hAnsi="宋体" w:cs="宋体" w:eastAsia="宋体" w:hint="default"/>
        </w:rPr>
      </w:pPr>
      <w:r>
        <w:rPr>
          <w:spacing w:val="-2"/>
        </w:rPr>
        <w:t>报告期内，公司以自有资金设立合肥四维图新科技有限公司。通过设立全资子公司，公司将进一步协</w:t>
      </w:r>
      <w:r>
        <w:rPr>
          <w:w w:val="100"/>
        </w:rPr>
        <w:t> </w:t>
      </w:r>
      <w:r>
        <w:rPr>
          <w:spacing w:val="-2"/>
        </w:rPr>
        <w:t>同区域优势资源和能力，加速推动自动驾驶、高精度地图、高精度定位、芯片等新业务及解决方案的商业</w:t>
      </w:r>
      <w:r>
        <w:rPr>
          <w:spacing w:val="-47"/>
        </w:rPr>
        <w:t> </w:t>
      </w:r>
      <w:r>
        <w:rPr>
          <w:spacing w:val="-47"/>
        </w:rPr>
      </w:r>
      <w:r>
        <w:rPr/>
        <w:t>化进程，并通过导入优质客户力量与国际化资源，为公司在自动驾驶领域快速形成竞争优势奠定基础。</w:t>
      </w:r>
      <w:r>
        <w:rPr>
          <w:rFonts w:ascii="宋体" w:hAnsi="宋体" w:cs="宋体" w:eastAsia="宋体" w:hint="default"/>
        </w:rPr>
        <w:t> </w:t>
      </w:r>
    </w:p>
    <w:p>
      <w:pPr>
        <w:pStyle w:val="Heading5"/>
        <w:spacing w:line="408" w:lineRule="auto"/>
        <w:ind w:right="1126"/>
        <w:jc w:val="both"/>
      </w:pPr>
      <w:r>
        <w:rPr>
          <w:spacing w:val="-2"/>
        </w:rPr>
        <w:t>报告期内，公司完成子公司北京六分科技有限公司增资扩股交割事项。通过引进中国电信、中国互联</w:t>
      </w:r>
      <w:r>
        <w:rPr>
          <w:w w:val="100"/>
        </w:rPr>
        <w:t> </w:t>
      </w:r>
      <w:r>
        <w:rPr>
          <w:spacing w:val="-2"/>
        </w:rPr>
        <w:t>网投资基金等战略投资者，公司将充分融合股东各方的产业资源和优势，打造上承软件、数据服务及云端</w:t>
      </w:r>
      <w:r>
        <w:rPr>
          <w:spacing w:val="-44"/>
        </w:rPr>
        <w:t> </w:t>
      </w:r>
      <w:r>
        <w:rPr>
          <w:spacing w:val="-44"/>
        </w:rPr>
      </w:r>
      <w:r>
        <w:rPr>
          <w:spacing w:val="-2"/>
        </w:rPr>
        <w:t>算法，下接芯片、接收机的高精度定位一体化解决方案服务能力，快速打造公司在高精度定位领域的竞争</w:t>
      </w:r>
      <w:r>
        <w:rPr>
          <w:spacing w:val="-44"/>
        </w:rPr>
        <w:t> </w:t>
      </w:r>
      <w:r>
        <w:rPr>
          <w:spacing w:val="-44"/>
        </w:rPr>
      </w:r>
      <w:r>
        <w:rPr/>
        <w:t>能力。</w:t>
      </w:r>
    </w:p>
    <w:p>
      <w:pPr>
        <w:pStyle w:val="Heading5"/>
        <w:spacing w:line="408" w:lineRule="auto"/>
        <w:ind w:right="1126"/>
        <w:jc w:val="both"/>
        <w:rPr>
          <w:rFonts w:ascii="宋体" w:hAnsi="宋体" w:cs="宋体" w:eastAsia="宋体" w:hint="default"/>
        </w:rPr>
      </w:pPr>
      <w:r>
        <w:rPr>
          <w:spacing w:val="-2"/>
        </w:rPr>
        <w:t>报告期内，公司以自有资金参与设立北京满电出行科技有限公司。通过设立满电出行，公司将加速推</w:t>
      </w:r>
      <w:r>
        <w:rPr>
          <w:w w:val="100"/>
        </w:rPr>
        <w:t> </w:t>
      </w:r>
      <w:r>
        <w:rPr>
          <w:spacing w:val="-4"/>
        </w:rPr>
        <w:t>进在新能源汽车智能出行领域的商业化进程，并将与</w:t>
      </w:r>
      <w:r>
        <w:rPr>
          <w:spacing w:val="-18"/>
        </w:rPr>
        <w:t> </w:t>
      </w:r>
      <w:r>
        <w:rPr>
          <w:rFonts w:ascii="宋体" w:hAnsi="宋体" w:cs="宋体" w:eastAsia="宋体" w:hint="default"/>
        </w:rPr>
        <w:t>ADAS</w:t>
      </w:r>
      <w:r>
        <w:rPr>
          <w:rFonts w:ascii="宋体" w:hAnsi="宋体" w:cs="宋体" w:eastAsia="宋体" w:hint="default"/>
          <w:spacing w:val="-20"/>
        </w:rPr>
        <w:t> </w:t>
      </w:r>
      <w:r>
        <w:rPr>
          <w:spacing w:val="-6"/>
        </w:rPr>
        <w:t>地图、高精度地图、自动驾驶解决方案等业务形</w:t>
      </w:r>
      <w:r>
        <w:rPr>
          <w:spacing w:val="-91"/>
        </w:rPr>
        <w:t> </w:t>
      </w:r>
      <w:r>
        <w:rPr>
          <w:spacing w:val="-91"/>
        </w:rPr>
      </w:r>
      <w:r>
        <w:rPr/>
        <w:t>成协同优势，进一步提升公司在位置大数据、自动驾驶领域的服务</w:t>
      </w:r>
      <w:r>
        <w:rPr>
          <w:rFonts w:ascii="宋体" w:hAnsi="宋体" w:cs="宋体" w:eastAsia="宋体" w:hint="default"/>
        </w:rPr>
        <w:t>+</w:t>
      </w:r>
      <w:r>
        <w:rPr/>
        <w:t>终端的软硬一体化整体解决方案服务</w:t>
      </w:r>
      <w:r>
        <w:rPr>
          <w:spacing w:val="-21"/>
        </w:rPr>
        <w:t> </w:t>
      </w:r>
      <w:r>
        <w:rPr>
          <w:spacing w:val="-21"/>
        </w:rPr>
      </w:r>
      <w:r>
        <w:rPr/>
        <w:t>能力。</w:t>
      </w:r>
      <w:r>
        <w:rPr>
          <w:rFonts w:ascii="宋体" w:hAnsi="宋体" w:cs="宋体" w:eastAsia="宋体" w:hint="default"/>
        </w:rPr>
        <w:t> </w:t>
      </w:r>
    </w:p>
    <w:p>
      <w:pPr>
        <w:pStyle w:val="Heading5"/>
        <w:spacing w:line="408" w:lineRule="auto"/>
        <w:ind w:right="0"/>
        <w:jc w:val="left"/>
        <w:rPr>
          <w:rFonts w:ascii="宋体" w:hAnsi="宋体" w:cs="宋体" w:eastAsia="宋体" w:hint="default"/>
        </w:rPr>
      </w:pPr>
      <w:r>
        <w:rPr/>
        <w:t>报告期内，公司参股广东为辰信息科技有限公司。通过本次交易，公司实现了在智能网联安全领域的</w:t>
      </w:r>
      <w:r>
        <w:rPr>
          <w:w w:val="100"/>
        </w:rPr>
        <w:t> </w:t>
      </w:r>
      <w:r>
        <w:rPr/>
        <w:t>业务扩展和战略布局。面向未来，公司将加速推动智能网联安全与车联网软硬件产品、云平台、车载芯片</w:t>
      </w:r>
      <w:r>
        <w:rPr>
          <w:w w:val="100"/>
        </w:rPr>
        <w:t> </w:t>
      </w:r>
      <w:r>
        <w:rPr>
          <w:spacing w:val="-5"/>
          <w:w w:val="100"/>
        </w:rPr>
        <w:t>等产品及技术的优化整合与协同协作，进一步提升公司在智能网联领域的软硬件一体化解决方案竞争能力。</w:t>
      </w:r>
      <w:r>
        <w:rPr>
          <w:rFonts w:ascii="宋体" w:hAnsi="宋体" w:cs="宋体" w:eastAsia="宋体" w:hint="default"/>
          <w:w w:val="100"/>
        </w:rPr>
        <w:t> </w:t>
      </w:r>
    </w:p>
    <w:p>
      <w:pPr>
        <w:pStyle w:val="Heading5"/>
        <w:spacing w:line="408" w:lineRule="auto"/>
        <w:ind w:right="1128"/>
        <w:jc w:val="both"/>
        <w:rPr>
          <w:rFonts w:ascii="宋体" w:hAnsi="宋体" w:cs="宋体" w:eastAsia="宋体" w:hint="default"/>
        </w:rPr>
      </w:pPr>
      <w:r>
        <w:rPr>
          <w:spacing w:val="-4"/>
        </w:rPr>
        <w:t>报告期内，公司通过旗下四维互联并购基金战略领投</w:t>
      </w:r>
      <w:r>
        <w:rPr>
          <w:spacing w:val="-42"/>
        </w:rPr>
        <w:t> </w:t>
      </w:r>
      <w:r>
        <w:rPr>
          <w:rFonts w:ascii="宋体" w:hAnsi="宋体" w:cs="宋体" w:eastAsia="宋体" w:hint="default"/>
        </w:rPr>
        <w:t>Minieye</w:t>
      </w:r>
      <w:r>
        <w:rPr>
          <w:rFonts w:ascii="宋体" w:hAnsi="宋体" w:cs="宋体" w:eastAsia="宋体" w:hint="default"/>
          <w:spacing w:val="-10"/>
        </w:rPr>
        <w:t> </w:t>
      </w:r>
      <w:r>
        <w:rPr>
          <w:rFonts w:ascii="宋体" w:hAnsi="宋体" w:cs="宋体" w:eastAsia="宋体" w:hint="default"/>
        </w:rPr>
        <w:t>B</w:t>
      </w:r>
      <w:r>
        <w:rPr>
          <w:rFonts w:ascii="宋体" w:hAnsi="宋体" w:cs="宋体" w:eastAsia="宋体" w:hint="default"/>
          <w:spacing w:val="-41"/>
        </w:rPr>
        <w:t> </w:t>
      </w:r>
      <w:r>
        <w:rPr>
          <w:spacing w:val="-10"/>
        </w:rPr>
        <w:t>轮融资。通过本次交易，借助</w:t>
      </w:r>
      <w:r>
        <w:rPr>
          <w:spacing w:val="-41"/>
        </w:rPr>
        <w:t> </w:t>
      </w:r>
      <w:r>
        <w:rPr>
          <w:rFonts w:ascii="宋体" w:hAnsi="宋体" w:cs="宋体" w:eastAsia="宋体" w:hint="default"/>
        </w:rPr>
        <w:t>Minieye</w:t>
      </w:r>
      <w:r>
        <w:rPr>
          <w:rFonts w:ascii="宋体" w:hAnsi="宋体" w:cs="宋体" w:eastAsia="宋体" w:hint="default"/>
          <w:w w:val="100"/>
        </w:rPr>
        <w:t> </w:t>
      </w:r>
      <w:r>
        <w:rPr>
          <w:spacing w:val="-6"/>
          <w:w w:val="100"/>
        </w:rPr>
        <w:t>环境感知解决方案及在业内的领先优势，公司将进一步完善自动驾驶数据生态建设，并将加速推动</w:t>
      </w:r>
      <w:r>
        <w:rPr>
          <w:spacing w:val="-28"/>
          <w:w w:val="100"/>
        </w:rPr>
        <w:t> </w:t>
      </w:r>
      <w:r>
        <w:rPr>
          <w:rFonts w:ascii="宋体" w:hAnsi="宋体" w:cs="宋体" w:eastAsia="宋体" w:hint="default"/>
          <w:spacing w:val="-2"/>
          <w:w w:val="100"/>
        </w:rPr>
        <w:t>Minieye</w:t>
      </w:r>
    </w:p>
    <w:p>
      <w:pPr>
        <w:spacing w:after="0" w:line="408" w:lineRule="auto"/>
        <w:jc w:val="both"/>
        <w:rPr>
          <w:rFonts w:ascii="宋体" w:hAnsi="宋体" w:cs="宋体" w:eastAsia="宋体" w:hint="default"/>
        </w:rPr>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Heading5"/>
        <w:spacing w:line="408" w:lineRule="auto" w:before="176"/>
        <w:ind w:right="1122" w:firstLine="0"/>
        <w:jc w:val="left"/>
        <w:rPr>
          <w:rFonts w:ascii="宋体" w:hAnsi="宋体" w:cs="宋体" w:eastAsia="宋体" w:hint="default"/>
        </w:rPr>
      </w:pPr>
      <w:r>
        <w:rPr/>
        <w:t>产品与自动驾驶地图、智能地平线、车联网、多源数据融合等业务的协同，推进公司</w:t>
      </w:r>
      <w:r>
        <w:rPr>
          <w:spacing w:val="-28"/>
        </w:rPr>
        <w:t> </w:t>
      </w:r>
      <w:r>
        <w:rPr>
          <w:rFonts w:ascii="宋体" w:hAnsi="宋体" w:cs="宋体" w:eastAsia="宋体" w:hint="default"/>
        </w:rPr>
        <w:t>L2+</w:t>
      </w:r>
      <w:r>
        <w:rPr/>
        <w:t>自动驾驶量产方</w:t>
      </w:r>
      <w:r>
        <w:rPr>
          <w:w w:val="100"/>
        </w:rPr>
        <w:t> </w:t>
      </w:r>
      <w:r>
        <w:rPr/>
        <w:t>案落地。</w:t>
      </w:r>
      <w:r>
        <w:rPr>
          <w:rFonts w:ascii="宋体" w:hAnsi="宋体" w:cs="宋体" w:eastAsia="宋体" w:hint="default"/>
        </w:rPr>
        <w:t> </w:t>
      </w:r>
    </w:p>
    <w:p>
      <w:pPr>
        <w:pStyle w:val="Heading2"/>
        <w:spacing w:line="240" w:lineRule="auto" w:before="167"/>
        <w:ind w:right="0"/>
        <w:jc w:val="left"/>
        <w:rPr>
          <w:b w:val="0"/>
          <w:bCs w:val="0"/>
        </w:rPr>
      </w:pPr>
      <w:r>
        <w:rPr/>
        <w:t>二、主要资产重大变化情况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3051"/>
        <w:gridCol w:w="6517"/>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本期减少系银行承兑汇票到期所致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本期增加系应收销售款增加所致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本期减少系公司转让股权投资所致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本期减少系上年购买银行理财产品所致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本期增加系加大自动驾驶地图、商用车联网、大数据平台等项目的开发投入所致</w:t>
            </w:r>
          </w:p>
        </w:tc>
      </w:tr>
      <w:tr>
        <w:trPr>
          <w:trHeight w:val="404"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本期减少系可抵扣时间性差异减少所致</w:t>
            </w:r>
          </w:p>
        </w:tc>
      </w:tr>
    </w:tbl>
    <w:p>
      <w:pPr>
        <w:spacing w:line="240" w:lineRule="auto" w:before="10"/>
        <w:rPr>
          <w:rFonts w:ascii="Microsoft JhengHei" w:hAnsi="Microsoft JhengHei" w:cs="Microsoft JhengHei" w:eastAsia="Microsoft JhengHei" w:hint="default"/>
          <w:b/>
          <w:bCs/>
          <w:sz w:val="14"/>
          <w:szCs w:val="14"/>
        </w:rPr>
      </w:pPr>
    </w:p>
    <w:p>
      <w:pPr>
        <w:pStyle w:val="Heading4"/>
        <w:spacing w:line="335" w:lineRule="exact"/>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三、核心竞争力分析</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Heading5"/>
        <w:spacing w:line="408" w:lineRule="auto" w:before="0"/>
        <w:ind w:right="1157"/>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7"/>
        </w:rPr>
        <w:t> </w:t>
      </w:r>
      <w:r>
        <w:rPr/>
        <w:t>年，为了进一步推进集团</w:t>
      </w:r>
      <w:r>
        <w:rPr>
          <w:spacing w:val="-54"/>
        </w:rPr>
        <w:t> </w:t>
      </w:r>
      <w:r>
        <w:rPr>
          <w:rFonts w:ascii="宋体" w:hAnsi="宋体" w:cs="宋体" w:eastAsia="宋体" w:hint="default"/>
        </w:rPr>
        <w:t>2022</w:t>
      </w:r>
      <w:r>
        <w:rPr>
          <w:rFonts w:ascii="宋体" w:hAnsi="宋体" w:cs="宋体" w:eastAsia="宋体" w:hint="default"/>
          <w:spacing w:val="-57"/>
        </w:rPr>
        <w:t> </w:t>
      </w:r>
      <w:r>
        <w:rPr/>
        <w:t>年“智能汽车大脑”发展战略目标实现，公司以数据、算法和算</w:t>
      </w:r>
      <w:r>
        <w:rPr>
          <w:w w:val="100"/>
        </w:rPr>
        <w:t> </w:t>
      </w:r>
      <w:r>
        <w:rPr/>
        <w:t>力为核心，加大内外部资源整合和一站式云平台建设。面对全球汽车产业的加速重构，公司在持续保持</w:t>
      </w:r>
      <w:r>
        <w:rPr>
          <w:w w:val="100"/>
        </w:rPr>
        <w:t> </w:t>
      </w:r>
      <w:r>
        <w:rPr/>
        <w:t>导航业务行业领先地位的同时，加速推进高精度地图、高精度定位、自动驾驶、汽车电子芯片、位置大</w:t>
      </w:r>
      <w:r>
        <w:rPr>
          <w:w w:val="100"/>
        </w:rPr>
        <w:t> </w:t>
      </w:r>
      <w:r>
        <w:rPr/>
        <w:t>数据、车联网等新业务的商业化进程，并通过资本协同、战略合作、联合验证、深度参与产业权威研究</w:t>
      </w:r>
      <w:r>
        <w:rPr>
          <w:w w:val="100"/>
        </w:rPr>
        <w:t> </w:t>
      </w:r>
      <w:r>
        <w:rPr/>
        <w:t>等多种方式，拓展产业生态，创新商业模式，提升定制化集成能力，积极打造面向自动驾驶时代的“数</w:t>
      </w:r>
      <w:r>
        <w:rPr>
          <w:w w:val="100"/>
        </w:rPr>
        <w:t> </w:t>
      </w:r>
      <w:r>
        <w:rPr/>
        <w:t>据</w:t>
      </w:r>
      <w:r>
        <w:rPr>
          <w:rFonts w:ascii="宋体" w:hAnsi="宋体" w:cs="宋体" w:eastAsia="宋体" w:hint="default"/>
        </w:rPr>
        <w:t>+</w:t>
      </w:r>
      <w:r>
        <w:rPr/>
        <w:t>云</w:t>
      </w:r>
      <w:r>
        <w:rPr>
          <w:rFonts w:ascii="宋体" w:hAnsi="宋体" w:cs="宋体" w:eastAsia="宋体" w:hint="default"/>
        </w:rPr>
        <w:t>+AI+</w:t>
      </w:r>
      <w:r>
        <w:rPr/>
        <w:t>芯片</w:t>
      </w:r>
      <w:r>
        <w:rPr>
          <w:rFonts w:ascii="宋体" w:hAnsi="宋体" w:cs="宋体" w:eastAsia="宋体" w:hint="default"/>
        </w:rPr>
        <w:t>+</w:t>
      </w:r>
      <w:r>
        <w:rPr/>
        <w:t>软硬一体化”综合解决方案，在提升用户满意度的同时，不断深化、提升在跨界融合、</w:t>
      </w:r>
      <w:r>
        <w:rPr>
          <w:w w:val="100"/>
        </w:rPr>
        <w:t> </w:t>
      </w:r>
      <w:r>
        <w:rPr/>
        <w:t>行业生态、人才积累和创新整合四个方面的核心竞争能力，为公司在导航、高精度地图、高精度定位、</w:t>
      </w:r>
      <w:r>
        <w:rPr>
          <w:w w:val="100"/>
        </w:rPr>
        <w:t> </w:t>
      </w:r>
      <w:r>
        <w:rPr/>
        <w:t>自动驾驶云平台、汽车芯片等核心业务领域建立国际领先、国内一流的竞争优势，为成为中国乃至全球</w:t>
      </w:r>
      <w:r>
        <w:rPr>
          <w:w w:val="100"/>
        </w:rPr>
        <w:t> </w:t>
      </w:r>
      <w:r>
        <w:rPr/>
        <w:t>值得信赖的自动驾驶解决方案提供商奠定基础。</w:t>
      </w:r>
      <w:r>
        <w:rPr>
          <w:rFonts w:ascii="宋体" w:hAnsi="宋体" w:cs="宋体" w:eastAsia="宋体" w:hint="default"/>
        </w:rPr>
        <w:t> </w:t>
      </w:r>
    </w:p>
    <w:p>
      <w:pPr>
        <w:spacing w:after="0" w:line="408" w:lineRule="auto"/>
        <w:jc w:val="left"/>
        <w:rPr>
          <w:rFonts w:ascii="宋体" w:hAnsi="宋体" w:cs="宋体" w:eastAsia="宋体" w:hint="default"/>
        </w:rPr>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350" w:lineRule="auto" w:before="109"/>
        <w:ind w:left="573" w:right="0" w:firstLine="2"/>
        <w:jc w:val="left"/>
        <w:rPr>
          <w:rFonts w:ascii="宋体" w:hAnsi="宋体" w:cs="宋体" w:eastAsia="宋体"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、兼具汽车和互联网两大前沿领域的跨界融合发展能力</w:t>
      </w:r>
      <w:r>
        <w:rPr>
          <w:rFonts w:ascii="Microsoft JhengHei" w:hAnsi="Microsoft JhengHei" w:cs="Microsoft JhengHei" w:eastAsia="Microsoft JhengHei" w:hint="default"/>
          <w:b/>
          <w:bCs/>
          <w:spacing w:val="-49"/>
          <w:sz w:val="21"/>
          <w:szCs w:val="21"/>
        </w:rPr>
        <w:t> </w:t>
      </w:r>
      <w:r>
        <w:rPr>
          <w:rFonts w:ascii="Arial" w:hAnsi="Arial" w:cs="Arial" w:eastAsia="Arial" w:hint="default"/>
          <w:b/>
          <w:bCs/>
          <w:spacing w:val="-49"/>
          <w:sz w:val="21"/>
          <w:szCs w:val="21"/>
        </w:rPr>
      </w:r>
      <w:r>
        <w:rPr>
          <w:rFonts w:ascii="宋体" w:hAnsi="宋体" w:cs="宋体" w:eastAsia="宋体" w:hint="default"/>
          <w:spacing w:val="-2"/>
          <w:sz w:val="21"/>
          <w:szCs w:val="21"/>
        </w:rPr>
        <w:t>公司在多年的与顶尖车厂、互联网高科技客户合作与共同开发中，一直秉承汽车行业严谨、高效、</w:t>
      </w:r>
    </w:p>
    <w:p>
      <w:pPr>
        <w:pStyle w:val="Heading5"/>
        <w:spacing w:line="408" w:lineRule="auto" w:before="96"/>
        <w:ind w:right="1262" w:firstLine="0"/>
        <w:jc w:val="both"/>
        <w:rPr>
          <w:rFonts w:ascii="宋体" w:hAnsi="宋体" w:cs="宋体" w:eastAsia="宋体" w:hint="default"/>
        </w:rPr>
      </w:pPr>
      <w:r>
        <w:rPr>
          <w:spacing w:val="-2"/>
        </w:rPr>
        <w:t>注重品质的理念与工作方式。它不仅使公司在车载前装领域持续多年保持市场领先地位，同时，面对互</w:t>
      </w:r>
      <w:r>
        <w:rPr>
          <w:spacing w:val="-21"/>
        </w:rPr>
        <w:t> </w:t>
      </w:r>
      <w:r>
        <w:rPr>
          <w:spacing w:val="-21"/>
        </w:rPr>
      </w:r>
      <w:r>
        <w:rPr>
          <w:spacing w:val="-2"/>
        </w:rPr>
        <w:t>联网领域日益激烈的市场环境，也使公司能够抓住市场机遇，与滴滴、腾讯、华为、</w:t>
      </w:r>
      <w:r>
        <w:rPr>
          <w:rFonts w:ascii="宋体" w:hAnsi="宋体" w:cs="宋体" w:eastAsia="宋体" w:hint="default"/>
          <w:spacing w:val="-2"/>
        </w:rPr>
        <w:t>Here</w:t>
      </w:r>
      <w:r>
        <w:rPr>
          <w:rFonts w:ascii="宋体" w:hAnsi="宋体" w:cs="宋体" w:eastAsia="宋体" w:hint="default"/>
        </w:rPr>
        <w:t> </w:t>
      </w:r>
      <w:r>
        <w:rPr>
          <w:spacing w:val="-2"/>
        </w:rPr>
        <w:t>建立了良好的</w:t>
      </w:r>
      <w:r>
        <w:rPr>
          <w:spacing w:val="-72"/>
        </w:rPr>
        <w:t> </w:t>
      </w:r>
      <w:r>
        <w:rPr>
          <w:spacing w:val="-72"/>
        </w:rPr>
      </w:r>
      <w:r>
        <w:rPr/>
        <w:t>全面合作关系。</w:t>
      </w:r>
      <w:r>
        <w:rPr>
          <w:rFonts w:ascii="宋体" w:hAnsi="宋体" w:cs="宋体" w:eastAsia="宋体" w:hint="default"/>
        </w:rPr>
        <w:t> </w:t>
      </w:r>
    </w:p>
    <w:p>
      <w:pPr>
        <w:pStyle w:val="Heading5"/>
        <w:spacing w:line="408" w:lineRule="auto"/>
        <w:ind w:right="1121"/>
        <w:jc w:val="left"/>
        <w:rPr>
          <w:rFonts w:ascii="宋体" w:hAnsi="宋体" w:cs="宋体" w:eastAsia="宋体" w:hint="default"/>
        </w:rPr>
      </w:pPr>
      <w:r>
        <w:rPr/>
        <w:t>公司拥有导航电子地图制作资质和互联网地图服务资质，并已通过 </w:t>
      </w:r>
      <w:r>
        <w:rPr>
          <w:rFonts w:ascii="宋体" w:hAnsi="宋体" w:cs="宋体" w:eastAsia="宋体" w:hint="default"/>
        </w:rPr>
        <w:t>International Automotive</w:t>
      </w:r>
      <w:r>
        <w:rPr>
          <w:rFonts w:ascii="宋体" w:hAnsi="宋体" w:cs="宋体" w:eastAsia="宋体" w:hint="default"/>
          <w:spacing w:val="-59"/>
        </w:rPr>
        <w:t> </w:t>
      </w:r>
      <w:r>
        <w:rPr>
          <w:rFonts w:ascii="宋体" w:hAnsi="宋体" w:cs="宋体" w:eastAsia="宋体" w:hint="default"/>
        </w:rPr>
        <w:t>Task</w:t>
      </w:r>
      <w:r>
        <w:rPr>
          <w:rFonts w:ascii="宋体" w:hAnsi="宋体" w:cs="宋体" w:eastAsia="宋体" w:hint="default"/>
          <w:w w:val="100"/>
        </w:rPr>
        <w:t> </w:t>
      </w:r>
      <w:r>
        <w:rPr>
          <w:rFonts w:ascii="宋体" w:hAnsi="宋体" w:cs="宋体" w:eastAsia="宋体" w:hint="default"/>
        </w:rPr>
        <w:t>Force 16949</w:t>
      </w:r>
      <w:r>
        <w:rPr/>
        <w:t>（国际汽车</w:t>
      </w:r>
      <w:hyperlink r:id="rId15">
        <w:r>
          <w:rPr/>
          <w:t>工作组</w:t>
        </w:r>
      </w:hyperlink>
      <w:r>
        <w:rPr/>
        <w:t>）认证审核和 </w:t>
      </w:r>
      <w:r>
        <w:rPr>
          <w:rFonts w:ascii="宋体" w:hAnsi="宋体" w:cs="宋体" w:eastAsia="宋体" w:hint="default"/>
        </w:rPr>
        <w:t>Automotive SPICE Maturity Level</w:t>
      </w:r>
      <w:r>
        <w:rPr>
          <w:rFonts w:ascii="宋体" w:hAnsi="宋体" w:cs="宋体" w:eastAsia="宋体" w:hint="default"/>
          <w:spacing w:val="-63"/>
        </w:rPr>
        <w:t> </w:t>
      </w:r>
      <w:r>
        <w:rPr>
          <w:rFonts w:ascii="宋体" w:hAnsi="宋体" w:cs="宋体" w:eastAsia="宋体" w:hint="default"/>
        </w:rPr>
        <w:t>3</w:t>
      </w:r>
      <w:r>
        <w:rPr/>
        <w:t>（汽车行业软件过程</w:t>
      </w:r>
      <w:r>
        <w:rPr>
          <w:w w:val="100"/>
        </w:rPr>
        <w:t> </w:t>
      </w:r>
      <w:r>
        <w:rPr/>
        <w:t>改进和能力评估模型组织级成熟度三级）认证审核，是全球汽车</w:t>
      </w:r>
      <w:r>
        <w:rPr>
          <w:spacing w:val="-53"/>
        </w:rPr>
        <w:t> </w:t>
      </w:r>
      <w:r>
        <w:rPr>
          <w:rFonts w:ascii="宋体" w:hAnsi="宋体" w:cs="宋体" w:eastAsia="宋体" w:hint="default"/>
        </w:rPr>
        <w:t>GIS</w:t>
      </w:r>
      <w:r>
        <w:rPr>
          <w:rFonts w:ascii="宋体" w:hAnsi="宋体" w:cs="宋体" w:eastAsia="宋体" w:hint="default"/>
          <w:spacing w:val="-54"/>
        </w:rPr>
        <w:t> </w:t>
      </w:r>
      <w:r>
        <w:rPr/>
        <w:t>软件和数字地图行业中第一家同时</w:t>
      </w:r>
      <w:r>
        <w:rPr>
          <w:w w:val="100"/>
        </w:rPr>
        <w:t> </w:t>
      </w:r>
      <w:r>
        <w:rPr/>
        <w:t>具有甲级测绘资质和汽车行业权威认证资格的企业。面向更高等级的导航及定位服务需求，</w:t>
      </w:r>
      <w:r>
        <w:rPr>
          <w:rFonts w:ascii="宋体" w:hAnsi="宋体" w:cs="宋体" w:eastAsia="宋体" w:hint="default"/>
        </w:rPr>
        <w:t>2019</w:t>
      </w:r>
      <w:r>
        <w:rPr>
          <w:rFonts w:ascii="宋体" w:hAnsi="宋体" w:cs="宋体" w:eastAsia="宋体" w:hint="default"/>
          <w:spacing w:val="-54"/>
        </w:rPr>
        <w:t> </w:t>
      </w:r>
      <w:r>
        <w:rPr>
          <w:spacing w:val="-3"/>
        </w:rPr>
        <w:t>年公司</w:t>
      </w:r>
      <w:r>
        <w:rPr>
          <w:spacing w:val="-3"/>
          <w:w w:val="100"/>
        </w:rPr>
        <w:t> </w:t>
      </w:r>
      <w:r>
        <w:rPr/>
        <w:t>成功增项大地测量甲级测绘资质，公司高精度地图生产体系通过 </w:t>
      </w:r>
      <w:r>
        <w:rPr>
          <w:rFonts w:ascii="宋体" w:hAnsi="宋体" w:cs="宋体" w:eastAsia="宋体" w:hint="default"/>
        </w:rPr>
        <w:t>Automotive SPICE Maturity Level</w:t>
      </w:r>
      <w:r>
        <w:rPr>
          <w:rFonts w:ascii="宋体" w:hAnsi="宋体" w:cs="宋体" w:eastAsia="宋体" w:hint="default"/>
          <w:spacing w:val="-59"/>
        </w:rPr>
        <w:t> </w:t>
      </w:r>
      <w:r>
        <w:rPr>
          <w:rFonts w:ascii="宋体" w:hAnsi="宋体" w:cs="宋体" w:eastAsia="宋体" w:hint="default"/>
        </w:rPr>
        <w:t>2</w:t>
      </w:r>
      <w:r>
        <w:rPr>
          <w:rFonts w:ascii="宋体" w:hAnsi="宋体" w:cs="宋体" w:eastAsia="宋体" w:hint="default"/>
          <w:w w:val="100"/>
        </w:rPr>
        <w:t> </w:t>
      </w:r>
      <w:r>
        <w:rPr/>
        <w:t>级审核认证。</w:t>
      </w:r>
      <w:r>
        <w:rPr>
          <w:rFonts w:ascii="宋体" w:hAnsi="宋体" w:cs="宋体" w:eastAsia="宋体" w:hint="default"/>
        </w:rPr>
        <w:t> </w:t>
      </w:r>
    </w:p>
    <w:p>
      <w:pPr>
        <w:pStyle w:val="Heading5"/>
        <w:spacing w:line="408" w:lineRule="auto"/>
        <w:ind w:right="0"/>
        <w:jc w:val="left"/>
        <w:rPr>
          <w:rFonts w:ascii="宋体" w:hAnsi="宋体" w:cs="宋体" w:eastAsia="宋体" w:hint="default"/>
        </w:rPr>
      </w:pPr>
      <w:r>
        <w:rPr/>
        <w:t>公司利用服务于互联网客户的难得机遇，吸收互联网行业对产品快速迭代、以用户为依托的服务理</w:t>
      </w:r>
      <w:r>
        <w:rPr>
          <w:w w:val="100"/>
        </w:rPr>
        <w:t> </w:t>
      </w:r>
      <w:r>
        <w:rPr/>
        <w:t>念，提升产品竞争力、改善生产工艺及流程，并且开发出专门应对互联网客户需求的产品及服务。同</w:t>
      </w:r>
      <w:r>
        <w:rPr>
          <w:w w:val="100"/>
        </w:rPr>
        <w:t> </w:t>
      </w:r>
      <w:r>
        <w:rPr/>
        <w:t>时，公司本身也在加速转型，积累以位置为核心的多源动态海量数据，学习互联网巨头的最佳实践，进</w:t>
      </w:r>
      <w:r>
        <w:rPr>
          <w:w w:val="100"/>
        </w:rPr>
        <w:t> </w:t>
      </w:r>
      <w:r>
        <w:rPr/>
        <w:t>一步扩展行业及周边生态，整合跨界资源，推动业务创新。公司在服务互联网客户过程中形成的产品升</w:t>
      </w:r>
      <w:r>
        <w:rPr>
          <w:w w:val="100"/>
        </w:rPr>
        <w:t> </w:t>
      </w:r>
      <w:r>
        <w:rPr/>
        <w:t>级换代与创新，同时也极大的提升了汽车领域客户的用户体验，形成了融合发展、持续提升的良性循</w:t>
      </w:r>
      <w:r>
        <w:rPr>
          <w:w w:val="100"/>
        </w:rPr>
        <w:t> </w:t>
      </w:r>
      <w:r>
        <w:rPr>
          <w:spacing w:val="-2"/>
        </w:rPr>
        <w:t>环。面向互联网信息服务和车联网服务，公司已经通过互联网信息服务业务经营许可（简称</w:t>
      </w:r>
      <w:r>
        <w:rPr/>
        <w:t> </w:t>
      </w:r>
      <w:r>
        <w:rPr>
          <w:rFonts w:ascii="宋体" w:hAnsi="宋体" w:cs="宋体" w:eastAsia="宋体" w:hint="default"/>
          <w:spacing w:val="-1"/>
        </w:rPr>
        <w:t>ICP</w:t>
      </w:r>
      <w:r>
        <w:rPr>
          <w:spacing w:val="-1"/>
        </w:rPr>
        <w:t>）续期认</w:t>
      </w:r>
      <w:r>
        <w:rPr>
          <w:spacing w:val="-76"/>
        </w:rPr>
        <w:t> </w:t>
      </w:r>
      <w:r>
        <w:rPr>
          <w:spacing w:val="-76"/>
        </w:rPr>
      </w:r>
      <w:r>
        <w:rPr/>
        <w:t>证和在线数据处理与交易处理业务经营许可（简称</w:t>
      </w:r>
      <w:r>
        <w:rPr>
          <w:spacing w:val="-57"/>
        </w:rPr>
        <w:t> </w:t>
      </w:r>
      <w:r>
        <w:rPr>
          <w:rFonts w:ascii="宋体" w:hAnsi="宋体" w:cs="宋体" w:eastAsia="宋体" w:hint="default"/>
        </w:rPr>
        <w:t>EDI</w:t>
      </w:r>
      <w:r>
        <w:rPr/>
        <w:t>）认证，并获得互联网数据中心业务（含传统</w:t>
      </w:r>
      <w:r>
        <w:rPr>
          <w:spacing w:val="-54"/>
        </w:rPr>
        <w:t> </w:t>
      </w:r>
      <w:r>
        <w:rPr>
          <w:rFonts w:ascii="宋体" w:hAnsi="宋体" w:cs="宋体" w:eastAsia="宋体" w:hint="default"/>
          <w:spacing w:val="-3"/>
        </w:rPr>
        <w:t>IDC</w:t>
      </w:r>
      <w:r>
        <w:rPr>
          <w:rFonts w:ascii="宋体" w:hAnsi="宋体" w:cs="宋体" w:eastAsia="宋体" w:hint="default"/>
          <w:spacing w:val="-3"/>
          <w:w w:val="100"/>
        </w:rPr>
        <w:t> </w:t>
      </w:r>
      <w:r>
        <w:rPr/>
        <w:t>业务、互联网资源协作</w:t>
      </w:r>
      <w:r>
        <w:rPr>
          <w:spacing w:val="-59"/>
        </w:rPr>
        <w:t> </w:t>
      </w:r>
      <w:r>
        <w:rPr>
          <w:rFonts w:ascii="宋体" w:hAnsi="宋体" w:cs="宋体" w:eastAsia="宋体" w:hint="default"/>
        </w:rPr>
        <w:t>IRCS</w:t>
      </w:r>
      <w:r>
        <w:rPr/>
        <w:t>）经营许可。</w:t>
      </w:r>
      <w:r>
        <w:rPr>
          <w:rFonts w:ascii="宋体" w:hAnsi="宋体" w:cs="宋体" w:eastAsia="宋体" w:hint="default"/>
        </w:rPr>
        <w:t> </w:t>
      </w:r>
    </w:p>
    <w:p>
      <w:pPr>
        <w:pStyle w:val="Heading5"/>
        <w:spacing w:line="408" w:lineRule="auto"/>
        <w:ind w:right="0"/>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1"/>
        </w:rPr>
        <w:t> </w:t>
      </w:r>
      <w:r>
        <w:rPr>
          <w:spacing w:val="-2"/>
        </w:rPr>
        <w:t>年，公司通过对杰发科技公司的收购，加深了与汽车电子和智能芯片方面的人才及产业资源的</w:t>
      </w:r>
      <w:r>
        <w:rPr>
          <w:w w:val="100"/>
        </w:rPr>
        <w:t> </w:t>
      </w:r>
      <w:r>
        <w:rPr>
          <w:spacing w:val="-1"/>
        </w:rPr>
        <w:t>联系及协同合作。</w:t>
      </w:r>
      <w:r>
        <w:rPr>
          <w:rFonts w:ascii="宋体" w:hAnsi="宋体" w:cs="宋体" w:eastAsia="宋体" w:hint="default"/>
          <w:spacing w:val="-1"/>
        </w:rPr>
        <w:t>2018</w:t>
      </w:r>
      <w:r>
        <w:rPr>
          <w:rFonts w:ascii="宋体" w:hAnsi="宋体" w:cs="宋体" w:eastAsia="宋体" w:hint="default"/>
        </w:rPr>
        <w:t> </w:t>
      </w:r>
      <w:r>
        <w:rPr>
          <w:spacing w:val="-2"/>
        </w:rPr>
        <w:t>年，公司通过分拆融资、增资扩股等方式，在车联网领域引进在互联网行业和汽</w:t>
      </w:r>
      <w:r>
        <w:rPr>
          <w:spacing w:val="-84"/>
        </w:rPr>
        <w:t> </w:t>
      </w:r>
      <w:r>
        <w:rPr>
          <w:spacing w:val="-84"/>
        </w:rPr>
      </w:r>
      <w:r>
        <w:rPr>
          <w:spacing w:val="-2"/>
        </w:rPr>
        <w:t>车行业具有强大产业实力的头部企业作为战略投资者和股东，为推动公司乘用车车联网业务和商用车车</w:t>
      </w:r>
      <w:r>
        <w:rPr>
          <w:spacing w:val="-21"/>
        </w:rPr>
        <w:t> </w:t>
      </w:r>
      <w:r>
        <w:rPr>
          <w:spacing w:val="-21"/>
        </w:rPr>
      </w:r>
      <w:r>
        <w:rPr>
          <w:spacing w:val="-2"/>
        </w:rPr>
        <w:t>联网业务快速发展导入产业优势资源支持推奠定基础，公司兼具汽车和互联网两大前沿领域的跨界融合</w:t>
      </w:r>
      <w:r>
        <w:rPr>
          <w:spacing w:val="-21"/>
        </w:rPr>
        <w:t> </w:t>
      </w:r>
      <w:r>
        <w:rPr>
          <w:spacing w:val="-21"/>
        </w:rPr>
      </w:r>
      <w:r>
        <w:rPr>
          <w:spacing w:val="-2"/>
        </w:rPr>
        <w:t>发展能力得到进一步提升。</w:t>
      </w:r>
      <w:r>
        <w:rPr>
          <w:rFonts w:ascii="宋体" w:hAnsi="宋体" w:cs="宋体" w:eastAsia="宋体" w:hint="default"/>
          <w:spacing w:val="-2"/>
        </w:rPr>
        <w:t>2019</w:t>
      </w:r>
      <w:r>
        <w:rPr>
          <w:rFonts w:ascii="宋体" w:hAnsi="宋体" w:cs="宋体" w:eastAsia="宋体" w:hint="default"/>
        </w:rPr>
        <w:t> </w:t>
      </w:r>
      <w:r>
        <w:rPr>
          <w:spacing w:val="-2"/>
        </w:rPr>
        <w:t>年，公司通过引入中国电信投资公司及中国互联网投资基金作为自动驾</w:t>
      </w:r>
      <w:r>
        <w:rPr>
          <w:spacing w:val="-73"/>
        </w:rPr>
        <w:t> </w:t>
      </w:r>
      <w:r>
        <w:rPr>
          <w:spacing w:val="-73"/>
        </w:rPr>
      </w:r>
      <w:r>
        <w:rPr>
          <w:spacing w:val="-2"/>
        </w:rPr>
        <w:t>驶板块高精度定位业务的战略投资者，进一步拓展了面向未来可持续发展的生态圈。公司基于多年积累</w:t>
      </w:r>
      <w:r>
        <w:rPr>
          <w:spacing w:val="-21"/>
        </w:rPr>
        <w:t> </w:t>
      </w:r>
      <w:r>
        <w:rPr>
          <w:spacing w:val="-21"/>
        </w:rPr>
      </w:r>
      <w:r>
        <w:rPr/>
        <w:t>的跨界资源和服务能力，利用企业云化改造的契机，进一步推动企业内部的纵向一体化能力梳理和整</w:t>
      </w:r>
      <w:r>
        <w:rPr>
          <w:w w:val="100"/>
        </w:rPr>
        <w:t> </w:t>
      </w:r>
      <w:r>
        <w:rPr/>
        <w:t>合，打破资源流转壁垒，发挥协同优势，对外形成发展合力，进一步提升产业融合能力。</w:t>
      </w:r>
      <w:r>
        <w:rPr>
          <w:rFonts w:ascii="宋体" w:hAnsi="宋体" w:cs="宋体" w:eastAsia="宋体" w:hint="default"/>
        </w:rPr>
        <w:t> </w:t>
      </w:r>
    </w:p>
    <w:p>
      <w:pPr>
        <w:pStyle w:val="Heading4"/>
        <w:spacing w:line="240" w:lineRule="auto" w:before="135"/>
        <w:ind w:right="0"/>
        <w:jc w:val="both"/>
        <w:rPr>
          <w:rFonts w:ascii="Arial" w:hAnsi="Arial" w:cs="Arial" w:eastAsia="Arial" w:hint="default"/>
          <w:b w:val="0"/>
          <w:bCs w:val="0"/>
        </w:rPr>
      </w:pPr>
      <w:r>
        <w:rPr>
          <w:rFonts w:ascii="Arial" w:hAnsi="Arial" w:cs="Arial" w:eastAsia="Arial" w:hint="default"/>
        </w:rPr>
        <w:t>2</w:t>
      </w:r>
      <w:r>
        <w:rPr/>
        <w:t>、围绕长期稳定的优质客户、合作伙伴构建的行业生态</w:t>
      </w:r>
      <w:r>
        <w:rPr>
          <w:rFonts w:ascii="Arial" w:hAnsi="Arial" w:cs="Arial" w:eastAsia="Arial" w:hint="default"/>
          <w:w w:val="180"/>
        </w:rPr>
        <w:t> </w:t>
      </w:r>
      <w:r>
        <w:rPr>
          <w:rFonts w:ascii="Arial" w:hAnsi="Arial" w:cs="Arial" w:eastAsia="Arial" w:hint="default"/>
          <w:b w:val="0"/>
          <w:bCs w:val="0"/>
        </w:rPr>
      </w:r>
    </w:p>
    <w:p>
      <w:pPr>
        <w:spacing w:after="0" w:line="240" w:lineRule="auto"/>
        <w:jc w:val="both"/>
        <w:rPr>
          <w:rFonts w:ascii="Arial" w:hAnsi="Arial" w:cs="Arial" w:eastAsia="Arial" w:hint="default"/>
        </w:rPr>
        <w:sectPr>
          <w:pgSz w:w="11910" w:h="16840"/>
          <w:pgMar w:header="748" w:footer="979" w:top="1060" w:bottom="1160" w:left="980" w:right="0"/>
        </w:sectPr>
      </w:pPr>
    </w:p>
    <w:p>
      <w:pPr>
        <w:spacing w:line="240" w:lineRule="auto" w:before="0"/>
        <w:rPr>
          <w:rFonts w:ascii="Arial" w:hAnsi="Arial" w:cs="Arial" w:eastAsia="Arial" w:hint="default"/>
          <w:b/>
          <w:bCs/>
          <w:sz w:val="20"/>
          <w:szCs w:val="20"/>
        </w:rPr>
      </w:pPr>
    </w:p>
    <w:p>
      <w:pPr>
        <w:spacing w:line="240" w:lineRule="auto" w:before="1"/>
        <w:rPr>
          <w:rFonts w:ascii="Arial" w:hAnsi="Arial" w:cs="Arial" w:eastAsia="Arial" w:hint="default"/>
          <w:b/>
          <w:bCs/>
          <w:sz w:val="18"/>
          <w:szCs w:val="18"/>
        </w:rPr>
      </w:pPr>
    </w:p>
    <w:p>
      <w:pPr>
        <w:pStyle w:val="Heading5"/>
        <w:spacing w:line="408" w:lineRule="auto" w:before="0"/>
        <w:ind w:right="0"/>
        <w:jc w:val="left"/>
        <w:rPr>
          <w:rFonts w:ascii="宋体" w:hAnsi="宋体" w:cs="宋体" w:eastAsia="宋体" w:hint="default"/>
        </w:rPr>
      </w:pPr>
      <w:r>
        <w:rPr>
          <w:spacing w:val="-2"/>
        </w:rPr>
        <w:t>公司作为独立的第三方公司，致力于面向整个汽车行业及科技型企业提供关键资源的支持和产品服务。</w:t>
      </w:r>
      <w:r>
        <w:rPr>
          <w:w w:val="100"/>
        </w:rPr>
        <w:t> </w:t>
      </w:r>
      <w:r>
        <w:rPr/>
        <w:t>公司基于自身的行业地位及资源优势，围绕智能驾驶及位置大数据平台搭建了业务孵化体系，对自动驾驶</w:t>
      </w:r>
      <w:r>
        <w:rPr>
          <w:w w:val="100"/>
        </w:rPr>
        <w:t> </w:t>
      </w:r>
      <w:r>
        <w:rPr/>
        <w:t>相关的环境感知、人工智能（深度学习）、大数据分析等具有独特竞争优势和商业潜力的新兴业务进行资</w:t>
      </w:r>
      <w:r>
        <w:rPr>
          <w:w w:val="100"/>
        </w:rPr>
        <w:t> </w:t>
      </w:r>
      <w:r>
        <w:rPr/>
        <w:t>源扶持，协助新兴业务参与市场竞争。公司积极打造可支持自身及行业生态发展的产业投资并购能力，与</w:t>
      </w:r>
      <w:r>
        <w:rPr>
          <w:w w:val="100"/>
        </w:rPr>
        <w:t> </w:t>
      </w:r>
      <w:r>
        <w:rPr/>
        <w:t>国内重点地区在产业基金项目落地以及产业生态建设方面展开多方面合作，致力于与行业伙伴共同构建稳</w:t>
      </w:r>
      <w:r>
        <w:rPr>
          <w:w w:val="100"/>
        </w:rPr>
        <w:t> </w:t>
      </w:r>
      <w:r>
        <w:rPr/>
        <w:t>定的产业发展生态。公司面对高级辅助驾驶及自动驾驶领域的快速发展，对不同级别自动驾驶创业企业，</w:t>
      </w:r>
      <w:r>
        <w:rPr>
          <w:spacing w:val="-24"/>
        </w:rPr>
        <w:t> </w:t>
      </w:r>
      <w:r>
        <w:rPr>
          <w:spacing w:val="-24"/>
        </w:rPr>
      </w:r>
      <w:r>
        <w:rPr/>
        <w:t>从产品和投资两个维度予以扶持或支持。公司通过子公司分拆融资、增资扩股等方式，进一步拓展了产业</w:t>
      </w:r>
      <w:r>
        <w:rPr>
          <w:w w:val="100"/>
        </w:rPr>
        <w:t> </w:t>
      </w:r>
      <w:r>
        <w:rPr>
          <w:spacing w:val="-5"/>
        </w:rPr>
        <w:t>优势资源和研发资金支持渠道。公司在合肥高新区正式落户第二总部，未来将积极融入区域转型发展战略，</w:t>
      </w:r>
      <w:r>
        <w:rPr>
          <w:spacing w:val="-6"/>
        </w:rPr>
        <w:t> </w:t>
      </w:r>
      <w:r>
        <w:rPr>
          <w:spacing w:val="-6"/>
        </w:rPr>
      </w:r>
      <w:r>
        <w:rPr/>
        <w:t>与当地政府合作共同打造极具区域特色的自动驾驶产业生态。经过连续多年的广泛关注和持续投入，公司</w:t>
      </w:r>
      <w:r>
        <w:rPr>
          <w:w w:val="100"/>
        </w:rPr>
        <w:t> </w:t>
      </w:r>
      <w:r>
        <w:rPr/>
        <w:t>在高精度地图、高精度定位、自动驾驶整体解决方案等业务领域的竞争优势逐渐显现，协同建立的产业生</w:t>
      </w:r>
      <w:r>
        <w:rPr>
          <w:w w:val="100"/>
        </w:rPr>
        <w:t> </w:t>
      </w:r>
      <w:r>
        <w:rPr/>
        <w:t>态进一步发酵放大，为公司继续夯实行业地位，拓展市场发展空间和行业生态环境奠定基础。</w:t>
      </w:r>
      <w:r>
        <w:rPr>
          <w:rFonts w:ascii="宋体" w:hAnsi="宋体" w:cs="宋体" w:eastAsia="宋体" w:hint="default"/>
        </w:rPr>
        <w:t> </w:t>
      </w:r>
    </w:p>
    <w:p>
      <w:pPr>
        <w:pStyle w:val="Heading5"/>
        <w:spacing w:line="408" w:lineRule="auto"/>
        <w:ind w:right="1208"/>
        <w:jc w:val="left"/>
        <w:rPr>
          <w:rFonts w:ascii="宋体" w:hAnsi="宋体" w:cs="宋体" w:eastAsia="宋体" w:hint="default"/>
        </w:rPr>
      </w:pPr>
      <w:r>
        <w:rPr/>
        <w:t>公司自</w:t>
      </w:r>
      <w:r>
        <w:rPr>
          <w:spacing w:val="-57"/>
        </w:rPr>
        <w:t> </w:t>
      </w:r>
      <w:r>
        <w:rPr>
          <w:rFonts w:ascii="宋体" w:hAnsi="宋体" w:cs="宋体" w:eastAsia="宋体" w:hint="default"/>
        </w:rPr>
        <w:t>2015</w:t>
      </w:r>
      <w:r>
        <w:rPr>
          <w:rFonts w:ascii="宋体" w:hAnsi="宋体" w:cs="宋体" w:eastAsia="宋体" w:hint="default"/>
          <w:spacing w:val="-57"/>
        </w:rPr>
        <w:t> </w:t>
      </w:r>
      <w:r>
        <w:rPr/>
        <w:t>年以来与滴滴保持深度且紧密的合作关系，双方基于公司在位置信息大数据方面的技术</w:t>
      </w:r>
      <w:r>
        <w:rPr>
          <w:w w:val="100"/>
        </w:rPr>
        <w:t> </w:t>
      </w:r>
      <w:r>
        <w:rPr/>
        <w:t>和能力，以及滴滴公司的移动互联网优势，在基于位置信息的移动互联网服务领域进行合作研发和新科</w:t>
      </w:r>
      <w:r>
        <w:rPr>
          <w:w w:val="100"/>
        </w:rPr>
        <w:t> </w:t>
      </w:r>
      <w:r>
        <w:rPr/>
        <w:t>技方向探索。公司与腾讯、华为、</w:t>
      </w:r>
      <w:r>
        <w:rPr>
          <w:rFonts w:ascii="宋体" w:hAnsi="宋体" w:cs="宋体" w:eastAsia="宋体" w:hint="default"/>
        </w:rPr>
        <w:t>Here</w:t>
      </w:r>
      <w:r>
        <w:rPr/>
        <w:t>、清华大学、武汉大学、北京航空航天大学等国内外领先企业及</w:t>
      </w:r>
      <w:r>
        <w:rPr>
          <w:w w:val="100"/>
        </w:rPr>
        <w:t> </w:t>
      </w:r>
      <w:r>
        <w:rPr/>
        <w:t>科研院校建立深度的合作关系，在复杂环境感知与认知、自动驾驶地图、高精度定位、智能导航与决</w:t>
      </w:r>
      <w:r>
        <w:rPr>
          <w:w w:val="100"/>
        </w:rPr>
        <w:t> </w:t>
      </w:r>
      <w:r>
        <w:rPr/>
        <w:t>策、位置大数据、人工智能辅助、云平台、车路协同、车载计算与通讯、智能驾驶、车联网等关键领域</w:t>
      </w:r>
      <w:r>
        <w:rPr>
          <w:w w:val="100"/>
        </w:rPr>
        <w:t> </w:t>
      </w:r>
      <w:r>
        <w:rPr/>
        <w:t>开展技术合作和探讨，共同推进技术创新或产品商业化落地。公司积极参与行业及产业共建，与工信</w:t>
      </w:r>
      <w:r>
        <w:rPr>
          <w:w w:val="100"/>
        </w:rPr>
        <w:t> </w:t>
      </w:r>
      <w:r>
        <w:rPr/>
        <w:t>部、自然资源部等政府机构共同讨论和推进高精度地图数据采集、审核、加密处理，动态传感器数据采</w:t>
      </w:r>
      <w:r>
        <w:rPr>
          <w:w w:val="100"/>
        </w:rPr>
        <w:t> </w:t>
      </w:r>
      <w:r>
        <w:rPr/>
        <w:t>集回传等方面的相关法律法规和流程建设。参与国家智能网联汽车产业生态创新体系建设，参股国汽智</w:t>
      </w:r>
      <w:r>
        <w:rPr>
          <w:w w:val="100"/>
        </w:rPr>
        <w:t> </w:t>
      </w:r>
      <w:r>
        <w:rPr/>
        <w:t>联公司，并获得董事席位。参加国家</w:t>
      </w:r>
      <w:r>
        <w:rPr>
          <w:spacing w:val="-53"/>
        </w:rPr>
        <w:t> </w:t>
      </w:r>
      <w:r>
        <w:rPr>
          <w:rFonts w:ascii="宋体" w:hAnsi="宋体" w:cs="宋体" w:eastAsia="宋体" w:hint="default"/>
        </w:rPr>
        <w:t>863</w:t>
      </w:r>
      <w:r>
        <w:rPr>
          <w:rFonts w:ascii="宋体" w:hAnsi="宋体" w:cs="宋体" w:eastAsia="宋体" w:hint="default"/>
          <w:spacing w:val="-56"/>
        </w:rPr>
        <w:t> </w:t>
      </w:r>
      <w:r>
        <w:rPr/>
        <w:t>高科技研究发展计划和航天科技公司科技创新项目。成为综合</w:t>
      </w:r>
      <w:r>
        <w:rPr>
          <w:w w:val="100"/>
        </w:rPr>
        <w:t> </w:t>
      </w:r>
      <w:r>
        <w:rPr/>
        <w:t>交通大数据应用技术国家工程实验室的联合共建单位，加入华为</w:t>
      </w:r>
      <w:r>
        <w:rPr>
          <w:spacing w:val="-53"/>
        </w:rPr>
        <w:t> </w:t>
      </w:r>
      <w:r>
        <w:rPr>
          <w:rFonts w:ascii="宋体" w:hAnsi="宋体" w:cs="宋体" w:eastAsia="宋体" w:hint="default"/>
        </w:rPr>
        <w:t>1+N</w:t>
      </w:r>
      <w:r>
        <w:rPr>
          <w:rFonts w:ascii="宋体" w:hAnsi="宋体" w:cs="宋体" w:eastAsia="宋体" w:hint="default"/>
          <w:spacing w:val="-54"/>
        </w:rPr>
        <w:t> </w:t>
      </w:r>
      <w:r>
        <w:rPr/>
        <w:t>公路生态合作伙伴联盟和</w:t>
      </w:r>
      <w:r>
        <w:rPr>
          <w:spacing w:val="-53"/>
        </w:rPr>
        <w:t> </w:t>
      </w:r>
      <w:r>
        <w:rPr>
          <w:rFonts w:ascii="宋体" w:hAnsi="宋体" w:cs="宋体" w:eastAsia="宋体" w:hint="default"/>
        </w:rPr>
        <w:t>5G</w:t>
      </w:r>
      <w:r>
        <w:rPr>
          <w:rFonts w:ascii="宋体" w:hAnsi="宋体" w:cs="宋体" w:eastAsia="宋体" w:hint="default"/>
          <w:spacing w:val="-54"/>
        </w:rPr>
        <w:t> </w:t>
      </w:r>
      <w:r>
        <w:rPr>
          <w:spacing w:val="-3"/>
        </w:rPr>
        <w:t>确定性</w:t>
      </w:r>
      <w:r>
        <w:rPr>
          <w:spacing w:val="-3"/>
          <w:w w:val="100"/>
        </w:rPr>
        <w:t> </w:t>
      </w:r>
      <w:r>
        <w:rPr/>
        <w:t>网络产业联盟，参与无锡车联网先导示范园区建设。</w:t>
      </w:r>
      <w:r>
        <w:rPr>
          <w:rFonts w:ascii="宋体" w:hAnsi="宋体" w:cs="宋体" w:eastAsia="宋体" w:hint="default"/>
        </w:rPr>
        <w:t> </w:t>
      </w:r>
    </w:p>
    <w:p>
      <w:pPr>
        <w:pStyle w:val="Heading5"/>
        <w:spacing w:line="408" w:lineRule="auto"/>
        <w:ind w:right="1157"/>
        <w:jc w:val="left"/>
      </w:pPr>
      <w:r>
        <w:rPr/>
        <w:t>面向未来产品和市场的竞争将具备全球化的特点，公司积极筹措国际化发展布局。公司在美国硅</w:t>
      </w:r>
      <w:r>
        <w:rPr>
          <w:w w:val="100"/>
        </w:rPr>
        <w:t> </w:t>
      </w:r>
      <w:r>
        <w:rPr/>
        <w:t>谷、荷兰、新加坡、日本东京等地设立了全资子公司，深入跟踪自动驾驶等领域的前沿技术发展，也为</w:t>
      </w:r>
      <w:r>
        <w:rPr>
          <w:w w:val="100"/>
        </w:rPr>
        <w:t> </w:t>
      </w:r>
      <w:r>
        <w:rPr/>
        <w:t>公司在该领域的业务拓展逐渐建立起广泛的产业联系，推进</w:t>
      </w:r>
      <w:r>
        <w:rPr>
          <w:spacing w:val="-56"/>
        </w:rPr>
        <w:t> </w:t>
      </w:r>
      <w:r>
        <w:rPr>
          <w:rFonts w:ascii="宋体" w:hAnsi="宋体" w:cs="宋体" w:eastAsia="宋体" w:hint="default"/>
        </w:rPr>
        <w:t>5G</w:t>
      </w:r>
      <w:r>
        <w:rPr>
          <w:rFonts w:ascii="宋体" w:hAnsi="宋体" w:cs="宋体" w:eastAsia="宋体" w:hint="default"/>
          <w:spacing w:val="-56"/>
        </w:rPr>
        <w:t> </w:t>
      </w:r>
      <w:r>
        <w:rPr/>
        <w:t>园区智能化解决方案、</w:t>
      </w:r>
      <w:r>
        <w:rPr>
          <w:rFonts w:ascii="宋体" w:hAnsi="宋体" w:cs="宋体" w:eastAsia="宋体" w:hint="default"/>
        </w:rPr>
        <w:t>Minedata</w:t>
      </w:r>
      <w:r>
        <w:rPr>
          <w:rFonts w:ascii="宋体" w:hAnsi="宋体" w:cs="宋体" w:eastAsia="宋体" w:hint="default"/>
          <w:spacing w:val="-58"/>
        </w:rPr>
        <w:t> </w:t>
      </w:r>
      <w:r>
        <w:rPr/>
        <w:t>大数据平</w:t>
      </w:r>
      <w:r>
        <w:rPr>
          <w:w w:val="100"/>
        </w:rPr>
        <w:t> </w:t>
      </w:r>
      <w:r>
        <w:rPr/>
        <w:t>台、商用车联网解决方案等产品和服务在新加坡等国家和地区的本地化部署和联测。公司与国际最大的</w:t>
      </w:r>
      <w:r>
        <w:rPr>
          <w:w w:val="100"/>
        </w:rPr>
        <w:t> </w:t>
      </w:r>
      <w:r>
        <w:rPr/>
        <w:t>图商</w:t>
      </w:r>
      <w:r>
        <w:rPr>
          <w:spacing w:val="-53"/>
        </w:rPr>
        <w:t> </w:t>
      </w:r>
      <w:r>
        <w:rPr>
          <w:rFonts w:ascii="宋体" w:hAnsi="宋体" w:cs="宋体" w:eastAsia="宋体" w:hint="default"/>
        </w:rPr>
        <w:t>HERE</w:t>
      </w:r>
      <w:r>
        <w:rPr>
          <w:rFonts w:ascii="宋体" w:hAnsi="宋体" w:cs="宋体" w:eastAsia="宋体" w:hint="default"/>
          <w:spacing w:val="-56"/>
        </w:rPr>
        <w:t> </w:t>
      </w:r>
      <w:r>
        <w:rPr/>
        <w:t>在中国成立合资公司北京图新瀚和科技有限公司，为使用</w:t>
      </w:r>
      <w:r>
        <w:rPr>
          <w:spacing w:val="-54"/>
        </w:rPr>
        <w:t> </w:t>
      </w:r>
      <w:r>
        <w:rPr>
          <w:rFonts w:ascii="宋体" w:hAnsi="宋体" w:cs="宋体" w:eastAsia="宋体" w:hint="default"/>
        </w:rPr>
        <w:t>HERE</w:t>
      </w:r>
      <w:r>
        <w:rPr>
          <w:rFonts w:ascii="宋体" w:hAnsi="宋体" w:cs="宋体" w:eastAsia="宋体" w:hint="default"/>
          <w:spacing w:val="-3"/>
        </w:rPr>
        <w:t> </w:t>
      </w:r>
      <w:r>
        <w:rPr/>
        <w:t>全球位置服务平台的客户提供</w:t>
      </w:r>
      <w:r>
        <w:rPr>
          <w:w w:val="100"/>
        </w:rPr>
        <w:t> </w:t>
      </w:r>
      <w:r>
        <w:rPr/>
        <w:t>包括中国地图数据及动态信息在内的内容端和服务端的解决方案。公司在收购芯片业务之后，为了进一</w:t>
      </w:r>
      <w:r>
        <w:rPr>
          <w:w w:val="100"/>
        </w:rPr>
        <w:t> </w:t>
      </w:r>
      <w:r>
        <w:rPr/>
        <w:t>步增强汽车电子芯片领域国际市场的竞争力，正在通过公司在欧洲和美国的分支机构加强同业联系，并</w:t>
      </w:r>
      <w:r>
        <w:rPr>
          <w:w w:val="100"/>
        </w:rPr>
        <w:t> </w:t>
      </w:r>
      <w:r>
        <w:rPr/>
        <w:t>积极寻求深度合作及并购的机会。公司积极推进与微软的合作进展，双方将充分发挥各自的优势，共同</w:t>
      </w:r>
    </w:p>
    <w:p>
      <w:pPr>
        <w:spacing w:after="0" w:line="408"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Heading5"/>
        <w:spacing w:line="408" w:lineRule="auto" w:before="176"/>
        <w:ind w:right="0" w:firstLine="0"/>
        <w:jc w:val="left"/>
        <w:rPr>
          <w:rFonts w:ascii="宋体" w:hAnsi="宋体" w:cs="宋体" w:eastAsia="宋体" w:hint="default"/>
        </w:rPr>
      </w:pPr>
      <w:r>
        <w:rPr>
          <w:spacing w:val="-2"/>
        </w:rPr>
        <w:t>推进在汽车领域的生态建设。公司不断加强与戴姆勒、宝马等国际车厂的业务合作关系，签订面向未来</w:t>
      </w:r>
      <w:r>
        <w:rPr>
          <w:spacing w:val="-21"/>
        </w:rPr>
        <w:t> </w:t>
      </w:r>
      <w:r>
        <w:rPr>
          <w:spacing w:val="-21"/>
        </w:rPr>
      </w:r>
      <w:r>
        <w:rPr/>
        <w:t>的新车型及量产车型合作订单，吸引博世集团入股四维智联，共同探讨在车联网领域的发展与合作。</w:t>
      </w:r>
      <w:r>
        <w:rPr>
          <w:rFonts w:ascii="宋体" w:hAnsi="宋体" w:cs="宋体" w:eastAsia="宋体" w:hint="default"/>
        </w:rPr>
        <w:t> </w:t>
      </w:r>
    </w:p>
    <w:p>
      <w:pPr>
        <w:spacing w:line="350" w:lineRule="auto" w:before="135"/>
        <w:ind w:left="573" w:right="0" w:hanging="421"/>
        <w:jc w:val="left"/>
        <w:rPr>
          <w:rFonts w:ascii="宋体" w:hAnsi="宋体" w:cs="宋体" w:eastAsia="宋体"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、长期耕耘专业领域所形成的行业人才竞争优势</w:t>
      </w:r>
      <w:r>
        <w:rPr>
          <w:rFonts w:ascii="Microsoft JhengHei" w:hAnsi="Microsoft JhengHei" w:cs="Microsoft JhengHei" w:eastAsia="Microsoft JhengHei" w:hint="default"/>
          <w:b/>
          <w:bCs/>
          <w:spacing w:val="-51"/>
          <w:sz w:val="21"/>
          <w:szCs w:val="21"/>
        </w:rPr>
        <w:t> </w:t>
      </w:r>
      <w:r>
        <w:rPr>
          <w:rFonts w:ascii="Arial" w:hAnsi="Arial" w:cs="Arial" w:eastAsia="Arial" w:hint="default"/>
          <w:b/>
          <w:bCs/>
          <w:spacing w:val="-51"/>
          <w:sz w:val="21"/>
          <w:szCs w:val="21"/>
        </w:rPr>
      </w:r>
      <w:r>
        <w:rPr>
          <w:rFonts w:ascii="宋体" w:hAnsi="宋体" w:cs="宋体" w:eastAsia="宋体" w:hint="default"/>
          <w:spacing w:val="-2"/>
          <w:sz w:val="21"/>
          <w:szCs w:val="21"/>
        </w:rPr>
        <w:t>公司拥有一支具有十余年导航电子地图、汽车和互联网领域技术研发经验的高学历、高素质、年轻</w:t>
      </w:r>
    </w:p>
    <w:p>
      <w:pPr>
        <w:pStyle w:val="Heading5"/>
        <w:spacing w:line="408" w:lineRule="auto" w:before="96"/>
        <w:ind w:right="0" w:firstLine="0"/>
        <w:jc w:val="left"/>
        <w:rPr>
          <w:rFonts w:ascii="宋体" w:hAnsi="宋体" w:cs="宋体" w:eastAsia="宋体" w:hint="default"/>
        </w:rPr>
      </w:pPr>
      <w:r>
        <w:rPr>
          <w:spacing w:val="-2"/>
        </w:rPr>
        <w:t>化的专业技术团队，核心技术员工在汽车导航电子地图、测绘工程、计算机视觉、深度学习算法、芯</w:t>
      </w:r>
      <w:r>
        <w:rPr>
          <w:spacing w:val="-22"/>
        </w:rPr>
        <w:t> </w:t>
      </w:r>
      <w:r>
        <w:rPr>
          <w:spacing w:val="-22"/>
        </w:rPr>
      </w:r>
      <w:r>
        <w:rPr/>
        <w:t>片、微电子、半导体、大数据、汽车电子等领域具有丰富专业经验。</w:t>
      </w:r>
      <w:r>
        <w:rPr>
          <w:rFonts w:ascii="宋体" w:hAnsi="宋体" w:cs="宋体" w:eastAsia="宋体" w:hint="default"/>
        </w:rPr>
        <w:t> </w:t>
      </w:r>
    </w:p>
    <w:p>
      <w:pPr>
        <w:pStyle w:val="Heading5"/>
        <w:spacing w:line="408" w:lineRule="auto"/>
        <w:ind w:right="0"/>
        <w:jc w:val="left"/>
        <w:rPr>
          <w:rFonts w:ascii="宋体" w:hAnsi="宋体" w:cs="宋体" w:eastAsia="宋体" w:hint="default"/>
        </w:rPr>
      </w:pPr>
      <w:r>
        <w:rPr/>
        <w:t>公司自创立以来，在发展自主知识产权技术的同时，与国际领先图商、车厂、系统商建立了密切的</w:t>
      </w:r>
      <w:r>
        <w:rPr>
          <w:w w:val="100"/>
        </w:rPr>
        <w:t> </w:t>
      </w:r>
      <w:r>
        <w:rPr/>
        <w:t>技术合作关系，在导航电子地图生产和应用方面学习吸取国外先进的产品理念和技术经验，掌握了最先</w:t>
      </w:r>
      <w:r>
        <w:rPr>
          <w:w w:val="100"/>
        </w:rPr>
        <w:t> </w:t>
      </w:r>
      <w:r>
        <w:rPr/>
        <w:t>进的高端导航电子地图核心生产技术和专业知识，设计出能与国际先进技术和标准接轨的数据和产品规</w:t>
      </w:r>
      <w:r>
        <w:rPr>
          <w:w w:val="100"/>
        </w:rPr>
        <w:t> </w:t>
      </w:r>
      <w:r>
        <w:rPr/>
        <w:t>格。在底层技术积累和高新技术攻关等领域，公司与多所国内外顶尖高校、科研院所建立了良好的研发</w:t>
      </w:r>
      <w:r>
        <w:rPr>
          <w:w w:val="100"/>
        </w:rPr>
        <w:t> </w:t>
      </w:r>
      <w:r>
        <w:rPr/>
        <w:t>合作关系。在海量数据管理、多源数据融合处理、实时交通信息的处理与发布、地图快速增量更新等前</w:t>
      </w:r>
      <w:r>
        <w:rPr>
          <w:w w:val="100"/>
        </w:rPr>
        <w:t> </w:t>
      </w:r>
      <w:r>
        <w:rPr/>
        <w:t>瞻性关键技术课题方面，公司与国内外合作伙伴共同开展广泛而深入的联合研究和技术开发，并加速推</w:t>
      </w:r>
      <w:r>
        <w:rPr>
          <w:w w:val="100"/>
        </w:rPr>
        <w:t> </w:t>
      </w:r>
      <w:r>
        <w:rPr/>
        <w:t>进科研成果商业化应用。在车联网及自动驾驶领域，公司通过对人才及产业资源的垂直深度整合和面向</w:t>
      </w:r>
      <w:r>
        <w:rPr>
          <w:w w:val="100"/>
        </w:rPr>
        <w:t> </w:t>
      </w:r>
      <w:r>
        <w:rPr/>
        <w:t>未来的培养和孵化，持续打造可面向未来的“数据</w:t>
      </w:r>
      <w:r>
        <w:rPr>
          <w:rFonts w:ascii="宋体" w:hAnsi="宋体" w:cs="宋体" w:eastAsia="宋体" w:hint="default"/>
        </w:rPr>
        <w:t>+</w:t>
      </w:r>
      <w:r>
        <w:rPr/>
        <w:t>云</w:t>
      </w:r>
      <w:r>
        <w:rPr>
          <w:rFonts w:ascii="宋体" w:hAnsi="宋体" w:cs="宋体" w:eastAsia="宋体" w:hint="default"/>
        </w:rPr>
        <w:t>+AI+</w:t>
      </w:r>
      <w:r>
        <w:rPr/>
        <w:t>芯片</w:t>
      </w:r>
      <w:r>
        <w:rPr>
          <w:rFonts w:ascii="宋体" w:hAnsi="宋体" w:cs="宋体" w:eastAsia="宋体" w:hint="default"/>
        </w:rPr>
        <w:t>+</w:t>
      </w:r>
      <w:r>
        <w:rPr/>
        <w:t>软硬一体化”解决方案服务能力，并在</w:t>
      </w:r>
      <w:r>
        <w:rPr>
          <w:w w:val="100"/>
        </w:rPr>
        <w:t> </w:t>
      </w:r>
      <w:r>
        <w:rPr/>
        <w:t>架构、算法、应用、操作系统、车载硬件、域控制器、云平台、仿真测试等领域进行持续优化和提升。</w:t>
      </w:r>
      <w:r>
        <w:rPr>
          <w:w w:val="100"/>
        </w:rPr>
        <w:t> </w:t>
      </w:r>
      <w:r>
        <w:rPr/>
        <w:t>在车身控制芯片、传感器芯片等领域，公司不断加大人才培养及技术积累，并面向工艺更加复杂的上下</w:t>
      </w:r>
      <w:r>
        <w:rPr>
          <w:w w:val="100"/>
        </w:rPr>
        <w:t> </w:t>
      </w:r>
      <w:r>
        <w:rPr/>
        <w:t>游领域进行拓展和布局。截止</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月底，公司累计获得国内外专利授权</w:t>
      </w:r>
      <w:r>
        <w:rPr>
          <w:spacing w:val="-53"/>
        </w:rPr>
        <w:t> </w:t>
      </w:r>
      <w:r>
        <w:rPr>
          <w:rFonts w:ascii="宋体" w:hAnsi="宋体" w:cs="宋体" w:eastAsia="宋体" w:hint="default"/>
        </w:rPr>
        <w:t>448</w:t>
      </w:r>
      <w:r>
        <w:rPr>
          <w:rFonts w:ascii="宋体" w:hAnsi="宋体" w:cs="宋体" w:eastAsia="宋体" w:hint="default"/>
          <w:spacing w:val="-55"/>
        </w:rPr>
        <w:t> </w:t>
      </w:r>
      <w:r>
        <w:rPr/>
        <w:t>个，著作权</w:t>
      </w:r>
      <w:r>
        <w:rPr>
          <w:spacing w:val="-52"/>
        </w:rPr>
        <w:t> </w:t>
      </w:r>
      <w:r>
        <w:rPr>
          <w:rFonts w:ascii="宋体" w:hAnsi="宋体" w:cs="宋体" w:eastAsia="宋体" w:hint="default"/>
        </w:rPr>
        <w:t>1233</w:t>
      </w:r>
      <w:r>
        <w:rPr>
          <w:rFonts w:ascii="宋体" w:hAnsi="宋体" w:cs="宋体" w:eastAsia="宋体" w:hint="default"/>
          <w:spacing w:val="-55"/>
        </w:rPr>
        <w:t> </w:t>
      </w:r>
      <w:r>
        <w:rPr/>
        <w:t>个。</w:t>
      </w:r>
      <w:r>
        <w:rPr>
          <w:rFonts w:ascii="宋体" w:hAnsi="宋体" w:cs="宋体" w:eastAsia="宋体" w:hint="default"/>
        </w:rPr>
        <w:t> </w:t>
      </w:r>
    </w:p>
    <w:p>
      <w:pPr>
        <w:pStyle w:val="Heading5"/>
        <w:spacing w:line="408" w:lineRule="auto"/>
        <w:ind w:right="1313"/>
        <w:jc w:val="both"/>
        <w:rPr>
          <w:rFonts w:ascii="宋体" w:hAnsi="宋体" w:cs="宋体" w:eastAsia="宋体" w:hint="default"/>
        </w:rPr>
      </w:pPr>
      <w:r>
        <w:rPr>
          <w:spacing w:val="-2"/>
        </w:rPr>
        <w:t>公司在连续十多年的高速发展过程中，面对专业人才的引进、培养、使用、激励、优化，搭建了一</w:t>
      </w:r>
      <w:r>
        <w:rPr>
          <w:w w:val="100"/>
        </w:rPr>
        <w:t> </w:t>
      </w:r>
      <w:r>
        <w:rPr>
          <w:spacing w:val="-2"/>
        </w:rPr>
        <w:t>整套完善的管理机制，通过合理有效的任职资格管理体系及培训机制，促进和推动员工的职业技能和能</w:t>
      </w:r>
      <w:r>
        <w:rPr>
          <w:spacing w:val="-21"/>
        </w:rPr>
        <w:t> </w:t>
      </w:r>
      <w:r>
        <w:rPr>
          <w:spacing w:val="-21"/>
        </w:rPr>
      </w:r>
      <w:r>
        <w:rPr>
          <w:spacing w:val="-2"/>
        </w:rPr>
        <w:t>力提升。公司在美国硅谷、荷兰、新加坡、日本东京设立了子公司，为公司进一步促进掌握全球最前沿</w:t>
      </w:r>
      <w:r>
        <w:rPr>
          <w:spacing w:val="-21"/>
        </w:rPr>
        <w:t> </w:t>
      </w:r>
      <w:r>
        <w:rPr>
          <w:spacing w:val="-21"/>
        </w:rPr>
      </w:r>
      <w:r>
        <w:rPr>
          <w:spacing w:val="-2"/>
        </w:rPr>
        <w:t>科技的专业人才交流与合作、占领人才高地奠定了基础；公司通过内部创业、业务拓展等方式，为专业</w:t>
      </w:r>
      <w:r>
        <w:rPr>
          <w:spacing w:val="-21"/>
        </w:rPr>
        <w:t> </w:t>
      </w:r>
      <w:r>
        <w:rPr>
          <w:spacing w:val="-21"/>
        </w:rPr>
      </w:r>
      <w:r>
        <w:rPr/>
        <w:t>人才提供更为广阔和有吸引力的实践平台和实战契机。</w:t>
      </w:r>
      <w:r>
        <w:rPr>
          <w:rFonts w:ascii="宋体" w:hAnsi="宋体" w:cs="宋体" w:eastAsia="宋体" w:hint="default"/>
        </w:rPr>
        <w:t> </w:t>
      </w:r>
    </w:p>
    <w:p>
      <w:pPr>
        <w:spacing w:line="350" w:lineRule="auto" w:before="136"/>
        <w:ind w:left="573" w:right="0" w:hanging="421"/>
        <w:jc w:val="left"/>
        <w:rPr>
          <w:rFonts w:ascii="宋体" w:hAnsi="宋体" w:cs="宋体" w:eastAsia="宋体"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、积极营造面向未来的创新理念和企业文化</w:t>
      </w:r>
      <w:r>
        <w:rPr>
          <w:rFonts w:ascii="Microsoft JhengHei" w:hAnsi="Microsoft JhengHei" w:cs="Microsoft JhengHei" w:eastAsia="Microsoft JhengHei" w:hint="default"/>
          <w:b/>
          <w:bCs/>
          <w:spacing w:val="-50"/>
          <w:sz w:val="21"/>
          <w:szCs w:val="21"/>
        </w:rPr>
        <w:t> </w:t>
      </w:r>
      <w:r>
        <w:rPr>
          <w:rFonts w:ascii="Arial" w:hAnsi="Arial" w:cs="Arial" w:eastAsia="Arial" w:hint="default"/>
          <w:b/>
          <w:bCs/>
          <w:spacing w:val="-50"/>
          <w:sz w:val="21"/>
          <w:szCs w:val="21"/>
        </w:rPr>
      </w:r>
      <w:r>
        <w:rPr>
          <w:rFonts w:ascii="宋体" w:hAnsi="宋体" w:cs="宋体" w:eastAsia="宋体" w:hint="default"/>
          <w:spacing w:val="-2"/>
          <w:sz w:val="21"/>
          <w:szCs w:val="21"/>
        </w:rPr>
        <w:t>公司聚焦创新（</w:t>
      </w:r>
      <w:r>
        <w:rPr>
          <w:rFonts w:ascii="宋体" w:hAnsi="宋体" w:cs="宋体" w:eastAsia="宋体" w:hint="default"/>
          <w:spacing w:val="-2"/>
          <w:sz w:val="21"/>
          <w:szCs w:val="21"/>
        </w:rPr>
        <w:t>Innovation</w:t>
      </w:r>
      <w:r>
        <w:rPr>
          <w:rFonts w:ascii="宋体" w:hAnsi="宋体" w:cs="宋体" w:eastAsia="宋体" w:hint="default"/>
          <w:spacing w:val="-2"/>
          <w:sz w:val="21"/>
          <w:szCs w:val="21"/>
        </w:rPr>
        <w:t>）和整合（</w:t>
      </w:r>
      <w:r>
        <w:rPr>
          <w:rFonts w:ascii="宋体" w:hAnsi="宋体" w:cs="宋体" w:eastAsia="宋体" w:hint="default"/>
          <w:spacing w:val="-2"/>
          <w:sz w:val="21"/>
          <w:szCs w:val="21"/>
        </w:rPr>
        <w:t>Integration</w:t>
      </w:r>
      <w:r>
        <w:rPr>
          <w:rFonts w:ascii="宋体" w:hAnsi="宋体" w:cs="宋体" w:eastAsia="宋体" w:hint="default"/>
          <w:spacing w:val="-2"/>
          <w:sz w:val="21"/>
          <w:szCs w:val="21"/>
        </w:rPr>
        <w:t>）能力建立组织的核心竞争力，其中“创新”包</w:t>
      </w:r>
    </w:p>
    <w:p>
      <w:pPr>
        <w:pStyle w:val="Heading5"/>
        <w:spacing w:line="408" w:lineRule="auto" w:before="96"/>
        <w:ind w:right="1216" w:firstLine="0"/>
        <w:jc w:val="left"/>
        <w:rPr>
          <w:rFonts w:ascii="宋体" w:hAnsi="宋体" w:cs="宋体" w:eastAsia="宋体" w:hint="default"/>
        </w:rPr>
      </w:pPr>
      <w:r>
        <w:rPr>
          <w:spacing w:val="-2"/>
        </w:rPr>
        <w:t>括服务创新、盈利模式创新、技术创新和体制机制创新；“整合”包括产品研发能力整合、业务整合和</w:t>
      </w:r>
      <w:r>
        <w:rPr>
          <w:spacing w:val="-21"/>
        </w:rPr>
        <w:t> </w:t>
      </w:r>
      <w:r>
        <w:rPr>
          <w:spacing w:val="-21"/>
        </w:rPr>
      </w:r>
      <w:r>
        <w:rPr/>
        <w:t>资源整合。</w:t>
      </w:r>
      <w:r>
        <w:rPr>
          <w:rFonts w:ascii="宋体" w:hAnsi="宋体" w:cs="宋体" w:eastAsia="宋体" w:hint="default"/>
        </w:rPr>
        <w:t> </w:t>
      </w:r>
    </w:p>
    <w:p>
      <w:pPr>
        <w:pStyle w:val="Heading5"/>
        <w:spacing w:line="408" w:lineRule="auto"/>
        <w:ind w:right="1313"/>
        <w:jc w:val="both"/>
      </w:pPr>
      <w:r>
        <w:rPr>
          <w:spacing w:val="-2"/>
        </w:rPr>
        <w:t>公司以“热情、责任、创新、正直”的企业文化价值观为指引，完善面向未来有竞争力的组织架构</w:t>
      </w:r>
      <w:r>
        <w:rPr>
          <w:w w:val="100"/>
        </w:rPr>
        <w:t> </w:t>
      </w:r>
      <w:r>
        <w:rPr>
          <w:spacing w:val="-2"/>
        </w:rPr>
        <w:t>和人才体系，积极打造和谐进取的员工关系。面对日益严峻的科技和管理人才竞争形势，公司通过股权</w:t>
      </w:r>
      <w:r>
        <w:rPr>
          <w:spacing w:val="-21"/>
        </w:rPr>
        <w:t> </w:t>
      </w:r>
      <w:r>
        <w:rPr>
          <w:spacing w:val="-21"/>
        </w:rPr>
      </w:r>
      <w:r>
        <w:rPr>
          <w:spacing w:val="-2"/>
        </w:rPr>
        <w:t>激励、薪酬改革、领导力提升等多种手段，做好人才的选用育留工作。公司积极转变总部职能，强化支</w:t>
      </w:r>
    </w:p>
    <w:p>
      <w:pPr>
        <w:spacing w:after="0" w:line="408" w:lineRule="auto"/>
        <w:jc w:val="both"/>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Heading5"/>
        <w:spacing w:line="408" w:lineRule="auto" w:before="176"/>
        <w:ind w:right="0" w:firstLine="0"/>
        <w:jc w:val="left"/>
        <w:rPr>
          <w:rFonts w:ascii="宋体" w:hAnsi="宋体" w:cs="宋体" w:eastAsia="宋体" w:hint="default"/>
        </w:rPr>
      </w:pPr>
      <w:r>
        <w:rPr>
          <w:spacing w:val="-2"/>
        </w:rPr>
        <w:t>持服务理念，通过优化工作环境、丰富多彩的员工活动和贴心细致的后勤保障服务，大幅提升员工满意</w:t>
      </w:r>
      <w:r>
        <w:rPr>
          <w:spacing w:val="-21"/>
        </w:rPr>
        <w:t> </w:t>
      </w:r>
      <w:r>
        <w:rPr>
          <w:spacing w:val="-21"/>
        </w:rPr>
      </w:r>
      <w:r>
        <w:rPr>
          <w:spacing w:val="-2"/>
        </w:rPr>
        <w:t>度及归属感。公司积极参与社会公益建设，践行企业社会责任，并始终坚持将其作为公司企业文化及品</w:t>
      </w:r>
      <w:r>
        <w:rPr>
          <w:spacing w:val="-21"/>
        </w:rPr>
        <w:t> </w:t>
      </w:r>
      <w:r>
        <w:rPr>
          <w:spacing w:val="-21"/>
        </w:rPr>
      </w:r>
      <w:r>
        <w:rPr>
          <w:spacing w:val="-2"/>
        </w:rPr>
        <w:t>牌建设的重要组成部分。公司三所希望小学陆续建设落成，与青基会、自闭慈善机构共同推进的公益项</w:t>
      </w:r>
      <w:r>
        <w:rPr>
          <w:spacing w:val="-21"/>
        </w:rPr>
        <w:t> </w:t>
      </w:r>
      <w:r>
        <w:rPr>
          <w:spacing w:val="-21"/>
        </w:rPr>
      </w:r>
      <w:r>
        <w:rPr/>
        <w:t>目落地实施，联手贵州省扶贫办共同推进“扶贫云”平台升级改造，与华为等合作伙伴共同打造的消</w:t>
      </w:r>
      <w:r>
        <w:rPr>
          <w:w w:val="100"/>
        </w:rPr>
        <w:t> </w:t>
      </w:r>
      <w:r>
        <w:rPr>
          <w:spacing w:val="-2"/>
        </w:rPr>
        <w:t>防、急救绿色生命通道解决方案正在有序推进当中，基于位置大数据的可视化平台解决方案以及商用车</w:t>
      </w:r>
      <w:r>
        <w:rPr>
          <w:spacing w:val="-21"/>
        </w:rPr>
        <w:t> </w:t>
      </w:r>
      <w:r>
        <w:rPr>
          <w:spacing w:val="-21"/>
        </w:rPr>
      </w:r>
      <w:r>
        <w:rPr/>
        <w:t>物流监控系统在国家突发应急事件领域积极发挥作用。</w:t>
      </w:r>
      <w:r>
        <w:rPr>
          <w:rFonts w:ascii="宋体" w:hAnsi="宋体" w:cs="宋体" w:eastAsia="宋体" w:hint="default"/>
        </w:rPr>
        <w:t> </w:t>
      </w:r>
    </w:p>
    <w:p>
      <w:pPr>
        <w:pStyle w:val="Heading5"/>
        <w:spacing w:line="408" w:lineRule="auto"/>
        <w:ind w:right="1313"/>
        <w:jc w:val="both"/>
        <w:rPr>
          <w:rFonts w:ascii="宋体" w:hAnsi="宋体" w:cs="宋体" w:eastAsia="宋体" w:hint="default"/>
        </w:rPr>
      </w:pPr>
      <w:r>
        <w:rPr>
          <w:spacing w:val="-2"/>
        </w:rPr>
        <w:t>伴随公司国际化战略进一步发展，不同国籍、不同文化背景的高端及行业领军人才不断加入企业快</w:t>
      </w:r>
      <w:r>
        <w:rPr>
          <w:w w:val="100"/>
        </w:rPr>
        <w:t> </w:t>
      </w:r>
      <w:r>
        <w:rPr>
          <w:spacing w:val="-2"/>
        </w:rPr>
        <w:t>速发展当中。公司积极应对国际化融合所带来的地域及文化差异，不断探索和创新，积极推进以中国为</w:t>
      </w:r>
      <w:r>
        <w:rPr>
          <w:spacing w:val="-21"/>
        </w:rPr>
        <w:t> </w:t>
      </w:r>
      <w:r>
        <w:rPr>
          <w:spacing w:val="-21"/>
        </w:rPr>
      </w:r>
      <w:r>
        <w:rPr/>
        <w:t>核心，面向全球的更加开放、包容的企业氛围。</w:t>
      </w:r>
      <w:r>
        <w:rPr>
          <w:rFonts w:ascii="宋体" w:hAnsi="宋体" w:cs="宋体" w:eastAsia="宋体" w:hint="default"/>
        </w:rPr>
        <w:t> </w:t>
      </w:r>
    </w:p>
    <w:p>
      <w:pPr>
        <w:spacing w:after="0" w:line="408" w:lineRule="auto"/>
        <w:jc w:val="both"/>
        <w:rPr>
          <w:rFonts w:ascii="宋体" w:hAnsi="宋体" w:cs="宋体" w:eastAsia="宋体" w:hint="default"/>
        </w:rPr>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1"/>
        <w:spacing w:line="456" w:lineRule="exact"/>
        <w:ind w:left="3045" w:right="0"/>
        <w:jc w:val="left"/>
        <w:rPr>
          <w:b w:val="0"/>
          <w:bCs w:val="0"/>
        </w:rPr>
      </w:pPr>
      <w:bookmarkStart w:name="_bookmark3" w:id="4"/>
      <w:bookmarkEnd w:id="4"/>
      <w:r>
        <w:rPr>
          <w:b w:val="0"/>
          <w:bCs w:val="0"/>
        </w:rPr>
      </w:r>
      <w:r>
        <w:rPr/>
        <w:t>第四节经营情况讨论与分析</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w:t>
      </w:r>
      <w:r>
        <w:rPr>
          <w:spacing w:val="-38"/>
        </w:rPr>
        <w:t> </w:t>
      </w:r>
      <w:r>
        <w:rPr>
          <w:rFonts w:ascii="Arial" w:hAnsi="Arial" w:cs="Arial" w:eastAsia="Arial" w:hint="default"/>
          <w:spacing w:val="-38"/>
        </w:rPr>
      </w:r>
      <w:r>
        <w:rPr/>
        <w:t>概述</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Heading5"/>
        <w:spacing w:line="408" w:lineRule="auto" w:before="0"/>
        <w:ind w:right="1126"/>
        <w:jc w:val="both"/>
        <w:rPr>
          <w:rFonts w:ascii="宋体" w:hAnsi="宋体" w:cs="宋体" w:eastAsia="宋体" w:hint="default"/>
        </w:rPr>
      </w:pPr>
      <w:r>
        <w:rPr>
          <w:rFonts w:ascii="宋体" w:hAnsi="宋体" w:cs="宋体" w:eastAsia="宋体" w:hint="default"/>
        </w:rPr>
        <w:t>2019 </w:t>
      </w:r>
      <w:r>
        <w:rPr/>
        <w:t>年，为了进一步推进</w:t>
      </w:r>
      <w:r>
        <w:rPr>
          <w:spacing w:val="-31"/>
        </w:rPr>
        <w:t> </w:t>
      </w:r>
      <w:r>
        <w:rPr>
          <w:rFonts w:ascii="宋体" w:hAnsi="宋体" w:cs="宋体" w:eastAsia="宋体" w:hint="default"/>
          <w:spacing w:val="-31"/>
        </w:rPr>
      </w:r>
      <w:r>
        <w:rPr/>
        <w:t>“智能汽车大脑”的战略部署，公司以数据、算法和算力为核心，不断加</w:t>
      </w:r>
      <w:r>
        <w:rPr>
          <w:w w:val="100"/>
        </w:rPr>
        <w:t> </w:t>
      </w:r>
      <w:r>
        <w:rPr>
          <w:spacing w:val="-2"/>
        </w:rPr>
        <w:t>强与产业合作伙伴的沟通和交流，在自动驾驶、汽车电子芯片、智能网联、新能源智能出行解决方案等领</w:t>
      </w:r>
      <w:r>
        <w:rPr>
          <w:spacing w:val="-44"/>
        </w:rPr>
        <w:t> </w:t>
      </w:r>
      <w:r>
        <w:rPr>
          <w:spacing w:val="-44"/>
        </w:rPr>
      </w:r>
      <w:r>
        <w:rPr>
          <w:spacing w:val="-2"/>
        </w:rPr>
        <w:t>域，通过股权合作、业务协同、联合开发、深度参与产业权威研究等方式，与产业上下游伙伴共同探索可</w:t>
      </w:r>
      <w:r>
        <w:rPr>
          <w:spacing w:val="-43"/>
        </w:rPr>
        <w:t> </w:t>
      </w:r>
      <w:r>
        <w:rPr>
          <w:spacing w:val="-43"/>
        </w:rPr>
      </w:r>
      <w:r>
        <w:rPr/>
        <w:t>落地的商业化模式，加速推动新产品</w:t>
      </w:r>
      <w:r>
        <w:rPr>
          <w:rFonts w:ascii="宋体" w:hAnsi="宋体" w:cs="宋体" w:eastAsia="宋体" w:hint="default"/>
        </w:rPr>
        <w:t>/</w:t>
      </w:r>
      <w:r>
        <w:rPr/>
        <w:t>技术验证和量产测试，并在合肥成立了第二总部。</w:t>
      </w:r>
      <w:r>
        <w:rPr>
          <w:rFonts w:ascii="宋体" w:hAnsi="宋体" w:cs="宋体" w:eastAsia="宋体" w:hint="default"/>
        </w:rPr>
        <w:t> </w:t>
      </w:r>
    </w:p>
    <w:p>
      <w:pPr>
        <w:pStyle w:val="Heading5"/>
        <w:spacing w:line="408" w:lineRule="auto"/>
        <w:ind w:right="1025"/>
        <w:jc w:val="both"/>
        <w:rPr>
          <w:rFonts w:ascii="宋体" w:hAnsi="宋体" w:cs="宋体" w:eastAsia="宋体" w:hint="default"/>
        </w:rPr>
      </w:pPr>
      <w:r>
        <w:rPr>
          <w:spacing w:val="-3"/>
        </w:rPr>
        <w:t>报告期内，公司客户合作粘性进一步加强，并在高级辅助驾驶及自动驾驶、位置大数据、车联网等公</w:t>
      </w:r>
      <w:r>
        <w:rPr>
          <w:w w:val="100"/>
        </w:rPr>
        <w:t> </w:t>
      </w:r>
      <w:r>
        <w:rPr>
          <w:spacing w:val="-2"/>
        </w:rPr>
        <w:t>司新业务领域签订量产订单，在新加坡等海外地区落地区域合作项目，在核心关键节点及关键领域取得专</w:t>
      </w:r>
      <w:r>
        <w:rPr>
          <w:spacing w:val="-43"/>
        </w:rPr>
        <w:t> </w:t>
      </w:r>
      <w:r>
        <w:rPr>
          <w:spacing w:val="-43"/>
        </w:rPr>
      </w:r>
      <w:r>
        <w:rPr>
          <w:spacing w:val="17"/>
        </w:rPr>
        <w:t>利授权，产品创新能力及客户服务能力得到了来自行业及资本市场众多国内外权威机构的认可。</w:t>
      </w:r>
      <w:r>
        <w:rPr>
          <w:rFonts w:ascii="宋体" w:hAnsi="宋体" w:cs="宋体" w:eastAsia="宋体" w:hint="default"/>
        </w:rPr>
        <w:t> </w:t>
      </w:r>
    </w:p>
    <w:p>
      <w:pPr>
        <w:pStyle w:val="Heading5"/>
        <w:spacing w:line="408" w:lineRule="auto"/>
        <w:ind w:right="1128"/>
        <w:jc w:val="both"/>
        <w:rPr>
          <w:rFonts w:ascii="宋体" w:hAnsi="宋体" w:cs="宋体" w:eastAsia="宋体" w:hint="default"/>
        </w:rPr>
      </w:pPr>
      <w:r>
        <w:rPr/>
        <w:t>报告期内，公司营业总收入</w:t>
      </w:r>
      <w:r>
        <w:rPr>
          <w:spacing w:val="-56"/>
        </w:rPr>
        <w:t> </w:t>
      </w:r>
      <w:r>
        <w:rPr>
          <w:rFonts w:ascii="宋体" w:hAnsi="宋体" w:cs="宋体" w:eastAsia="宋体" w:hint="default"/>
        </w:rPr>
        <w:t>23.10</w:t>
      </w:r>
      <w:r>
        <w:rPr>
          <w:rFonts w:ascii="宋体" w:hAnsi="宋体" w:cs="宋体" w:eastAsia="宋体" w:hint="default"/>
          <w:spacing w:val="-56"/>
        </w:rPr>
        <w:t> </w:t>
      </w:r>
      <w:r>
        <w:rPr>
          <w:spacing w:val="-3"/>
        </w:rPr>
        <w:t>亿元，同比增长</w:t>
      </w:r>
      <w:r>
        <w:rPr>
          <w:spacing w:val="-58"/>
        </w:rPr>
        <w:t> </w:t>
      </w:r>
      <w:r>
        <w:rPr>
          <w:rFonts w:ascii="宋体" w:hAnsi="宋体" w:cs="宋体" w:eastAsia="宋体" w:hint="default"/>
        </w:rPr>
        <w:t>8.25%</w:t>
      </w:r>
      <w:r>
        <w:rPr/>
        <w:t>。在细分业务板块，导航业务营业收入</w:t>
      </w:r>
      <w:r>
        <w:rPr>
          <w:spacing w:val="-56"/>
        </w:rPr>
        <w:t> </w:t>
      </w:r>
      <w:r>
        <w:rPr>
          <w:rFonts w:ascii="宋体" w:hAnsi="宋体" w:cs="宋体" w:eastAsia="宋体" w:hint="default"/>
        </w:rPr>
        <w:t>8.31</w:t>
      </w:r>
      <w:r>
        <w:rPr>
          <w:rFonts w:ascii="宋体" w:hAnsi="宋体" w:cs="宋体" w:eastAsia="宋体" w:hint="default"/>
          <w:w w:val="100"/>
        </w:rPr>
        <w:t> </w:t>
      </w:r>
      <w:r>
        <w:rPr>
          <w:spacing w:val="-6"/>
        </w:rPr>
        <w:t>亿元，同比增长</w:t>
      </w:r>
      <w:r>
        <w:rPr>
          <w:spacing w:val="-38"/>
        </w:rPr>
        <w:t> </w:t>
      </w:r>
      <w:r>
        <w:rPr>
          <w:rFonts w:ascii="宋体" w:hAnsi="宋体" w:cs="宋体" w:eastAsia="宋体" w:hint="default"/>
          <w:spacing w:val="-3"/>
        </w:rPr>
        <w:t>7.18%</w:t>
      </w:r>
      <w:r>
        <w:rPr>
          <w:spacing w:val="-3"/>
        </w:rPr>
        <w:t>；高级辅助驾驶及自动驾驶业务营业收入</w:t>
      </w:r>
      <w:r>
        <w:rPr>
          <w:spacing w:val="-38"/>
        </w:rPr>
        <w:t> </w:t>
      </w:r>
      <w:r>
        <w:rPr>
          <w:rFonts w:ascii="宋体" w:hAnsi="宋体" w:cs="宋体" w:eastAsia="宋体" w:hint="default"/>
        </w:rPr>
        <w:t>1.04</w:t>
      </w:r>
      <w:r>
        <w:rPr>
          <w:rFonts w:ascii="宋体" w:hAnsi="宋体" w:cs="宋体" w:eastAsia="宋体" w:hint="default"/>
          <w:spacing w:val="-39"/>
        </w:rPr>
        <w:t> </w:t>
      </w:r>
      <w:r>
        <w:rPr>
          <w:spacing w:val="-7"/>
        </w:rPr>
        <w:t>亿元，同比增长</w:t>
      </w:r>
      <w:r>
        <w:rPr>
          <w:spacing w:val="-39"/>
        </w:rPr>
        <w:t> </w:t>
      </w:r>
      <w:r>
        <w:rPr>
          <w:rFonts w:ascii="宋体" w:hAnsi="宋体" w:cs="宋体" w:eastAsia="宋体" w:hint="default"/>
          <w:spacing w:val="-4"/>
        </w:rPr>
        <w:t>96.48%</w:t>
      </w:r>
      <w:r>
        <w:rPr>
          <w:spacing w:val="-4"/>
        </w:rPr>
        <w:t>；芯片业务营</w:t>
      </w:r>
      <w:r>
        <w:rPr>
          <w:spacing w:val="-98"/>
        </w:rPr>
        <w:t> </w:t>
      </w:r>
      <w:r>
        <w:rPr>
          <w:spacing w:val="-98"/>
        </w:rPr>
      </w:r>
      <w:r>
        <w:rPr/>
        <w:t>业收入</w:t>
      </w:r>
      <w:r>
        <w:rPr>
          <w:spacing w:val="-40"/>
        </w:rPr>
        <w:t> </w:t>
      </w:r>
      <w:r>
        <w:rPr>
          <w:rFonts w:ascii="宋体" w:hAnsi="宋体" w:cs="宋体" w:eastAsia="宋体" w:hint="default"/>
        </w:rPr>
        <w:t>4.08</w:t>
      </w:r>
      <w:r>
        <w:rPr>
          <w:rFonts w:ascii="宋体" w:hAnsi="宋体" w:cs="宋体" w:eastAsia="宋体" w:hint="default"/>
          <w:spacing w:val="-43"/>
        </w:rPr>
        <w:t> </w:t>
      </w:r>
      <w:r>
        <w:rPr/>
        <w:t>亿元，同比下降</w:t>
      </w:r>
      <w:r>
        <w:rPr>
          <w:spacing w:val="-40"/>
        </w:rPr>
        <w:t> </w:t>
      </w:r>
      <w:r>
        <w:rPr>
          <w:rFonts w:ascii="宋体" w:hAnsi="宋体" w:cs="宋体" w:eastAsia="宋体" w:hint="default"/>
        </w:rPr>
        <w:t>29.57%</w:t>
      </w:r>
      <w:r>
        <w:rPr/>
        <w:t>；位置大数据服务营业收入</w:t>
      </w:r>
      <w:r>
        <w:rPr>
          <w:spacing w:val="-40"/>
        </w:rPr>
        <w:t> </w:t>
      </w:r>
      <w:r>
        <w:rPr>
          <w:rFonts w:ascii="宋体" w:hAnsi="宋体" w:cs="宋体" w:eastAsia="宋体" w:hint="default"/>
        </w:rPr>
        <w:t>2.40</w:t>
      </w:r>
      <w:r>
        <w:rPr>
          <w:rFonts w:ascii="宋体" w:hAnsi="宋体" w:cs="宋体" w:eastAsia="宋体" w:hint="default"/>
          <w:spacing w:val="-43"/>
        </w:rPr>
        <w:t> </w:t>
      </w:r>
      <w:r>
        <w:rPr/>
        <w:t>亿元，同比增长</w:t>
      </w:r>
      <w:r>
        <w:rPr>
          <w:spacing w:val="-40"/>
        </w:rPr>
        <w:t> </w:t>
      </w:r>
      <w:r>
        <w:rPr>
          <w:rFonts w:ascii="宋体" w:hAnsi="宋体" w:cs="宋体" w:eastAsia="宋体" w:hint="default"/>
        </w:rPr>
        <w:t>36.64%</w:t>
      </w:r>
      <w:r>
        <w:rPr/>
        <w:t>；车联网业</w:t>
      </w:r>
      <w:r>
        <w:rPr>
          <w:w w:val="100"/>
        </w:rPr>
        <w:t> </w:t>
      </w:r>
      <w:r>
        <w:rPr/>
        <w:t>务营业收入</w:t>
      </w:r>
      <w:r>
        <w:rPr>
          <w:spacing w:val="-56"/>
        </w:rPr>
        <w:t> </w:t>
      </w:r>
      <w:r>
        <w:rPr>
          <w:rFonts w:ascii="宋体" w:hAnsi="宋体" w:cs="宋体" w:eastAsia="宋体" w:hint="default"/>
        </w:rPr>
        <w:t>6.97</w:t>
      </w:r>
      <w:r>
        <w:rPr>
          <w:rFonts w:ascii="宋体" w:hAnsi="宋体" w:cs="宋体" w:eastAsia="宋体" w:hint="default"/>
          <w:spacing w:val="-57"/>
        </w:rPr>
        <w:t> </w:t>
      </w:r>
      <w:r>
        <w:rPr/>
        <w:t>亿元，同比增长</w:t>
      </w:r>
      <w:r>
        <w:rPr>
          <w:spacing w:val="-56"/>
        </w:rPr>
        <w:t> </w:t>
      </w:r>
      <w:r>
        <w:rPr>
          <w:rFonts w:ascii="宋体" w:hAnsi="宋体" w:cs="宋体" w:eastAsia="宋体" w:hint="default"/>
        </w:rPr>
        <w:t>28.53%</w:t>
      </w:r>
      <w:r>
        <w:rPr/>
        <w:t>。</w:t>
      </w:r>
      <w:r>
        <w:rPr>
          <w:rFonts w:ascii="宋体" w:hAnsi="宋体" w:cs="宋体" w:eastAsia="宋体" w:hint="default"/>
        </w:rPr>
        <w:t> </w:t>
      </w:r>
    </w:p>
    <w:p>
      <w:pPr>
        <w:pStyle w:val="Heading5"/>
        <w:spacing w:line="391" w:lineRule="auto"/>
        <w:ind w:right="1126"/>
        <w:jc w:val="both"/>
        <w:rPr>
          <w:rFonts w:ascii="宋体" w:hAnsi="宋体" w:cs="宋体" w:eastAsia="宋体" w:hint="default"/>
        </w:rPr>
      </w:pPr>
      <w:r>
        <w:rPr/>
        <w:t>报告期内，公司实现归属于上市公司股东的净利润为</w:t>
      </w:r>
      <w:r>
        <w:rPr>
          <w:spacing w:val="-44"/>
        </w:rPr>
        <w:t> </w:t>
      </w:r>
      <w:r>
        <w:rPr>
          <w:rFonts w:ascii="宋体" w:hAnsi="宋体" w:cs="宋体" w:eastAsia="宋体" w:hint="default"/>
        </w:rPr>
        <w:t>3.39</w:t>
      </w:r>
      <w:r>
        <w:rPr>
          <w:rFonts w:ascii="宋体" w:hAnsi="宋体" w:cs="宋体" w:eastAsia="宋体" w:hint="default"/>
          <w:spacing w:val="-46"/>
        </w:rPr>
        <w:t> </w:t>
      </w:r>
      <w:r>
        <w:rPr/>
        <w:t>亿元，同比下降</w:t>
      </w:r>
      <w:r>
        <w:rPr>
          <w:spacing w:val="-44"/>
        </w:rPr>
        <w:t> </w:t>
      </w:r>
      <w:r>
        <w:rPr>
          <w:rFonts w:ascii="宋体" w:hAnsi="宋体" w:cs="宋体" w:eastAsia="宋体" w:hint="default"/>
        </w:rPr>
        <w:t>29.20%</w:t>
      </w:r>
      <w:r>
        <w:rPr/>
        <w:t>。受乘用车销量下</w:t>
      </w:r>
      <w:r>
        <w:rPr>
          <w:w w:val="100"/>
        </w:rPr>
        <w:t> </w:t>
      </w:r>
      <w:r>
        <w:rPr>
          <w:spacing w:val="13"/>
        </w:rPr>
        <w:t>滑及行业竞争格局加剧影响，利润率较高的芯片业务收入利润均有所下降；公司参股公司</w:t>
      </w:r>
      <w:r>
        <w:rPr>
          <w:spacing w:val="91"/>
        </w:rPr>
        <w:t> </w:t>
      </w:r>
      <w:r>
        <w:rPr>
          <w:rFonts w:ascii="Times New Roman" w:hAnsi="Times New Roman" w:cs="Times New Roman" w:eastAsia="Times New Roman" w:hint="default"/>
          <w:sz w:val="23"/>
          <w:szCs w:val="23"/>
        </w:rPr>
        <w:t>Mapbar</w:t>
      </w:r>
      <w:r>
        <w:rPr>
          <w:rFonts w:ascii="Times New Roman" w:hAnsi="Times New Roman" w:cs="Times New Roman" w:eastAsia="Times New Roman" w:hint="default"/>
          <w:spacing w:val="-43"/>
          <w:sz w:val="23"/>
          <w:szCs w:val="23"/>
        </w:rPr>
        <w:t> </w:t>
      </w:r>
      <w:r>
        <w:rPr>
          <w:rFonts w:ascii="Times New Roman" w:hAnsi="Times New Roman" w:cs="Times New Roman" w:eastAsia="Times New Roman" w:hint="default"/>
          <w:spacing w:val="-43"/>
          <w:sz w:val="23"/>
          <w:szCs w:val="23"/>
        </w:rPr>
      </w:r>
      <w:r>
        <w:rPr>
          <w:rFonts w:ascii="Times New Roman" w:hAnsi="Times New Roman" w:cs="Times New Roman" w:eastAsia="Times New Roman" w:hint="default"/>
          <w:sz w:val="23"/>
          <w:szCs w:val="23"/>
        </w:rPr>
        <w:t>Technology</w:t>
      </w:r>
      <w:r>
        <w:rPr>
          <w:rFonts w:ascii="Times New Roman" w:hAnsi="Times New Roman" w:cs="Times New Roman" w:eastAsia="Times New Roman" w:hint="default"/>
          <w:spacing w:val="-22"/>
          <w:sz w:val="23"/>
          <w:szCs w:val="23"/>
        </w:rPr>
        <w:t> </w:t>
      </w:r>
      <w:r>
        <w:rPr>
          <w:rFonts w:ascii="Times New Roman" w:hAnsi="Times New Roman" w:cs="Times New Roman" w:eastAsia="Times New Roman" w:hint="default"/>
          <w:sz w:val="23"/>
          <w:szCs w:val="23"/>
        </w:rPr>
        <w:t>Limited</w:t>
      </w:r>
      <w:r>
        <w:rPr>
          <w:rFonts w:ascii="Times New Roman" w:hAnsi="Times New Roman" w:cs="Times New Roman" w:eastAsia="Times New Roman" w:hint="default"/>
          <w:spacing w:val="11"/>
          <w:sz w:val="23"/>
          <w:szCs w:val="23"/>
        </w:rPr>
        <w:t> </w:t>
      </w:r>
      <w:r>
        <w:rPr>
          <w:rFonts w:ascii="宋体" w:hAnsi="宋体" w:cs="宋体" w:eastAsia="宋体" w:hint="default"/>
          <w:spacing w:val="11"/>
        </w:rPr>
      </w:r>
      <w:r>
        <w:rPr>
          <w:rFonts w:ascii="宋体" w:hAnsi="宋体" w:cs="宋体" w:eastAsia="宋体" w:hint="default"/>
        </w:rPr>
        <w:t>2019</w:t>
      </w:r>
      <w:r>
        <w:rPr>
          <w:rFonts w:ascii="宋体" w:hAnsi="宋体" w:cs="宋体" w:eastAsia="宋体" w:hint="default"/>
          <w:spacing w:val="-61"/>
        </w:rPr>
        <w:t> </w:t>
      </w:r>
      <w:r>
        <w:rPr/>
        <w:t>年加大对乘用车联网业务投入，亏损继续加大，对公司</w:t>
      </w:r>
      <w:r>
        <w:rPr>
          <w:spacing w:val="-59"/>
        </w:rPr>
        <w:t> </w:t>
      </w:r>
      <w:r>
        <w:rPr>
          <w:rFonts w:ascii="宋体" w:hAnsi="宋体" w:cs="宋体" w:eastAsia="宋体" w:hint="default"/>
        </w:rPr>
        <w:t>2019</w:t>
      </w:r>
      <w:r>
        <w:rPr>
          <w:rFonts w:ascii="宋体" w:hAnsi="宋体" w:cs="宋体" w:eastAsia="宋体" w:hint="default"/>
          <w:spacing w:val="-61"/>
        </w:rPr>
        <w:t> </w:t>
      </w:r>
      <w:r>
        <w:rPr/>
        <w:t>年度利润产生负向</w:t>
      </w:r>
      <w:r>
        <w:rPr>
          <w:w w:val="100"/>
        </w:rPr>
        <w:t> </w:t>
      </w:r>
      <w:r>
        <w:rPr/>
        <w:t>影响。</w:t>
      </w:r>
      <w:r>
        <w:rPr>
          <w:rFonts w:ascii="宋体" w:hAnsi="宋体" w:cs="宋体" w:eastAsia="宋体" w:hint="default"/>
        </w:rPr>
        <w:t> </w:t>
      </w:r>
    </w:p>
    <w:p>
      <w:pPr>
        <w:spacing w:line="240" w:lineRule="auto" w:before="12"/>
        <w:rPr>
          <w:rFonts w:ascii="宋体" w:hAnsi="宋体" w:cs="宋体" w:eastAsia="宋体" w:hint="default"/>
          <w:sz w:val="13"/>
          <w:szCs w:val="13"/>
        </w:rPr>
      </w:pPr>
    </w:p>
    <w:p>
      <w:pPr>
        <w:pStyle w:val="Heading2"/>
        <w:spacing w:line="240" w:lineRule="auto"/>
        <w:ind w:right="0"/>
        <w:jc w:val="left"/>
        <w:rPr>
          <w:b w:val="0"/>
          <w:bCs w:val="0"/>
        </w:rPr>
      </w:pPr>
      <w:r>
        <w:rPr/>
        <w:t>二、主营业务分析</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line="482" w:lineRule="auto" w:before="0"/>
        <w:ind w:left="152" w:right="647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、概述</w:t>
      </w:r>
      <w:r>
        <w:rPr>
          <w:rFonts w:ascii="Microsoft JhengHei" w:hAnsi="Microsoft JhengHei" w:cs="Microsoft JhengHei" w:eastAsia="Microsoft JhengHei" w:hint="default"/>
          <w:b/>
          <w:bCs/>
          <w:spacing w:val="-4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、收入与成本</w:t>
      </w:r>
      <w:r>
        <w:rPr>
          <w:rFonts w:ascii="Microsoft JhengHei" w:hAnsi="Microsoft JhengHei" w:cs="Microsoft JhengHei" w:eastAsia="Microsoft JhengHei" w:hint="default"/>
          <w:sz w:val="21"/>
          <w:szCs w:val="21"/>
        </w:rPr>
      </w:r>
    </w:p>
    <w:p>
      <w:pPr>
        <w:pStyle w:val="Heading4"/>
        <w:spacing w:line="332" w:lineRule="exact"/>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2,309,742,643.97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2,133,659,113.98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导航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830,789,863.00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775,129,098.48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0"/>
              <w:jc w:val="left"/>
              <w:rPr>
                <w:rFonts w:ascii="宋体" w:hAnsi="宋体" w:cs="宋体" w:eastAsia="宋体" w:hint="default"/>
                <w:sz w:val="18"/>
                <w:szCs w:val="18"/>
              </w:rPr>
            </w:pPr>
            <w:r>
              <w:rPr>
                <w:rFonts w:ascii="宋体" w:hAnsi="宋体" w:cs="宋体" w:eastAsia="宋体" w:hint="default"/>
                <w:sz w:val="18"/>
                <w:szCs w:val="18"/>
              </w:rPr>
              <w:t>高级辅助驾驶及自 动驾驶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103,991,976.00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52,928,075.00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96.48%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芯片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407,780,193.88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578,993,690.64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-29.57%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位置大数据服务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240,116,835.55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175,724,887.90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36.64%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车联网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696,889,451.09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542,185,340.05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28.53%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30,174,324.45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8,698,021.91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246.91%</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导航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830,789,863.00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775,129,098.48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7.18%</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高级辅助驾驶及自 动驾驶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103,991,976.00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52,928,075.00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96.48%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芯片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407,780,193.88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578,993,690.64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27.14%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-29.57%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位置大数据服务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240,116,835.55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175,724,887.90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36.64%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车联网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696,889,451.09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542,185,340.05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25.41%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30,174,324.45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8,698,021.91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全部地区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2,309,742,643.97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2,133,659,113.98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w:t>
            </w:r>
          </w:p>
        </w:tc>
      </w:tr>
    </w:tbl>
    <w:p>
      <w:pPr>
        <w:pStyle w:val="BodyText"/>
        <w:spacing w:line="240" w:lineRule="auto" w:before="49"/>
        <w:ind w:right="0"/>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17"/>
        <w:gridCol w:w="1008"/>
        <w:gridCol w:w="1011"/>
        <w:gridCol w:w="1010"/>
        <w:gridCol w:w="1013"/>
        <w:gridCol w:w="1003"/>
        <w:gridCol w:w="1003"/>
        <w:gridCol w:w="1004"/>
        <w:gridCol w:w="1001"/>
      </w:tblGrid>
      <w:tr>
        <w:trPr>
          <w:trHeight w:val="401" w:hRule="exact"/>
        </w:trPr>
        <w:tc>
          <w:tcPr>
            <w:tcW w:w="1517" w:type="dxa"/>
            <w:vMerge w:val="restart"/>
            <w:tcBorders>
              <w:top w:val="single" w:sz="4" w:space="0" w:color="000000"/>
              <w:left w:val="single" w:sz="4" w:space="0" w:color="000000"/>
              <w:right w:val="single" w:sz="4" w:space="0" w:color="000000"/>
            </w:tcBorders>
            <w:shd w:val="clear" w:color="auto" w:fill="D2D2D2"/>
          </w:tcPr>
          <w:p>
            <w:pPr/>
          </w:p>
        </w:tc>
        <w:tc>
          <w:tcPr>
            <w:tcW w:w="404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517"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3" w:hRule="exact"/>
        </w:trPr>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521,929,835.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561,782,133.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451,332,158.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774,698,516.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452,855,903.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537,487,265.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533,108,853.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610,207,091.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63</w:t>
            </w:r>
          </w:p>
        </w:tc>
      </w:tr>
      <w:tr>
        <w:trPr>
          <w:trHeight w:val="715" w:hRule="exact"/>
        </w:trPr>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42,026,469.1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43,573,845.8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pacing w:val="-10"/>
                <w:sz w:val="18"/>
              </w:rPr>
              <w:t>-61,415,531.22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314,999,782.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73,318,809.7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89,923,843.6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55,970,352.5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259,857,705.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r>
    </w:tbl>
    <w:p>
      <w:pPr>
        <w:pStyle w:val="BodyText"/>
        <w:spacing w:line="360" w:lineRule="auto" w:before="49"/>
        <w:ind w:right="6614"/>
        <w:jc w:val="left"/>
      </w:pPr>
      <w:r>
        <w:rPr/>
        <w:t>说明经营季节性（或周期性）发生的原因及波动风险 无</w:t>
      </w:r>
    </w:p>
    <w:p>
      <w:pPr>
        <w:spacing w:line="240" w:lineRule="auto" w:before="3"/>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8" w:footer="979" w:top="1060" w:bottom="1160" w:left="980" w:right="0"/>
        </w:sectPr>
      </w:pPr>
    </w:p>
    <w:p>
      <w:pPr>
        <w:pStyle w:val="BodyText"/>
        <w:spacing w:line="240" w:lineRule="auto" w:before="44"/>
        <w:ind w:right="-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6"/>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3" w:right="0"/>
        <w:jc w:val="left"/>
      </w:pPr>
      <w:r>
        <w:rPr/>
        <w:t>单位：元</w:t>
      </w:r>
    </w:p>
    <w:p>
      <w:pPr>
        <w:spacing w:after="0" w:line="240" w:lineRule="auto"/>
        <w:jc w:val="left"/>
        <w:sectPr>
          <w:type w:val="continuous"/>
          <w:pgSz w:w="11910" w:h="16840"/>
          <w:pgMar w:top="1060" w:bottom="1160" w:left="980" w:right="0"/>
          <w:cols w:num="2" w:equalWidth="0">
            <w:col w:w="9067" w:space="40"/>
            <w:col w:w="1823"/>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6"/>
        <w:gridCol w:w="1369"/>
        <w:gridCol w:w="1366"/>
        <w:gridCol w:w="1366"/>
        <w:gridCol w:w="1368"/>
        <w:gridCol w:w="1366"/>
        <w:gridCol w:w="1375"/>
      </w:tblGrid>
      <w:tr>
        <w:trPr>
          <w:trHeight w:val="71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12" w:right="50"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bl>
    <w:p>
      <w:pPr>
        <w:spacing w:after="0" w:line="314"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366"/>
        <w:gridCol w:w="1369"/>
        <w:gridCol w:w="1366"/>
        <w:gridCol w:w="1366"/>
        <w:gridCol w:w="1368"/>
        <w:gridCol w:w="1366"/>
        <w:gridCol w:w="1373"/>
      </w:tblGrid>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导航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4" w:right="0"/>
              <w:jc w:val="center"/>
              <w:rPr>
                <w:rFonts w:ascii="Times New Roman" w:hAnsi="Times New Roman" w:cs="Times New Roman" w:eastAsia="Times New Roman" w:hint="default"/>
                <w:sz w:val="18"/>
                <w:szCs w:val="18"/>
              </w:rPr>
            </w:pPr>
            <w:r>
              <w:rPr>
                <w:rFonts w:ascii="Times New Roman"/>
                <w:sz w:val="18"/>
              </w:rPr>
              <w:t>830,789,863.00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47,090,156.00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-30.19%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3.03%</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芯片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407,780,193.88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198,405,305.28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-24.92%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位置大数据服务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1" w:right="0"/>
              <w:jc w:val="center"/>
              <w:rPr>
                <w:rFonts w:ascii="Times New Roman" w:hAnsi="Times New Roman" w:cs="Times New Roman" w:eastAsia="Times New Roman" w:hint="default"/>
                <w:sz w:val="18"/>
                <w:szCs w:val="18"/>
              </w:rPr>
            </w:pPr>
            <w:r>
              <w:rPr>
                <w:rFonts w:ascii="Times New Roman"/>
                <w:sz w:val="18"/>
              </w:rPr>
              <w:t>240,116,835.55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61,743,599.64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74.29%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59.85%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-3.73%</w:t>
            </w:r>
          </w:p>
        </w:tc>
      </w:tr>
      <w:tr>
        <w:trPr>
          <w:trHeight w:val="40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车联网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696,889,451.09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398,930,213.54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58.35%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-10.78%</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导航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830,789,863.00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47,090,156.00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-30.19%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芯片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4" w:right="0"/>
              <w:jc w:val="center"/>
              <w:rPr>
                <w:rFonts w:ascii="Times New Roman" w:hAnsi="Times New Roman" w:cs="Times New Roman" w:eastAsia="Times New Roman" w:hint="default"/>
                <w:sz w:val="18"/>
                <w:szCs w:val="18"/>
              </w:rPr>
            </w:pPr>
            <w:r>
              <w:rPr>
                <w:rFonts w:ascii="Times New Roman"/>
                <w:sz w:val="18"/>
              </w:rPr>
              <w:t>407,780,193.88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198,405,305.28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-24.92%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-3.01%</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位置大数据服务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center"/>
              <w:rPr>
                <w:rFonts w:ascii="Times New Roman" w:hAnsi="Times New Roman" w:cs="Times New Roman" w:eastAsia="Times New Roman" w:hint="default"/>
                <w:sz w:val="18"/>
                <w:szCs w:val="18"/>
              </w:rPr>
            </w:pPr>
            <w:r>
              <w:rPr>
                <w:rFonts w:ascii="Times New Roman"/>
                <w:sz w:val="18"/>
              </w:rPr>
              <w:t>240,116,835.55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61,743,599.64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59.85%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w:t>
            </w:r>
          </w:p>
        </w:tc>
      </w:tr>
      <w:tr>
        <w:trPr>
          <w:trHeight w:val="40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车联网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4" w:right="0"/>
              <w:jc w:val="center"/>
              <w:rPr>
                <w:rFonts w:ascii="Times New Roman" w:hAnsi="Times New Roman" w:cs="Times New Roman" w:eastAsia="Times New Roman" w:hint="default"/>
                <w:sz w:val="18"/>
                <w:szCs w:val="18"/>
              </w:rPr>
            </w:pPr>
            <w:r>
              <w:rPr>
                <w:rFonts w:ascii="Times New Roman"/>
                <w:sz w:val="18"/>
              </w:rPr>
              <w:t>696,889,451.09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398,930,213.54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42.76%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28.53%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58.35%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-10.78%</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全部地区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2,175,576,343.52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706,169,274.46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67.54%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13.48%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-2.43%</w:t>
            </w:r>
          </w:p>
        </w:tc>
      </w:tr>
    </w:tbl>
    <w:p>
      <w:pPr>
        <w:pStyle w:val="BodyText"/>
        <w:spacing w:line="240" w:lineRule="auto" w:before="49"/>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行业分类</w:t>
      </w:r>
    </w:p>
    <w:p>
      <w:pPr>
        <w:pStyle w:val="BodyText"/>
        <w:spacing w:line="240" w:lineRule="auto" w:before="117"/>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导航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数据加工成本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39,464,909.47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83.81%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58,455,971.46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86.65%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-32.49%</w:t>
            </w:r>
          </w:p>
        </w:tc>
      </w:tr>
      <w:tr>
        <w:trPr>
          <w:trHeight w:val="401"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物料成本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7,625,246.53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9,003,118.06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-15.30%</w:t>
            </w:r>
          </w:p>
        </w:tc>
      </w:tr>
      <w:tr>
        <w:trPr>
          <w:trHeight w:val="403" w:hRule="exact"/>
        </w:trPr>
        <w:tc>
          <w:tcPr>
            <w:tcW w:w="1368"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47,090,156.00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67,459,089.52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-30.19%</w:t>
            </w:r>
          </w:p>
        </w:tc>
      </w:tr>
      <w:tr>
        <w:trPr>
          <w:trHeight w:val="401" w:hRule="exact"/>
        </w:trPr>
        <w:tc>
          <w:tcPr>
            <w:tcW w:w="1368" w:type="dxa"/>
            <w:vMerge w:val="restart"/>
            <w:tcBorders>
              <w:top w:val="single" w:sz="4" w:space="0" w:color="000000"/>
              <w:left w:val="single" w:sz="4" w:space="0" w:color="000000"/>
              <w:right w:val="single" w:sz="4" w:space="0" w:color="000000"/>
            </w:tcBorders>
          </w:tcPr>
          <w:p>
            <w:pPr>
              <w:pStyle w:val="TableParagraph"/>
              <w:spacing w:line="316" w:lineRule="auto" w:before="97"/>
              <w:ind w:left="24" w:right="72"/>
              <w:jc w:val="left"/>
              <w:rPr>
                <w:rFonts w:ascii="宋体" w:hAnsi="宋体" w:cs="宋体" w:eastAsia="宋体" w:hint="default"/>
                <w:sz w:val="18"/>
                <w:szCs w:val="18"/>
              </w:rPr>
            </w:pPr>
            <w:r>
              <w:rPr>
                <w:rFonts w:ascii="宋体" w:hAnsi="宋体" w:cs="宋体" w:eastAsia="宋体" w:hint="default"/>
                <w:sz w:val="18"/>
                <w:szCs w:val="18"/>
              </w:rPr>
              <w:t>高级辅助驾驶及 自动驾驶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物料成本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736,290.00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736,290.00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芯片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物料成本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198,405,305.28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264,267,205.69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-24.92%</w:t>
            </w:r>
          </w:p>
        </w:tc>
      </w:tr>
      <w:tr>
        <w:trPr>
          <w:trHeight w:val="403" w:hRule="exact"/>
        </w:trPr>
        <w:tc>
          <w:tcPr>
            <w:tcW w:w="1368"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198,405,305.28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264,267,205.69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-24.92%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位置大数据服务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数据加工成本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49,021,491.77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25,062,653.99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95.60%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1" w:hRule="exact"/>
        </w:trPr>
        <w:tc>
          <w:tcPr>
            <w:tcW w:w="1368" w:type="dxa"/>
            <w:vMerge w:val="restart"/>
            <w:tcBorders>
              <w:top w:val="nil" w:sz="6" w:space="0" w:color="auto"/>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物料成本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2,607,655.41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3,005,068.11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-13.22%</w:t>
            </w:r>
          </w:p>
        </w:tc>
      </w:tr>
      <w:tr>
        <w:trPr>
          <w:trHeight w:val="403"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9,213,237.87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9,279,467.51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-0.71%</w:t>
            </w:r>
          </w:p>
        </w:tc>
      </w:tr>
      <w:tr>
        <w:trPr>
          <w:trHeight w:val="401"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901,214.59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1,279,233.91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-29.55%</w:t>
            </w:r>
          </w:p>
        </w:tc>
      </w:tr>
      <w:tr>
        <w:trPr>
          <w:trHeight w:val="403" w:hRule="exact"/>
        </w:trPr>
        <w:tc>
          <w:tcPr>
            <w:tcW w:w="1368"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61,743,599.64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38,626,423.52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59.85%</w:t>
            </w:r>
          </w:p>
        </w:tc>
      </w:tr>
      <w:tr>
        <w:trPr>
          <w:trHeight w:val="401"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4" w:right="0"/>
              <w:jc w:val="left"/>
              <w:rPr>
                <w:rFonts w:ascii="宋体" w:hAnsi="宋体" w:cs="宋体" w:eastAsia="宋体" w:hint="default"/>
                <w:sz w:val="18"/>
                <w:szCs w:val="18"/>
              </w:rPr>
            </w:pPr>
            <w:r>
              <w:rPr>
                <w:rFonts w:ascii="宋体" w:hAnsi="宋体" w:cs="宋体" w:eastAsia="宋体" w:hint="default"/>
                <w:sz w:val="18"/>
                <w:szCs w:val="18"/>
              </w:rPr>
              <w:t>车联网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数据加工成本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243,130,165.18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152,803,176.48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59.11%</w:t>
            </w:r>
          </w:p>
        </w:tc>
      </w:tr>
      <w:tr>
        <w:trPr>
          <w:trHeight w:val="403"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物料成本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128,538,401.83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70,874,103.52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28.13%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81.36%</w:t>
            </w:r>
          </w:p>
        </w:tc>
      </w:tr>
      <w:tr>
        <w:trPr>
          <w:trHeight w:val="401"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20,228,151.61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20,575,142.07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w:t>
            </w:r>
          </w:p>
        </w:tc>
      </w:tr>
      <w:tr>
        <w:trPr>
          <w:trHeight w:val="403"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7,033,494.92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7,669,145.93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-8.29%</w:t>
            </w:r>
          </w:p>
        </w:tc>
      </w:tr>
      <w:tr>
        <w:trPr>
          <w:trHeight w:val="403" w:hRule="exact"/>
        </w:trPr>
        <w:tc>
          <w:tcPr>
            <w:tcW w:w="1368"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398,930,213.54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251,921,568.00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58.35%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pStyle w:val="BodyText"/>
        <w:spacing w:line="240" w:lineRule="auto" w:before="49"/>
        <w:ind w:right="-16"/>
        <w:jc w:val="left"/>
      </w:pPr>
      <w:r>
        <w:rPr/>
        <w:t>说明</w:t>
      </w:r>
    </w:p>
    <w:p>
      <w:pPr>
        <w:pStyle w:val="BodyText"/>
        <w:spacing w:line="240" w:lineRule="auto" w:before="117"/>
        <w:ind w:right="-16"/>
        <w:jc w:val="left"/>
        <w:rPr>
          <w:rFonts w:ascii="宋体" w:hAnsi="宋体" w:cs="宋体" w:eastAsia="宋体" w:hint="default"/>
        </w:rPr>
      </w:pPr>
      <w:r>
        <w:rPr>
          <w:rFonts w:ascii="Times New Roman" w:hAnsi="Times New Roman" w:cs="Times New Roman" w:eastAsia="Times New Roman" w:hint="default"/>
        </w:rPr>
        <w:t>1</w:t>
      </w:r>
      <w:r>
        <w:rPr/>
        <w:t>）导航产品成本同比大幅减少，主要系地图编译成本减少所致；</w:t>
      </w:r>
      <w:r>
        <w:rPr>
          <w:rFonts w:ascii="宋体" w:hAnsi="宋体" w:cs="宋体" w:eastAsia="宋体" w:hint="default"/>
        </w:rPr>
        <w:t> </w:t>
      </w:r>
    </w:p>
    <w:p>
      <w:pPr>
        <w:pStyle w:val="BodyText"/>
        <w:spacing w:line="240" w:lineRule="auto" w:before="103"/>
        <w:ind w:right="-16"/>
        <w:jc w:val="left"/>
        <w:rPr>
          <w:rFonts w:ascii="宋体" w:hAnsi="宋体" w:cs="宋体" w:eastAsia="宋体" w:hint="default"/>
        </w:rPr>
      </w:pPr>
      <w:r>
        <w:rPr>
          <w:rFonts w:ascii="Times New Roman" w:hAnsi="Times New Roman" w:cs="Times New Roman" w:eastAsia="Times New Roman" w:hint="default"/>
        </w:rPr>
        <w:t>2</w:t>
      </w:r>
      <w:r>
        <w:rPr/>
        <w:t>）高级辅助驾驶及自动驾驶收入成本同比大幅增长，主要系高级辅助驾驶及自动驾驶业务持续推进所致；</w:t>
      </w:r>
      <w:r>
        <w:rPr>
          <w:rFonts w:ascii="宋体" w:hAnsi="宋体" w:cs="宋体" w:eastAsia="宋体" w:hint="default"/>
        </w:rPr>
        <w:t> </w:t>
      </w:r>
    </w:p>
    <w:p>
      <w:pPr>
        <w:pStyle w:val="BodyText"/>
        <w:spacing w:line="240" w:lineRule="auto" w:before="101"/>
        <w:ind w:right="-16"/>
        <w:jc w:val="left"/>
        <w:rPr>
          <w:rFonts w:ascii="宋体" w:hAnsi="宋体" w:cs="宋体" w:eastAsia="宋体" w:hint="default"/>
        </w:rPr>
      </w:pPr>
      <w:r>
        <w:rPr>
          <w:rFonts w:ascii="Times New Roman" w:hAnsi="Times New Roman" w:cs="Times New Roman" w:eastAsia="Times New Roman" w:hint="default"/>
        </w:rPr>
        <w:t>3</w:t>
      </w:r>
      <w:r>
        <w:rPr/>
        <w:t>）芯片产品收入成本同比大幅减少，主要系杰发科技的车载信息娱乐系统芯片销量下降所致；</w:t>
      </w:r>
      <w:r>
        <w:rPr>
          <w:rFonts w:ascii="宋体" w:hAnsi="宋体" w:cs="宋体" w:eastAsia="宋体" w:hint="default"/>
        </w:rPr>
        <w:t> </w:t>
      </w:r>
    </w:p>
    <w:p>
      <w:pPr>
        <w:pStyle w:val="BodyText"/>
        <w:spacing w:line="240" w:lineRule="auto" w:before="103"/>
        <w:ind w:right="-16"/>
        <w:jc w:val="left"/>
        <w:rPr>
          <w:rFonts w:ascii="宋体" w:hAnsi="宋体" w:cs="宋体" w:eastAsia="宋体" w:hint="default"/>
        </w:rPr>
      </w:pPr>
      <w:r>
        <w:rPr>
          <w:rFonts w:ascii="Times New Roman" w:hAnsi="Times New Roman" w:cs="Times New Roman" w:eastAsia="Times New Roman" w:hint="default"/>
        </w:rPr>
        <w:t>4</w:t>
      </w:r>
      <w:r>
        <w:rPr/>
        <w:t>）位置大数据服务收入成本同比大幅增长，主要系新增政企客户收入增长以及对应外包成本增加所致；</w:t>
      </w:r>
      <w:r>
        <w:rPr>
          <w:rFonts w:ascii="宋体" w:hAnsi="宋体" w:cs="宋体" w:eastAsia="宋体" w:hint="default"/>
        </w:rPr>
        <w:t> </w:t>
      </w:r>
    </w:p>
    <w:p>
      <w:pPr>
        <w:pStyle w:val="BodyText"/>
        <w:spacing w:line="240" w:lineRule="auto" w:before="103"/>
        <w:ind w:right="-16"/>
        <w:jc w:val="left"/>
        <w:rPr>
          <w:rFonts w:ascii="宋体" w:hAnsi="宋体" w:cs="宋体" w:eastAsia="宋体" w:hint="default"/>
        </w:rPr>
      </w:pPr>
      <w:r>
        <w:rPr>
          <w:rFonts w:ascii="Times New Roman" w:hAnsi="Times New Roman" w:cs="Times New Roman" w:eastAsia="Times New Roman" w:hint="default"/>
        </w:rPr>
        <w:t>5</w:t>
      </w:r>
      <w:r>
        <w:rPr/>
        <w:t>）车联网收入成本同比大幅增加，主要随商用车联网业务销量增长，终端设备成本大幅增加所致；</w:t>
      </w:r>
      <w:r>
        <w:rPr>
          <w:rFonts w:ascii="宋体" w:hAnsi="宋体" w:cs="宋体" w:eastAsia="宋体" w:hint="default"/>
        </w:rPr>
        <w:t> </w:t>
      </w:r>
    </w:p>
    <w:p>
      <w:pPr>
        <w:pStyle w:val="BodyText"/>
        <w:spacing w:line="240" w:lineRule="auto" w:before="101"/>
        <w:ind w:right="-16"/>
        <w:jc w:val="left"/>
        <w:rPr>
          <w:rFonts w:ascii="宋体" w:hAnsi="宋体" w:cs="宋体" w:eastAsia="宋体" w:hint="default"/>
        </w:rPr>
      </w:pPr>
      <w:r>
        <w:rPr>
          <w:rFonts w:ascii="Times New Roman" w:hAnsi="Times New Roman" w:cs="Times New Roman" w:eastAsia="Times New Roman" w:hint="default"/>
        </w:rPr>
        <w:t>6</w:t>
      </w:r>
      <w:r>
        <w:rPr/>
        <w:t>）其他业务收入同比大幅增长，主要系大楼租赁收入增长所致。</w:t>
      </w:r>
      <w:r>
        <w:rPr>
          <w:rFonts w:ascii="宋体" w:hAnsi="宋体" w:cs="宋体" w:eastAsia="宋体" w:hint="default"/>
        </w:rPr>
        <w:t> </w:t>
      </w:r>
    </w:p>
    <w:p>
      <w:pPr>
        <w:pStyle w:val="BodyText"/>
        <w:spacing w:line="240" w:lineRule="auto" w:before="103"/>
        <w:ind w:left="424" w:right="0"/>
        <w:jc w:val="left"/>
        <w:rPr>
          <w:rFonts w:ascii="宋体" w:hAnsi="宋体" w:cs="宋体" w:eastAsia="宋体" w:hint="default"/>
        </w:rPr>
      </w:pPr>
      <w:r>
        <w:rPr>
          <w:rFonts w:ascii="宋体"/>
        </w:rPr>
        <w:t> </w:t>
      </w:r>
    </w:p>
    <w:p>
      <w:pPr>
        <w:pStyle w:val="BodyText"/>
        <w:spacing w:line="338" w:lineRule="auto" w:before="117"/>
        <w:ind w:right="-16"/>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left="-33" w:right="0"/>
        <w:jc w:val="left"/>
      </w:pPr>
      <w:r>
        <w:rPr/>
        <w:t>单位：元</w:t>
      </w:r>
    </w:p>
    <w:p>
      <w:pPr>
        <w:spacing w:after="0" w:line="240" w:lineRule="auto"/>
        <w:jc w:val="left"/>
        <w:sectPr>
          <w:type w:val="continuous"/>
          <w:pgSz w:w="11910" w:h="16840"/>
          <w:pgMar w:top="1060" w:bottom="1160" w:left="980" w:right="0"/>
          <w:cols w:num="2" w:equalWidth="0">
            <w:col w:w="9067" w:space="40"/>
            <w:col w:w="1823"/>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62" w:lineRule="auto" w:before="73"/>
              <w:ind w:left="614" w:right="431" w:hanging="180"/>
              <w:jc w:val="left"/>
              <w:rPr>
                <w:rFonts w:ascii="宋体" w:hAnsi="宋体" w:cs="宋体" w:eastAsia="宋体" w:hint="default"/>
                <w:sz w:val="18"/>
                <w:szCs w:val="18"/>
              </w:rPr>
            </w:pPr>
            <w:r>
              <w:rPr>
                <w:rFonts w:ascii="宋体" w:hAnsi="宋体" w:cs="宋体" w:eastAsia="宋体" w:hint="default"/>
                <w:sz w:val="18"/>
                <w:szCs w:val="18"/>
              </w:rPr>
              <w:t>同比增减 金额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物料成本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337,912,899.05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347,149,495.38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数据加工成本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331,616,566.42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236,321,801.93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40.32%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29,441,389.48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29,854,609.58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7,033,494.92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7,669,145.93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901,214.59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1,279,233.91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-29.55%</w:t>
            </w:r>
          </w:p>
        </w:tc>
      </w:tr>
    </w:tbl>
    <w:p>
      <w:pPr>
        <w:spacing w:line="240" w:lineRule="auto" w:before="6"/>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44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本期因投资设立增加合肥四维图新科技有限公司和北京满电出行科技有限公司。</w:t>
      </w:r>
    </w:p>
    <w:p>
      <w:pPr>
        <w:pStyle w:val="BodyText"/>
        <w:spacing w:line="316" w:lineRule="auto" w:before="1"/>
        <w:ind w:right="3194"/>
        <w:jc w:val="left"/>
      </w:pPr>
      <w:r>
        <w:rPr/>
        <w:t>本期因第三方增资导致本公司失去对北京六分科技有限公司的控制权，不再将其纳入合并范围。 本期因注销减少图新投资（香港）科技有限公司。</w:t>
      </w: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4259"/>
        <w:gridCol w:w="5310"/>
      </w:tblGrid>
      <w:tr>
        <w:trPr>
          <w:trHeight w:val="40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705,335,881.58</w:t>
            </w:r>
          </w:p>
        </w:tc>
      </w:tr>
      <w:tr>
        <w:trPr>
          <w:trHeight w:val="401"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30.54%</w:t>
            </w:r>
          </w:p>
        </w:tc>
      </w:tr>
      <w:tr>
        <w:trPr>
          <w:trHeight w:val="715"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12.94%</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802"/>
        <w:gridCol w:w="3301"/>
        <w:gridCol w:w="2324"/>
        <w:gridCol w:w="3142"/>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177,870,943.40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151,110,240.59</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147,463,473.58</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121,087,090.73</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107,804,133.28</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705,335,881.58</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30.54%</w:t>
            </w:r>
          </w:p>
        </w:tc>
      </w:tr>
    </w:tbl>
    <w:p>
      <w:pPr>
        <w:pStyle w:val="BodyText"/>
        <w:spacing w:line="240" w:lineRule="auto" w:before="49"/>
        <w:ind w:right="0"/>
        <w:jc w:val="left"/>
      </w:pPr>
      <w:r>
        <w:rPr/>
        <w:t>主要客户其他情况说明</w:t>
      </w:r>
    </w:p>
    <w:p>
      <w:pPr>
        <w:pStyle w:val="BodyText"/>
        <w:spacing w:line="340"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4259"/>
        <w:gridCol w:w="5310"/>
      </w:tblGrid>
      <w:tr>
        <w:trPr>
          <w:trHeight w:val="401"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338,946,275.25</w:t>
            </w:r>
          </w:p>
        </w:tc>
      </w:tr>
      <w:tr>
        <w:trPr>
          <w:trHeight w:val="40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40.01%</w:t>
            </w:r>
          </w:p>
        </w:tc>
      </w:tr>
      <w:tr>
        <w:trPr>
          <w:trHeight w:val="71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17.17%</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934"/>
        <w:gridCol w:w="3169"/>
        <w:gridCol w:w="2324"/>
        <w:gridCol w:w="3142"/>
      </w:tblGrid>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145,461,280.84</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17.17%</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65,041,242.74</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47,081,201.04</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41,347,644.95</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40,014,905.68</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338,946,275.25</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40.01%</w:t>
            </w:r>
          </w:p>
        </w:tc>
      </w:tr>
    </w:tbl>
    <w:p>
      <w:pPr>
        <w:pStyle w:val="BodyText"/>
        <w:spacing w:line="240" w:lineRule="auto" w:before="49"/>
        <w:ind w:right="0"/>
        <w:jc w:val="left"/>
      </w:pPr>
      <w:r>
        <w:rPr/>
        <w:t>主要供应商其他情况说明</w:t>
      </w:r>
    </w:p>
    <w:p>
      <w:pPr>
        <w:pStyle w:val="BodyText"/>
        <w:spacing w:line="240" w:lineRule="auto" w:before="11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6"/>
        <w:gridCol w:w="1637"/>
        <w:gridCol w:w="1637"/>
        <w:gridCol w:w="1462"/>
        <w:gridCol w:w="2917"/>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916"/>
        <w:gridCol w:w="1637"/>
        <w:gridCol w:w="1637"/>
        <w:gridCol w:w="1462"/>
        <w:gridCol w:w="2917"/>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119,730,779.31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131,558,133.01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398,747,274.19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478,157,042.00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-16.61%</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-4,350,308.01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-30,548,999.89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85.76%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主要原因是本期定存利息减少所致</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1,189,589,631.52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1,276,435,895.41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-6.80%</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93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公司研发投入情况</w:t>
      </w:r>
    </w:p>
    <w:p>
      <w:pPr>
        <w:spacing w:line="240" w:lineRule="auto" w:before="7"/>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1,309,030,841.11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1,166,094,706.39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2.02%</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研发投入资本化的金额</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199,029,585.32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74,515,422.62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167.10%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8.81%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pStyle w:val="BodyText"/>
        <w:spacing w:line="240" w:lineRule="auto" w:before="49"/>
        <w:ind w:right="-16"/>
        <w:jc w:val="left"/>
      </w:pPr>
      <w:r>
        <w:rPr/>
        <w:t>研发投入总额占营业收入的比重较上年发生显著变化的原因</w:t>
      </w:r>
    </w:p>
    <w:p>
      <w:pPr>
        <w:pStyle w:val="BodyText"/>
        <w:spacing w:line="240" w:lineRule="auto" w:before="117"/>
        <w:ind w:right="-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6"/>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33" w:right="0"/>
        <w:jc w:val="left"/>
      </w:pPr>
      <w:r>
        <w:rPr/>
        <w:t>单位：元</w:t>
      </w:r>
    </w:p>
    <w:p>
      <w:pPr>
        <w:spacing w:after="0" w:line="240" w:lineRule="auto"/>
        <w:jc w:val="left"/>
        <w:sectPr>
          <w:type w:val="continuous"/>
          <w:pgSz w:w="11910" w:h="16840"/>
          <w:pgMar w:top="1060" w:bottom="1160" w:left="980" w:right="0"/>
          <w:cols w:num="2" w:equalWidth="0">
            <w:col w:w="9067" w:space="40"/>
            <w:col w:w="1823"/>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844"/>
        <w:gridCol w:w="1558"/>
        <w:gridCol w:w="4679"/>
        <w:gridCol w:w="1488"/>
      </w:tblGrid>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24"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实施进度</w:t>
            </w:r>
          </w:p>
        </w:tc>
      </w:tr>
      <w:tr>
        <w:trPr>
          <w:trHeight w:val="352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4" w:lineRule="auto"/>
              <w:ind w:left="24" w:right="189"/>
              <w:jc w:val="left"/>
              <w:rPr>
                <w:rFonts w:ascii="宋体" w:hAnsi="宋体" w:cs="宋体" w:eastAsia="宋体" w:hint="default"/>
                <w:sz w:val="18"/>
                <w:szCs w:val="18"/>
              </w:rPr>
            </w:pPr>
            <w:r>
              <w:rPr>
                <w:rFonts w:ascii="宋体" w:hAnsi="宋体" w:cs="宋体" w:eastAsia="宋体" w:hint="default"/>
                <w:sz w:val="18"/>
                <w:szCs w:val="18"/>
              </w:rPr>
              <w:t>自动驾驶地图更新及 应用开发项目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124,580,601.32</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自动驾驶地图更新及应用开发项目项目建设的基于高精度 地图的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HDMS </w:t>
            </w:r>
            <w:r>
              <w:rPr>
                <w:rFonts w:ascii="宋体" w:hAnsi="宋体" w:cs="宋体" w:eastAsia="宋体" w:hint="default"/>
                <w:sz w:val="18"/>
                <w:szCs w:val="18"/>
              </w:rPr>
              <w:t>智能驾驶信息数据库、服务平台、服务体 系，目的实现高精度地图数据的实时上传、分类、交互、 更新、发布等服务。该自动驾驶地图数据更新服务平台可 以提供多样化产品，如顾客产品（网络入口、在线编辑、 </w:t>
            </w:r>
            <w:r>
              <w:rPr>
                <w:rFonts w:ascii="Times New Roman" w:hAnsi="Times New Roman" w:cs="Times New Roman" w:eastAsia="Times New Roman" w:hint="default"/>
                <w:spacing w:val="-8"/>
                <w:w w:val="99"/>
                <w:sz w:val="18"/>
                <w:szCs w:val="18"/>
              </w:rPr>
              <w:t>SDK</w:t>
            </w:r>
            <w:r>
              <w:rPr>
                <w:rFonts w:ascii="宋体" w:hAnsi="宋体" w:cs="宋体" w:eastAsia="宋体" w:hint="default"/>
                <w:spacing w:val="-8"/>
                <w:w w:val="99"/>
                <w:sz w:val="18"/>
                <w:szCs w:val="18"/>
              </w:rPr>
              <w:t>）、服务产品（数据分发、图层定制等）、数据产品</w:t>
            </w:r>
          </w:p>
          <w:p>
            <w:pPr>
              <w:pStyle w:val="TableParagraph"/>
              <w:spacing w:line="314" w:lineRule="auto" w:before="1"/>
              <w:ind w:left="24" w:right="92"/>
              <w:jc w:val="both"/>
              <w:rPr>
                <w:rFonts w:ascii="宋体" w:hAnsi="宋体" w:cs="宋体" w:eastAsia="宋体" w:hint="default"/>
                <w:sz w:val="18"/>
                <w:szCs w:val="18"/>
              </w:rPr>
            </w:pPr>
            <w:r>
              <w:rPr>
                <w:rFonts w:ascii="宋体" w:hAnsi="宋体" w:cs="宋体" w:eastAsia="宋体" w:hint="default"/>
                <w:sz w:val="18"/>
                <w:szCs w:val="18"/>
              </w:rPr>
              <w:t>（道路模型、标线模型、对象模型）等，以提供多样化地 图数据的实时上传注入、分类、清洗、矢量化、差分等， 基于实时数据流的地图在线学习，最新</w:t>
            </w:r>
            <w:r>
              <w:rPr>
                <w:rFonts w:ascii="Times New Roman" w:hAnsi="Times New Roman" w:cs="Times New Roman" w:eastAsia="Times New Roman" w:hint="default"/>
                <w:sz w:val="18"/>
                <w:szCs w:val="18"/>
              </w:rPr>
              <w:t>/</w:t>
            </w:r>
            <w:r>
              <w:rPr>
                <w:rFonts w:ascii="宋体" w:hAnsi="宋体" w:cs="宋体" w:eastAsia="宋体" w:hint="default"/>
                <w:sz w:val="18"/>
                <w:szCs w:val="18"/>
              </w:rPr>
              <w:t>历史数据的实时下 发，以及私有数据的上传、编辑、分发等多功能服务，持 续保证高精度地图的准确性与实时性。</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项目开发中</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844"/>
        <w:gridCol w:w="1558"/>
        <w:gridCol w:w="4679"/>
        <w:gridCol w:w="1488"/>
      </w:tblGrid>
      <w:tr>
        <w:trPr>
          <w:trHeight w:val="289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 w:right="189"/>
              <w:jc w:val="left"/>
              <w:rPr>
                <w:rFonts w:ascii="宋体" w:hAnsi="宋体" w:cs="宋体" w:eastAsia="宋体" w:hint="default"/>
                <w:sz w:val="18"/>
                <w:szCs w:val="18"/>
              </w:rPr>
            </w:pPr>
            <w:r>
              <w:rPr>
                <w:rFonts w:ascii="宋体" w:hAnsi="宋体" w:cs="宋体" w:eastAsia="宋体" w:hint="default"/>
                <w:sz w:val="18"/>
                <w:szCs w:val="18"/>
              </w:rPr>
              <w:t>商用车联网信息服务 平台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0"/>
              <w:jc w:val="right"/>
              <w:rPr>
                <w:rFonts w:ascii="Times New Roman" w:hAnsi="Times New Roman" w:cs="Times New Roman" w:eastAsia="Times New Roman" w:hint="default"/>
                <w:sz w:val="18"/>
                <w:szCs w:val="18"/>
              </w:rPr>
            </w:pPr>
            <w:r>
              <w:rPr>
                <w:rFonts w:ascii="Times New Roman"/>
                <w:spacing w:val="-1"/>
                <w:sz w:val="18"/>
              </w:rPr>
              <w:t>45,851,910.83</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商用车联网信息服务平台项目结合北斗和云计算技术，以 车厂和物流企业作为开展高效物流服务的切入点，在物流 领域开展商用车联网关键共性技术研究，实现物流可追溯 和高效化，为物流产业提供源源不断的技术、产品和服 务，推动物流产业的发展。建设商用车车联网</w:t>
            </w:r>
            <w:r>
              <w:rPr>
                <w:rFonts w:ascii="Times New Roman" w:hAnsi="Times New Roman" w:cs="Times New Roman" w:eastAsia="Times New Roman" w:hint="default"/>
                <w:sz w:val="18"/>
                <w:szCs w:val="18"/>
              </w:rPr>
              <w:t>&amp;</w:t>
            </w:r>
            <w:r>
              <w:rPr>
                <w:rFonts w:ascii="宋体" w:hAnsi="宋体" w:cs="宋体" w:eastAsia="宋体" w:hint="default"/>
                <w:sz w:val="18"/>
                <w:szCs w:val="18"/>
              </w:rPr>
              <w:t>大数据平 台，助力整车厂全面提升经营效率。建设商用车智能化能 力平台，释放多场景的决策支持能力。建设行业级的智能 化基础设施运营能力，全面提升行业集约化、智能化和数 字化。</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6" w:right="0"/>
              <w:jc w:val="left"/>
              <w:rPr>
                <w:rFonts w:ascii="宋体" w:hAnsi="宋体" w:cs="宋体" w:eastAsia="宋体" w:hint="default"/>
                <w:sz w:val="18"/>
                <w:szCs w:val="18"/>
              </w:rPr>
            </w:pPr>
            <w:r>
              <w:rPr>
                <w:rFonts w:ascii="宋体" w:hAnsi="宋体" w:cs="宋体" w:eastAsia="宋体" w:hint="default"/>
                <w:sz w:val="18"/>
                <w:szCs w:val="18"/>
              </w:rPr>
              <w:t>项目开发中</w:t>
            </w:r>
          </w:p>
        </w:tc>
      </w:tr>
      <w:tr>
        <w:trPr>
          <w:trHeight w:val="196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位置大数据平台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20,975,371.10</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144"/>
              <w:jc w:val="left"/>
              <w:rPr>
                <w:rFonts w:ascii="宋体" w:hAnsi="宋体" w:cs="宋体" w:eastAsia="宋体" w:hint="default"/>
                <w:sz w:val="18"/>
                <w:szCs w:val="18"/>
              </w:rPr>
            </w:pPr>
            <w:r>
              <w:rPr>
                <w:rFonts w:ascii="宋体" w:hAnsi="宋体" w:cs="宋体" w:eastAsia="宋体" w:hint="default"/>
                <w:sz w:val="18"/>
                <w:szCs w:val="18"/>
              </w:rPr>
              <w:t>位置大数据平台建立了全流程的通用位置大数据解决方 案，形成一个在线的多租户大数据平台，为我们的客户及 合作伙伴实现位置大数据解决方案。分为</w:t>
            </w:r>
            <w:r>
              <w:rPr>
                <w:rFonts w:ascii="宋体" w:hAnsi="宋体" w:cs="宋体" w:eastAsia="宋体" w:hint="default"/>
                <w:spacing w:val="-44"/>
                <w:sz w:val="18"/>
                <w:szCs w:val="18"/>
              </w:rPr>
              <w:t> </w:t>
            </w:r>
            <w:r>
              <w:rPr>
                <w:rFonts w:ascii="Times New Roman" w:hAnsi="Times New Roman" w:cs="Times New Roman" w:eastAsia="Times New Roman" w:hint="default"/>
                <w:spacing w:val="-9"/>
                <w:sz w:val="18"/>
                <w:szCs w:val="18"/>
              </w:rPr>
              <w:t>DATA</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HIVE</w:t>
            </w:r>
            <w:r>
              <w:rPr>
                <w:rFonts w:ascii="宋体" w:hAnsi="宋体" w:cs="宋体" w:eastAsia="宋体" w:hint="default"/>
                <w:sz w:val="18"/>
                <w:szCs w:val="18"/>
              </w:rPr>
              <w:t>、 </w:t>
            </w:r>
            <w:r>
              <w:rPr>
                <w:rFonts w:ascii="Times New Roman" w:hAnsi="Times New Roman" w:cs="Times New Roman" w:eastAsia="Times New Roman" w:hint="default"/>
                <w:sz w:val="18"/>
                <w:szCs w:val="18"/>
              </w:rPr>
              <w:t>MineMap</w:t>
            </w:r>
            <w:r>
              <w:rPr>
                <w:rFonts w:ascii="宋体" w:hAnsi="宋体" w:cs="宋体" w:eastAsia="宋体" w:hint="default"/>
                <w:sz w:val="18"/>
                <w:szCs w:val="18"/>
              </w:rPr>
              <w:t>、</w:t>
            </w:r>
            <w:r>
              <w:rPr>
                <w:rFonts w:ascii="Times New Roman" w:hAnsi="Times New Roman" w:cs="Times New Roman" w:eastAsia="Times New Roman" w:hint="default"/>
                <w:sz w:val="18"/>
                <w:szCs w:val="18"/>
              </w:rPr>
              <w:t>MineLab</w:t>
            </w:r>
            <w:r>
              <w:rPr>
                <w:rFonts w:ascii="宋体" w:hAnsi="宋体" w:cs="宋体" w:eastAsia="宋体" w:hint="default"/>
                <w:sz w:val="18"/>
                <w:szCs w:val="18"/>
              </w:rPr>
              <w:t>、</w:t>
            </w:r>
            <w:r>
              <w:rPr>
                <w:rFonts w:ascii="Times New Roman" w:hAnsi="Times New Roman" w:cs="Times New Roman" w:eastAsia="Times New Roman" w:hint="default"/>
                <w:sz w:val="18"/>
                <w:szCs w:val="18"/>
              </w:rPr>
              <w:t>MineService</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四个模块，每个模块中 存在有多个子系统构成。为交通、交警、规划、保险等行 业提供解决方案，解决行业痛点。</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项目开发中</w:t>
            </w:r>
          </w:p>
        </w:tc>
      </w:tr>
      <w:tr>
        <w:trPr>
          <w:trHeight w:val="290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 w:right="189"/>
              <w:jc w:val="left"/>
              <w:rPr>
                <w:rFonts w:ascii="宋体" w:hAnsi="宋体" w:cs="宋体" w:eastAsia="宋体" w:hint="default"/>
                <w:sz w:val="18"/>
                <w:szCs w:val="18"/>
              </w:rPr>
            </w:pPr>
            <w:r>
              <w:rPr>
                <w:rFonts w:ascii="宋体" w:hAnsi="宋体" w:cs="宋体" w:eastAsia="宋体" w:hint="default"/>
                <w:sz w:val="18"/>
                <w:szCs w:val="18"/>
              </w:rPr>
              <w:t>交通信息处理与发布 子系统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7,621,702.07</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交通信息处理及大数据平台发布子系统是处理交通信息的 相关平台，着重针对路况品质、事件量进行改善提升；对 未来高精度地图支持高精度路况发布；同时辅助管理城市 交通，治理交通拥堵的大数据平台，旨在提升城市道路通 行效率，节省交通出行者的出行时间，最终实现交通安 全、有序、畅通的愿景。为交警指挥中心、秩序处用户提 供交通运行感知、管控、优化、调度、评价五位一体的解 决方案，有效治理城市交通拥堵，调控交通需求，服务公 众出行。</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主要模块已经完 成，个别子系统 还在研发中</w:t>
            </w:r>
          </w:p>
        </w:tc>
      </w:tr>
    </w:tbl>
    <w:p>
      <w:pPr>
        <w:pStyle w:val="BodyText"/>
        <w:spacing w:line="338" w:lineRule="auto" w:before="49"/>
        <w:ind w:right="1129"/>
        <w:jc w:val="left"/>
      </w:pPr>
      <w:r>
        <w:rPr/>
        <w:t>公司将内部研究开发项目的支出，区分为研究阶段支出和开发阶段支出。研究阶段的支出，于发生时计入当期损益。 </w:t>
      </w:r>
      <w:r>
        <w:rPr>
          <w:spacing w:val="-5"/>
        </w:rPr>
        <w:t>开发阶段的支出，同时满足下列条件的，才能予以资本化，即：完成该无形资产以使其能够使用或出售在技术上具有可行性；</w:t>
      </w:r>
      <w:r>
        <w:rPr>
          <w:spacing w:val="-78"/>
        </w:rPr>
        <w:t> </w:t>
      </w:r>
      <w:r>
        <w:rPr>
          <w:spacing w:val="-78"/>
        </w:rPr>
      </w:r>
      <w:r>
        <w:rPr>
          <w:spacing w:val="-2"/>
        </w:rPr>
        <w:t>具有完成该无形资产并使用或出售的意图；无形资产产生经济利益的方式，包括能够证明运用该无形资产生产的产品存在市</w:t>
      </w:r>
    </w:p>
    <w:p>
      <w:pPr>
        <w:pStyle w:val="BodyText"/>
        <w:spacing w:line="316" w:lineRule="auto" w:before="2"/>
        <w:ind w:right="1130"/>
        <w:jc w:val="both"/>
      </w:pPr>
      <w:r>
        <w:rPr>
          <w:spacing w:val="-2"/>
        </w:rPr>
        <w:t>场或无形资产自身存在市场，无形资产将在内部使用的，能够证明其有用性；有足够的技术、财务资源和其他资源支持，以</w:t>
      </w:r>
      <w:r>
        <w:rPr>
          <w:spacing w:val="-67"/>
        </w:rPr>
        <w:t> </w:t>
      </w:r>
      <w:r>
        <w:rPr>
          <w:spacing w:val="-67"/>
        </w:rPr>
      </w:r>
      <w:r>
        <w:rPr>
          <w:spacing w:val="-2"/>
        </w:rPr>
        <w:t>完成该无形资产的开发，并有能力使用或出售该无形资产；归属于该无形资产开发阶段的支出能够可靠地计量。不满足上述</w:t>
      </w:r>
      <w:r>
        <w:rPr>
          <w:spacing w:val="-63"/>
        </w:rPr>
        <w:t> </w:t>
      </w:r>
      <w:r>
        <w:rPr>
          <w:spacing w:val="-63"/>
        </w:rPr>
      </w:r>
      <w:r>
        <w:rPr/>
        <w:t>条件的开发支出计入当期损益。</w:t>
      </w:r>
    </w:p>
    <w:p>
      <w:pPr>
        <w:pStyle w:val="BodyText"/>
        <w:spacing w:line="316" w:lineRule="auto" w:before="59"/>
        <w:ind w:right="0"/>
        <w:jc w:val="left"/>
        <w:rPr>
          <w:rFonts w:ascii="宋体" w:hAnsi="宋体" w:cs="宋体" w:eastAsia="宋体" w:hint="default"/>
        </w:rPr>
      </w:pPr>
      <w:r>
        <w:rPr>
          <w:spacing w:val="-2"/>
        </w:rPr>
        <w:t>公司研究开发项目在满足上述条件，通过技术可行性分析，形成项目立项后，进入开发阶段。公司制定了《研发项目管理办</w:t>
      </w:r>
      <w:r>
        <w:rPr>
          <w:spacing w:val="-67"/>
        </w:rPr>
        <w:t> </w:t>
      </w:r>
      <w:r>
        <w:rPr>
          <w:spacing w:val="-67"/>
        </w:rPr>
      </w:r>
      <w:r>
        <w:rPr/>
        <w:t>法》，依据管理办法执行，对研究开发项目单独归集核算，确保资本化的准确。</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BodyText"/>
        <w:spacing w:line="240" w:lineRule="auto"/>
        <w:ind w:right="0"/>
        <w:jc w:val="left"/>
        <w:rPr>
          <w:rFonts w:ascii="宋体" w:hAnsi="宋体" w:cs="宋体" w:eastAsia="宋体" w:hint="default"/>
        </w:rPr>
      </w:pPr>
      <w:r>
        <w:rPr/>
        <w:t>研发投入资本化率大幅变动的原因及其合理性说明</w:t>
      </w:r>
      <w:r>
        <w:rPr>
          <w:rFonts w:ascii="宋体" w:hAnsi="宋体" w:cs="宋体" w:eastAsia="宋体" w:hint="default"/>
        </w:rPr>
        <w:t> </w:t>
      </w:r>
    </w:p>
    <w:p>
      <w:pPr>
        <w:pStyle w:val="BodyText"/>
        <w:spacing w:line="340" w:lineRule="auto" w:before="115"/>
        <w:ind w:right="1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本期研发投入资本化率大幅增长主要系自动驾驶地图更新及应用开发项目于本期进入开发阶段，公司持续研发投入所致。</w:t>
      </w:r>
    </w:p>
    <w:p>
      <w:pPr>
        <w:spacing w:line="240" w:lineRule="auto" w:before="4"/>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2" w:right="0"/>
              <w:jc w:val="left"/>
              <w:rPr>
                <w:rFonts w:ascii="Times New Roman" w:hAnsi="Times New Roman" w:cs="Times New Roman" w:eastAsia="Times New Roman" w:hint="default"/>
                <w:sz w:val="18"/>
                <w:szCs w:val="18"/>
              </w:rPr>
            </w:pPr>
            <w:r>
              <w:rPr>
                <w:rFonts w:ascii="Times New Roman"/>
                <w:sz w:val="18"/>
              </w:rPr>
              <w:t>2,364,895,946.07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9" w:right="0"/>
              <w:jc w:val="left"/>
              <w:rPr>
                <w:rFonts w:ascii="Times New Roman" w:hAnsi="Times New Roman" w:cs="Times New Roman" w:eastAsia="Times New Roman" w:hint="default"/>
                <w:sz w:val="18"/>
                <w:szCs w:val="18"/>
              </w:rPr>
            </w:pPr>
            <w:r>
              <w:rPr>
                <w:rFonts w:ascii="Times New Roman"/>
                <w:sz w:val="18"/>
              </w:rPr>
              <w:t>2,687,607,922.76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2,330,326,500.57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2,316,858,252.17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0.58%</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34,569,445.50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370,749,670.59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-90.68%</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3,033,855,133.84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2,650,886,856.07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3,713,045,406.03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3,583,112,384.89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3.63%</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-679,190,272.19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-932,225,528.82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27.14%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252,567,861.77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1,097,354,394.43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-76.98%</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111,405,113.83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181,458,108.60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-38.61%</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19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141,162,747.94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915,896,285.83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-84.59%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-502,923,467.86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391,824,242.49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-228.35%</w:t>
            </w:r>
          </w:p>
        </w:tc>
      </w:tr>
    </w:tbl>
    <w:p>
      <w:pPr>
        <w:pStyle w:val="BodyText"/>
        <w:spacing w:line="240" w:lineRule="auto" w:before="49"/>
        <w:ind w:right="0"/>
        <w:jc w:val="left"/>
      </w:pPr>
      <w:r>
        <w:rPr/>
        <w:t>相关数据同比发生重大变动的主要影响因素说明</w:t>
      </w:r>
    </w:p>
    <w:p>
      <w:pPr>
        <w:pStyle w:val="BodyText"/>
        <w:spacing w:line="321" w:lineRule="auto" w:before="117"/>
        <w:ind w:right="1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经营活动产生的现金流量净额同比下降，主要影响因素是销售商品、提供劳务收到现金减少以及购买商品、接受劳务支付 的现金增加共同影响所致； 筹资活动现金流入小计同比下降，主要影响因素是上期子公司吸收少数股东增资以及公司收到定向增发股票款所致； 筹资活动现金流出小计同比下降，主要影响因素是上期子公司支付回购股份款所致； 筹资活动产生的现金流量净额同比下降，主要影响因素是上期子公司吸收少数股东增资以及公司收到定向增发股票款所 致；</w:t>
      </w:r>
    </w:p>
    <w:p>
      <w:pPr>
        <w:pStyle w:val="BodyText"/>
        <w:spacing w:line="357" w:lineRule="auto" w:before="15"/>
        <w:ind w:right="3554"/>
        <w:jc w:val="left"/>
      </w:pPr>
      <w:r>
        <w:rPr/>
        <w:t>现金及现金等价物净增加额同比下降，主要影响因素是购建固定资产支付的现金增加所致。 报告期内公司经营活动产生的现金净流量与本年度净利润存在重大差异的原因说明</w:t>
      </w:r>
    </w:p>
    <w:p>
      <w:pPr>
        <w:pStyle w:val="BodyText"/>
        <w:spacing w:line="328" w:lineRule="auto" w:before="29"/>
        <w:ind w:right="1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报告期内公司经营活动产生的现金净流量与本年度净利润存在重大差异主要系本期处置子公司北京六分科技有限公司确认 投资收益所致。</w:t>
      </w:r>
    </w:p>
    <w:p>
      <w:pPr>
        <w:spacing w:line="240" w:lineRule="auto" w:before="2"/>
        <w:rPr>
          <w:rFonts w:ascii="宋体" w:hAnsi="宋体" w:cs="宋体" w:eastAsia="宋体" w:hint="default"/>
          <w:sz w:val="14"/>
          <w:szCs w:val="14"/>
        </w:rPr>
      </w:pPr>
    </w:p>
    <w:p>
      <w:pPr>
        <w:pStyle w:val="Heading2"/>
        <w:spacing w:line="240" w:lineRule="auto"/>
        <w:ind w:right="0"/>
        <w:jc w:val="left"/>
        <w:rPr>
          <w:b w:val="0"/>
          <w:bCs w:val="0"/>
        </w:rPr>
      </w:pPr>
      <w:r>
        <w:rPr/>
        <w:t>三、非主营业务分析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22"/>
        <w:gridCol w:w="1918"/>
        <w:gridCol w:w="1622"/>
        <w:gridCol w:w="2254"/>
        <w:gridCol w:w="2254"/>
      </w:tblGrid>
      <w:tr>
        <w:trPr>
          <w:trHeight w:val="401"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339"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255,541,154.63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96.76%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8"/>
              <w:jc w:val="both"/>
              <w:rPr>
                <w:rFonts w:ascii="宋体" w:hAnsi="宋体" w:cs="宋体" w:eastAsia="宋体" w:hint="default"/>
                <w:sz w:val="18"/>
                <w:szCs w:val="18"/>
              </w:rPr>
            </w:pPr>
            <w:r>
              <w:rPr>
                <w:rFonts w:ascii="宋体" w:hAnsi="宋体" w:cs="宋体" w:eastAsia="宋体" w:hint="default"/>
                <w:sz w:val="18"/>
                <w:szCs w:val="18"/>
              </w:rPr>
              <w:t>主要为处置股权投资取得的 投资收益、权益法核算的长 期股权投资收益和银行理财 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8"/>
              <w:jc w:val="both"/>
              <w:rPr>
                <w:rFonts w:ascii="宋体" w:hAnsi="宋体" w:cs="宋体" w:eastAsia="宋体" w:hint="default"/>
                <w:sz w:val="18"/>
                <w:szCs w:val="18"/>
              </w:rPr>
            </w:pPr>
            <w:r>
              <w:rPr>
                <w:rFonts w:ascii="宋体" w:hAnsi="宋体" w:cs="宋体" w:eastAsia="宋体" w:hint="default"/>
                <w:sz w:val="18"/>
                <w:szCs w:val="18"/>
              </w:rPr>
              <w:t>处置股权投资取得的投资收 益不具有持续性，权益法核 算的长期股权投资收益和银 行理财收益具有持续性</w:t>
            </w:r>
          </w:p>
        </w:tc>
      </w:tr>
      <w:tr>
        <w:trPr>
          <w:trHeight w:val="71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主要为交易性金融资产变动 损益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不具有持续性</w:t>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-13,004,475.55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主要为计提的坏账损失</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具有持续性</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522"/>
        <w:gridCol w:w="1918"/>
        <w:gridCol w:w="1622"/>
        <w:gridCol w:w="2254"/>
        <w:gridCol w:w="2254"/>
      </w:tblGrid>
      <w:tr>
        <w:trPr>
          <w:trHeight w:val="71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2,521,652.02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主要为与日常活动不相关的 政府补助收入</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具有持续性</w:t>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828,181.31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0.31%</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主要为对外捐赠支出</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不具有持续性</w:t>
            </w:r>
          </w:p>
        </w:tc>
      </w:tr>
      <w:tr>
        <w:trPr>
          <w:trHeight w:val="1025"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139,250,644.10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52.73%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8"/>
              <w:jc w:val="both"/>
              <w:rPr>
                <w:rFonts w:ascii="宋体" w:hAnsi="宋体" w:cs="宋体" w:eastAsia="宋体" w:hint="default"/>
                <w:sz w:val="18"/>
                <w:szCs w:val="18"/>
              </w:rPr>
            </w:pPr>
            <w:r>
              <w:rPr>
                <w:rFonts w:ascii="宋体" w:hAnsi="宋体" w:cs="宋体" w:eastAsia="宋体" w:hint="default"/>
                <w:sz w:val="18"/>
                <w:szCs w:val="18"/>
              </w:rPr>
              <w:t>主要为软件产品增值税即征 即退收入和与日常活动相关 的政府补助收入</w:t>
            </w:r>
            <w:r>
              <w:rPr>
                <w:rFonts w:ascii="宋体" w:hAnsi="宋体" w:cs="宋体" w:eastAsia="宋体"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具有持续性</w:t>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-719,981.28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主要为固定资产处置损失</w:t>
            </w:r>
            <w:r>
              <w:rPr>
                <w:rFonts w:ascii="宋体" w:hAnsi="宋体" w:cs="宋体" w:eastAsia="宋体"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不具有持续性</w:t>
            </w:r>
          </w:p>
        </w:tc>
      </w:tr>
    </w:tbl>
    <w:p>
      <w:pPr>
        <w:spacing w:line="240" w:lineRule="auto" w:before="3"/>
        <w:rPr>
          <w:rFonts w:ascii="宋体" w:hAnsi="宋体" w:cs="宋体" w:eastAsia="宋体" w:hint="default"/>
          <w:sz w:val="18"/>
          <w:szCs w:val="18"/>
        </w:rPr>
      </w:pPr>
    </w:p>
    <w:p>
      <w:pPr>
        <w:pStyle w:val="Heading2"/>
        <w:spacing w:line="367" w:lineRule="exact"/>
        <w:ind w:right="0"/>
        <w:jc w:val="left"/>
        <w:rPr>
          <w:b w:val="0"/>
          <w:bCs w:val="0"/>
        </w:rPr>
      </w:pPr>
      <w:r>
        <w:rPr/>
        <w:t>四、资产及负债状况分析</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1" w:hRule="exact"/>
        </w:trPr>
        <w:tc>
          <w:tcPr>
            <w:tcW w:w="1368" w:type="dxa"/>
            <w:vMerge/>
            <w:tcBorders>
              <w:left w:val="single" w:sz="4" w:space="0" w:color="000000"/>
              <w:right w:val="single" w:sz="4" w:space="0" w:color="000000"/>
            </w:tcBorders>
            <w:shd w:val="clear" w:color="auto" w:fill="D2D2D2"/>
          </w:tcPr>
          <w:p>
            <w:pP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2"/>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2"/>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1,722,904,575.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2,304,457,914.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719,243,134.5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439,766,922.98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主要原因是应收销售款增加所致；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87,818,234.88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77,313,983.10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1,654,737,548.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1,298,278,056.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656,703,780.6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654,356,353.55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89,983,311.36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63"/>
              <w:jc w:val="left"/>
              <w:rPr>
                <w:rFonts w:ascii="宋体" w:hAnsi="宋体" w:cs="宋体" w:eastAsia="宋体" w:hint="default"/>
                <w:sz w:val="18"/>
                <w:szCs w:val="18"/>
              </w:rPr>
            </w:pPr>
            <w:r>
              <w:rPr>
                <w:rFonts w:ascii="宋体" w:hAnsi="宋体" w:cs="宋体" w:eastAsia="宋体" w:hint="default"/>
                <w:sz w:val="18"/>
                <w:szCs w:val="18"/>
              </w:rPr>
              <w:t>主要原因是本期增加银行借款所 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39,710,400.50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75,317,126.98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主要原因是本期银行承兑汇票到期 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63"/>
              <w:jc w:val="left"/>
              <w:rPr>
                <w:rFonts w:ascii="宋体" w:hAnsi="宋体" w:cs="宋体" w:eastAsia="宋体" w:hint="default"/>
                <w:sz w:val="18"/>
                <w:szCs w:val="18"/>
              </w:rPr>
            </w:pPr>
            <w:r>
              <w:rPr>
                <w:rFonts w:ascii="宋体" w:hAnsi="宋体" w:cs="宋体" w:eastAsia="宋体" w:hint="default"/>
                <w:sz w:val="18"/>
                <w:szCs w:val="18"/>
              </w:rPr>
              <w:t>主要原因是公司转让股权投资所 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87,501,580.75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462,164,724.00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主要原因是上期购买银行理财产品 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210,653,245.8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33,821,738.51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主要原因是本期加大自动驾驶地 图、商用车联网、大数据平台等项 目的开发投入所致；</w:t>
            </w:r>
          </w:p>
        </w:tc>
      </w:tr>
    </w:tbl>
    <w:p>
      <w:pPr>
        <w:spacing w:after="0" w:line="316"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25,838,446.16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43,427,296.67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主要原因是可抵扣时间性差异减少 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29,928,239.11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83"/>
              <w:jc w:val="left"/>
              <w:rPr>
                <w:rFonts w:ascii="宋体" w:hAnsi="宋体" w:cs="宋体" w:eastAsia="宋体" w:hint="default"/>
                <w:sz w:val="18"/>
                <w:szCs w:val="18"/>
              </w:rPr>
            </w:pPr>
            <w:r>
              <w:rPr>
                <w:rFonts w:ascii="宋体" w:hAnsi="宋体" w:cs="宋体" w:eastAsia="宋体" w:hint="default"/>
                <w:sz w:val="18"/>
                <w:szCs w:val="18"/>
              </w:rPr>
              <w:t>主要原因是本期支付杰发科技股权 转让对价所致；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10,614,650.15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25,003,958.62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主要原因是本期银行承兑汇票减少 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216,094,388.7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131,008,996.68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83"/>
              <w:jc w:val="left"/>
              <w:rPr>
                <w:rFonts w:ascii="宋体" w:hAnsi="宋体" w:cs="宋体" w:eastAsia="宋体" w:hint="default"/>
                <w:sz w:val="18"/>
                <w:szCs w:val="18"/>
              </w:rPr>
            </w:pPr>
            <w:r>
              <w:rPr>
                <w:rFonts w:ascii="宋体" w:hAnsi="宋体" w:cs="宋体" w:eastAsia="宋体" w:hint="default"/>
                <w:sz w:val="18"/>
                <w:szCs w:val="18"/>
              </w:rPr>
              <w:t>主要原因是本期部分项目尚未完成 结算所致；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17,907,979.12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48,520,992.21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主要原因是上期预收款在本期实现 销售确认收入所致；</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42,123,533.40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116,520,154.92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3" w:right="183"/>
              <w:jc w:val="left"/>
              <w:rPr>
                <w:rFonts w:ascii="宋体" w:hAnsi="宋体" w:cs="宋体" w:eastAsia="宋体" w:hint="default"/>
                <w:sz w:val="18"/>
                <w:szCs w:val="18"/>
              </w:rPr>
            </w:pPr>
            <w:r>
              <w:rPr>
                <w:rFonts w:ascii="宋体" w:hAnsi="宋体" w:cs="宋体" w:eastAsia="宋体" w:hint="default"/>
                <w:sz w:val="18"/>
                <w:szCs w:val="18"/>
              </w:rPr>
              <w:t>主要原因是应交企业所得税减少所 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329,347,524.7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1,014,734,213.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主要原因是本期支付土地转让款所 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1,191,100.00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50,000,000.00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83"/>
              <w:jc w:val="left"/>
              <w:rPr>
                <w:rFonts w:ascii="宋体" w:hAnsi="宋体" w:cs="宋体" w:eastAsia="宋体" w:hint="default"/>
                <w:sz w:val="18"/>
                <w:szCs w:val="18"/>
              </w:rPr>
            </w:pPr>
            <w:r>
              <w:rPr>
                <w:rFonts w:ascii="宋体" w:hAnsi="宋体" w:cs="宋体" w:eastAsia="宋体" w:hint="default"/>
                <w:sz w:val="18"/>
                <w:szCs w:val="18"/>
              </w:rPr>
              <w:t>主要原因是本期回售部分公司债券 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17,723,408.48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35,970,463.17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主要原因是本期政府补助结转至损 益所致；</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1,961,563,170.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1,309,470,982.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83"/>
              <w:jc w:val="left"/>
              <w:rPr>
                <w:rFonts w:ascii="宋体" w:hAnsi="宋体" w:cs="宋体" w:eastAsia="宋体" w:hint="default"/>
                <w:sz w:val="18"/>
                <w:szCs w:val="18"/>
              </w:rPr>
            </w:pPr>
            <w:r>
              <w:rPr>
                <w:rFonts w:ascii="宋体" w:hAnsi="宋体" w:cs="宋体" w:eastAsia="宋体" w:hint="default"/>
                <w:sz w:val="18"/>
                <w:szCs w:val="18"/>
              </w:rPr>
              <w:t>主要原因是本期资本公积转增股本 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204,773,699.9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359,752,548.89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主要原因是本期限制性股票部分到 期解锁所致；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73,874,571.05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48,014,216.49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83"/>
              <w:jc w:val="left"/>
              <w:rPr>
                <w:rFonts w:ascii="宋体" w:hAnsi="宋体" w:cs="宋体" w:eastAsia="宋体" w:hint="default"/>
                <w:sz w:val="18"/>
                <w:szCs w:val="18"/>
              </w:rPr>
            </w:pPr>
            <w:r>
              <w:rPr>
                <w:rFonts w:ascii="宋体" w:hAnsi="宋体" w:cs="宋体" w:eastAsia="宋体" w:hint="default"/>
                <w:sz w:val="18"/>
                <w:szCs w:val="18"/>
              </w:rPr>
              <w:t>主要原因是其他权益工具投资公允 价值变动所致。</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092"/>
        <w:gridCol w:w="1092"/>
        <w:gridCol w:w="1093"/>
        <w:gridCol w:w="1090"/>
        <w:gridCol w:w="1092"/>
        <w:gridCol w:w="1092"/>
        <w:gridCol w:w="1090"/>
        <w:gridCol w:w="965"/>
        <w:gridCol w:w="962"/>
      </w:tblGrid>
      <w:tr>
        <w:trPr>
          <w:trHeight w:val="1028"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57"/>
              <w:jc w:val="right"/>
              <w:rPr>
                <w:rFonts w:ascii="宋体" w:hAnsi="宋体" w:cs="宋体" w:eastAsia="宋体" w:hint="default"/>
                <w:sz w:val="18"/>
                <w:szCs w:val="18"/>
              </w:rPr>
            </w:pPr>
            <w:r>
              <w:rPr>
                <w:rFonts w:ascii="宋体" w:hAnsi="宋体" w:cs="宋体" w:eastAsia="宋体" w:hint="default"/>
                <w:sz w:val="18"/>
                <w:szCs w:val="18"/>
              </w:rPr>
              <w:t>项目</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1"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6"/>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59" w:right="89" w:hanging="269"/>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51" w:right="89"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51" w:right="86"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0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36"/>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476"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7"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 资产（不含 衍生金融资 产）</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 产</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092"/>
        <w:gridCol w:w="1092"/>
        <w:gridCol w:w="1093"/>
        <w:gridCol w:w="1090"/>
        <w:gridCol w:w="1092"/>
        <w:gridCol w:w="1092"/>
        <w:gridCol w:w="1090"/>
        <w:gridCol w:w="965"/>
        <w:gridCol w:w="962"/>
      </w:tblGrid>
      <w:tr>
        <w:trPr>
          <w:trHeight w:val="713"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其他债权投 资</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 具投资</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99,386,899.10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13,214,396.42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47,647,434.70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12,473,863.06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-4,390.92</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125,070,767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r>
      <w:tr>
        <w:trPr>
          <w:trHeight w:val="713"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其他非流动 金融资产</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265,416,570.7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10,464,300.00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84,000,000.00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1,208,776.1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213,089,646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.91</w:t>
            </w:r>
          </w:p>
        </w:tc>
      </w:tr>
      <w:tr>
        <w:trPr>
          <w:trHeight w:val="715"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56"/>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364,803,469.8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33,214,396.42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47,647,434.70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22,938,163.06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84,000,000.00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1,204,385.2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338,160,414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.57</w:t>
            </w:r>
          </w:p>
        </w:tc>
      </w:tr>
      <w:tr>
        <w:trPr>
          <w:trHeight w:val="713"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投资性房地 产</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156"/>
              <w:jc w:val="left"/>
              <w:rPr>
                <w:rFonts w:ascii="宋体" w:hAnsi="宋体" w:cs="宋体" w:eastAsia="宋体" w:hint="default"/>
                <w:sz w:val="18"/>
                <w:szCs w:val="18"/>
              </w:rPr>
            </w:pPr>
            <w:r>
              <w:rPr>
                <w:rFonts w:ascii="宋体" w:hAnsi="宋体" w:cs="宋体" w:eastAsia="宋体" w:hint="default"/>
                <w:sz w:val="18"/>
                <w:szCs w:val="18"/>
              </w:rPr>
              <w:t>生产性生物 资产</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364,803,469.8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33,214,396.42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47,647,434.70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22,938,163.06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84,000,000.00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1,204,385.2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338,160,414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.57</w:t>
            </w:r>
          </w:p>
        </w:tc>
      </w:tr>
      <w:tr>
        <w:trPr>
          <w:trHeight w:val="403"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29,928,239.11</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29,928,239.11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60" w:lineRule="auto" w:before="49"/>
        <w:ind w:right="8954"/>
        <w:jc w:val="left"/>
      </w:pPr>
      <w:r>
        <w:rPr/>
        <w:t>其他变动的内容 其他变动为汇率变动。</w:t>
      </w:r>
    </w:p>
    <w:p>
      <w:pPr>
        <w:pStyle w:val="BodyText"/>
        <w:spacing w:line="240" w:lineRule="auto" w:before="27"/>
        <w:ind w:right="0"/>
        <w:jc w:val="left"/>
      </w:pPr>
      <w:r>
        <w:rPr/>
        <w:t>报告期内公司主要资产计量属性是否发生重大变化</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304"/>
        <w:jc w:val="left"/>
      </w:pPr>
      <w:r>
        <w:rPr/>
        <w:t>截至报告期末，使用受限货币资金为</w:t>
      </w:r>
      <w:r>
        <w:rPr>
          <w:rFonts w:ascii="Times New Roman" w:hAnsi="Times New Roman" w:cs="Times New Roman" w:eastAsia="Times New Roman" w:hint="default"/>
        </w:rPr>
        <w:t>3</w:t>
      </w:r>
      <w:r>
        <w:rPr/>
        <w:t>个月以上定期存款</w:t>
      </w:r>
      <w:r>
        <w:rPr>
          <w:rFonts w:ascii="Times New Roman" w:hAnsi="Times New Roman" w:cs="Times New Roman" w:eastAsia="Times New Roman" w:hint="default"/>
        </w:rPr>
        <w:t>115,155,865.60</w:t>
      </w:r>
      <w:r>
        <w:rPr/>
        <w:t>元、应付票据保证金及履约保函保证</w:t>
      </w:r>
      <w:r>
        <w:rPr>
          <w:rFonts w:ascii="Times New Roman" w:hAnsi="Times New Roman" w:cs="Times New Roman" w:eastAsia="Times New Roman" w:hint="default"/>
        </w:rPr>
        <w:t>28,872,425.58 </w:t>
      </w:r>
      <w:r>
        <w:rPr/>
        <w:t>元。</w:t>
      </w:r>
    </w:p>
    <w:p>
      <w:pPr>
        <w:spacing w:line="240" w:lineRule="auto" w:before="13"/>
        <w:rPr>
          <w:rFonts w:ascii="宋体" w:hAnsi="宋体" w:cs="宋体" w:eastAsia="宋体" w:hint="default"/>
          <w:sz w:val="15"/>
          <w:szCs w:val="15"/>
        </w:rPr>
      </w:pPr>
    </w:p>
    <w:p>
      <w:pPr>
        <w:pStyle w:val="Heading2"/>
        <w:spacing w:line="240" w:lineRule="auto"/>
        <w:ind w:right="0"/>
        <w:jc w:val="left"/>
        <w:rPr>
          <w:b w:val="0"/>
          <w:bCs w:val="0"/>
        </w:rPr>
      </w:pPr>
      <w:r>
        <w:rPr/>
        <w:t>五、投资状况分析</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344,197,932.85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205,918,692.72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67.15%</w:t>
            </w:r>
          </w:p>
        </w:tc>
      </w:tr>
    </w:tbl>
    <w:p>
      <w:pPr>
        <w:pStyle w:val="BodyText"/>
        <w:spacing w:line="240" w:lineRule="auto" w:before="49"/>
        <w:ind w:right="0"/>
        <w:jc w:val="left"/>
      </w:pPr>
      <w:r>
        <w:rPr/>
        <w:t>注：本报告期投资额大幅增加，主要原因是本期投资设立合肥第二总部所致。</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88"/>
        <w:gridCol w:w="895"/>
        <w:gridCol w:w="1088"/>
        <w:gridCol w:w="1181"/>
        <w:gridCol w:w="1193"/>
        <w:gridCol w:w="955"/>
        <w:gridCol w:w="958"/>
        <w:gridCol w:w="956"/>
        <w:gridCol w:w="955"/>
      </w:tblGrid>
      <w:tr>
        <w:trPr>
          <w:trHeight w:val="102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88" w:right="87"/>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 w:right="43"/>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04" w:right="19"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386"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 w:right="0"/>
              <w:jc w:val="left"/>
              <w:rPr>
                <w:rFonts w:ascii="Times New Roman" w:hAnsi="Times New Roman" w:cs="Times New Roman" w:eastAsia="Times New Roman" w:hint="default"/>
                <w:sz w:val="18"/>
                <w:szCs w:val="18"/>
              </w:rPr>
            </w:pPr>
            <w:r>
              <w:rPr>
                <w:rFonts w:ascii="Times New Roman"/>
                <w:sz w:val="18"/>
              </w:rPr>
              <w:t>364,803,46</w:t>
            </w:r>
          </w:p>
          <w:p>
            <w:pPr>
              <w:pStyle w:val="TableParagraph"/>
              <w:spacing w:line="240" w:lineRule="auto" w:before="105"/>
              <w:ind w:left="549" w:right="0"/>
              <w:jc w:val="left"/>
              <w:rPr>
                <w:rFonts w:ascii="Times New Roman" w:hAnsi="Times New Roman" w:cs="Times New Roman" w:eastAsia="Times New Roman" w:hint="default"/>
                <w:sz w:val="18"/>
                <w:szCs w:val="18"/>
              </w:rPr>
            </w:pPr>
            <w:r>
              <w:rPr>
                <w:rFonts w:ascii="Times New Roman"/>
                <w:sz w:val="18"/>
              </w:rPr>
              <w:t>9.86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33,214,396.4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47,647,434.70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22,938,163.06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84,000,000.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6,372,847.0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338,160,414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364,803,46</w:t>
            </w:r>
          </w:p>
          <w:p>
            <w:pPr>
              <w:pStyle w:val="TableParagraph"/>
              <w:spacing w:line="240" w:lineRule="auto" w:before="102"/>
              <w:ind w:left="549" w:right="0"/>
              <w:jc w:val="left"/>
              <w:rPr>
                <w:rFonts w:ascii="Times New Roman" w:hAnsi="Times New Roman" w:cs="Times New Roman" w:eastAsia="Times New Roman" w:hint="default"/>
                <w:sz w:val="18"/>
                <w:szCs w:val="18"/>
              </w:rPr>
            </w:pPr>
            <w:r>
              <w:rPr>
                <w:rFonts w:ascii="Times New Roman"/>
                <w:sz w:val="18"/>
              </w:rPr>
              <w:t>9.86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33,214,396.4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47,647,434.70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22,938,163.06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6,372,847.0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338,160,414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.57</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1"/>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2"/>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254"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9"/>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70"/>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337"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07"/>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137,867.88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136,306.84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1,561.04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9" w:right="70"/>
              <w:jc w:val="center"/>
              <w:rPr>
                <w:rFonts w:ascii="宋体" w:hAnsi="宋体" w:cs="宋体" w:eastAsia="宋体" w:hint="default"/>
                <w:sz w:val="18"/>
                <w:szCs w:val="18"/>
              </w:rPr>
            </w:pPr>
            <w:r>
              <w:rPr>
                <w:rFonts w:ascii="宋体" w:hAnsi="宋体" w:cs="宋体" w:eastAsia="宋体" w:hint="default"/>
                <w:sz w:val="18"/>
                <w:szCs w:val="18"/>
              </w:rPr>
              <w:t>存放在公 司的募集 资金专户 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1,561.04</w:t>
            </w:r>
          </w:p>
        </w:tc>
      </w:tr>
      <w:tr>
        <w:trPr>
          <w:trHeight w:val="71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3" w:right="107"/>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332,709.57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2,992.82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292,867.15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39,842.42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39,842.42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38"/>
              <w:jc w:val="righ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7"/>
              <w:jc w:val="left"/>
              <w:rPr>
                <w:rFonts w:ascii="宋体" w:hAnsi="宋体" w:cs="宋体" w:eastAsia="宋体" w:hint="default"/>
                <w:sz w:val="18"/>
                <w:szCs w:val="18"/>
              </w:rPr>
            </w:pPr>
            <w:r>
              <w:rPr>
                <w:rFonts w:ascii="宋体" w:hAnsi="宋体" w:cs="宋体" w:eastAsia="宋体" w:hint="default"/>
                <w:sz w:val="18"/>
                <w:szCs w:val="18"/>
              </w:rPr>
              <w:t>公开发行 公司债券</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38"/>
              <w:jc w:val="righ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475,577.45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3,042.87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434,173.99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39,842.42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39,842.42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1,561.04</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71"/>
              <w:jc w:val="righ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1,561.04</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7"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年首次公开发行股票募集资金总体使用情况说明</w:t>
            </w:r>
          </w:p>
          <w:p>
            <w:pPr>
              <w:pStyle w:val="TableParagraph"/>
              <w:spacing w:line="300" w:lineRule="auto" w:before="103"/>
              <w:ind w:left="24" w:right="-5"/>
              <w:jc w:val="left"/>
              <w:rPr>
                <w:rFonts w:ascii="宋体" w:hAnsi="宋体" w:cs="宋体" w:eastAsia="宋体" w:hint="default"/>
                <w:sz w:val="18"/>
                <w:szCs w:val="18"/>
              </w:rPr>
            </w:pPr>
            <w:r>
              <w:rPr>
                <w:rFonts w:ascii="宋体" w:hAnsi="宋体" w:cs="宋体" w:eastAsia="宋体" w:hint="default"/>
                <w:sz w:val="18"/>
                <w:szCs w:val="18"/>
              </w:rPr>
              <w:t>经中国证监会以</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[2010]438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文《关于核准北京四维图新科技股份有限公司首次公开发行股票的通知》核准，公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司与主承销商中信建投证券采用网下询价配售与网上资金申购定价发行相结合的方式，向社会公开发行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r>
    </w:tbl>
    <w:p>
      <w:pPr>
        <w:spacing w:after="0" w:line="30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4"/>
        <w:ind w:left="215" w:right="0"/>
        <w:jc w:val="both"/>
      </w:pPr>
      <w:r>
        <w:rPr/>
        <w:pict>
          <v:group style="position:absolute;margin-left:58.080002pt;margin-top:.931704pt;width:478.8pt;height:417.2pt;mso-position-horizontal-relative:page;mso-position-vertical-relative:paragraph;z-index:-1405432" coordorigin="1162,19" coordsize="9576,8344">
            <v:group style="position:absolute;left:1171;top:28;width:9557;height:2" coordorigin="1171,28" coordsize="9557,2">
              <v:shape style="position:absolute;left:1171;top:28;width:9557;height:2" coordorigin="1171,28" coordsize="9557,0" path="m1171,28l10728,28e" filled="false" stroked="true" strokeweight=".48pt" strokecolor="#000000">
                <v:path arrowok="t"/>
              </v:shape>
            </v:group>
            <v:group style="position:absolute;left:1166;top:23;width:2;height:8335" coordorigin="1166,23" coordsize="2,8335">
              <v:shape style="position:absolute;left:1166;top:23;width:2;height:8335" coordorigin="1166,23" coordsize="0,8335" path="m1166,23l1166,8358e" filled="false" stroked="true" strokeweight=".48pt" strokecolor="#000000">
                <v:path arrowok="t"/>
              </v:shape>
            </v:group>
            <v:group style="position:absolute;left:1171;top:8353;width:9557;height:2" coordorigin="1171,8353" coordsize="9557,2">
              <v:shape style="position:absolute;left:1171;top:8353;width:9557;height:2" coordorigin="1171,8353" coordsize="9557,0" path="m1171,8353l10728,8353e" filled="false" stroked="true" strokeweight=".48001pt" strokecolor="#000000">
                <v:path arrowok="t"/>
              </v:shape>
            </v:group>
            <v:group style="position:absolute;left:10732;top:23;width:2;height:8335" coordorigin="10732,23" coordsize="2,8335">
              <v:shape style="position:absolute;left:10732;top:23;width:2;height:8335" coordorigin="10732,23" coordsize="0,8335" path="m10732,23l10732,8358e" filled="false" stroked="true" strokeweight=".48004pt" strokecolor="#000000">
                <v:path arrowok="t"/>
              </v:shape>
            </v:group>
            <w10:wrap type="none"/>
          </v:group>
        </w:pict>
      </w:r>
      <w:r>
        <w:rPr/>
        <w:t>每股面值人民币</w:t>
      </w:r>
      <w:r>
        <w:rPr>
          <w:spacing w:val="-47"/>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元，发行价格为每股</w:t>
      </w:r>
      <w:r>
        <w:rPr>
          <w:spacing w:val="-47"/>
        </w:rPr>
        <w:t> </w:t>
      </w:r>
      <w:r>
        <w:rPr>
          <w:rFonts w:ascii="Times New Roman" w:hAnsi="Times New Roman" w:cs="Times New Roman" w:eastAsia="Times New Roman" w:hint="default"/>
        </w:rPr>
        <w:t>25.60</w:t>
      </w:r>
      <w:r>
        <w:rPr>
          <w:rFonts w:ascii="Times New Roman" w:hAnsi="Times New Roman" w:cs="Times New Roman" w:eastAsia="Times New Roman" w:hint="default"/>
          <w:spacing w:val="-1"/>
        </w:rPr>
        <w:t> </w:t>
      </w:r>
      <w:r>
        <w:rPr>
          <w:spacing w:val="-3"/>
        </w:rPr>
        <w:t>元。截至</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日，公司实际已向社会公开发行</w:t>
      </w:r>
      <w:r>
        <w:rPr>
          <w:spacing w:val="-47"/>
        </w:rPr>
        <w:t> </w:t>
      </w:r>
      <w:r>
        <w:rPr>
          <w:rFonts w:ascii="Times New Roman" w:hAnsi="Times New Roman" w:cs="Times New Roman" w:eastAsia="Times New Roman" w:hint="default"/>
        </w:rPr>
        <w:t>5,600</w:t>
      </w:r>
      <w:r>
        <w:rPr>
          <w:rFonts w:ascii="Times New Roman" w:hAnsi="Times New Roman" w:cs="Times New Roman" w:eastAsia="Times New Roman" w:hint="default"/>
          <w:spacing w:val="-1"/>
        </w:rPr>
        <w:t> </w:t>
      </w:r>
      <w:r>
        <w:rPr/>
        <w:t>万股</w:t>
      </w:r>
      <w:r>
        <w:rPr>
          <w:spacing w:val="-48"/>
        </w:rPr>
        <w:t> </w:t>
      </w:r>
      <w:r>
        <w:rPr>
          <w:rFonts w:ascii="Times New Roman" w:hAnsi="Times New Roman" w:cs="Times New Roman" w:eastAsia="Times New Roman" w:hint="default"/>
        </w:rPr>
        <w:t>A</w:t>
      </w:r>
      <w:r>
        <w:rPr>
          <w:rFonts w:ascii="Times New Roman" w:hAnsi="Times New Roman" w:cs="Times New Roman" w:eastAsia="Times New Roman" w:hint="default"/>
          <w:spacing w:val="-5"/>
        </w:rPr>
        <w:t> </w:t>
      </w:r>
      <w:r>
        <w:rPr/>
        <w:t>股，</w:t>
      </w:r>
    </w:p>
    <w:p>
      <w:pPr>
        <w:pStyle w:val="BodyText"/>
        <w:spacing w:line="240" w:lineRule="auto" w:before="63"/>
        <w:ind w:left="215" w:right="0"/>
        <w:jc w:val="both"/>
        <w:rPr>
          <w:rFonts w:ascii="Times New Roman" w:hAnsi="Times New Roman" w:cs="Times New Roman" w:eastAsia="Times New Roman" w:hint="default"/>
        </w:rPr>
      </w:pPr>
      <w:r>
        <w:rPr/>
        <w:t>募集资金总额</w:t>
      </w:r>
      <w:r>
        <w:rPr>
          <w:spacing w:val="-38"/>
        </w:rPr>
        <w:t> </w:t>
      </w:r>
      <w:r>
        <w:rPr>
          <w:rFonts w:ascii="Times New Roman" w:hAnsi="Times New Roman" w:cs="Times New Roman" w:eastAsia="Times New Roman" w:hint="default"/>
        </w:rPr>
        <w:t>143,360.00</w:t>
      </w:r>
      <w:r>
        <w:rPr>
          <w:rFonts w:ascii="Times New Roman" w:hAnsi="Times New Roman" w:cs="Times New Roman" w:eastAsia="Times New Roman" w:hint="default"/>
          <w:spacing w:val="9"/>
        </w:rPr>
        <w:t> </w:t>
      </w:r>
      <w:r>
        <w:rPr/>
        <w:t>万元，扣除发行费用</w:t>
      </w:r>
      <w:r>
        <w:rPr>
          <w:spacing w:val="-38"/>
        </w:rPr>
        <w:t> </w:t>
      </w:r>
      <w:r>
        <w:rPr>
          <w:rFonts w:ascii="Times New Roman" w:hAnsi="Times New Roman" w:cs="Times New Roman" w:eastAsia="Times New Roman" w:hint="default"/>
        </w:rPr>
        <w:t>6,582.70</w:t>
      </w:r>
      <w:r>
        <w:rPr>
          <w:rFonts w:ascii="Times New Roman" w:hAnsi="Times New Roman" w:cs="Times New Roman" w:eastAsia="Times New Roman" w:hint="default"/>
          <w:spacing w:val="9"/>
        </w:rPr>
        <w:t> </w:t>
      </w:r>
      <w:r>
        <w:rPr/>
        <w:t>万元，实际募集资金净额为</w:t>
      </w:r>
      <w:r>
        <w:rPr>
          <w:spacing w:val="-38"/>
        </w:rPr>
        <w:t> </w:t>
      </w:r>
      <w:r>
        <w:rPr>
          <w:rFonts w:ascii="Times New Roman" w:hAnsi="Times New Roman" w:cs="Times New Roman" w:eastAsia="Times New Roman" w:hint="default"/>
        </w:rPr>
        <w:t>136,777.30</w:t>
      </w:r>
      <w:r>
        <w:rPr>
          <w:rFonts w:ascii="Times New Roman" w:hAnsi="Times New Roman" w:cs="Times New Roman" w:eastAsia="Times New Roman" w:hint="default"/>
          <w:spacing w:val="9"/>
        </w:rPr>
        <w:t> </w:t>
      </w:r>
      <w:r>
        <w:rPr/>
        <w:t>万元，已于</w:t>
      </w:r>
      <w:r>
        <w:rPr>
          <w:spacing w:val="-3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38"/>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38"/>
        </w:rPr>
        <w:t> </w:t>
      </w:r>
      <w:r>
        <w:rPr>
          <w:rFonts w:ascii="Times New Roman" w:hAnsi="Times New Roman" w:cs="Times New Roman" w:eastAsia="Times New Roman" w:hint="default"/>
        </w:rPr>
        <w:t>7</w:t>
      </w:r>
    </w:p>
    <w:p>
      <w:pPr>
        <w:pStyle w:val="BodyText"/>
        <w:spacing w:line="300" w:lineRule="auto" w:before="63"/>
        <w:ind w:left="215" w:right="1195"/>
        <w:jc w:val="both"/>
      </w:pPr>
      <w:r>
        <w:rPr>
          <w:spacing w:val="-2"/>
        </w:rPr>
        <w:t>日汇入本公司在相关银行开设的募集资金账户中。根据财政部《关于执行企业会计准则的上市公司和非上市企业做好</w:t>
      </w:r>
      <w:r>
        <w:rPr>
          <w:spacing w:val="-2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spacing w:val="-5"/>
        </w:rPr>
        <w:t>年年报工作的通知》（财会</w:t>
      </w:r>
      <w:r>
        <w:rPr>
          <w:rFonts w:ascii="Times New Roman" w:hAnsi="Times New Roman" w:cs="Times New Roman" w:eastAsia="Times New Roman" w:hint="default"/>
          <w:spacing w:val="-5"/>
        </w:rPr>
        <w:t>[2010]25</w:t>
      </w:r>
      <w:r>
        <w:rPr>
          <w:rFonts w:ascii="Times New Roman" w:hAnsi="Times New Roman" w:cs="Times New Roman" w:eastAsia="Times New Roman" w:hint="default"/>
          <w:spacing w:val="10"/>
        </w:rPr>
        <w:t> </w:t>
      </w:r>
      <w:r>
        <w:rPr>
          <w:spacing w:val="-1"/>
        </w:rPr>
        <w:t>号）的精神，公司于</w:t>
      </w:r>
      <w:r>
        <w:rPr>
          <w:spacing w:val="-41"/>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5"/>
        </w:rPr>
        <w:t> </w:t>
      </w:r>
      <w:r>
        <w:rPr>
          <w:spacing w:val="-1"/>
        </w:rPr>
        <w:t>年末对发行费用进行了重新确认，将广告费、路演费、上市</w:t>
      </w:r>
      <w:r>
        <w:rPr>
          <w:spacing w:val="-87"/>
        </w:rPr>
        <w:t> </w:t>
      </w:r>
      <w:r>
        <w:rPr>
          <w:spacing w:val="-87"/>
        </w:rPr>
      </w:r>
      <w:r>
        <w:rPr/>
        <w:t>酒会等费用</w:t>
      </w:r>
      <w:r>
        <w:rPr>
          <w:spacing w:val="-55"/>
        </w:rPr>
        <w:t> </w:t>
      </w:r>
      <w:r>
        <w:rPr>
          <w:rFonts w:ascii="Times New Roman" w:hAnsi="Times New Roman" w:cs="Times New Roman" w:eastAsia="Times New Roman" w:hint="default"/>
        </w:rPr>
        <w:t>1,090.58</w:t>
      </w:r>
      <w:r>
        <w:rPr>
          <w:rFonts w:ascii="Times New Roman" w:hAnsi="Times New Roman" w:cs="Times New Roman" w:eastAsia="Times New Roman" w:hint="default"/>
          <w:spacing w:val="-10"/>
        </w:rPr>
        <w:t> </w:t>
      </w:r>
      <w:r>
        <w:rPr/>
        <w:t>万元从发行费用中调出，计入当期损益，最终确认的发行费用金额为人民币</w:t>
      </w:r>
      <w:r>
        <w:rPr>
          <w:spacing w:val="-55"/>
        </w:rPr>
        <w:t> </w:t>
      </w:r>
      <w:r>
        <w:rPr>
          <w:rFonts w:ascii="Times New Roman" w:hAnsi="Times New Roman" w:cs="Times New Roman" w:eastAsia="Times New Roman" w:hint="default"/>
        </w:rPr>
        <w:t>5,492.12</w:t>
      </w:r>
      <w:r>
        <w:rPr>
          <w:rFonts w:ascii="Times New Roman" w:hAnsi="Times New Roman" w:cs="Times New Roman" w:eastAsia="Times New Roman" w:hint="default"/>
          <w:spacing w:val="-9"/>
        </w:rPr>
        <w:t> </w:t>
      </w:r>
      <w:r>
        <w:rPr/>
        <w:t>万元，最终确认</w:t>
      </w:r>
    </w:p>
    <w:p>
      <w:pPr>
        <w:pStyle w:val="BodyText"/>
        <w:spacing w:line="240" w:lineRule="auto" w:before="13"/>
        <w:ind w:left="215" w:right="0"/>
        <w:jc w:val="both"/>
      </w:pPr>
      <w:r>
        <w:rPr/>
        <w:t>的募集资金净额为人民币</w:t>
      </w:r>
      <w:r>
        <w:rPr>
          <w:spacing w:val="-41"/>
        </w:rPr>
        <w:t> </w:t>
      </w:r>
      <w:r>
        <w:rPr>
          <w:rFonts w:ascii="Times New Roman" w:hAnsi="Times New Roman" w:cs="Times New Roman" w:eastAsia="Times New Roman" w:hint="default"/>
        </w:rPr>
        <w:t>137,867.88</w:t>
      </w:r>
      <w:r>
        <w:rPr>
          <w:rFonts w:ascii="Times New Roman" w:hAnsi="Times New Roman" w:cs="Times New Roman" w:eastAsia="Times New Roman" w:hint="default"/>
          <w:spacing w:val="7"/>
        </w:rPr>
        <w:t> </w:t>
      </w:r>
      <w:r>
        <w:rPr/>
        <w:t>万元。截至</w:t>
      </w:r>
      <w:r>
        <w:rPr>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日，募集资金净额结余</w:t>
      </w:r>
      <w:r>
        <w:rPr>
          <w:spacing w:val="-41"/>
        </w:rPr>
        <w:t> </w:t>
      </w:r>
      <w:r>
        <w:rPr>
          <w:rFonts w:ascii="Times New Roman" w:hAnsi="Times New Roman" w:cs="Times New Roman" w:eastAsia="Times New Roman" w:hint="default"/>
        </w:rPr>
        <w:t>1,561.04</w:t>
      </w:r>
      <w:r>
        <w:rPr>
          <w:rFonts w:ascii="Times New Roman" w:hAnsi="Times New Roman" w:cs="Times New Roman" w:eastAsia="Times New Roman" w:hint="default"/>
          <w:spacing w:val="6"/>
        </w:rPr>
        <w:t> </w:t>
      </w:r>
      <w:r>
        <w:rPr/>
        <w:t>万元，与募集资金专户</w:t>
      </w:r>
    </w:p>
    <w:p>
      <w:pPr>
        <w:pStyle w:val="BodyText"/>
        <w:spacing w:line="240" w:lineRule="auto" w:before="63"/>
        <w:ind w:left="215" w:right="0"/>
        <w:jc w:val="both"/>
      </w:pPr>
      <w:r>
        <w:rPr/>
        <w:t>余额</w:t>
      </w:r>
      <w:r>
        <w:rPr>
          <w:spacing w:val="-38"/>
        </w:rPr>
        <w:t> </w:t>
      </w:r>
      <w:r>
        <w:rPr>
          <w:rFonts w:ascii="Times New Roman" w:hAnsi="Times New Roman" w:cs="Times New Roman" w:eastAsia="Times New Roman" w:hint="default"/>
        </w:rPr>
        <w:t>5,962.98</w:t>
      </w:r>
      <w:r>
        <w:rPr>
          <w:rFonts w:ascii="Times New Roman" w:hAnsi="Times New Roman" w:cs="Times New Roman" w:eastAsia="Times New Roman" w:hint="default"/>
          <w:spacing w:val="8"/>
        </w:rPr>
        <w:t> </w:t>
      </w:r>
      <w:r>
        <w:rPr/>
        <w:t>万元，差异</w:t>
      </w:r>
      <w:r>
        <w:rPr>
          <w:spacing w:val="-41"/>
        </w:rPr>
        <w:t> </w:t>
      </w:r>
      <w:r>
        <w:rPr>
          <w:rFonts w:ascii="Times New Roman" w:hAnsi="Times New Roman" w:cs="Times New Roman" w:eastAsia="Times New Roman" w:hint="default"/>
        </w:rPr>
        <w:t>4,401.94</w:t>
      </w:r>
      <w:r>
        <w:rPr>
          <w:rFonts w:ascii="Times New Roman" w:hAnsi="Times New Roman" w:cs="Times New Roman" w:eastAsia="Times New Roman" w:hint="default"/>
          <w:spacing w:val="9"/>
        </w:rPr>
        <w:t> </w:t>
      </w:r>
      <w:r>
        <w:rPr/>
        <w:t>万元，差异为利息收入扣除银行手续费共</w:t>
      </w:r>
      <w:r>
        <w:rPr>
          <w:spacing w:val="-38"/>
        </w:rPr>
        <w:t> </w:t>
      </w:r>
      <w:r>
        <w:rPr>
          <w:rFonts w:ascii="Times New Roman" w:hAnsi="Times New Roman" w:cs="Times New Roman" w:eastAsia="Times New Roman" w:hint="default"/>
        </w:rPr>
        <w:t>13,872.14</w:t>
      </w:r>
      <w:r>
        <w:rPr>
          <w:rFonts w:ascii="Times New Roman" w:hAnsi="Times New Roman" w:cs="Times New Roman" w:eastAsia="Times New Roman" w:hint="default"/>
          <w:spacing w:val="9"/>
        </w:rPr>
        <w:t> </w:t>
      </w:r>
      <w:r>
        <w:rPr/>
        <w:t>万元，以募集资金利息投入北京中</w:t>
      </w:r>
    </w:p>
    <w:p>
      <w:pPr>
        <w:pStyle w:val="BodyText"/>
        <w:spacing w:line="340" w:lineRule="auto" w:before="63"/>
        <w:ind w:left="215" w:right="5922"/>
        <w:jc w:val="left"/>
      </w:pPr>
      <w:r>
        <w:rPr/>
        <w:t>关村永丰高新技术产业基地建设项目</w:t>
      </w:r>
      <w:r>
        <w:rPr>
          <w:spacing w:val="-45"/>
        </w:rPr>
        <w:t> </w:t>
      </w:r>
      <w:r>
        <w:rPr>
          <w:rFonts w:ascii="Times New Roman" w:hAnsi="Times New Roman" w:cs="Times New Roman" w:eastAsia="Times New Roman" w:hint="default"/>
        </w:rPr>
        <w:t>9,470.20</w:t>
      </w:r>
      <w:r>
        <w:rPr>
          <w:rFonts w:ascii="Times New Roman" w:hAnsi="Times New Roman" w:cs="Times New Roman" w:eastAsia="Times New Roman" w:hint="default"/>
          <w:spacing w:val="1"/>
        </w:rPr>
        <w:t> </w:t>
      </w:r>
      <w:r>
        <w:rPr/>
        <w:t>万元所致。 二、</w:t>
      </w:r>
      <w:r>
        <w:rPr>
          <w:rFonts w:ascii="Times New Roman" w:hAnsi="Times New Roman" w:cs="Times New Roman" w:eastAsia="Times New Roman" w:hint="default"/>
        </w:rPr>
        <w:t>2017</w:t>
      </w:r>
      <w:r>
        <w:rPr>
          <w:rFonts w:ascii="Times New Roman" w:hAnsi="Times New Roman" w:cs="Times New Roman" w:eastAsia="Times New Roman" w:hint="default"/>
          <w:spacing w:val="44"/>
        </w:rPr>
        <w:t> </w:t>
      </w:r>
      <w:r>
        <w:rPr/>
        <w:t>年非公开发行股票募集配套资金总体使用情况说明</w:t>
      </w:r>
    </w:p>
    <w:p>
      <w:pPr>
        <w:pStyle w:val="BodyText"/>
        <w:spacing w:line="307" w:lineRule="auto" w:before="17"/>
        <w:ind w:left="215" w:right="1195"/>
        <w:jc w:val="both"/>
      </w:pPr>
      <w:r>
        <w:rPr/>
        <w:t>根据公司</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13 </w:t>
      </w:r>
      <w:r>
        <w:rPr/>
        <w:t>日第三届董事会第二十一次会议审议通过、</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7 </w:t>
      </w:r>
      <w:r>
        <w:rPr/>
        <w:t>日</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年度股东大会会议审议通过， </w:t>
      </w:r>
      <w:r>
        <w:rPr>
          <w:spacing w:val="-1"/>
        </w:rPr>
        <w:t>并经中国证券监督管理委员会《关于核准北京四维图新科技股份有限公司向合肥高新科技创业投资有限公司等发行股份购</w:t>
      </w:r>
      <w:r>
        <w:rPr>
          <w:spacing w:val="-69"/>
        </w:rPr>
        <w:t> </w:t>
      </w:r>
      <w:r>
        <w:rPr>
          <w:spacing w:val="-69"/>
        </w:rPr>
      </w:r>
      <w:r>
        <w:rPr>
          <w:spacing w:val="-4"/>
        </w:rPr>
        <w:t>买资产并募集配套资金的批复》（证监许可</w:t>
      </w:r>
      <w:r>
        <w:rPr>
          <w:rFonts w:ascii="Times New Roman" w:hAnsi="Times New Roman" w:cs="Times New Roman" w:eastAsia="Times New Roman" w:hint="default"/>
          <w:spacing w:val="-4"/>
        </w:rPr>
        <w:t>[2017]22</w:t>
      </w:r>
      <w:r>
        <w:rPr>
          <w:rFonts w:ascii="Times New Roman" w:hAnsi="Times New Roman" w:cs="Times New Roman" w:eastAsia="Times New Roman" w:hint="default"/>
          <w:spacing w:val="9"/>
        </w:rPr>
        <w:t> </w:t>
      </w:r>
      <w:r>
        <w:rPr>
          <w:spacing w:val="-1"/>
        </w:rPr>
        <w:t>号）的核准，公司非公开发行不超过</w:t>
      </w:r>
      <w:r>
        <w:rPr>
          <w:spacing w:val="-38"/>
        </w:rPr>
        <w:t> </w:t>
      </w:r>
      <w:r>
        <w:rPr>
          <w:rFonts w:ascii="Times New Roman" w:hAnsi="Times New Roman" w:cs="Times New Roman" w:eastAsia="Times New Roman" w:hint="default"/>
          <w:spacing w:val="-1"/>
        </w:rPr>
        <w:t>223,266,740</w:t>
      </w:r>
      <w:r>
        <w:rPr>
          <w:rFonts w:ascii="Times New Roman" w:hAnsi="Times New Roman" w:cs="Times New Roman" w:eastAsia="Times New Roman" w:hint="default"/>
          <w:spacing w:val="10"/>
        </w:rPr>
        <w:t> </w:t>
      </w:r>
      <w:r>
        <w:rPr>
          <w:spacing w:val="-1"/>
        </w:rPr>
        <w:t>股新股。其中，公司</w:t>
      </w:r>
      <w:r>
        <w:rPr>
          <w:spacing w:val="-87"/>
        </w:rPr>
        <w:t> </w:t>
      </w:r>
      <w:r>
        <w:rPr>
          <w:spacing w:val="-87"/>
        </w:rPr>
      </w:r>
      <w:r>
        <w:rPr/>
        <w:t>向合肥高新科技创业投资有限公司等</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位交易对方共计发行</w:t>
      </w:r>
      <w:r>
        <w:rPr>
          <w:spacing w:val="-57"/>
        </w:rPr>
        <w:t> </w:t>
      </w:r>
      <w:r>
        <w:rPr>
          <w:rFonts w:ascii="Times New Roman" w:hAnsi="Times New Roman" w:cs="Times New Roman" w:eastAsia="Times New Roman" w:hint="default"/>
        </w:rPr>
        <w:t>19,418,723</w:t>
      </w:r>
      <w:r>
        <w:rPr>
          <w:rFonts w:ascii="Times New Roman" w:hAnsi="Times New Roman" w:cs="Times New Roman" w:eastAsia="Times New Roman" w:hint="default"/>
          <w:spacing w:val="-8"/>
        </w:rPr>
        <w:t> </w:t>
      </w:r>
      <w:r>
        <w:rPr/>
        <w:t>股新股购买其持有的合肥杰发科技有限公司（原名</w:t>
      </w:r>
    </w:p>
    <w:p>
      <w:pPr>
        <w:pStyle w:val="BodyText"/>
        <w:spacing w:line="240" w:lineRule="auto" w:before="7"/>
        <w:ind w:left="215" w:right="0"/>
        <w:jc w:val="both"/>
      </w:pPr>
      <w:r>
        <w:rPr>
          <w:spacing w:val="-3"/>
        </w:rPr>
        <w:t>杰发科技（合肥）有限公司，以下简称杰发科技）股权。公司本次非公开发行现金认购部分实际发行数量为 </w:t>
      </w:r>
      <w:r>
        <w:rPr>
          <w:rFonts w:ascii="Times New Roman" w:hAnsi="Times New Roman" w:cs="Times New Roman" w:eastAsia="Times New Roman" w:hint="default"/>
        </w:rPr>
        <w:t>196,923,025</w:t>
      </w:r>
      <w:r>
        <w:rPr>
          <w:rFonts w:ascii="Times New Roman" w:hAnsi="Times New Roman" w:cs="Times New Roman" w:eastAsia="Times New Roman" w:hint="default"/>
          <w:spacing w:val="-20"/>
        </w:rPr>
        <w:t> </w:t>
      </w:r>
      <w:r>
        <w:rPr/>
        <w:t>股</w:t>
      </w:r>
    </w:p>
    <w:p>
      <w:pPr>
        <w:pStyle w:val="BodyText"/>
        <w:spacing w:line="240" w:lineRule="auto" w:before="63"/>
        <w:ind w:left="215" w:right="0"/>
        <w:jc w:val="both"/>
      </w:pPr>
      <w:r>
        <w:rPr/>
        <w:t>新股，股票的每股面值人民币</w:t>
      </w:r>
      <w:r>
        <w:rPr>
          <w:spacing w:val="-54"/>
        </w:rPr>
        <w:t> </w:t>
      </w:r>
      <w:r>
        <w:rPr>
          <w:rFonts w:ascii="Times New Roman" w:hAnsi="Times New Roman" w:cs="Times New Roman" w:eastAsia="Times New Roman" w:hint="default"/>
        </w:rPr>
        <w:t>1.00</w:t>
      </w:r>
      <w:r>
        <w:rPr>
          <w:rFonts w:ascii="Times New Roman" w:hAnsi="Times New Roman" w:cs="Times New Roman" w:eastAsia="Times New Roman" w:hint="default"/>
          <w:spacing w:val="-8"/>
        </w:rPr>
        <w:t> </w:t>
      </w:r>
      <w:r>
        <w:rPr/>
        <w:t>元，发行价格为每股人民币</w:t>
      </w:r>
      <w:r>
        <w:rPr>
          <w:spacing w:val="-56"/>
        </w:rPr>
        <w:t> </w:t>
      </w:r>
      <w:r>
        <w:rPr>
          <w:rFonts w:ascii="Times New Roman" w:hAnsi="Times New Roman" w:cs="Times New Roman" w:eastAsia="Times New Roman" w:hint="default"/>
        </w:rPr>
        <w:t>17.02</w:t>
      </w:r>
      <w:r>
        <w:rPr>
          <w:rFonts w:ascii="Times New Roman" w:hAnsi="Times New Roman" w:cs="Times New Roman" w:eastAsia="Times New Roman" w:hint="default"/>
          <w:spacing w:val="26"/>
        </w:rPr>
        <w:t> </w:t>
      </w:r>
      <w:r>
        <w:rPr/>
        <w:t>元，募集资金总额为人民币</w:t>
      </w:r>
      <w:r>
        <w:rPr>
          <w:spacing w:val="-55"/>
        </w:rPr>
        <w:t> </w:t>
      </w:r>
      <w:r>
        <w:rPr>
          <w:rFonts w:ascii="Times New Roman" w:hAnsi="Times New Roman" w:cs="Times New Roman" w:eastAsia="Times New Roman" w:hint="default"/>
        </w:rPr>
        <w:t>335,163.00</w:t>
      </w:r>
      <w:r>
        <w:rPr>
          <w:rFonts w:ascii="Times New Roman" w:hAnsi="Times New Roman" w:cs="Times New Roman" w:eastAsia="Times New Roman" w:hint="default"/>
          <w:spacing w:val="-8"/>
        </w:rPr>
        <w:t> </w:t>
      </w:r>
      <w:r>
        <w:rPr>
          <w:spacing w:val="-4"/>
        </w:rPr>
        <w:t>万元，募集资</w:t>
      </w:r>
    </w:p>
    <w:p>
      <w:pPr>
        <w:pStyle w:val="BodyText"/>
        <w:spacing w:line="240" w:lineRule="auto" w:before="63"/>
        <w:ind w:left="215" w:right="0"/>
        <w:jc w:val="both"/>
      </w:pPr>
      <w:r>
        <w:rPr/>
        <w:t>金总额扣除承销费用以及累计发生的其他发行费用共计</w:t>
      </w:r>
      <w:r>
        <w:rPr>
          <w:spacing w:val="-44"/>
        </w:rPr>
        <w:t> </w:t>
      </w:r>
      <w:r>
        <w:rPr>
          <w:rFonts w:ascii="Times New Roman" w:hAnsi="Times New Roman" w:cs="Times New Roman" w:eastAsia="Times New Roman" w:hint="default"/>
        </w:rPr>
        <w:t>24,534,341.75</w:t>
      </w:r>
      <w:r>
        <w:rPr>
          <w:rFonts w:ascii="Times New Roman" w:hAnsi="Times New Roman" w:cs="Times New Roman" w:eastAsia="Times New Roman" w:hint="default"/>
          <w:spacing w:val="2"/>
        </w:rPr>
        <w:t> </w:t>
      </w:r>
      <w:r>
        <w:rPr/>
        <w:t>元后，募集资金净额为人民币</w:t>
      </w:r>
      <w:r>
        <w:rPr>
          <w:spacing w:val="-46"/>
        </w:rPr>
        <w:t> </w:t>
      </w:r>
      <w:r>
        <w:rPr>
          <w:rFonts w:ascii="Times New Roman" w:hAnsi="Times New Roman" w:cs="Times New Roman" w:eastAsia="Times New Roman" w:hint="default"/>
        </w:rPr>
        <w:t>3,327,095,658.25</w:t>
      </w:r>
      <w:r>
        <w:rPr>
          <w:rFonts w:ascii="Times New Roman" w:hAnsi="Times New Roman" w:cs="Times New Roman" w:eastAsia="Times New Roman" w:hint="default"/>
          <w:spacing w:val="3"/>
        </w:rPr>
        <w:t> </w:t>
      </w:r>
      <w:r>
        <w:rPr/>
        <w:t>元，</w:t>
      </w:r>
    </w:p>
    <w:p>
      <w:pPr>
        <w:pStyle w:val="BodyText"/>
        <w:spacing w:line="240" w:lineRule="auto" w:before="63"/>
        <w:ind w:left="215" w:right="0"/>
        <w:jc w:val="both"/>
      </w:pPr>
      <w:r>
        <w:rPr/>
        <w:t>已于</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日汇入本公司在相关银行开设的募集资金账户中。截至</w:t>
      </w:r>
      <w:r>
        <w:rPr>
          <w:spacing w:val="-4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日，非公开发行股票募集资</w:t>
      </w:r>
    </w:p>
    <w:p>
      <w:pPr>
        <w:pStyle w:val="BodyText"/>
        <w:spacing w:line="240" w:lineRule="auto" w:before="63"/>
        <w:ind w:left="215" w:right="0"/>
        <w:jc w:val="both"/>
      </w:pPr>
      <w:r>
        <w:rPr/>
        <w:t>金净额结余</w:t>
      </w:r>
      <w:r>
        <w:rPr>
          <w:spacing w:val="-50"/>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3"/>
        </w:rPr>
        <w:t>万元，与募集资金专户余额</w:t>
      </w:r>
      <w:r>
        <w:rPr>
          <w:spacing w:val="-50"/>
        </w:rPr>
        <w:t> </w:t>
      </w:r>
      <w:r>
        <w:rPr>
          <w:rFonts w:ascii="Times New Roman" w:hAnsi="Times New Roman" w:cs="Times New Roman" w:eastAsia="Times New Roman" w:hint="default"/>
        </w:rPr>
        <w:t>2,134.34</w:t>
      </w:r>
      <w:r>
        <w:rPr>
          <w:rFonts w:ascii="Times New Roman" w:hAnsi="Times New Roman" w:cs="Times New Roman" w:eastAsia="Times New Roman" w:hint="default"/>
          <w:spacing w:val="-4"/>
        </w:rPr>
        <w:t> </w:t>
      </w:r>
      <w:r>
        <w:rPr>
          <w:spacing w:val="-6"/>
        </w:rPr>
        <w:t>万元，差异</w:t>
      </w:r>
      <w:r>
        <w:rPr>
          <w:spacing w:val="-50"/>
        </w:rPr>
        <w:t> </w:t>
      </w:r>
      <w:r>
        <w:rPr>
          <w:rFonts w:ascii="Times New Roman" w:hAnsi="Times New Roman" w:cs="Times New Roman" w:eastAsia="Times New Roman" w:hint="default"/>
        </w:rPr>
        <w:t>2,134.34</w:t>
      </w:r>
      <w:r>
        <w:rPr>
          <w:rFonts w:ascii="Times New Roman" w:hAnsi="Times New Roman" w:cs="Times New Roman" w:eastAsia="Times New Roman" w:hint="default"/>
          <w:spacing w:val="-4"/>
        </w:rPr>
        <w:t> </w:t>
      </w:r>
      <w:r>
        <w:rPr/>
        <w:t>万元，差异为利息收入及理财收益扣除银行手续</w:t>
      </w:r>
    </w:p>
    <w:p>
      <w:pPr>
        <w:pStyle w:val="BodyText"/>
        <w:spacing w:line="340" w:lineRule="auto" w:before="63"/>
        <w:ind w:left="215" w:right="1704"/>
        <w:jc w:val="left"/>
      </w:pPr>
      <w:r>
        <w:rPr/>
        <w:t>费</w:t>
      </w:r>
      <w:r>
        <w:rPr>
          <w:spacing w:val="-49"/>
        </w:rPr>
        <w:t> </w:t>
      </w:r>
      <w:r>
        <w:rPr>
          <w:rFonts w:ascii="Times New Roman" w:hAnsi="Times New Roman" w:cs="Times New Roman" w:eastAsia="Times New Roman" w:hint="default"/>
        </w:rPr>
        <w:t>8,253.92</w:t>
      </w:r>
      <w:r>
        <w:rPr>
          <w:rFonts w:ascii="Times New Roman" w:hAnsi="Times New Roman" w:cs="Times New Roman" w:eastAsia="Times New Roman" w:hint="default"/>
          <w:spacing w:val="-3"/>
        </w:rPr>
        <w:t> </w:t>
      </w:r>
      <w:r>
        <w:rPr/>
        <w:t>万元，以募集资金利息及理财收益投入北京中关村永丰高新技术产业基地建设项目</w:t>
      </w:r>
      <w:r>
        <w:rPr>
          <w:spacing w:val="-49"/>
        </w:rPr>
        <w:t> </w:t>
      </w:r>
      <w:r>
        <w:rPr>
          <w:rFonts w:ascii="Times New Roman" w:hAnsi="Times New Roman" w:cs="Times New Roman" w:eastAsia="Times New Roman" w:hint="default"/>
        </w:rPr>
        <w:t>6,119.58</w:t>
      </w:r>
      <w:r>
        <w:rPr>
          <w:rFonts w:ascii="Times New Roman" w:hAnsi="Times New Roman" w:cs="Times New Roman" w:eastAsia="Times New Roman" w:hint="default"/>
          <w:spacing w:val="-2"/>
        </w:rPr>
        <w:t> </w:t>
      </w:r>
      <w:r>
        <w:rPr/>
        <w:t>万元所致。 三、</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年面向合格投资者公开发行公司债券（第一期）募集资金总体使用情况说明</w:t>
      </w:r>
    </w:p>
    <w:p>
      <w:pPr>
        <w:pStyle w:val="BodyText"/>
        <w:spacing w:line="240" w:lineRule="auto" w:before="20"/>
        <w:ind w:left="215" w:right="0"/>
        <w:jc w:val="both"/>
      </w:pPr>
      <w:r>
        <w:rPr/>
        <w:t>中国证券监督管理委员会</w:t>
      </w:r>
      <w:r>
        <w:rPr>
          <w:rFonts w:ascii="Times New Roman" w:hAnsi="Times New Roman" w:cs="Times New Roman" w:eastAsia="Times New Roman" w:hint="default"/>
        </w:rPr>
        <w:t>“</w:t>
      </w:r>
      <w:r>
        <w:rPr/>
        <w:t>证监许可 </w:t>
      </w:r>
      <w:r>
        <w:rPr>
          <w:rFonts w:ascii="Times New Roman" w:hAnsi="Times New Roman" w:cs="Times New Roman" w:eastAsia="Times New Roman" w:hint="default"/>
        </w:rPr>
        <w:t>[2016]3158  </w:t>
      </w:r>
      <w:r>
        <w:rPr/>
        <w:t>号</w:t>
      </w:r>
      <w:r>
        <w:rPr>
          <w:rFonts w:ascii="Times New Roman" w:hAnsi="Times New Roman" w:cs="Times New Roman" w:eastAsia="Times New Roman" w:hint="default"/>
        </w:rPr>
        <w:t>”</w:t>
      </w:r>
      <w:r>
        <w:rPr/>
        <w:t>号文核准面向合格投资者公开发行面值不超过 </w:t>
      </w:r>
      <w:r>
        <w:rPr>
          <w:rFonts w:ascii="Times New Roman" w:hAnsi="Times New Roman" w:cs="Times New Roman" w:eastAsia="Times New Roman" w:hint="default"/>
        </w:rPr>
        <w:t>12 </w:t>
      </w:r>
      <w:r>
        <w:rPr/>
        <w:t>亿元（含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亿元）</w:t>
      </w:r>
    </w:p>
    <w:p>
      <w:pPr>
        <w:pStyle w:val="BodyText"/>
        <w:spacing w:line="240" w:lineRule="auto" w:before="63"/>
        <w:ind w:left="215" w:right="0"/>
        <w:jc w:val="both"/>
      </w:pPr>
      <w:r>
        <w:rPr/>
        <w:t>的公司债券。本次债券采取分期发行的方式，其中首期发行债券发行规模为</w:t>
      </w:r>
      <w:r>
        <w:rPr>
          <w:spacing w:val="-63"/>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17"/>
        </w:rPr>
        <w:t> </w:t>
      </w:r>
      <w:r>
        <w:rPr/>
        <w:t>万元，首期自中国证监会核准发行之</w:t>
      </w:r>
    </w:p>
    <w:p>
      <w:pPr>
        <w:pStyle w:val="BodyText"/>
        <w:spacing w:line="240" w:lineRule="auto" w:before="63"/>
        <w:ind w:left="215" w:right="0"/>
        <w:jc w:val="both"/>
      </w:pPr>
      <w:r>
        <w:rPr/>
        <w:t>日起 </w:t>
      </w:r>
      <w:r>
        <w:rPr>
          <w:rFonts w:ascii="Times New Roman" w:hAnsi="Times New Roman" w:cs="Times New Roman" w:eastAsia="Times New Roman" w:hint="default"/>
        </w:rPr>
        <w:t>12  </w:t>
      </w:r>
      <w:r>
        <w:rPr>
          <w:spacing w:val="-3"/>
        </w:rPr>
        <w:t>个月内完成，其余各期债券发行，自中国证监会核准发行之日起 </w:t>
      </w:r>
      <w:r>
        <w:rPr>
          <w:rFonts w:ascii="Times New Roman" w:hAnsi="Times New Roman" w:cs="Times New Roman" w:eastAsia="Times New Roman" w:hint="default"/>
        </w:rPr>
        <w:t>24  </w:t>
      </w:r>
      <w:r>
        <w:rPr>
          <w:spacing w:val="-4"/>
        </w:rPr>
        <w:t>个月内完成。</w:t>
      </w:r>
      <w:r>
        <w:rPr>
          <w:rFonts w:ascii="Times New Roman" w:hAnsi="Times New Roman" w:cs="Times New Roman" w:eastAsia="Times New Roman" w:hint="default"/>
          <w:spacing w:val="-4"/>
        </w:rPr>
        <w:t>2017  </w:t>
      </w:r>
      <w:r>
        <w:rPr/>
        <w:t>年 </w:t>
      </w:r>
      <w:r>
        <w:rPr>
          <w:rFonts w:ascii="Times New Roman" w:hAnsi="Times New Roman" w:cs="Times New Roman" w:eastAsia="Times New Roman" w:hint="default"/>
          <w:spacing w:val="-5"/>
        </w:rPr>
        <w:t>11  </w:t>
      </w:r>
      <w:r>
        <w:rPr/>
        <w:t>月 </w:t>
      </w:r>
      <w:r>
        <w:rPr>
          <w:rFonts w:ascii="Times New Roman" w:hAnsi="Times New Roman" w:cs="Times New Roman" w:eastAsia="Times New Roman" w:hint="default"/>
        </w:rPr>
        <w:t>24  </w:t>
      </w:r>
      <w:r>
        <w:rPr>
          <w:rFonts w:ascii="Times New Roman" w:hAnsi="Times New Roman" w:cs="Times New Roman" w:eastAsia="Times New Roman" w:hint="default"/>
          <w:spacing w:val="17"/>
        </w:rPr>
        <w:t> </w:t>
      </w:r>
      <w:r>
        <w:rPr>
          <w:spacing w:val="-7"/>
        </w:rPr>
        <w:t>日，公司公</w:t>
      </w:r>
    </w:p>
    <w:p>
      <w:pPr>
        <w:pStyle w:val="BodyText"/>
        <w:spacing w:line="240" w:lineRule="auto" w:before="63"/>
        <w:ind w:left="215" w:right="0"/>
        <w:jc w:val="both"/>
      </w:pPr>
      <w:r>
        <w:rPr/>
        <w:t>开发行公司债券（第一期</w:t>
      </w:r>
      <w:r>
        <w:rPr>
          <w:spacing w:val="-92"/>
        </w:rPr>
        <w:t>）</w:t>
      </w:r>
      <w:r>
        <w:rPr/>
        <w:t>，</w:t>
      </w:r>
      <w:r>
        <w:rPr>
          <w:spacing w:val="2"/>
        </w:rPr>
        <w:t>募</w:t>
      </w:r>
      <w:r>
        <w:rPr/>
        <w:t>集资金总额</w:t>
      </w:r>
      <w:r>
        <w:rPr>
          <w:spacing w:val="-29"/>
        </w:rPr>
        <w:t> </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 </w:t>
      </w:r>
      <w:r>
        <w:rPr>
          <w:rFonts w:ascii="Times New Roman" w:hAnsi="Times New Roman" w:cs="Times New Roman" w:eastAsia="Times New Roman" w:hint="default"/>
          <w:spacing w:val="3"/>
        </w:rPr>
        <w:t> </w:t>
      </w:r>
      <w:r>
        <w:rPr/>
        <w:t>万元，</w:t>
      </w:r>
      <w:r>
        <w:rPr>
          <w:spacing w:val="-3"/>
        </w:rPr>
        <w:t>扣</w:t>
      </w:r>
      <w:r>
        <w:rPr/>
        <w:t>除发行费用后，募集资金净额</w:t>
      </w:r>
      <w:r>
        <w:rPr>
          <w:spacing w:val="1"/>
        </w:rPr>
        <w:t> </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7"/>
        </w:rPr>
        <w:t> </w:t>
      </w:r>
      <w:r>
        <w:rPr/>
        <w:t>万元，已于</w:t>
      </w:r>
      <w:r>
        <w:rPr>
          <w:spacing w:val="-30"/>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16"/>
        </w:rPr>
        <w:t> </w:t>
      </w:r>
      <w:r>
        <w:rPr/>
        <w:t>年</w:t>
      </w:r>
    </w:p>
    <w:p>
      <w:pPr>
        <w:pStyle w:val="BodyText"/>
        <w:spacing w:line="240" w:lineRule="auto" w:before="63"/>
        <w:ind w:left="215" w:right="0"/>
        <w:jc w:val="both"/>
      </w:pPr>
      <w:r>
        <w:rPr>
          <w:rFonts w:ascii="Times New Roman" w:hAnsi="Times New Roman" w:cs="Times New Roman" w:eastAsia="Times New Roman" w:hint="default"/>
          <w:spacing w:val="-3"/>
        </w:rPr>
        <w:t>11</w:t>
      </w:r>
      <w:r>
        <w:rPr>
          <w:rFonts w:ascii="Times New Roman" w:hAnsi="Times New Roman" w:cs="Times New Roman" w:eastAsia="Times New Roman" w:hint="default"/>
          <w:spacing w:val="6"/>
        </w:rPr>
        <w:t> </w:t>
      </w:r>
      <w:r>
        <w:rPr/>
        <w:t>月</w:t>
      </w:r>
      <w:r>
        <w:rPr>
          <w:spacing w:val="-41"/>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日汇入本公司在相关银行开设的募集资金账户中。截至</w:t>
      </w:r>
      <w:r>
        <w:rPr>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日，募集资金净额结余</w:t>
      </w:r>
      <w:r>
        <w:rPr>
          <w:spacing w:val="-41"/>
        </w:rPr>
        <w:t> </w:t>
      </w:r>
      <w:r>
        <w:rPr>
          <w:rFonts w:ascii="Times New Roman" w:hAnsi="Times New Roman" w:cs="Times New Roman" w:eastAsia="Times New Roman" w:hint="default"/>
        </w:rPr>
        <w:t>0.00</w:t>
      </w:r>
      <w:r>
        <w:rPr>
          <w:rFonts w:ascii="Times New Roman" w:hAnsi="Times New Roman" w:cs="Times New Roman" w:eastAsia="Times New Roman" w:hint="default"/>
          <w:spacing w:val="6"/>
        </w:rPr>
        <w:t> </w:t>
      </w:r>
      <w:r>
        <w:rPr/>
        <w:t>万元，与募</w:t>
      </w:r>
    </w:p>
    <w:p>
      <w:pPr>
        <w:pStyle w:val="BodyText"/>
        <w:spacing w:line="240" w:lineRule="auto" w:before="63"/>
        <w:ind w:left="215" w:right="0"/>
        <w:jc w:val="both"/>
      </w:pPr>
      <w:r>
        <w:rPr/>
        <w:t>集资金专户余额</w:t>
      </w:r>
      <w:r>
        <w:rPr>
          <w:spacing w:val="-46"/>
        </w:rPr>
        <w:t> </w:t>
      </w:r>
      <w:r>
        <w:rPr>
          <w:rFonts w:ascii="Times New Roman" w:hAnsi="Times New Roman" w:cs="Times New Roman" w:eastAsia="Times New Roman" w:hint="default"/>
        </w:rPr>
        <w:t>1.44</w:t>
      </w:r>
      <w:r>
        <w:rPr>
          <w:rFonts w:ascii="Times New Roman" w:hAnsi="Times New Roman" w:cs="Times New Roman" w:eastAsia="Times New Roman" w:hint="default"/>
          <w:spacing w:val="-1"/>
        </w:rPr>
        <w:t> </w:t>
      </w:r>
      <w:r>
        <w:rPr/>
        <w:t>万元，差异</w:t>
      </w:r>
      <w:r>
        <w:rPr>
          <w:spacing w:val="-47"/>
        </w:rPr>
        <w:t> </w:t>
      </w:r>
      <w:r>
        <w:rPr>
          <w:rFonts w:ascii="Times New Roman" w:hAnsi="Times New Roman" w:cs="Times New Roman" w:eastAsia="Times New Roman" w:hint="default"/>
        </w:rPr>
        <w:t>1.44</w:t>
      </w:r>
      <w:r>
        <w:rPr>
          <w:rFonts w:ascii="Times New Roman" w:hAnsi="Times New Roman" w:cs="Times New Roman" w:eastAsia="Times New Roman" w:hint="default"/>
          <w:spacing w:val="-1"/>
        </w:rPr>
        <w:t> </w:t>
      </w:r>
      <w:r>
        <w:rPr/>
        <w:t>万元，差异为利息收入扣除银行手续费。</w:t>
      </w:r>
    </w:p>
    <w:p>
      <w:pPr>
        <w:spacing w:line="240" w:lineRule="auto" w:before="3"/>
        <w:rPr>
          <w:rFonts w:ascii="宋体" w:hAnsi="宋体" w:cs="宋体" w:eastAsia="宋体" w:hint="default"/>
          <w:sz w:val="27"/>
          <w:szCs w:val="27"/>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4"/>
          <w:szCs w:val="14"/>
        </w:rPr>
      </w:pPr>
    </w:p>
    <w:p>
      <w:pPr>
        <w:pStyle w:val="Heading4"/>
        <w:spacing w:line="240" w:lineRule="auto"/>
        <w:ind w:left="2706" w:right="0"/>
        <w:jc w:val="left"/>
        <w:rPr>
          <w:b w:val="0"/>
          <w:bCs w:val="0"/>
        </w:rPr>
      </w:pPr>
      <w:r>
        <w:rPr/>
        <w:t>首次公开发行募集资金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t>年度使用情况对照表</w:t>
      </w:r>
      <w:r>
        <w:rPr>
          <w:b w:val="0"/>
          <w:bCs w:val="0"/>
        </w:rPr>
      </w:r>
    </w:p>
    <w:p>
      <w:pPr>
        <w:spacing w:line="240" w:lineRule="auto" w:before="7"/>
        <w:rPr>
          <w:rFonts w:ascii="Microsoft JhengHei" w:hAnsi="Microsoft JhengHei" w:cs="Microsoft JhengHei" w:eastAsia="Microsoft JhengHei" w:hint="default"/>
          <w:b/>
          <w:bCs/>
          <w:sz w:val="7"/>
          <w:szCs w:val="7"/>
        </w:rPr>
      </w:pPr>
    </w:p>
    <w:p>
      <w:pPr>
        <w:pStyle w:val="BodyText"/>
        <w:spacing w:line="240" w:lineRule="auto" w:before="44"/>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733"/>
        <w:gridCol w:w="677"/>
        <w:gridCol w:w="853"/>
        <w:gridCol w:w="850"/>
        <w:gridCol w:w="850"/>
        <w:gridCol w:w="850"/>
        <w:gridCol w:w="994"/>
        <w:gridCol w:w="850"/>
        <w:gridCol w:w="853"/>
        <w:gridCol w:w="425"/>
        <w:gridCol w:w="708"/>
      </w:tblGrid>
      <w:tr>
        <w:trPr>
          <w:trHeight w:val="1649" w:hRule="exact"/>
        </w:trPr>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518" w:right="33"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9" w:right="47"/>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0" w:right="6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5" w:right="41"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59" w:right="5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9" w:right="5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8" w:lineRule="auto" w:before="128"/>
              <w:ind w:left="28" w:right="23" w:hanging="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9" w:right="5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9" w:right="6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4"/>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7"/>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64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77"/>
              <w:jc w:val="left"/>
              <w:rPr>
                <w:rFonts w:ascii="宋体" w:hAnsi="宋体" w:cs="宋体" w:eastAsia="宋体" w:hint="default"/>
                <w:sz w:val="18"/>
                <w:szCs w:val="18"/>
              </w:rPr>
            </w:pPr>
            <w:r>
              <w:rPr>
                <w:rFonts w:ascii="宋体" w:hAnsi="宋体" w:cs="宋体" w:eastAsia="宋体" w:hint="default"/>
                <w:sz w:val="18"/>
                <w:szCs w:val="18"/>
              </w:rPr>
              <w:t>第二代导航电子地图 生产平台开发项目</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9"/>
              <w:jc w:val="center"/>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11,450.00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11,450.00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11,450.00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26,008.57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733"/>
        <w:gridCol w:w="677"/>
        <w:gridCol w:w="853"/>
        <w:gridCol w:w="850"/>
        <w:gridCol w:w="850"/>
        <w:gridCol w:w="850"/>
        <w:gridCol w:w="994"/>
        <w:gridCol w:w="850"/>
        <w:gridCol w:w="853"/>
        <w:gridCol w:w="425"/>
        <w:gridCol w:w="708"/>
      </w:tblGrid>
      <w:tr>
        <w:trPr>
          <w:trHeight w:val="1025"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高现势性、高精度、 精细化车载导航电子 地图开发项目</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31,760.00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31,595.30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3,611.61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77"/>
              <w:jc w:val="left"/>
              <w:rPr>
                <w:rFonts w:ascii="宋体" w:hAnsi="宋体" w:cs="宋体" w:eastAsia="宋体" w:hint="default"/>
                <w:sz w:val="18"/>
                <w:szCs w:val="18"/>
              </w:rPr>
            </w:pPr>
            <w:r>
              <w:rPr>
                <w:rFonts w:ascii="宋体" w:hAnsi="宋体" w:cs="宋体" w:eastAsia="宋体" w:hint="default"/>
                <w:sz w:val="18"/>
                <w:szCs w:val="18"/>
              </w:rPr>
              <w:t>行人导航数据产品开 发项目</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15,280.00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15,280.00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14,494.79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94.86%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58,490.00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58,490.00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57,540.09</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29,620.18</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4"/>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64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5"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Mapscape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6"/>
                <w:sz w:val="18"/>
                <w:szCs w:val="18"/>
              </w:rPr>
              <w:t>B.V.</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6,164.00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6,164.00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6,069.55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18,430.12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7"/>
              <w:jc w:val="left"/>
              <w:rPr>
                <w:rFonts w:ascii="宋体" w:hAnsi="宋体" w:cs="宋体" w:eastAsia="宋体" w:hint="default"/>
                <w:sz w:val="18"/>
                <w:szCs w:val="18"/>
              </w:rPr>
            </w:pPr>
            <w:r>
              <w:rPr>
                <w:rFonts w:ascii="宋体" w:hAnsi="宋体" w:cs="宋体" w:eastAsia="宋体" w:hint="default"/>
                <w:sz w:val="18"/>
                <w:szCs w:val="18"/>
              </w:rPr>
              <w:t>收购中交宇科（北 京）空间信息技术有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13,283.32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96.26%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3,472.21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77"/>
              <w:jc w:val="left"/>
              <w:rPr>
                <w:rFonts w:ascii="宋体" w:hAnsi="宋体" w:cs="宋体" w:eastAsia="宋体" w:hint="default"/>
                <w:sz w:val="18"/>
                <w:szCs w:val="18"/>
              </w:rPr>
            </w:pPr>
            <w:r>
              <w:rPr>
                <w:rFonts w:ascii="宋体" w:hAnsi="宋体" w:cs="宋体" w:eastAsia="宋体" w:hint="default"/>
                <w:sz w:val="18"/>
                <w:szCs w:val="18"/>
              </w:rPr>
              <w:t>收购中寰卫星导航通 信有限公司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6,224.08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6,224.08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6,224.08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35,775.09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77"/>
              <w:jc w:val="left"/>
              <w:rPr>
                <w:rFonts w:ascii="宋体" w:hAnsi="宋体" w:cs="宋体" w:eastAsia="宋体" w:hint="default"/>
                <w:sz w:val="18"/>
                <w:szCs w:val="18"/>
              </w:rPr>
            </w:pPr>
            <w:r>
              <w:rPr>
                <w:rFonts w:ascii="宋体" w:hAnsi="宋体" w:cs="宋体" w:eastAsia="宋体" w:hint="default"/>
                <w:sz w:val="18"/>
                <w:szCs w:val="18"/>
              </w:rPr>
              <w:t>北京中关村永丰高新 技术产业基地建设</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53,189.80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53,189.80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53,189.80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15"/>
              <w:jc w:val="righ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57"/>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57"/>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79,377.88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79,377.88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78,766.75</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9" w:right="0"/>
              <w:jc w:val="left"/>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57,677.42</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4"/>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137,867.8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137,867.8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136,306.8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87,297.60</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9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55" w:right="0"/>
              <w:jc w:val="left"/>
              <w:rPr>
                <w:rFonts w:ascii="宋体" w:hAnsi="宋体" w:cs="宋体" w:eastAsia="宋体" w:hint="default"/>
                <w:sz w:val="18"/>
                <w:szCs w:val="18"/>
              </w:rPr>
            </w:pPr>
            <w:r>
              <w:rPr>
                <w:rFonts w:ascii="宋体" w:hAnsi="宋体" w:cs="宋体" w:eastAsia="宋体" w:hint="default"/>
                <w:sz w:val="18"/>
                <w:szCs w:val="18"/>
              </w:rPr>
              <w:t>无此情况</w:t>
            </w:r>
          </w:p>
        </w:tc>
      </w:tr>
      <w:tr>
        <w:trPr>
          <w:trHeight w:val="716" w:hRule="exact"/>
        </w:trPr>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7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9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17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24" w:right="77"/>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9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004" w:hRule="exact"/>
        </w:trPr>
        <w:tc>
          <w:tcPr>
            <w:tcW w:w="1733" w:type="dxa"/>
            <w:vMerge/>
            <w:tcBorders>
              <w:left w:val="single" w:sz="4" w:space="0" w:color="000000"/>
              <w:bottom w:val="single" w:sz="4" w:space="0" w:color="000000"/>
              <w:right w:val="single" w:sz="4" w:space="0" w:color="000000"/>
            </w:tcBorders>
            <w:shd w:val="clear" w:color="auto" w:fill="D2D2D2"/>
          </w:tcPr>
          <w:p>
            <w:pPr/>
          </w:p>
        </w:tc>
        <w:tc>
          <w:tcPr>
            <w:tcW w:w="79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超募资金的金额为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79,377.88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left="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月，公司董事会审议决定，用超募资金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6,164.00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万元收购荷兰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Mapscape</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公司全部股权。截</w:t>
            </w:r>
          </w:p>
          <w:p>
            <w:pPr>
              <w:pStyle w:val="TableParagraph"/>
              <w:spacing w:line="300" w:lineRule="auto" w:before="63"/>
              <w:ind w:left="55" w:right="17"/>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日，公司累计使用超募资金支付荷兰</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Mapscape</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公司投资款</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6,069.55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万元，占投 资总额的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98.47%</w:t>
            </w:r>
            <w:r>
              <w:rPr>
                <w:rFonts w:ascii="宋体" w:hAnsi="宋体" w:cs="宋体" w:eastAsia="宋体" w:hint="default"/>
                <w:sz w:val="18"/>
                <w:szCs w:val="18"/>
              </w:rPr>
              <w:t>。投资款已全部支付完毕，差额是由于汇率差异产生。</w:t>
            </w:r>
          </w:p>
          <w:p>
            <w:pPr>
              <w:pStyle w:val="TableParagraph"/>
              <w:spacing w:line="240" w:lineRule="auto" w:before="53"/>
              <w:ind w:left="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月，公司董事会审议决定，用超募资金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13,800.00 </w:t>
            </w:r>
            <w:r>
              <w:rPr>
                <w:rFonts w:ascii="宋体" w:hAnsi="宋体" w:cs="宋体" w:eastAsia="宋体" w:hint="default"/>
                <w:sz w:val="18"/>
                <w:szCs w:val="18"/>
              </w:rPr>
              <w:t>万元收购中交宇科</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空间信息技术有</w:t>
            </w:r>
          </w:p>
          <w:p>
            <w:pPr>
              <w:pStyle w:val="TableParagraph"/>
              <w:spacing w:line="240" w:lineRule="auto" w:before="62"/>
              <w:ind w:left="55"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51.98%</w:t>
            </w:r>
            <w:r>
              <w:rPr>
                <w:rFonts w:ascii="宋体" w:hAnsi="宋体" w:cs="宋体" w:eastAsia="宋体" w:hint="default"/>
                <w:sz w:val="18"/>
                <w:szCs w:val="18"/>
              </w:rPr>
              <w:t>股权。截至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日，公司累计使用超募资金支付中交宇科</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空间信息</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8.080002pt;margin-top:71.999985pt;width:482.75pt;height:685.2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7876"/>
                  </w:tblGrid>
                  <w:tr>
                    <w:trPr>
                      <w:trHeight w:val="4499" w:hRule="exact"/>
                    </w:trPr>
                    <w:tc>
                      <w:tcPr>
                        <w:tcW w:w="1764" w:type="dxa"/>
                        <w:tcBorders>
                          <w:top w:val="single" w:sz="4" w:space="0" w:color="000000"/>
                          <w:left w:val="single" w:sz="4" w:space="0" w:color="000000"/>
                          <w:bottom w:val="single" w:sz="4" w:space="0" w:color="000000"/>
                          <w:right w:val="single" w:sz="4" w:space="0" w:color="000000"/>
                        </w:tcBorders>
                      </w:tcPr>
                      <w:p>
                        <w:pPr/>
                      </w:p>
                    </w:tc>
                    <w:tc>
                      <w:tcPr>
                        <w:tcW w:w="7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技术有限公司投资款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13,283.32 </w:t>
                        </w:r>
                        <w:r>
                          <w:rPr>
                            <w:rFonts w:ascii="宋体" w:hAnsi="宋体" w:cs="宋体" w:eastAsia="宋体" w:hint="default"/>
                            <w:sz w:val="18"/>
                            <w:szCs w:val="18"/>
                          </w:rPr>
                          <w:t>万元，占投资总额的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96.26%</w:t>
                        </w:r>
                        <w:r>
                          <w:rPr>
                            <w:rFonts w:ascii="宋体" w:hAnsi="宋体" w:cs="宋体" w:eastAsia="宋体" w:hint="default"/>
                            <w:sz w:val="18"/>
                            <w:szCs w:val="18"/>
                          </w:rPr>
                          <w:t>。</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月，公司董事会审议决定，用超募资金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6,224.08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万元以增资的形式投资中寰卫星导航通信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有限公司，增资完成后公司获得中寰卫星导航通信有限公司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日，公</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司累计使用超募资金支付中寰卫星导航通信有限公司投资款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6,224.08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万元，占投资总额的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w:t>
                        </w:r>
                      </w:p>
                      <w:p>
                        <w:pPr>
                          <w:pStyle w:val="TableParagraph"/>
                          <w:spacing w:line="307"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pacing w:val="-3"/>
                            <w:sz w:val="18"/>
                            <w:szCs w:val="18"/>
                          </w:rPr>
                          <w:t>月，公司董事会审议决定，用超募资金不超过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41,476.00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万元在北京中关村永丰高新技术产 业基地购买建设用地，并建设公司研发、生产及办公综合大楼。</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月，公司董事会审议决定 </w:t>
                        </w:r>
                        <w:r>
                          <w:rPr>
                            <w:rFonts w:ascii="宋体" w:hAnsi="宋体" w:cs="宋体" w:eastAsia="宋体" w:hint="default"/>
                            <w:spacing w:val="-3"/>
                            <w:sz w:val="18"/>
                            <w:szCs w:val="18"/>
                          </w:rPr>
                          <w:t>鉴于土地出让金提高、建筑及安装工程费用增加、地下停车场面积增加、根据公司业务发展情况功能</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设计变更等影响因素，同意使用部分募集资金及利息追加投资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21,184.00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万元，计划总投资预算调整</w:t>
                        </w:r>
                      </w:p>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为不超过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74,340.00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万元，并要求在工程结算完成后进行专项审计。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日，公司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4"/>
                            <w:sz w:val="18"/>
                            <w:szCs w:val="18"/>
                          </w:rPr>
                          <w:t>度股东大会通过了该项议案。截至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公司累计使用超募资金支付中关村永丰高新技</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术产业基地建设款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53,189.80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万元，占超募资金投资总额的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100.00%</w:t>
                        </w:r>
                        <w:r>
                          <w:rPr>
                            <w:rFonts w:ascii="宋体" w:hAnsi="宋体" w:cs="宋体" w:eastAsia="宋体" w:hint="default"/>
                            <w:spacing w:val="-3"/>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日，公司</w:t>
                        </w:r>
                      </w:p>
                      <w:p>
                        <w:pPr>
                          <w:pStyle w:val="TableParagraph"/>
                          <w:spacing w:line="300"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累计使用募集资金利息和超募集资金利息支付中关村永丰高新技术产业基地建设款 </w:t>
                        </w:r>
                        <w:r>
                          <w:rPr>
                            <w:rFonts w:ascii="Times New Roman" w:hAnsi="Times New Roman" w:cs="Times New Roman" w:eastAsia="Times New Roman" w:hint="default"/>
                            <w:sz w:val="18"/>
                            <w:szCs w:val="18"/>
                          </w:rPr>
                          <w:t>9,470.20</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万元， 占追加利息投资总额的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w:t>
                        </w:r>
                      </w:p>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日，超募资金结余为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611.13 </w:t>
                        </w:r>
                        <w:r>
                          <w:rPr>
                            <w:rFonts w:ascii="宋体" w:hAnsi="宋体" w:cs="宋体" w:eastAsia="宋体" w:hint="default"/>
                            <w:sz w:val="18"/>
                            <w:szCs w:val="18"/>
                          </w:rPr>
                          <w:t>万元。</w:t>
                        </w:r>
                      </w:p>
                    </w:tc>
                  </w:tr>
                  <w:tr>
                    <w:trPr>
                      <w:trHeight w:val="715"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64" w:type="dxa"/>
                        <w:vMerge/>
                        <w:tcBorders>
                          <w:left w:val="single" w:sz="4" w:space="0" w:color="000000"/>
                          <w:right w:val="single" w:sz="4" w:space="0" w:color="000000"/>
                        </w:tcBorders>
                        <w:shd w:val="clear" w:color="auto" w:fill="D2D2D2"/>
                      </w:tcPr>
                      <w:p>
                        <w:pPr/>
                      </w:p>
                    </w:tc>
                    <w:tc>
                      <w:tcPr>
                        <w:tcW w:w="7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273"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7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日公司第二届董事会第二十一次会议以及</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年度第一次临 </w:t>
                        </w:r>
                        <w:r>
                          <w:rPr>
                            <w:rFonts w:ascii="宋体" w:hAnsi="宋体" w:cs="宋体" w:eastAsia="宋体" w:hint="default"/>
                            <w:spacing w:val="-3"/>
                            <w:sz w:val="18"/>
                            <w:szCs w:val="18"/>
                          </w:rPr>
                          <w:t>时股东大会审议通过了《关于变更募投项目部分内容实施方式和实施进度的议案》，同意公司变更募</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5"/>
                            <w:sz w:val="18"/>
                            <w:szCs w:val="18"/>
                          </w:rPr>
                          <w:t>投项目部分内容的实施方式和实施进度，将原拟用于在北京海淀中关村科技园区内购买办公楼的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Times New Roman" w:hAnsi="Times New Roman" w:cs="Times New Roman" w:eastAsia="Times New Roman" w:hint="default"/>
                            <w:sz w:val="18"/>
                            <w:szCs w:val="18"/>
                          </w:rPr>
                          <w:t>11,680.00</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万元募集资金使用方式变更为自建，即用于在北京中关村永丰高新技术产业基地购买建设 用地建设公司研发、生产及办公综合大楼，该部分募集资金使用进度亦根据大楼建设进度作相应调</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3"/>
                            <w:sz w:val="18"/>
                            <w:szCs w:val="18"/>
                          </w:rPr>
                          <w:t>整。该事项不涉及募集资金使用方向的实质性变更，也不影响募投项目的具体实施。对于该事项，公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司独立董事、监事会及保荐机构均发表了明确同意意见。</w:t>
                        </w:r>
                      </w:p>
                    </w:tc>
                  </w:tr>
                  <w:tr>
                    <w:trPr>
                      <w:trHeight w:val="403"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 w:right="108"/>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日以公司自有资金垫资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8,176.38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月份已置换。</w:t>
                        </w:r>
                      </w:p>
                    </w:tc>
                  </w:tr>
                  <w:tr>
                    <w:trPr>
                      <w:trHeight w:val="715"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71"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日公司第三届董事会第四次会议审议通过《关于公司使用部分闲置募集资金和自有资</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金购买银行理财产品的议案</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同意公司使用不超过人民币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亿元额度的短期闲置募集资</w:t>
                        </w:r>
                        <w:r>
                          <w:rPr>
                            <w:rFonts w:ascii="宋体" w:hAnsi="宋体" w:cs="宋体" w:eastAsia="宋体" w:hint="default"/>
                            <w:spacing w:val="-5"/>
                            <w:sz w:val="18"/>
                            <w:szCs w:val="18"/>
                          </w:rPr>
                          <w:t>金</w:t>
                        </w:r>
                        <w:r>
                          <w:rPr>
                            <w:rFonts w:ascii="宋体" w:hAnsi="宋体" w:cs="宋体" w:eastAsia="宋体" w:hint="default"/>
                            <w:sz w:val="18"/>
                            <w:szCs w:val="18"/>
                          </w:rPr>
                          <w:t>（含超募</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pacing w:val="-4"/>
                            <w:sz w:val="18"/>
                            <w:szCs w:val="18"/>
                          </w:rPr>
                          <w:t>资金）和不超过人民币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亿元额度的短期闲置自有资金购买商业银行发行的安全性高、流动性好、保</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本型银行理财产品。在上述额度内，资金可以在</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日前进行滚动使用，相关决议自董</w:t>
                        </w:r>
                      </w:p>
                      <w:p>
                        <w:pPr>
                          <w:pStyle w:val="TableParagraph"/>
                          <w:spacing w:line="309" w:lineRule="auto" w:before="63"/>
                          <w:ind w:left="23" w:right="-34"/>
                          <w:jc w:val="both"/>
                          <w:rPr>
                            <w:rFonts w:ascii="宋体" w:hAnsi="宋体" w:cs="宋体" w:eastAsia="宋体" w:hint="default"/>
                            <w:sz w:val="18"/>
                            <w:szCs w:val="18"/>
                          </w:rPr>
                        </w:pPr>
                        <w:r>
                          <w:rPr>
                            <w:rFonts w:ascii="宋体" w:hAnsi="宋体" w:cs="宋体" w:eastAsia="宋体" w:hint="default"/>
                            <w:sz w:val="18"/>
                            <w:szCs w:val="18"/>
                          </w:rPr>
                          <w:t>事会审议通过之日起至</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日前有效。</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日公司第三届董事会第十四次会 </w:t>
                        </w:r>
                        <w:r>
                          <w:rPr>
                            <w:rFonts w:ascii="宋体" w:hAnsi="宋体" w:cs="宋体" w:eastAsia="宋体" w:hint="default"/>
                            <w:spacing w:val="-3"/>
                            <w:sz w:val="18"/>
                            <w:szCs w:val="18"/>
                          </w:rPr>
                          <w:t>议，审议通过了《关于公司使用部分闲置募集资金和自有资金购买理财产品的议案》，同意公司使用</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不超过人民币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亿元额度的短期闲置募集资金</w:t>
                        </w:r>
                        <w:r>
                          <w:rPr>
                            <w:rFonts w:ascii="Times New Roman" w:hAnsi="Times New Roman" w:cs="Times New Roman" w:eastAsia="Times New Roman" w:hint="default"/>
                            <w:sz w:val="18"/>
                            <w:szCs w:val="18"/>
                          </w:rPr>
                          <w:t>(</w:t>
                        </w:r>
                        <w:r>
                          <w:rPr>
                            <w:rFonts w:ascii="宋体" w:hAnsi="宋体" w:cs="宋体" w:eastAsia="宋体" w:hint="default"/>
                            <w:sz w:val="18"/>
                            <w:szCs w:val="18"/>
                          </w:rPr>
                          <w:t>含超募资金</w:t>
                        </w:r>
                        <w:r>
                          <w:rPr>
                            <w:rFonts w:ascii="Times New Roman" w:hAnsi="Times New Roman" w:cs="Times New Roman" w:eastAsia="Times New Roman" w:hint="default"/>
                            <w:sz w:val="18"/>
                            <w:szCs w:val="18"/>
                          </w:rPr>
                          <w:t>)</w:t>
                        </w:r>
                        <w:r>
                          <w:rPr>
                            <w:rFonts w:ascii="宋体" w:hAnsi="宋体" w:cs="宋体" w:eastAsia="宋体" w:hint="default"/>
                            <w:sz w:val="18"/>
                            <w:szCs w:val="18"/>
                          </w:rPr>
                          <w:t>和不超过人民币</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亿元额度的短期闲置自 </w:t>
                        </w:r>
                        <w:r>
                          <w:rPr>
                            <w:rFonts w:ascii="宋体" w:hAnsi="宋体" w:cs="宋体" w:eastAsia="宋体" w:hint="default"/>
                            <w:spacing w:val="-3"/>
                            <w:sz w:val="18"/>
                            <w:szCs w:val="18"/>
                          </w:rPr>
                          <w:t>有资金购买商业银行发行的安全性高、流动性好、保本型银行理财产品，在上述额度内，资金可以在</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日前进行滚动使用，相关决议自董事会审议通过之日起至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日前有效。</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日，公司使用首发募集资金购买银行理财产品的份额余额为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元，尚未使用的</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p>
      <w:pPr>
        <w:pStyle w:val="BodyText"/>
        <w:spacing w:line="240" w:lineRule="auto"/>
        <w:ind w:left="0" w:right="1049"/>
        <w:jc w:val="right"/>
      </w:pPr>
      <w:r>
        <w:rPr/>
        <w:t>。</w:t>
      </w:r>
    </w:p>
    <w:p>
      <w:pPr>
        <w:spacing w:line="240" w:lineRule="auto" w:before="4"/>
        <w:rPr>
          <w:rFonts w:ascii="宋体" w:hAnsi="宋体" w:cs="宋体" w:eastAsia="宋体" w:hint="default"/>
          <w:sz w:val="26"/>
          <w:szCs w:val="26"/>
        </w:rPr>
      </w:pPr>
    </w:p>
    <w:p>
      <w:pPr>
        <w:pStyle w:val="BodyText"/>
        <w:spacing w:line="240" w:lineRule="auto" w:before="44"/>
        <w:ind w:left="0" w:right="1035"/>
        <w:jc w:val="right"/>
      </w:pPr>
      <w:r>
        <w:rPr/>
        <w:t>，</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764"/>
        <w:gridCol w:w="7876"/>
      </w:tblGrid>
      <w:tr>
        <w:trPr>
          <w:trHeight w:val="363"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募集资金存放在募集资金专户中。</w:t>
            </w:r>
          </w:p>
        </w:tc>
      </w:tr>
      <w:tr>
        <w:trPr>
          <w:trHeight w:val="3833"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原计划在首次公开发行股票募集资金到位后第一年使用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11,680.00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万元购买办公楼，由于公司未寻找</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到合适的购买标的，将该</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11,680.00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万元募集资金使用方式由购置办公楼变更为在北京中关村永丰高</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新技术产业基地购买建设用地自主建设，原计划于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年底前完成项目建设，但实施进度将会根据</w:t>
            </w:r>
          </w:p>
          <w:p>
            <w:pPr>
              <w:pStyle w:val="TableParagraph"/>
              <w:spacing w:line="309" w:lineRule="auto" w:before="63"/>
              <w:ind w:left="23" w:right="11"/>
              <w:jc w:val="both"/>
              <w:rPr>
                <w:rFonts w:ascii="宋体" w:hAnsi="宋体" w:cs="宋体" w:eastAsia="宋体" w:hint="default"/>
                <w:sz w:val="18"/>
                <w:szCs w:val="18"/>
              </w:rPr>
            </w:pPr>
            <w:r>
              <w:rPr>
                <w:rFonts w:ascii="宋体" w:hAnsi="宋体" w:cs="宋体" w:eastAsia="宋体" w:hint="default"/>
                <w:sz w:val="18"/>
                <w:szCs w:val="18"/>
              </w:rPr>
              <w:t>项目建设进度作相应调整。公司</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日第三届董事会第十九次会议审议通过了《关于调 </w:t>
            </w:r>
            <w:r>
              <w:rPr>
                <w:rFonts w:ascii="宋体" w:hAnsi="宋体" w:cs="宋体" w:eastAsia="宋体" w:hint="default"/>
                <w:spacing w:val="-3"/>
                <w:sz w:val="18"/>
                <w:szCs w:val="18"/>
              </w:rPr>
              <w:t>整公司在北京中关村永丰高新技术产业基地建设研发、生产及办公综合大楼项目进度计划的议案》，</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同意公司变更北京中关村永丰高新技术产业基地建设项目的进度计划，由计划在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年底前完成项</w:t>
            </w:r>
          </w:p>
          <w:p>
            <w:pPr>
              <w:pStyle w:val="TableParagraph"/>
              <w:spacing w:line="240" w:lineRule="auto" w:before="5"/>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目建设变更为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年内完成项目建设。截止</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日，项目已基本建设完成。公司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p>
          <w:p>
            <w:pPr>
              <w:pStyle w:val="TableParagraph"/>
              <w:spacing w:line="309" w:lineRule="auto" w:before="63"/>
              <w:ind w:left="23" w:right="2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日第三届董事会第二十八次会议审议通过了《关于使用部分募集资金及利息追加在北京中 </w:t>
            </w:r>
            <w:r>
              <w:rPr>
                <w:rFonts w:ascii="宋体" w:hAnsi="宋体" w:cs="宋体" w:eastAsia="宋体" w:hint="default"/>
                <w:spacing w:val="-3"/>
                <w:sz w:val="18"/>
                <w:szCs w:val="18"/>
              </w:rPr>
              <w:t>关村永丰高新技术产业基地建设研发、生产及办公综合大楼投资的议案》，同意公司追加北京中关村</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11"/>
                <w:sz w:val="18"/>
                <w:szCs w:val="18"/>
              </w:rPr>
              <w:t>永丰高新技术产业基地建设项目的投资，由原计划总投资不超过 </w:t>
            </w:r>
            <w:r>
              <w:rPr>
                <w:rFonts w:ascii="Times New Roman" w:hAnsi="Times New Roman" w:cs="Times New Roman" w:eastAsia="Times New Roman" w:hint="default"/>
                <w:sz w:val="18"/>
                <w:szCs w:val="18"/>
              </w:rPr>
              <w:t>53,156.00 </w:t>
            </w:r>
            <w:r>
              <w:rPr>
                <w:rFonts w:ascii="Times New Roman" w:hAnsi="Times New Roman" w:cs="Times New Roman" w:eastAsia="Times New Roman" w:hint="default"/>
                <w:spacing w:val="38"/>
                <w:sz w:val="18"/>
                <w:szCs w:val="18"/>
              </w:rPr>
              <w:t> </w:t>
            </w:r>
            <w:r>
              <w:rPr>
                <w:rFonts w:ascii="宋体" w:hAnsi="宋体" w:cs="宋体" w:eastAsia="宋体" w:hint="default"/>
                <w:spacing w:val="9"/>
                <w:sz w:val="18"/>
                <w:szCs w:val="18"/>
              </w:rPr>
              <w:t>万元变更为不超过</w:t>
            </w:r>
          </w:p>
          <w:p>
            <w:pPr>
              <w:pStyle w:val="TableParagraph"/>
              <w:spacing w:line="300" w:lineRule="auto" w:before="5"/>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74,340.00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万元，计划增加使用不超过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11,713.80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万元的超募资金和不超过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9,470.20 </w:t>
            </w:r>
            <w:r>
              <w:rPr>
                <w:rFonts w:ascii="宋体" w:hAnsi="宋体" w:cs="宋体" w:eastAsia="宋体" w:hint="default"/>
                <w:sz w:val="18"/>
                <w:szCs w:val="18"/>
              </w:rPr>
              <w:t>万元的募集资金利 息用于北京中关村永丰高新技术产业基地建设项目。</w:t>
            </w:r>
          </w:p>
        </w:tc>
      </w:tr>
    </w:tbl>
    <w:p>
      <w:pPr>
        <w:spacing w:line="240" w:lineRule="auto" w:before="3"/>
        <w:rPr>
          <w:rFonts w:ascii="宋体" w:hAnsi="宋体" w:cs="宋体" w:eastAsia="宋体" w:hint="default"/>
          <w:sz w:val="25"/>
          <w:szCs w:val="25"/>
        </w:rPr>
      </w:pPr>
    </w:p>
    <w:p>
      <w:pPr>
        <w:pStyle w:val="Heading4"/>
        <w:spacing w:line="335" w:lineRule="exact"/>
        <w:ind w:left="2810" w:right="0"/>
        <w:jc w:val="left"/>
        <w:rPr>
          <w:b w:val="0"/>
          <w:bCs w:val="0"/>
        </w:rPr>
      </w:pPr>
      <w:r>
        <w:rPr/>
        <w:t>非公开发行募集资金 </w:t>
      </w:r>
      <w:r>
        <w:rPr>
          <w:rFonts w:ascii="Times New Roman" w:hAnsi="Times New Roman" w:cs="Times New Roman" w:eastAsia="Times New Roman" w:hint="default"/>
        </w:rPr>
        <w:t>2019</w:t>
      </w:r>
      <w:r>
        <w:rPr>
          <w:rFonts w:ascii="Times New Roman" w:hAnsi="Times New Roman" w:cs="Times New Roman" w:eastAsia="Times New Roman" w:hint="default"/>
          <w:spacing w:val="17"/>
        </w:rPr>
        <w:t> </w:t>
      </w:r>
      <w:r>
        <w:rPr/>
        <w:t>年度使用情况对照表</w:t>
      </w:r>
      <w:r>
        <w:rPr>
          <w:b w:val="0"/>
          <w:bCs w:val="0"/>
        </w:rPr>
      </w:r>
    </w:p>
    <w:p>
      <w:pPr>
        <w:spacing w:line="240" w:lineRule="auto" w:before="7"/>
        <w:rPr>
          <w:rFonts w:ascii="Microsoft JhengHei" w:hAnsi="Microsoft JhengHei" w:cs="Microsoft JhengHei" w:eastAsia="Microsoft JhengHei" w:hint="default"/>
          <w:b/>
          <w:bCs/>
          <w:sz w:val="7"/>
          <w:szCs w:val="7"/>
        </w:rPr>
      </w:pPr>
    </w:p>
    <w:p>
      <w:pPr>
        <w:pStyle w:val="BodyText"/>
        <w:spacing w:line="240" w:lineRule="auto" w:before="44"/>
        <w:ind w:left="0"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44"/>
        <w:ind w:left="0" w:right="1106"/>
        <w:jc w:val="right"/>
      </w:pPr>
      <w:r>
        <w:rPr/>
        <w:pict>
          <v:shape style="position:absolute;margin-left:58.080002pt;margin-top:-337.858276pt;width:479.15pt;height:418.0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646"/>
                    <w:gridCol w:w="905"/>
                    <w:gridCol w:w="938"/>
                    <w:gridCol w:w="850"/>
                    <w:gridCol w:w="852"/>
                    <w:gridCol w:w="708"/>
                    <w:gridCol w:w="850"/>
                    <w:gridCol w:w="853"/>
                    <w:gridCol w:w="566"/>
                    <w:gridCol w:w="636"/>
                  </w:tblGrid>
                  <w:tr>
                    <w:trPr>
                      <w:trHeight w:val="1651"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518" w:right="65"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7" w:right="47"/>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8" w:right="86"/>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1" w:right="84"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59" w:right="5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0"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60"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9" w:right="5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0" w:right="6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 w:right="41"/>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48"/>
                          <w:jc w:val="left"/>
                          <w:rPr>
                            <w:rFonts w:ascii="宋体" w:hAnsi="宋体" w:cs="宋体" w:eastAsia="宋体" w:hint="default"/>
                            <w:sz w:val="18"/>
                            <w:szCs w:val="18"/>
                          </w:rPr>
                        </w:pPr>
                        <w:r>
                          <w:rPr>
                            <w:rFonts w:ascii="宋体" w:hAnsi="宋体" w:cs="宋体" w:eastAsia="宋体" w:hint="default"/>
                            <w:spacing w:val="-12"/>
                            <w:sz w:val="18"/>
                            <w:szCs w:val="18"/>
                          </w:rPr>
                          <w:t>支付收购合肥杰发科技 有限公司股权现金对价</w:t>
                        </w:r>
                        <w:r>
                          <w:rPr>
                            <w:rFonts w:ascii="宋体" w:hAnsi="宋体" w:cs="宋体" w:eastAsia="宋体" w:hint="default"/>
                            <w:sz w:val="18"/>
                            <w:szCs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332,709.57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292,867.15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2,992.82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292,867.1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40,778.02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8"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332,709.57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292,867.15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2,992.82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292,867.1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40,778.02</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8"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3"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88"/>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288"/>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9" w:right="0"/>
                          <w:jc w:val="left"/>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332,709.57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292,867.15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2,992.82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292,867.1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40,778.02</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0"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pacing w:val="-2"/>
                            <w:sz w:val="18"/>
                            <w:szCs w:val="18"/>
                          </w:rPr>
                          <w:t>根据信永中和会计师事务所（特殊普通合伙）出具的《杰发科技业绩承诺实现情况的专项审核报告</w:t>
                        </w:r>
                      </w:p>
                      <w:p>
                        <w:pPr>
                          <w:pStyle w:val="TableParagraph"/>
                          <w:spacing w:line="300" w:lineRule="auto" w:before="74"/>
                          <w:ind w:left="23" w:right="17"/>
                          <w:jc w:val="both"/>
                          <w:rPr>
                            <w:rFonts w:ascii="宋体" w:hAnsi="宋体" w:cs="宋体" w:eastAsia="宋体" w:hint="default"/>
                            <w:sz w:val="18"/>
                            <w:szCs w:val="18"/>
                          </w:rPr>
                        </w:pP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2019BJA70189</w:t>
                        </w:r>
                        <w:r>
                          <w:rPr>
                            <w:rFonts w:ascii="宋体" w:hAnsi="宋体" w:cs="宋体" w:eastAsia="宋体" w:hint="default"/>
                            <w:spacing w:val="-5"/>
                            <w:w w:val="99"/>
                            <w:sz w:val="18"/>
                            <w:szCs w:val="18"/>
                          </w:rPr>
                          <w:t>），杰发科技</w:t>
                        </w:r>
                        <w:r>
                          <w:rPr>
                            <w:rFonts w:ascii="宋体" w:hAnsi="宋体" w:cs="宋体" w:eastAsia="宋体" w:hint="default"/>
                            <w:spacing w:val="7"/>
                            <w:w w:val="9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年度实现归属于母公司所有者的净利润为</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19,626.05</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万元，实现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业绩承诺的 </w:t>
                        </w:r>
                        <w:r>
                          <w:rPr>
                            <w:rFonts w:ascii="Times New Roman" w:hAnsi="Times New Roman" w:cs="Times New Roman" w:eastAsia="Times New Roman" w:hint="default"/>
                            <w:sz w:val="18"/>
                            <w:szCs w:val="18"/>
                          </w:rPr>
                          <w:t>105.15%</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年度实现归属于母公司所有者的净利润为 </w:t>
                        </w:r>
                        <w:r>
                          <w:rPr>
                            <w:rFonts w:ascii="Times New Roman" w:hAnsi="Times New Roman" w:cs="Times New Roman" w:eastAsia="Times New Roman" w:hint="default"/>
                            <w:sz w:val="18"/>
                            <w:szCs w:val="18"/>
                          </w:rPr>
                          <w:t>20,816.95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万元，实现业绩承 诺的 </w:t>
                        </w:r>
                        <w:r>
                          <w:rPr>
                            <w:rFonts w:ascii="Times New Roman" w:hAnsi="Times New Roman" w:cs="Times New Roman" w:eastAsia="Times New Roman" w:hint="default"/>
                            <w:sz w:val="18"/>
                            <w:szCs w:val="18"/>
                          </w:rPr>
                          <w:t>91.31%</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pacing w:val="4"/>
                            <w:sz w:val="18"/>
                            <w:szCs w:val="18"/>
                          </w:rPr>
                          <w:t>年度实现归属于母公司所有者的净利润为 </w:t>
                        </w:r>
                        <w:r>
                          <w:rPr>
                            <w:rFonts w:ascii="Times New Roman" w:hAnsi="Times New Roman" w:cs="Times New Roman" w:eastAsia="Times New Roman" w:hint="default"/>
                            <w:sz w:val="18"/>
                            <w:szCs w:val="18"/>
                          </w:rPr>
                          <w:t>19,906.12</w:t>
                        </w:r>
                        <w:r>
                          <w:rPr>
                            <w:rFonts w:ascii="Times New Roman" w:hAnsi="Times New Roman" w:cs="Times New Roman" w:eastAsia="Times New Roman" w:hint="default"/>
                            <w:spacing w:val="26"/>
                            <w:sz w:val="18"/>
                            <w:szCs w:val="18"/>
                          </w:rPr>
                          <w:t> </w:t>
                        </w:r>
                        <w:r>
                          <w:rPr>
                            <w:rFonts w:ascii="宋体" w:hAnsi="宋体" w:cs="宋体" w:eastAsia="宋体" w:hint="default"/>
                            <w:spacing w:val="4"/>
                            <w:sz w:val="18"/>
                            <w:szCs w:val="18"/>
                          </w:rPr>
                          <w:t>万元，实现业绩承诺的</w:t>
                        </w:r>
                        <w:r>
                          <w:rPr>
                            <w:rFonts w:ascii="宋体" w:hAnsi="宋体" w:cs="宋体" w:eastAsia="宋体" w:hint="default"/>
                            <w:sz w:val="18"/>
                            <w:szCs w:val="18"/>
                          </w:rPr>
                          <w:t> </w:t>
                        </w:r>
                        <w:r>
                          <w:rPr>
                            <w:rFonts w:ascii="Times New Roman" w:hAnsi="Times New Roman" w:cs="Times New Roman" w:eastAsia="Times New Roman" w:hint="default"/>
                            <w:sz w:val="18"/>
                            <w:szCs w:val="18"/>
                          </w:rPr>
                          <w:t>65.72%</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年度和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年度累计实现归属于母公司所有者的净利润为 </w:t>
                        </w:r>
                        <w:r>
                          <w:rPr>
                            <w:rFonts w:ascii="Times New Roman" w:hAnsi="Times New Roman" w:cs="Times New Roman" w:eastAsia="Times New Roman" w:hint="default"/>
                            <w:sz w:val="18"/>
                            <w:szCs w:val="18"/>
                          </w:rPr>
                          <w:t>60,349.12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w:t>
                        </w:r>
                      </w:p>
                    </w:tc>
                  </w:tr>
                </w:tbl>
                <w:p>
                  <w:pPr/>
                </w:p>
              </w:txbxContent>
            </v:textbox>
            <w10:wrap type="none"/>
          </v:shape>
        </w:pict>
      </w:r>
      <w:r>
        <w:rPr/>
        <w:t>》</w:t>
      </w:r>
    </w:p>
    <w:p>
      <w:pPr>
        <w:spacing w:after="0" w:line="240" w:lineRule="auto"/>
        <w:jc w:val="right"/>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764"/>
        <w:gridCol w:w="7804"/>
      </w:tblGrid>
      <w:tr>
        <w:trPr>
          <w:trHeight w:val="3291"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both"/>
              <w:rPr>
                <w:rFonts w:ascii="宋体" w:hAnsi="宋体" w:cs="宋体" w:eastAsia="宋体" w:hint="default"/>
                <w:sz w:val="18"/>
                <w:szCs w:val="18"/>
              </w:rPr>
            </w:pPr>
            <w:r>
              <w:rPr>
                <w:rFonts w:ascii="宋体" w:hAnsi="宋体" w:cs="宋体" w:eastAsia="宋体" w:hint="default"/>
                <w:sz w:val="18"/>
                <w:szCs w:val="18"/>
              </w:rPr>
              <w:t>元，累计实现业绩承诺的</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84.11%</w:t>
            </w:r>
            <w:r>
              <w:rPr>
                <w:rFonts w:ascii="宋体" w:hAnsi="宋体" w:cs="宋体" w:eastAsia="宋体" w:hint="default"/>
                <w:sz w:val="18"/>
                <w:szCs w:val="18"/>
              </w:rPr>
              <w:t>。</w:t>
            </w:r>
          </w:p>
          <w:p>
            <w:pPr>
              <w:pStyle w:val="TableParagraph"/>
              <w:spacing w:line="240" w:lineRule="auto" w:before="10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年杰发科技累计实现净利润低于业绩承诺，未达承诺业绩的主要原因如下：</w:t>
            </w:r>
          </w:p>
          <w:p>
            <w:pPr>
              <w:pStyle w:val="TableParagraph"/>
              <w:spacing w:line="304" w:lineRule="auto" w:before="101"/>
              <w:ind w:left="23" w:right="14"/>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年度，后装</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车机整机市场因价格竞争激烈，影响了整机厂商的生产销售积极性，导致后 装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车机整机市场发展不如预期，也影响到作为上游核心芯片供应商的杰发科技对应芯片产品的 出货量及收入。杰发科技车载功率电子芯片产品，其封装工艺先进而特殊，而合作的封装厂为首次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合作，由于生产工艺磨合等原因，造成初期生产不够稳定，影响了杰发科技相关产品在</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年度的</w:t>
            </w:r>
            <w:r>
              <w:rPr>
                <w:rFonts w:ascii="宋体" w:hAnsi="宋体" w:cs="宋体" w:eastAsia="宋体" w:hint="default"/>
                <w:spacing w:val="-86"/>
                <w:sz w:val="18"/>
                <w:szCs w:val="18"/>
              </w:rPr>
              <w:t> </w:t>
            </w:r>
            <w:r>
              <w:rPr>
                <w:rFonts w:ascii="宋体" w:hAnsi="宋体" w:cs="宋体" w:eastAsia="宋体" w:hint="default"/>
                <w:sz w:val="18"/>
                <w:szCs w:val="18"/>
              </w:rPr>
              <w:t>出货量及收入。</w:t>
            </w:r>
          </w:p>
          <w:p>
            <w:pPr>
              <w:pStyle w:val="TableParagraph"/>
              <w:spacing w:line="309" w:lineRule="auto" w:before="68"/>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年度，受国内乘用车销量下降特别是轿车销量下降的影响，杰发科技的车载信息娱乐系统 芯片销量未能达到预期；同时，车载信息娱乐系统新款芯片、微控制器芯片及胎压监测芯片研发投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入比预期要高，研发周期较预期略长，综合导致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年收入及利润均未能达成目标。</w:t>
            </w:r>
          </w:p>
        </w:tc>
      </w:tr>
      <w:tr>
        <w:trPr>
          <w:trHeight w:val="713"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5"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4" w:lineRule="auto"/>
              <w:ind w:left="24" w:right="108"/>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8"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使用自有资金垫支本次非公开发行其他发行费用 </w:t>
            </w:r>
            <w:r>
              <w:rPr>
                <w:rFonts w:ascii="Times New Roman" w:hAnsi="Times New Roman" w:cs="Times New Roman" w:eastAsia="Times New Roman" w:hint="default"/>
                <w:sz w:val="18"/>
                <w:szCs w:val="18"/>
              </w:rPr>
              <w:t>121.43</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万元；中信建投证券股份有限公司在募集资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金总额中扣除了财务顾问费用 </w:t>
            </w:r>
            <w:r>
              <w:rPr>
                <w:rFonts w:ascii="Times New Roman" w:hAnsi="Times New Roman" w:cs="Times New Roman" w:eastAsia="Times New Roman" w:hint="default"/>
                <w:sz w:val="18"/>
                <w:szCs w:val="18"/>
              </w:rPr>
              <w:t>106.00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万元，财务顾问费应由自有资金支付；该部分垫支资金已于</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月进行了资金置换。</w:t>
            </w:r>
          </w:p>
        </w:tc>
      </w:tr>
      <w:tr>
        <w:trPr>
          <w:trHeight w:val="713"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1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3" w:right="18"/>
              <w:jc w:val="left"/>
              <w:rPr>
                <w:rFonts w:ascii="宋体" w:hAnsi="宋体" w:cs="宋体" w:eastAsia="宋体" w:hint="default"/>
                <w:sz w:val="18"/>
                <w:szCs w:val="18"/>
              </w:rPr>
            </w:pPr>
            <w:r>
              <w:rPr>
                <w:rFonts w:ascii="宋体" w:hAnsi="宋体" w:cs="宋体" w:eastAsia="宋体" w:hint="default"/>
                <w:sz w:val="18"/>
                <w:szCs w:val="18"/>
              </w:rPr>
              <w:t>适用 </w:t>
            </w:r>
            <w:r>
              <w:rPr>
                <w:rFonts w:ascii="宋体" w:hAnsi="宋体" w:cs="宋体" w:eastAsia="宋体" w:hint="default"/>
                <w:spacing w:val="-4"/>
                <w:sz w:val="18"/>
                <w:szCs w:val="18"/>
              </w:rPr>
              <w:t>根据公司与重大资产重组交易对方签署的《发行股份及支付现金购买资产暨利润补偿协议》（以下简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5"/>
                <w:sz w:val="18"/>
                <w:szCs w:val="18"/>
              </w:rPr>
              <w:t>称“《资产购买协议》”）</w:t>
            </w:r>
            <w:r>
              <w:rPr>
                <w:rFonts w:ascii="Times New Roman" w:hAnsi="Times New Roman" w:cs="Times New Roman" w:eastAsia="Times New Roman" w:hint="default"/>
                <w:spacing w:val="-25"/>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交易对方承诺：杰发科技</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年和</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年实现的净利润分别为</w:t>
            </w:r>
          </w:p>
          <w:p>
            <w:pPr>
              <w:pStyle w:val="TableParagraph"/>
              <w:spacing w:line="22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18,665.07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22,798.51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30,290.37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万元，三年累计净利润为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71,753.94</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万元。在业绩承诺期</w:t>
            </w:r>
          </w:p>
          <w:p>
            <w:pPr>
              <w:pStyle w:val="TableParagraph"/>
              <w:spacing w:line="316"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满后，如杰发科技三年累计的净利润未达到承诺水平，将须根据《资产购买协议》的约定对交易对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价予以调减。在此基础上，主要交易对方雷凌科技及其控股股东联发科于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日出具补</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充承诺：根据《资产购买协议》中约定公式计算的交易对价调减金额如超过 </w:t>
            </w:r>
            <w:r>
              <w:rPr>
                <w:rFonts w:ascii="Times New Roman" w:hAnsi="Times New Roman" w:cs="Times New Roman" w:eastAsia="Times New Roman" w:hint="default"/>
                <w:sz w:val="18"/>
                <w:szCs w:val="18"/>
              </w:rPr>
              <w:t>6.4585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亿元，除其中</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6.4585 </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亿元部分仍按《资产购买协议》的约定由杰发科技全体股东对上市公司予以补偿外，超出</w:t>
            </w:r>
          </w:p>
          <w:p>
            <w:pPr>
              <w:pStyle w:val="TableParagraph"/>
              <w:spacing w:line="300"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6.4585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亿元部分的</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82.90%</w:t>
            </w:r>
            <w:r>
              <w:rPr>
                <w:rFonts w:ascii="宋体" w:hAnsi="宋体" w:cs="宋体" w:eastAsia="宋体" w:hint="default"/>
                <w:sz w:val="18"/>
                <w:szCs w:val="18"/>
              </w:rPr>
              <w:t>将由雷凌科技以人民币现金对上市公司予以补偿，联发科将以连带责任方 式承担前述补偿责任。</w:t>
            </w:r>
          </w:p>
          <w:p>
            <w:pPr>
              <w:pStyle w:val="TableParagraph"/>
              <w:spacing w:line="300" w:lineRule="auto" w:before="70"/>
              <w:ind w:left="23" w:right="16"/>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公司已累计支付现金对价</w:t>
            </w:r>
            <w:r>
              <w:rPr>
                <w:rFonts w:ascii="宋体" w:hAnsi="宋体" w:cs="宋体" w:eastAsia="宋体" w:hint="default"/>
                <w:spacing w:val="-51"/>
                <w:sz w:val="18"/>
                <w:szCs w:val="18"/>
              </w:rPr>
              <w:t> </w:t>
            </w:r>
            <w:r>
              <w:rPr>
                <w:rFonts w:ascii="Times New Roman" w:hAnsi="Times New Roman" w:cs="Times New Roman" w:eastAsia="Times New Roman" w:hint="default"/>
                <w:spacing w:val="-1"/>
                <w:sz w:val="18"/>
                <w:szCs w:val="18"/>
              </w:rPr>
              <w:t>289,874.33</w:t>
            </w:r>
            <w:r>
              <w:rPr>
                <w:rFonts w:ascii="Times New Roman" w:hAnsi="Times New Roman" w:cs="Times New Roman" w:eastAsia="Times New Roman" w:hint="default"/>
                <w:spacing w:val="-7"/>
                <w:sz w:val="18"/>
                <w:szCs w:val="18"/>
              </w:rPr>
              <w:t> </w:t>
            </w:r>
            <w:r>
              <w:rPr>
                <w:rFonts w:ascii="宋体" w:hAnsi="宋体" w:cs="宋体" w:eastAsia="宋体" w:hint="default"/>
                <w:spacing w:val="-8"/>
                <w:sz w:val="18"/>
                <w:szCs w:val="18"/>
              </w:rPr>
              <w:t>万元，尚未支付的现金对价为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64,585.00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pacing w:val="-2"/>
                <w:sz w:val="18"/>
                <w:szCs w:val="18"/>
              </w:rPr>
              <w:t>年度结束后，杰发科技因三年累计净利润未达到承诺水平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以及《资产购买协议》并经计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算，交易对价应调减金额为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61,592.18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万元，将从公司尚未支付的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64,585.00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万元现金对价中扣除，</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公司尚需支付现金对价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2,992.82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公司本次配套募集资金净额</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332,709.57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万元，截至</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日，已累计使用配套募集资金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支付现金对价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292,867.15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万元，配套募集资金节余</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39,842.42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日，已累计使用配套募集资金节余 </w:t>
            </w:r>
            <w:r>
              <w:rPr>
                <w:rFonts w:ascii="Times New Roman" w:hAnsi="Times New Roman" w:cs="Times New Roman" w:eastAsia="Times New Roman" w:hint="default"/>
                <w:sz w:val="18"/>
                <w:szCs w:val="18"/>
              </w:rPr>
              <w:t>39,842.42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万元，及累计利息及理财收益</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pStyle w:val="BodyText"/>
        <w:spacing w:line="240" w:lineRule="auto" w:before="44"/>
        <w:ind w:left="0" w:right="1106"/>
        <w:jc w:val="right"/>
      </w:pPr>
      <w:r>
        <w:rPr/>
        <w:pict>
          <v:shape style="position:absolute;margin-left:58.080002pt;margin-top:-270.538269pt;width:479.15pt;height:532.9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7804"/>
                  </w:tblGrid>
                  <w:tr>
                    <w:trPr>
                      <w:trHeight w:val="1299"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6,119.58  </w:t>
                        </w:r>
                        <w:r>
                          <w:rPr>
                            <w:rFonts w:ascii="宋体" w:hAnsi="宋体" w:cs="宋体" w:eastAsia="宋体" w:hint="default"/>
                            <w:sz w:val="18"/>
                            <w:szCs w:val="18"/>
                          </w:rPr>
                          <w:t>万元，合计金额 </w:t>
                        </w:r>
                        <w:r>
                          <w:rPr>
                            <w:rFonts w:ascii="Times New Roman" w:hAnsi="Times New Roman" w:cs="Times New Roman" w:eastAsia="Times New Roman" w:hint="default"/>
                            <w:sz w:val="18"/>
                            <w:szCs w:val="18"/>
                          </w:rPr>
                          <w:t>45,962.00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万元，用于北京中关村永丰高新技术产业基地建设项目。截至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日，配套募集资金累计利息及理财收益</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8,256.64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万元，减去用于北京中关村永丰高</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新技术产业基地建设项目</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6,119.58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万元，减去累计支付的手续费支出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万元，配套募集资金节余</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及利息、理财收益余额合计为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2,134.34 </w:t>
                        </w:r>
                        <w:r>
                          <w:rPr>
                            <w:rFonts w:ascii="宋体" w:hAnsi="宋体" w:cs="宋体" w:eastAsia="宋体" w:hint="default"/>
                            <w:sz w:val="18"/>
                            <w:szCs w:val="18"/>
                          </w:rPr>
                          <w:t>万元。</w:t>
                        </w:r>
                      </w:p>
                    </w:tc>
                  </w:tr>
                  <w:tr>
                    <w:trPr>
                      <w:trHeight w:val="578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314" w:lineRule="auto"/>
                          <w:ind w:left="24" w:right="108"/>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日公司第四届董事会第三次会议，审议通过了《关于使用部分闲置募集资金和自有</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资金购买理财产品的议案</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同</w:t>
                        </w:r>
                        <w:r>
                          <w:rPr>
                            <w:rFonts w:ascii="宋体" w:hAnsi="宋体" w:cs="宋体" w:eastAsia="宋体" w:hint="default"/>
                            <w:sz w:val="18"/>
                            <w:szCs w:val="18"/>
                          </w:rPr>
                          <w:t>意公司使用不超过人民币</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亿</w:t>
                        </w:r>
                        <w:r>
                          <w:rPr>
                            <w:rFonts w:ascii="宋体" w:hAnsi="宋体" w:cs="宋体" w:eastAsia="宋体" w:hint="default"/>
                            <w:sz w:val="18"/>
                            <w:szCs w:val="18"/>
                          </w:rPr>
                          <w:t>元额度的短期闲置募集资金</w:t>
                        </w:r>
                        <w:r>
                          <w:rPr>
                            <w:rFonts w:ascii="宋体" w:hAnsi="宋体" w:cs="宋体" w:eastAsia="宋体" w:hint="default"/>
                            <w:spacing w:val="2"/>
                            <w:sz w:val="18"/>
                            <w:szCs w:val="18"/>
                          </w:rPr>
                          <w:t>和</w:t>
                        </w:r>
                        <w:r>
                          <w:rPr>
                            <w:rFonts w:ascii="宋体" w:hAnsi="宋体" w:cs="宋体" w:eastAsia="宋体" w:hint="default"/>
                            <w:sz w:val="18"/>
                            <w:szCs w:val="18"/>
                          </w:rPr>
                          <w:t>不超过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亿元额度的短期闲置自有资金购买安全性高、流动性好、有保本约定、一年以内的短期保</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本型理财产品。在上述额度内，资金可以在</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日前进行滚动使用，相关决议自董事会</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审议通过之日起至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日前有效。该期间公司根据前述决议使用募集资金购买银行理财</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产品的收益为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851.96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日公司第四届董事会第十次会议审议通过《关于使用部分闲置募集资金和自有资金</w:t>
                        </w:r>
                      </w:p>
                      <w:p>
                        <w:pPr>
                          <w:pStyle w:val="TableParagraph"/>
                          <w:spacing w:line="309" w:lineRule="auto" w:before="63"/>
                          <w:ind w:left="23" w:right="20"/>
                          <w:jc w:val="both"/>
                          <w:rPr>
                            <w:rFonts w:ascii="宋体" w:hAnsi="宋体" w:cs="宋体" w:eastAsia="宋体" w:hint="default"/>
                            <w:sz w:val="18"/>
                            <w:szCs w:val="18"/>
                          </w:rPr>
                        </w:pPr>
                        <w:r>
                          <w:rPr>
                            <w:rFonts w:ascii="宋体" w:hAnsi="宋体" w:cs="宋体" w:eastAsia="宋体" w:hint="default"/>
                            <w:spacing w:val="-9"/>
                            <w:sz w:val="18"/>
                            <w:szCs w:val="18"/>
                          </w:rPr>
                          <w:t>购买理财产品的议案》，同意公司自</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日起，</w:t>
                        </w:r>
                        <w:r>
                          <w:rPr>
                            <w:rFonts w:ascii="宋体" w:hAnsi="宋体" w:cs="宋体" w:eastAsia="宋体" w:hint="default"/>
                            <w:spacing w:val="-37"/>
                            <w:sz w:val="18"/>
                            <w:szCs w:val="18"/>
                          </w:rPr>
                          <w:t> </w:t>
                        </w:r>
                        <w:r>
                          <w:rPr>
                            <w:rFonts w:ascii="宋体" w:hAnsi="宋体" w:cs="宋体" w:eastAsia="宋体" w:hint="default"/>
                            <w:spacing w:val="-1"/>
                            <w:sz w:val="18"/>
                            <w:szCs w:val="18"/>
                          </w:rPr>
                          <w:t>使用不超过人民币四亿元额度的短期闲置</w:t>
                        </w:r>
                        <w:r>
                          <w:rPr>
                            <w:rFonts w:ascii="宋体" w:hAnsi="宋体" w:cs="宋体" w:eastAsia="宋体" w:hint="default"/>
                            <w:sz w:val="18"/>
                            <w:szCs w:val="18"/>
                          </w:rPr>
                          <w:t> 募集资金和不超过人民币五亿元额度的短期闲置自有资金购买安全性高、流动性好、有保本约定、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一年以内的短期保本型理财产品</w:t>
                        </w:r>
                        <w:r>
                          <w:rPr>
                            <w:rFonts w:ascii="Times New Roman" w:hAnsi="Times New Roman" w:cs="Times New Roman" w:eastAsia="Times New Roman" w:hint="default"/>
                            <w:sz w:val="18"/>
                            <w:szCs w:val="18"/>
                          </w:rPr>
                          <w:t>,  </w:t>
                        </w:r>
                        <w:r>
                          <w:rPr>
                            <w:rFonts w:ascii="宋体" w:hAnsi="宋体" w:cs="宋体" w:eastAsia="宋体" w:hint="default"/>
                            <w:sz w:val="18"/>
                            <w:szCs w:val="18"/>
                          </w:rPr>
                          <w:t>在上述额度内，资金可以在</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日前进行滚动使用，</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相关决议自董事会审议通过之日起至</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日前有效。根据中国证监会发布的《上市公司</w:t>
                        </w:r>
                      </w:p>
                      <w:p>
                        <w:pPr>
                          <w:pStyle w:val="TableParagraph"/>
                          <w:spacing w:line="309"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监管指引第</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上市公司募集资金管理和使用的监管要求》及深圳证券交易所《深圳证券交易所 </w:t>
                        </w:r>
                        <w:r>
                          <w:rPr>
                            <w:rFonts w:ascii="宋体" w:hAnsi="宋体" w:cs="宋体" w:eastAsia="宋体" w:hint="default"/>
                            <w:spacing w:val="-8"/>
                            <w:sz w:val="18"/>
                            <w:szCs w:val="18"/>
                          </w:rPr>
                          <w:t>股票上市规则》、《深圳证券交易所中小企业板上市公司规范运作指引》、《北京四维图新科技股份有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限公司章程》等有关规定，该事项无须提交公司股东大会审议，自董事会审议通过之日起即可执行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该期间公司根据前述决议使用募集资金购买银行理财产品的收益为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1,583.51</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万元；其中：</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公司根据前述决议使用募集资金购买银行理财产品的收益为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1,030.52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before="46"/>
                          <w:ind w:left="23" w:right="17"/>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日，公司使用非公开发行募集资金购买银行理财产品的份额余额为</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亿元， 尚未使用的募集资金存放在募集资金专户中，用于募集资金投资项目的后续投入。</w:t>
                        </w:r>
                      </w:p>
                    </w:tc>
                  </w:tr>
                  <w:tr>
                    <w:trPr>
                      <w:trHeight w:val="356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1"/>
                          <w:ind w:left="24" w:right="108"/>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4"/>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日公司第三届董事会第二十一次会议、</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年年度股东大 会审议通过，公司本次重组拟非公开发行募集配套资金不超过</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380,000</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万元，其中，</w:t>
                        </w:r>
                        <w:r>
                          <w:rPr>
                            <w:rFonts w:ascii="Times New Roman" w:hAnsi="Times New Roman" w:cs="Times New Roman" w:eastAsia="Times New Roman" w:hint="default"/>
                            <w:spacing w:val="-4"/>
                            <w:sz w:val="18"/>
                            <w:szCs w:val="18"/>
                          </w:rPr>
                          <w:t>354,459.33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 拟用于支付本次交易标的资产现金对价，</w:t>
                        </w:r>
                        <w:r>
                          <w:rPr>
                            <w:rFonts w:ascii="Times New Roman" w:hAnsi="Times New Roman" w:cs="Times New Roman" w:eastAsia="Times New Roman" w:hint="default"/>
                            <w:sz w:val="18"/>
                            <w:szCs w:val="18"/>
                          </w:rPr>
                          <w:t>22,000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万元用于趣驾</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Welink</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项目，剩余</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3,540.67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万元用于 </w:t>
                        </w:r>
                        <w:r>
                          <w:rPr>
                            <w:rFonts w:ascii="宋体" w:hAnsi="宋体" w:cs="宋体" w:eastAsia="宋体" w:hint="default"/>
                            <w:spacing w:val="18"/>
                            <w:sz w:val="18"/>
                            <w:szCs w:val="18"/>
                          </w:rPr>
                          <w:t>支付本次交易相关费用。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10  </w:t>
                        </w:r>
                        <w:r>
                          <w:rPr>
                            <w:rFonts w:ascii="宋体" w:hAnsi="宋体" w:cs="宋体" w:eastAsia="宋体" w:hint="default"/>
                            <w:spacing w:val="19"/>
                            <w:sz w:val="18"/>
                            <w:szCs w:val="18"/>
                          </w:rPr>
                          <w:t>日公司完成配套募集资金，</w:t>
                        </w:r>
                        <w:r>
                          <w:rPr>
                            <w:rFonts w:ascii="宋体" w:hAnsi="宋体" w:cs="宋体" w:eastAsia="宋体" w:hint="default"/>
                            <w:spacing w:val="-50"/>
                            <w:sz w:val="18"/>
                            <w:szCs w:val="18"/>
                          </w:rPr>
                          <w:t> </w:t>
                        </w:r>
                        <w:r>
                          <w:rPr>
                            <w:rFonts w:ascii="宋体" w:hAnsi="宋体" w:cs="宋体" w:eastAsia="宋体" w:hint="default"/>
                            <w:spacing w:val="17"/>
                            <w:sz w:val="18"/>
                            <w:szCs w:val="18"/>
                          </w:rPr>
                          <w:t>实际募集资金净额</w:t>
                        </w:r>
                      </w:p>
                      <w:p>
                        <w:pPr>
                          <w:pStyle w:val="TableParagraph"/>
                          <w:spacing w:line="300" w:lineRule="auto" w:before="13"/>
                          <w:ind w:left="23" w:right="2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3,327,095,658.25</w:t>
                        </w:r>
                        <w:r>
                          <w:rPr>
                            <w:rFonts w:ascii="Times New Roman" w:hAnsi="Times New Roman" w:cs="Times New Roman" w:eastAsia="Times New Roman" w:hint="default"/>
                            <w:spacing w:val="30"/>
                            <w:sz w:val="18"/>
                            <w:szCs w:val="18"/>
                          </w:rPr>
                          <w:t> </w:t>
                        </w:r>
                        <w:r>
                          <w:rPr>
                            <w:rFonts w:ascii="宋体" w:hAnsi="宋体" w:cs="宋体" w:eastAsia="宋体" w:hint="default"/>
                            <w:spacing w:val="-2"/>
                            <w:sz w:val="18"/>
                            <w:szCs w:val="18"/>
                          </w:rPr>
                          <w:t>元。公司拟将前述募集资金净额全部用于支付本次交易标的资产现金对价，差额部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分公司将以自有资金支付；此外，公司拟以自有资金投资于趣驾</w:t>
                        </w:r>
                        <w:r>
                          <w:rPr>
                            <w:rFonts w:ascii="宋体" w:hAnsi="宋体" w:cs="宋体" w:eastAsia="宋体" w:hint="default"/>
                            <w:spacing w:val="-70"/>
                            <w:sz w:val="18"/>
                            <w:szCs w:val="18"/>
                          </w:rPr>
                          <w:t> </w:t>
                        </w:r>
                        <w:r>
                          <w:rPr>
                            <w:rFonts w:ascii="Times New Roman" w:hAnsi="Times New Roman" w:cs="Times New Roman" w:eastAsia="Times New Roman" w:hint="default"/>
                            <w:spacing w:val="-3"/>
                            <w:sz w:val="18"/>
                            <w:szCs w:val="18"/>
                          </w:rPr>
                          <w:t>Welink</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项目，以及支付本次交易相 关费用。</w:t>
                        </w:r>
                      </w:p>
                      <w:p>
                        <w:pPr>
                          <w:pStyle w:val="TableParagraph"/>
                          <w:spacing w:line="240" w:lineRule="auto" w:before="72"/>
                          <w:ind w:left="23" w:right="0"/>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日公司第四届董事会第十五次会议审议通过，同意公司追加北京中关村永丰高新</w:t>
                        </w:r>
                      </w:p>
                      <w:p>
                        <w:pPr>
                          <w:pStyle w:val="TableParagraph"/>
                          <w:spacing w:line="309" w:lineRule="auto" w:before="63"/>
                          <w:ind w:left="23" w:right="14"/>
                          <w:jc w:val="both"/>
                          <w:rPr>
                            <w:rFonts w:ascii="宋体" w:hAnsi="宋体" w:cs="宋体" w:eastAsia="宋体" w:hint="default"/>
                            <w:sz w:val="18"/>
                            <w:szCs w:val="18"/>
                          </w:rPr>
                        </w:pPr>
                        <w:r>
                          <w:rPr>
                            <w:rFonts w:ascii="宋体" w:hAnsi="宋体" w:cs="宋体" w:eastAsia="宋体" w:hint="default"/>
                            <w:sz w:val="18"/>
                            <w:szCs w:val="18"/>
                          </w:rPr>
                          <w:t>技术产业基地建设项目的投资，由原计划总投资不超过 </w:t>
                        </w:r>
                        <w:r>
                          <w:rPr>
                            <w:rFonts w:ascii="Times New Roman" w:hAnsi="Times New Roman" w:cs="Times New Roman" w:eastAsia="Times New Roman" w:hint="default"/>
                            <w:sz w:val="18"/>
                            <w:szCs w:val="18"/>
                          </w:rPr>
                          <w:t>74,340.00 </w:t>
                        </w:r>
                        <w:r>
                          <w:rPr>
                            <w:rFonts w:ascii="宋体" w:hAnsi="宋体" w:cs="宋体" w:eastAsia="宋体" w:hint="default"/>
                            <w:sz w:val="18"/>
                            <w:szCs w:val="18"/>
                          </w:rPr>
                          <w:t>万元变更为不超过 </w:t>
                        </w:r>
                        <w:r>
                          <w:rPr>
                            <w:rFonts w:ascii="Times New Roman" w:hAnsi="Times New Roman" w:cs="Times New Roman" w:eastAsia="Times New Roman" w:hint="default"/>
                            <w:sz w:val="18"/>
                            <w:szCs w:val="18"/>
                          </w:rPr>
                          <w:t>120,302.00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 元，计划增加使用重大资产重组配套募集资金投资项目节余的募集资金及累计利息及理财收益，不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45,962.00 </w:t>
                        </w:r>
                        <w:r>
                          <w:rPr>
                            <w:rFonts w:ascii="宋体" w:hAnsi="宋体" w:cs="宋体" w:eastAsia="宋体" w:hint="default"/>
                            <w:sz w:val="18"/>
                            <w:szCs w:val="18"/>
                          </w:rPr>
                          <w:t>万元，用于北京中关村永丰高新技术产业基地建设项目。</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4"/>
        <w:spacing w:line="335" w:lineRule="exact"/>
        <w:ind w:left="1230" w:right="0"/>
        <w:jc w:val="left"/>
        <w:rPr>
          <w:b w:val="0"/>
          <w:bCs w:val="0"/>
        </w:rPr>
      </w:pPr>
      <w:r>
        <w:rPr/>
        <w:t>面向合格投资者公开发行公司债券（第一期）募集资金 </w:t>
      </w:r>
      <w:r>
        <w:rPr>
          <w:rFonts w:ascii="Times New Roman" w:hAnsi="Times New Roman" w:cs="Times New Roman" w:eastAsia="Times New Roman" w:hint="default"/>
        </w:rPr>
        <w:t>2019</w:t>
      </w:r>
      <w:r>
        <w:rPr>
          <w:rFonts w:ascii="Times New Roman" w:hAnsi="Times New Roman" w:cs="Times New Roman" w:eastAsia="Times New Roman" w:hint="default"/>
          <w:spacing w:val="25"/>
        </w:rPr>
        <w:t> </w:t>
      </w:r>
      <w:r>
        <w:rPr/>
        <w:t>年度使用情况对照表</w:t>
      </w:r>
      <w:r>
        <w:rPr>
          <w:b w:val="0"/>
          <w:bCs w:val="0"/>
        </w:rPr>
      </w:r>
    </w:p>
    <w:p>
      <w:pPr>
        <w:spacing w:line="240" w:lineRule="auto" w:before="6"/>
        <w:rPr>
          <w:rFonts w:ascii="Microsoft JhengHei" w:hAnsi="Microsoft JhengHei" w:cs="Microsoft JhengHei" w:eastAsia="Microsoft JhengHei" w:hint="default"/>
          <w:b/>
          <w:bCs/>
          <w:sz w:val="12"/>
          <w:szCs w:val="12"/>
        </w:rPr>
      </w:pPr>
    </w:p>
    <w:p>
      <w:pPr>
        <w:pStyle w:val="BodyText"/>
        <w:spacing w:line="240" w:lineRule="auto" w:before="44"/>
        <w:ind w:left="0" w:right="1131"/>
        <w:jc w:val="right"/>
      </w:pPr>
      <w:r>
        <w:rPr/>
        <w:t>单位：万元</w:t>
      </w:r>
    </w:p>
    <w:p>
      <w:pPr>
        <w:spacing w:line="240" w:lineRule="auto" w:before="0"/>
        <w:rPr>
          <w:rFonts w:ascii="宋体" w:hAnsi="宋体" w:cs="宋体" w:eastAsia="宋体"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1764"/>
        <w:gridCol w:w="646"/>
        <w:gridCol w:w="905"/>
        <w:gridCol w:w="938"/>
        <w:gridCol w:w="850"/>
        <w:gridCol w:w="852"/>
        <w:gridCol w:w="708"/>
        <w:gridCol w:w="708"/>
        <w:gridCol w:w="853"/>
        <w:gridCol w:w="708"/>
        <w:gridCol w:w="636"/>
      </w:tblGrid>
      <w:tr>
        <w:trPr>
          <w:trHeight w:val="1650"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518" w:right="65"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7" w:right="47"/>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8" w:right="86"/>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1" w:right="84"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59" w:right="5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0"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60"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7"/>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9" w:right="6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7"/>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 w:right="41"/>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bl>
    <w:p>
      <w:pPr>
        <w:spacing w:after="0" w:line="316"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764"/>
        <w:gridCol w:w="646"/>
        <w:gridCol w:w="905"/>
        <w:gridCol w:w="938"/>
        <w:gridCol w:w="850"/>
        <w:gridCol w:w="852"/>
        <w:gridCol w:w="708"/>
        <w:gridCol w:w="708"/>
        <w:gridCol w:w="853"/>
        <w:gridCol w:w="708"/>
        <w:gridCol w:w="636"/>
      </w:tblGrid>
      <w:tr>
        <w:trPr>
          <w:trHeight w:val="401"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3"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6"/>
                <w:sz w:val="18"/>
              </w:rPr>
              <w:t>5,000.00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6"/>
                <w:sz w:val="18"/>
              </w:rPr>
              <w:t>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5"/>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6"/>
                <w:sz w:val="18"/>
              </w:rPr>
              <w:t>5,000.00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8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6"/>
                <w:sz w:val="18"/>
              </w:rPr>
              <w:t>5,000.00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6"/>
                <w:sz w:val="18"/>
              </w:rPr>
              <w:t>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5"/>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6"/>
                <w:sz w:val="18"/>
              </w:rPr>
              <w:t>5,000.00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8"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4" w:right="288"/>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88"/>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59" w:right="0"/>
              <w:jc w:val="left"/>
              <w:rPr>
                <w:rFonts w:ascii="Times New Roman" w:hAnsi="Times New Roman" w:cs="Times New Roman" w:eastAsia="Times New Roman" w:hint="default"/>
                <w:sz w:val="18"/>
                <w:szCs w:val="18"/>
              </w:rPr>
            </w:pPr>
            <w:r>
              <w:rPr>
                <w:rFonts w:ascii="Times New Roman"/>
                <w:sz w:val="18"/>
              </w:rPr>
              <w:t>--</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5"/>
              <w:jc w:val="right"/>
              <w:rPr>
                <w:rFonts w:ascii="Times New Roman" w:hAnsi="Times New Roman" w:cs="Times New Roman" w:eastAsia="Times New Roman" w:hint="default"/>
                <w:sz w:val="18"/>
                <w:szCs w:val="18"/>
              </w:rPr>
            </w:pPr>
            <w:r>
              <w:rPr>
                <w:rFonts w:ascii="Times New Roman"/>
                <w:spacing w:val="-6"/>
                <w:sz w:val="18"/>
              </w:rPr>
              <w:t>5,000.00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5"/>
              <w:jc w:val="right"/>
              <w:rPr>
                <w:rFonts w:ascii="Times New Roman" w:hAnsi="Times New Roman" w:cs="Times New Roman" w:eastAsia="Times New Roman" w:hint="default"/>
                <w:sz w:val="18"/>
                <w:szCs w:val="18"/>
              </w:rPr>
            </w:pPr>
            <w:r>
              <w:rPr>
                <w:rFonts w:ascii="Times New Roman"/>
                <w:spacing w:val="-6"/>
                <w:sz w:val="18"/>
              </w:rPr>
              <w:t>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3"/>
              <w:jc w:val="right"/>
              <w:rPr>
                <w:rFonts w:ascii="Times New Roman" w:hAnsi="Times New Roman" w:cs="Times New Roman" w:eastAsia="Times New Roman" w:hint="default"/>
                <w:sz w:val="18"/>
                <w:szCs w:val="18"/>
              </w:rPr>
            </w:pPr>
            <w:r>
              <w:rPr>
                <w:rFonts w:ascii="Times New Roman"/>
                <w:spacing w:val="-5"/>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6"/>
                <w:sz w:val="18"/>
              </w:rPr>
              <w:t>5,000.00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31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31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无此情况</w:t>
            </w:r>
          </w:p>
        </w:tc>
      </w:tr>
      <w:tr>
        <w:trPr>
          <w:trHeight w:val="715"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08"/>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3"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08"/>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08"/>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08"/>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08"/>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日公司第三届董事会第二十二次会议，审议通过《关于公司符合面向合格投资者 </w:t>
            </w:r>
            <w:r>
              <w:rPr>
                <w:rFonts w:ascii="宋体" w:hAnsi="宋体" w:cs="宋体" w:eastAsia="宋体" w:hint="default"/>
                <w:spacing w:val="-3"/>
                <w:sz w:val="18"/>
                <w:szCs w:val="18"/>
              </w:rPr>
              <w:t>公开发行公司债券条件的议案》，本次公司债券的募集资金拟用于补充公司流动资金。具体募集资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金用途提请股东大会授权董事会根据公司财务状况与资金需求情况，在上述范围内确定。</w:t>
            </w:r>
          </w:p>
        </w:tc>
      </w:tr>
      <w:tr>
        <w:trPr>
          <w:trHeight w:val="102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08"/>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after="0" w:line="338" w:lineRule="auto"/>
        <w:jc w:val="left"/>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六、重大资产和股权出售</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2"/>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102"/>
        <w:gridCol w:w="850"/>
        <w:gridCol w:w="710"/>
        <w:gridCol w:w="567"/>
        <w:gridCol w:w="708"/>
        <w:gridCol w:w="850"/>
        <w:gridCol w:w="711"/>
        <w:gridCol w:w="708"/>
        <w:gridCol w:w="425"/>
        <w:gridCol w:w="425"/>
        <w:gridCol w:w="425"/>
        <w:gridCol w:w="569"/>
        <w:gridCol w:w="566"/>
        <w:gridCol w:w="950"/>
      </w:tblGrid>
      <w:tr>
        <w:trPr>
          <w:trHeight w:val="5395"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331" w:right="59" w:hanging="272"/>
              <w:jc w:val="left"/>
              <w:rPr>
                <w:rFonts w:ascii="宋体" w:hAnsi="宋体" w:cs="宋体" w:eastAsia="宋体" w:hint="default"/>
                <w:sz w:val="18"/>
                <w:szCs w:val="18"/>
              </w:rPr>
            </w:pPr>
            <w:r>
              <w:rPr>
                <w:rFonts w:ascii="宋体" w:hAnsi="宋体" w:cs="宋体" w:eastAsia="宋体" w:hint="default"/>
                <w:sz w:val="18"/>
                <w:szCs w:val="18"/>
              </w:rPr>
              <w:t>被出售股 权</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6" w:lineRule="auto" w:before="19"/>
              <w:ind w:left="98" w:right="96"/>
              <w:jc w:val="left"/>
              <w:rPr>
                <w:rFonts w:ascii="宋体" w:hAnsi="宋体" w:cs="宋体" w:eastAsia="宋体" w:hint="default"/>
                <w:sz w:val="18"/>
                <w:szCs w:val="18"/>
              </w:rPr>
            </w:pPr>
            <w:r>
              <w:rPr>
                <w:rFonts w:ascii="宋体" w:hAnsi="宋体" w:cs="宋体" w:eastAsia="宋体" w:hint="default"/>
                <w:sz w:val="18"/>
                <w:szCs w:val="18"/>
              </w:rPr>
              <w:t>（万 元）</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79" w:right="77"/>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60" w:right="59"/>
              <w:jc w:val="left"/>
              <w:rPr>
                <w:rFonts w:ascii="宋体" w:hAnsi="宋体" w:cs="宋体" w:eastAsia="宋体" w:hint="default"/>
                <w:sz w:val="18"/>
                <w:szCs w:val="18"/>
              </w:rPr>
            </w:pPr>
            <w:r>
              <w:rPr>
                <w:rFonts w:ascii="宋体" w:hAnsi="宋体" w:cs="宋体" w:eastAsia="宋体" w:hint="default"/>
                <w:sz w:val="18"/>
                <w:szCs w:val="18"/>
              </w:rPr>
              <w:t>出售对公 司的影响</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79" w:right="81"/>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8" w:right="24"/>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8" w:right="24"/>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8" w:right="24"/>
              <w:jc w:val="both"/>
              <w:rPr>
                <w:rFonts w:ascii="宋体" w:hAnsi="宋体" w:cs="宋体" w:eastAsia="宋体" w:hint="default"/>
                <w:sz w:val="18"/>
                <w:szCs w:val="18"/>
              </w:rPr>
            </w:pPr>
            <w:r>
              <w:rPr>
                <w:rFonts w:ascii="宋体" w:hAnsi="宋体" w:cs="宋体" w:eastAsia="宋体" w:hint="default"/>
                <w:sz w:val="18"/>
                <w:szCs w:val="18"/>
              </w:rPr>
              <w:t>所涉 及的 股权 是否 已全 部过 户</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 w:right="98"/>
              <w:jc w:val="both"/>
              <w:rPr>
                <w:rFonts w:ascii="宋体" w:hAnsi="宋体" w:cs="宋体" w:eastAsia="宋体" w:hint="default"/>
                <w:sz w:val="18"/>
                <w:szCs w:val="18"/>
              </w:rPr>
            </w:pPr>
            <w:r>
              <w:rPr>
                <w:rFonts w:ascii="宋体" w:hAnsi="宋体" w:cs="宋体" w:eastAsia="宋体" w:hint="default"/>
                <w:sz w:val="18"/>
                <w:szCs w:val="18"/>
              </w:rPr>
              <w:t>是否 按计 划如 期实 施， 如未 按计 划实 施， 应当 说明 原因 及公 司已 采取 的措 施</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102"/>
        <w:gridCol w:w="850"/>
        <w:gridCol w:w="710"/>
        <w:gridCol w:w="567"/>
        <w:gridCol w:w="708"/>
        <w:gridCol w:w="850"/>
        <w:gridCol w:w="711"/>
        <w:gridCol w:w="708"/>
        <w:gridCol w:w="425"/>
        <w:gridCol w:w="425"/>
        <w:gridCol w:w="425"/>
        <w:gridCol w:w="569"/>
        <w:gridCol w:w="566"/>
        <w:gridCol w:w="950"/>
      </w:tblGrid>
      <w:tr>
        <w:trPr>
          <w:trHeight w:val="633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6"/>
              <w:jc w:val="both"/>
              <w:rPr>
                <w:rFonts w:ascii="宋体" w:hAnsi="宋体" w:cs="宋体" w:eastAsia="宋体" w:hint="default"/>
                <w:sz w:val="18"/>
                <w:szCs w:val="18"/>
              </w:rPr>
            </w:pPr>
            <w:r>
              <w:rPr>
                <w:rFonts w:ascii="宋体" w:hAnsi="宋体" w:cs="宋体" w:eastAsia="宋体" w:hint="default"/>
                <w:sz w:val="18"/>
                <w:szCs w:val="18"/>
              </w:rPr>
              <w:t>中国电信集 团投资有限 公司、梅山 保税区智位 投资管理</w:t>
            </w:r>
          </w:p>
          <w:p>
            <w:pPr>
              <w:pStyle w:val="TableParagraph"/>
              <w:spacing w:line="316" w:lineRule="auto" w:before="19"/>
              <w:ind w:left="24" w:right="77"/>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16"/>
                <w:sz w:val="18"/>
                <w:szCs w:val="18"/>
              </w:rPr>
              <w:t>伙）、中国互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联网投资基 金（有限合 </w:t>
            </w:r>
            <w:r>
              <w:rPr>
                <w:rFonts w:ascii="宋体" w:hAnsi="宋体" w:cs="宋体" w:eastAsia="宋体" w:hint="default"/>
                <w:spacing w:val="-16"/>
                <w:sz w:val="18"/>
                <w:szCs w:val="18"/>
              </w:rPr>
              <w:t>伙）、上海洪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鑫源实业有 限公司、北 京北斗通企 业管理有限 公司、重庆 南方工业股 权投资基金 合伙企业</w:t>
            </w:r>
          </w:p>
          <w:p>
            <w:pPr>
              <w:pStyle w:val="TableParagraph"/>
              <w:spacing w:line="316" w:lineRule="auto" w:before="19"/>
              <w:ind w:left="24" w:right="346"/>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9"/>
              <w:ind w:left="23" w:right="95"/>
              <w:jc w:val="both"/>
              <w:rPr>
                <w:rFonts w:ascii="宋体" w:hAnsi="宋体" w:cs="宋体" w:eastAsia="宋体" w:hint="default"/>
                <w:sz w:val="18"/>
                <w:szCs w:val="18"/>
              </w:rPr>
            </w:pPr>
            <w:r>
              <w:rPr>
                <w:rFonts w:ascii="宋体" w:hAnsi="宋体" w:cs="宋体" w:eastAsia="宋体" w:hint="default"/>
                <w:sz w:val="18"/>
                <w:szCs w:val="18"/>
              </w:rPr>
              <w:t>公司所持 有的北京 六分科技 有限公司 </w:t>
            </w:r>
            <w:r>
              <w:rPr>
                <w:rFonts w:ascii="Times New Roman" w:hAnsi="Times New Roman" w:cs="Times New Roman" w:eastAsia="Times New Roman" w:hint="default"/>
                <w:sz w:val="18"/>
                <w:szCs w:val="18"/>
              </w:rPr>
              <w:t>4.82%</w:t>
            </w:r>
            <w:r>
              <w:rPr>
                <w:rFonts w:ascii="宋体" w:hAnsi="宋体" w:cs="宋体" w:eastAsia="宋体" w:hint="default"/>
                <w:sz w:val="18"/>
                <w:szCs w:val="18"/>
              </w:rPr>
              <w:t>的</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5,400.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62" w:lineRule="auto"/>
              <w:ind w:left="45" w:right="18" w:firstLine="57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1,467.60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23" w:right="93"/>
              <w:jc w:val="left"/>
              <w:rPr>
                <w:rFonts w:ascii="宋体" w:hAnsi="宋体" w:cs="宋体" w:eastAsia="宋体" w:hint="default"/>
                <w:sz w:val="18"/>
                <w:szCs w:val="18"/>
              </w:rPr>
            </w:pPr>
            <w:r>
              <w:rPr>
                <w:rFonts w:ascii="宋体" w:hAnsi="宋体" w:cs="宋体" w:eastAsia="宋体" w:hint="default"/>
                <w:sz w:val="18"/>
                <w:szCs w:val="18"/>
              </w:rPr>
              <w:t>出售对公 司连续 性、稳定 性均无影 响，交易 导致公司 净利润增 加</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44,217.60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144.28%</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协议价 格</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62" w:lineRule="auto" w:before="130"/>
              <w:ind w:left="24" w:right="22"/>
              <w:jc w:val="both"/>
              <w:rPr>
                <w:rFonts w:ascii="Times New Roman" w:hAnsi="Times New Roman" w:cs="Times New Roman" w:eastAsia="Times New Roman" w:hint="default"/>
                <w:sz w:val="18"/>
                <w:szCs w:val="18"/>
              </w:rPr>
            </w:pPr>
            <w:hyperlink r:id="rId16">
              <w:r>
                <w:rPr>
                  <w:rFonts w:ascii="Times New Roman"/>
                  <w:sz w:val="18"/>
                </w:rPr>
                <w:t>http://www.</w:t>
              </w:r>
            </w:hyperlink>
            <w:r>
              <w:rPr>
                <w:rFonts w:ascii="Times New Roman"/>
                <w:sz w:val="18"/>
              </w:rPr>
              <w:t> cninfo.com. cn/new/disc</w:t>
            </w:r>
            <w:r>
              <w:rPr>
                <w:rFonts w:ascii="Times New Roman"/>
                <w:w w:val="100"/>
                <w:sz w:val="18"/>
              </w:rPr>
              <w:t> </w:t>
            </w:r>
            <w:r>
              <w:rPr>
                <w:rFonts w:ascii="Times New Roman"/>
                <w:sz w:val="18"/>
              </w:rPr>
              <w:t>losure/detail</w:t>
            </w:r>
          </w:p>
          <w:p>
            <w:pPr>
              <w:pStyle w:val="TableParagraph"/>
              <w:spacing w:line="362" w:lineRule="auto" w:before="3"/>
              <w:ind w:left="24" w:right="53"/>
              <w:jc w:val="both"/>
              <w:rPr>
                <w:rFonts w:ascii="Times New Roman" w:hAnsi="Times New Roman" w:cs="Times New Roman" w:eastAsia="Times New Roman" w:hint="default"/>
                <w:sz w:val="18"/>
                <w:szCs w:val="18"/>
              </w:rPr>
            </w:pPr>
            <w:r>
              <w:rPr>
                <w:rFonts w:ascii="Times New Roman"/>
                <w:sz w:val="18"/>
              </w:rPr>
              <w:t>?plate=szse</w:t>
            </w:r>
            <w:r>
              <w:rPr>
                <w:rFonts w:ascii="Times New Roman"/>
                <w:w w:val="100"/>
                <w:sz w:val="18"/>
              </w:rPr>
              <w:t> </w:t>
            </w:r>
            <w:r>
              <w:rPr>
                <w:rFonts w:ascii="Times New Roman"/>
                <w:sz w:val="18"/>
              </w:rPr>
              <w:t>&amp;orgId=99</w:t>
            </w:r>
            <w:r>
              <w:rPr>
                <w:rFonts w:ascii="Times New Roman"/>
                <w:sz w:val="18"/>
              </w:rPr>
              <w:t> 00012447&amp;</w:t>
            </w:r>
          </w:p>
          <w:p>
            <w:pPr>
              <w:pStyle w:val="TableParagraph"/>
              <w:spacing w:line="362" w:lineRule="auto" w:before="4"/>
              <w:ind w:left="24" w:right="33"/>
              <w:jc w:val="both"/>
              <w:rPr>
                <w:rFonts w:ascii="Times New Roman" w:hAnsi="Times New Roman" w:cs="Times New Roman" w:eastAsia="Times New Roman" w:hint="default"/>
                <w:sz w:val="18"/>
                <w:szCs w:val="18"/>
              </w:rPr>
            </w:pPr>
            <w:r>
              <w:rPr>
                <w:rFonts w:ascii="Times New Roman"/>
                <w:sz w:val="18"/>
              </w:rPr>
              <w:t>stockCode=</w:t>
            </w:r>
            <w:r>
              <w:rPr>
                <w:rFonts w:ascii="Times New Roman"/>
                <w:w w:val="100"/>
                <w:sz w:val="18"/>
              </w:rPr>
              <w:t> </w:t>
            </w:r>
            <w:r>
              <w:rPr>
                <w:rFonts w:ascii="Times New Roman"/>
                <w:sz w:val="18"/>
              </w:rPr>
              <w:t>002405&amp;an</w:t>
            </w:r>
            <w:r>
              <w:rPr>
                <w:rFonts w:ascii="Times New Roman"/>
                <w:sz w:val="18"/>
              </w:rPr>
              <w:t> nouncement</w:t>
            </w:r>
            <w:r>
              <w:rPr>
                <w:rFonts w:ascii="Times New Roman"/>
                <w:w w:val="100"/>
                <w:sz w:val="18"/>
              </w:rPr>
              <w:t> </w:t>
            </w:r>
            <w:r>
              <w:rPr>
                <w:rFonts w:ascii="Times New Roman"/>
                <w:sz w:val="18"/>
              </w:rPr>
              <w:t>Id=1207152</w:t>
            </w:r>
          </w:p>
          <w:p>
            <w:pPr>
              <w:pStyle w:val="TableParagraph"/>
              <w:spacing w:line="362" w:lineRule="auto" w:before="3"/>
              <w:ind w:left="24" w:right="64"/>
              <w:jc w:val="left"/>
              <w:rPr>
                <w:rFonts w:ascii="Times New Roman" w:hAnsi="Times New Roman" w:cs="Times New Roman" w:eastAsia="Times New Roman" w:hint="default"/>
                <w:sz w:val="18"/>
                <w:szCs w:val="18"/>
              </w:rPr>
            </w:pPr>
            <w:r>
              <w:rPr>
                <w:rFonts w:ascii="Times New Roman"/>
                <w:sz w:val="18"/>
              </w:rPr>
              <w:t>075&amp;annou ncementTi</w:t>
            </w:r>
            <w:r>
              <w:rPr>
                <w:rFonts w:ascii="Times New Roman"/>
                <w:w w:val="100"/>
                <w:sz w:val="18"/>
              </w:rPr>
              <w:t> </w:t>
            </w:r>
            <w:r>
              <w:rPr>
                <w:rFonts w:ascii="Times New Roman"/>
                <w:sz w:val="18"/>
              </w:rPr>
              <w:t>me=2019-</w:t>
            </w:r>
            <w:r>
              <w:rPr>
                <w:rFonts w:ascii="Times New Roman"/>
                <w:w w:val="100"/>
                <w:sz w:val="18"/>
              </w:rPr>
              <w:t> </w:t>
            </w:r>
            <w:r>
              <w:rPr>
                <w:rFonts w:ascii="Times New Roman"/>
                <w:spacing w:val="-4"/>
                <w:sz w:val="18"/>
              </w:rPr>
              <w:t>12-11</w:t>
            </w:r>
            <w:r>
              <w:rPr>
                <w:rFonts w:ascii="Times New Roman"/>
                <w:sz w:val="18"/>
              </w:rPr>
            </w:r>
          </w:p>
        </w:tc>
      </w:tr>
      <w:tr>
        <w:trPr>
          <w:trHeight w:val="134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66"/>
              <w:jc w:val="both"/>
              <w:rPr>
                <w:rFonts w:ascii="宋体" w:hAnsi="宋体" w:cs="宋体" w:eastAsia="宋体" w:hint="default"/>
                <w:sz w:val="18"/>
                <w:szCs w:val="18"/>
              </w:rPr>
            </w:pPr>
            <w:r>
              <w:rPr>
                <w:rFonts w:ascii="宋体" w:hAnsi="宋体" w:cs="宋体" w:eastAsia="宋体" w:hint="default"/>
                <w:sz w:val="18"/>
                <w:szCs w:val="18"/>
              </w:rPr>
              <w:t>北京四维互 联基金管理 中心（有限 合伙）</w:t>
            </w:r>
          </w:p>
        </w:tc>
        <w:tc>
          <w:tcPr>
            <w:tcW w:w="850"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4" w:right="29"/>
              <w:jc w:val="both"/>
              <w:rPr>
                <w:rFonts w:ascii="宋体" w:hAnsi="宋体" w:cs="宋体" w:eastAsia="宋体" w:hint="default"/>
                <w:sz w:val="18"/>
                <w:szCs w:val="18"/>
              </w:rPr>
            </w:pPr>
            <w:r>
              <w:rPr>
                <w:rFonts w:ascii="宋体" w:hAnsi="宋体" w:cs="宋体" w:eastAsia="宋体" w:hint="default"/>
                <w:sz w:val="18"/>
                <w:szCs w:val="18"/>
              </w:rPr>
              <w:t>公司 联营 企业</w:t>
            </w:r>
          </w:p>
        </w:tc>
        <w:tc>
          <w:tcPr>
            <w:tcW w:w="425"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8"/>
          <w:szCs w:val="18"/>
        </w:rPr>
      </w:pPr>
    </w:p>
    <w:p>
      <w:pPr>
        <w:pStyle w:val="Heading2"/>
        <w:spacing w:line="367" w:lineRule="exact"/>
        <w:ind w:right="0"/>
        <w:jc w:val="left"/>
        <w:rPr>
          <w:b w:val="0"/>
          <w:bCs w:val="0"/>
        </w:rPr>
      </w:pPr>
      <w:r>
        <w:rPr/>
        <w:t>七、主要控股参股公司分析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1910" w:h="16840"/>
          <w:pgMar w:header="748" w:footer="979"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960"/>
        <w:gridCol w:w="708"/>
        <w:gridCol w:w="850"/>
        <w:gridCol w:w="1136"/>
        <w:gridCol w:w="991"/>
        <w:gridCol w:w="994"/>
        <w:gridCol w:w="1274"/>
        <w:gridCol w:w="1277"/>
        <w:gridCol w:w="1378"/>
      </w:tblGrid>
      <w:tr>
        <w:trPr>
          <w:trHeight w:val="713"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9" w:right="77"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4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z w:val="18"/>
                <w:szCs w:val="18"/>
              </w:rPr>
              <w:t>北京世纪高 通科技有限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95"/>
              <w:jc w:val="both"/>
              <w:rPr>
                <w:rFonts w:ascii="宋体" w:hAnsi="宋体" w:cs="宋体" w:eastAsia="宋体" w:hint="default"/>
                <w:sz w:val="18"/>
                <w:szCs w:val="18"/>
              </w:rPr>
            </w:pPr>
            <w:r>
              <w:rPr>
                <w:rFonts w:ascii="宋体" w:hAnsi="宋体" w:cs="宋体" w:eastAsia="宋体" w:hint="default"/>
                <w:sz w:val="18"/>
                <w:szCs w:val="18"/>
              </w:rPr>
              <w:t>位置大数 据及动态 交通信息 服务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41"/>
              <w:jc w:val="center"/>
              <w:rPr>
                <w:rFonts w:ascii="Times New Roman" w:hAnsi="Times New Roman" w:cs="Times New Roman" w:eastAsia="Times New Roman" w:hint="default"/>
                <w:sz w:val="18"/>
                <w:szCs w:val="18"/>
              </w:rPr>
            </w:pPr>
            <w:r>
              <w:rPr>
                <w:rFonts w:ascii="Times New Roman"/>
                <w:sz w:val="18"/>
              </w:rPr>
              <w:t>46,000,000.00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278,585,589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198,402,228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289,630,912.67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103,634,279.09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99,354,080.87</w:t>
            </w:r>
          </w:p>
        </w:tc>
      </w:tr>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both"/>
              <w:rPr>
                <w:rFonts w:ascii="宋体" w:hAnsi="宋体" w:cs="宋体" w:eastAsia="宋体" w:hint="default"/>
                <w:sz w:val="18"/>
                <w:szCs w:val="18"/>
              </w:rPr>
            </w:pPr>
            <w:r>
              <w:rPr>
                <w:rFonts w:ascii="宋体" w:hAnsi="宋体" w:cs="宋体" w:eastAsia="宋体" w:hint="default"/>
                <w:sz w:val="18"/>
                <w:szCs w:val="18"/>
              </w:rPr>
              <w:t>中寰卫星导 航通信有限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95"/>
              <w:jc w:val="left"/>
              <w:rPr>
                <w:rFonts w:ascii="宋体" w:hAnsi="宋体" w:cs="宋体" w:eastAsia="宋体" w:hint="default"/>
                <w:sz w:val="18"/>
                <w:szCs w:val="18"/>
              </w:rPr>
            </w:pPr>
            <w:r>
              <w:rPr>
                <w:rFonts w:ascii="宋体" w:hAnsi="宋体" w:cs="宋体" w:eastAsia="宋体" w:hint="default"/>
                <w:sz w:val="18"/>
                <w:szCs w:val="18"/>
              </w:rPr>
              <w:t>商用车联 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152,257,200.0</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300,127,501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197,509,022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357,750,895.26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-41,918,163.13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-42,966,121.91</w:t>
            </w:r>
          </w:p>
        </w:tc>
      </w:tr>
      <w:tr>
        <w:trPr>
          <w:trHeight w:val="7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合肥杰发科 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汽车电子 芯片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1"/>
              <w:jc w:val="center"/>
              <w:rPr>
                <w:rFonts w:ascii="Times New Roman" w:hAnsi="Times New Roman" w:cs="Times New Roman" w:eastAsia="Times New Roman" w:hint="default"/>
                <w:sz w:val="18"/>
                <w:szCs w:val="18"/>
              </w:rPr>
            </w:pPr>
            <w:r>
              <w:rPr>
                <w:rFonts w:ascii="Times New Roman"/>
                <w:sz w:val="18"/>
              </w:rPr>
              <w:t>40,414,277.00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1,211,726,8</w:t>
            </w:r>
          </w:p>
          <w:p>
            <w:pPr>
              <w:pStyle w:val="TableParagraph"/>
              <w:spacing w:line="240" w:lineRule="auto" w:before="105"/>
              <w:ind w:left="554" w:right="0"/>
              <w:jc w:val="left"/>
              <w:rPr>
                <w:rFonts w:ascii="Times New Roman" w:hAnsi="Times New Roman" w:cs="Times New Roman" w:eastAsia="Times New Roman" w:hint="default"/>
                <w:sz w:val="18"/>
                <w:szCs w:val="18"/>
              </w:rPr>
            </w:pPr>
            <w:r>
              <w:rPr>
                <w:rFonts w:ascii="Times New Roman"/>
                <w:sz w:val="18"/>
              </w:rPr>
              <w:t>16.37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1,097,850,7</w:t>
            </w:r>
          </w:p>
          <w:p>
            <w:pPr>
              <w:pStyle w:val="TableParagraph"/>
              <w:spacing w:line="240" w:lineRule="auto" w:before="105"/>
              <w:ind w:left="554" w:right="0"/>
              <w:jc w:val="left"/>
              <w:rPr>
                <w:rFonts w:ascii="Times New Roman" w:hAnsi="Times New Roman" w:cs="Times New Roman" w:eastAsia="Times New Roman" w:hint="default"/>
                <w:sz w:val="18"/>
                <w:szCs w:val="18"/>
              </w:rPr>
            </w:pPr>
            <w:r>
              <w:rPr>
                <w:rFonts w:ascii="Times New Roman"/>
                <w:sz w:val="18"/>
              </w:rPr>
              <w:t>44.09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407,780,193.88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80,402,609.53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66,806,205.87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960"/>
        <w:gridCol w:w="708"/>
        <w:gridCol w:w="850"/>
        <w:gridCol w:w="1136"/>
        <w:gridCol w:w="991"/>
        <w:gridCol w:w="994"/>
        <w:gridCol w:w="1274"/>
        <w:gridCol w:w="1277"/>
        <w:gridCol w:w="1378"/>
      </w:tblGrid>
      <w:tr>
        <w:trPr>
          <w:trHeight w:val="165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62" w:lineRule="auto"/>
              <w:ind w:left="24" w:right="78"/>
              <w:jc w:val="left"/>
              <w:rPr>
                <w:rFonts w:ascii="Times New Roman" w:hAnsi="Times New Roman" w:cs="Times New Roman" w:eastAsia="Times New Roman" w:hint="default"/>
                <w:sz w:val="18"/>
                <w:szCs w:val="18"/>
              </w:rPr>
            </w:pPr>
            <w:r>
              <w:rPr>
                <w:rFonts w:ascii="Times New Roman"/>
                <w:sz w:val="18"/>
              </w:rPr>
              <w:t>Mapbar</w:t>
            </w:r>
            <w:r>
              <w:rPr>
                <w:rFonts w:ascii="Times New Roman"/>
                <w:w w:val="99"/>
                <w:sz w:val="18"/>
              </w:rPr>
              <w:t> </w:t>
            </w:r>
            <w:r>
              <w:rPr>
                <w:rFonts w:ascii="Times New Roman"/>
                <w:spacing w:val="-2"/>
                <w:sz w:val="18"/>
              </w:rPr>
              <w:t>Technology</w:t>
            </w:r>
            <w:r>
              <w:rPr>
                <w:rFonts w:ascii="Times New Roman"/>
                <w:spacing w:val="-40"/>
                <w:sz w:val="18"/>
              </w:rPr>
              <w:t> </w:t>
            </w:r>
            <w:r>
              <w:rPr>
                <w:rFonts w:ascii="Times New Roman"/>
                <w:spacing w:val="-40"/>
                <w:sz w:val="18"/>
              </w:rPr>
            </w:r>
            <w:r>
              <w:rPr>
                <w:rFonts w:ascii="Times New Roman"/>
                <w:sz w:val="18"/>
              </w:rPr>
              <w:t>Limited</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both"/>
              <w:rPr>
                <w:rFonts w:ascii="宋体" w:hAnsi="宋体" w:cs="宋体" w:eastAsia="宋体" w:hint="default"/>
                <w:sz w:val="18"/>
                <w:szCs w:val="18"/>
              </w:rPr>
            </w:pPr>
            <w:r>
              <w:rPr>
                <w:rFonts w:ascii="宋体" w:hAnsi="宋体" w:cs="宋体" w:eastAsia="宋体" w:hint="default"/>
                <w:sz w:val="18"/>
                <w:szCs w:val="18"/>
              </w:rPr>
              <w:t>移动互联 网导航及 车联网产 品的技术 开发服务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$55,121.87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928,291,647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135,060,942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310,585,396.02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-466,777,055.86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-466,603,515.35</w:t>
            </w:r>
          </w:p>
        </w:tc>
      </w:tr>
    </w:tbl>
    <w:p>
      <w:pPr>
        <w:pStyle w:val="BodyText"/>
        <w:spacing w:line="297" w:lineRule="auto" w:before="51"/>
        <w:ind w:right="1213"/>
        <w:jc w:val="left"/>
      </w:pPr>
      <w:r>
        <w:rPr/>
        <w:t>注：受</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年汽车销量下滑和后装市场需求下降以及加大新产品研发投入的影响，杰发科技</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年利润与去年同期相比 出现下滑。</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BodyText"/>
        <w:spacing w:line="240" w:lineRule="auto"/>
        <w:ind w:right="0"/>
        <w:jc w:val="left"/>
      </w:pPr>
      <w:r>
        <w:rPr/>
        <w:t>报告期内取得和处置子公司的情况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835"/>
        <w:gridCol w:w="3120"/>
        <w:gridCol w:w="3615"/>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3"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合肥四维图新科技有限公司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9"/>
              <w:jc w:val="left"/>
              <w:rPr>
                <w:rFonts w:ascii="宋体" w:hAnsi="宋体" w:cs="宋体" w:eastAsia="宋体" w:hint="default"/>
                <w:sz w:val="18"/>
                <w:szCs w:val="18"/>
              </w:rPr>
            </w:pPr>
            <w:r>
              <w:rPr>
                <w:rFonts w:ascii="宋体" w:hAnsi="宋体" w:cs="宋体" w:eastAsia="宋体" w:hint="default"/>
                <w:sz w:val="18"/>
                <w:szCs w:val="18"/>
              </w:rPr>
              <w:t>从事自动驾驶技术研究，增加未来收入和回 报</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北京满电出行科技有限公司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从事充电桩运营业务，增加未来收入和回报</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图新投资（香港）科技有限公司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1339"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北京六分科技有限公司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第三方股东单方增资（控股转参股）</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六分科技获得充分的战略资源和资金支持， 在战略和经营决策方面获得独立性和灵活 性，有助于提高六分科技在高精度定位领域 的竞争力，增加未来收入和回报</w:t>
            </w:r>
          </w:p>
        </w:tc>
      </w:tr>
    </w:tbl>
    <w:p>
      <w:pPr>
        <w:pStyle w:val="BodyText"/>
        <w:spacing w:line="360" w:lineRule="auto" w:before="49"/>
        <w:ind w:right="8594"/>
        <w:jc w:val="left"/>
      </w:pPr>
      <w:r>
        <w:rPr/>
        <w:t>主要控股参股公司情况说明 无</w:t>
      </w:r>
    </w:p>
    <w:p>
      <w:pPr>
        <w:spacing w:line="240" w:lineRule="auto" w:before="7"/>
        <w:rPr>
          <w:rFonts w:ascii="宋体" w:hAnsi="宋体" w:cs="宋体" w:eastAsia="宋体" w:hint="default"/>
          <w:sz w:val="12"/>
          <w:szCs w:val="12"/>
        </w:rPr>
      </w:pPr>
    </w:p>
    <w:p>
      <w:pPr>
        <w:pStyle w:val="Heading2"/>
        <w:spacing w:line="240" w:lineRule="auto"/>
        <w:ind w:right="0"/>
        <w:jc w:val="left"/>
        <w:rPr>
          <w:b w:val="0"/>
          <w:bCs w:val="0"/>
        </w:rPr>
      </w:pPr>
      <w:r>
        <w:rPr/>
        <w:t>八、公司控制的结构化主体情况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九、公司未来发展的展望</w:t>
      </w:r>
      <w:r>
        <w:rPr>
          <w:b w:val="0"/>
          <w:bCs w:val="0"/>
        </w:rPr>
      </w:r>
    </w:p>
    <w:p>
      <w:pPr>
        <w:spacing w:line="240" w:lineRule="auto" w:before="13"/>
        <w:rPr>
          <w:rFonts w:ascii="Microsoft JhengHei" w:hAnsi="Microsoft JhengHei" w:cs="Microsoft JhengHei" w:eastAsia="Microsoft JhengHei" w:hint="default"/>
          <w:b/>
          <w:bCs/>
          <w:sz w:val="17"/>
          <w:szCs w:val="17"/>
        </w:rPr>
      </w:pPr>
    </w:p>
    <w:p>
      <w:pPr>
        <w:spacing w:line="376" w:lineRule="auto" w:before="0"/>
        <w:ind w:left="573" w:right="7296"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w:t>
      </w:r>
      <w:r>
        <w:rPr>
          <w:rFonts w:ascii="Microsoft JhengHei" w:hAnsi="Microsoft JhengHei" w:cs="Microsoft JhengHei" w:eastAsia="Microsoft JhengHei" w:hint="default"/>
          <w:b/>
          <w:bCs/>
          <w:spacing w:val="45"/>
          <w:sz w:val="21"/>
          <w:szCs w:val="21"/>
        </w:rPr>
        <w:t> </w:t>
      </w:r>
      <w:r>
        <w:rPr>
          <w:rFonts w:ascii="Arial" w:hAnsi="Arial" w:cs="Arial" w:eastAsia="Arial" w:hint="default"/>
          <w:b/>
          <w:bCs/>
          <w:spacing w:val="45"/>
          <w:sz w:val="21"/>
          <w:szCs w:val="21"/>
        </w:rPr>
      </w:r>
      <w:r>
        <w:rPr>
          <w:rFonts w:ascii="Microsoft JhengHei" w:hAnsi="Microsoft JhengHei" w:cs="Microsoft JhengHei" w:eastAsia="Microsoft JhengHei" w:hint="default"/>
          <w:b/>
          <w:bCs/>
          <w:sz w:val="21"/>
          <w:szCs w:val="21"/>
        </w:rPr>
        <w:t>公司未来发展战略讨论及分析</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、机遇：</w:t>
      </w:r>
      <w:r>
        <w:rPr>
          <w:rFonts w:ascii="宋体" w:hAnsi="宋体" w:cs="宋体" w:eastAsia="宋体" w:hint="default"/>
          <w:sz w:val="21"/>
          <w:szCs w:val="21"/>
        </w:rPr>
        <w:t> </w:t>
      </w:r>
    </w:p>
    <w:p>
      <w:pPr>
        <w:pStyle w:val="Heading5"/>
        <w:spacing w:line="408" w:lineRule="auto" w:before="74"/>
        <w:ind w:right="0"/>
        <w:jc w:val="left"/>
      </w:pPr>
      <w:r>
        <w:rPr>
          <w:spacing w:val="-5"/>
        </w:rPr>
        <w:t>（</w:t>
      </w:r>
      <w:r>
        <w:rPr>
          <w:rFonts w:ascii="宋体" w:hAnsi="宋体" w:cs="宋体" w:eastAsia="宋体" w:hint="default"/>
          <w:spacing w:val="-5"/>
        </w:rPr>
        <w:t>1</w:t>
      </w:r>
      <w:r>
        <w:rPr>
          <w:spacing w:val="-5"/>
        </w:rPr>
        <w:t>）全球汽车产业加速重构转型，供应链生态竞合协同发展态势日益明显，新兴应用市场及商业模式</w:t>
      </w:r>
      <w:r>
        <w:rPr>
          <w:w w:val="100"/>
        </w:rPr>
        <w:t> </w:t>
      </w:r>
      <w:r>
        <w:rPr>
          <w:spacing w:val="-3"/>
        </w:rPr>
        <w:t>探讨引起广泛关注。</w:t>
      </w:r>
      <w:r>
        <w:rPr>
          <w:rFonts w:ascii="宋体" w:hAnsi="宋体" w:cs="宋体" w:eastAsia="宋体" w:hint="default"/>
          <w:spacing w:val="-3"/>
        </w:rPr>
        <w:t>2019</w:t>
      </w:r>
      <w:r>
        <w:rPr>
          <w:rFonts w:ascii="宋体" w:hAnsi="宋体" w:cs="宋体" w:eastAsia="宋体" w:hint="default"/>
          <w:spacing w:val="38"/>
        </w:rPr>
        <w:t> </w:t>
      </w:r>
      <w:r>
        <w:rPr>
          <w:spacing w:val="-4"/>
        </w:rPr>
        <w:t>年，全球汽车产业面临重新洗牌，各主要汽车厂商加速推进“四化”转型，大众</w:t>
      </w:r>
    </w:p>
    <w:p>
      <w:pPr>
        <w:pStyle w:val="Heading5"/>
        <w:spacing w:line="408" w:lineRule="auto"/>
        <w:ind w:right="0" w:firstLine="0"/>
        <w:jc w:val="left"/>
      </w:pPr>
      <w:r>
        <w:rPr>
          <w:spacing w:val="-2"/>
        </w:rPr>
        <w:t>—福特、宝马—戴姆勒—奥迪、</w:t>
      </w:r>
      <w:r>
        <w:rPr>
          <w:rFonts w:ascii="宋体" w:hAnsi="宋体" w:cs="宋体" w:eastAsia="宋体" w:hint="default"/>
          <w:spacing w:val="-2"/>
        </w:rPr>
        <w:t>PSA</w:t>
      </w:r>
      <w:r>
        <w:rPr>
          <w:spacing w:val="-2"/>
        </w:rPr>
        <w:t>—</w:t>
      </w:r>
      <w:r>
        <w:rPr>
          <w:rFonts w:ascii="宋体" w:hAnsi="宋体" w:cs="宋体" w:eastAsia="宋体" w:hint="default"/>
          <w:spacing w:val="-2"/>
        </w:rPr>
        <w:t>FCA</w:t>
      </w:r>
      <w:r>
        <w:rPr>
          <w:spacing w:val="-2"/>
        </w:rPr>
        <w:t>、上汽—广汽等超级联盟陆续出现，并在软硬件一体化整合、智</w:t>
      </w:r>
      <w:r>
        <w:rPr>
          <w:spacing w:val="-38"/>
        </w:rPr>
        <w:t> </w:t>
      </w:r>
      <w:r>
        <w:rPr>
          <w:spacing w:val="-38"/>
        </w:rPr>
      </w:r>
      <w:r>
        <w:rPr/>
        <w:t>能网联产品技术本地化落地等领域提出了明确的需求。华为、</w:t>
      </w:r>
      <w:r>
        <w:rPr>
          <w:rFonts w:ascii="宋体" w:hAnsi="宋体" w:cs="宋体" w:eastAsia="宋体" w:hint="default"/>
        </w:rPr>
        <w:t>BAT</w:t>
      </w:r>
      <w:r>
        <w:rPr>
          <w:rFonts w:ascii="宋体" w:hAnsi="宋体" w:cs="宋体" w:eastAsia="宋体" w:hint="default"/>
          <w:spacing w:val="-24"/>
        </w:rPr>
        <w:t> </w:t>
      </w:r>
      <w:r>
        <w:rPr/>
        <w:t>等高科技巨头不断推进向智能网联汽车</w:t>
      </w:r>
      <w:r>
        <w:rPr>
          <w:w w:val="100"/>
        </w:rPr>
        <w:t> </w:t>
      </w:r>
      <w:r>
        <w:rPr>
          <w:spacing w:val="-5"/>
        </w:rPr>
        <w:t>领域的战略部署和渗透，大力推动联网及信息技术赋能。公司基于连续十多年打造的位置大数据产业优势， </w:t>
      </w:r>
      <w:r>
        <w:rPr>
          <w:spacing w:val="-5"/>
        </w:rPr>
      </w:r>
      <w:r>
        <w:rPr>
          <w:spacing w:val="-2"/>
        </w:rPr>
        <w:t>以及可以同时服务车厂客户及互联网客户的跨界融合能力，或将发挥出巨大的协同优势，为公司在探索新</w:t>
      </w:r>
      <w:r>
        <w:rPr>
          <w:spacing w:val="-43"/>
        </w:rPr>
        <w:t> </w:t>
      </w:r>
      <w:r>
        <w:rPr>
          <w:spacing w:val="-43"/>
        </w:rPr>
      </w:r>
      <w:r>
        <w:rPr>
          <w:spacing w:val="-2"/>
        </w:rPr>
        <w:t>业务合作生态、新产品技术研发及推进落地、新商业合作模式及管理机制等领域提供了更具想象空间的发</w:t>
      </w:r>
    </w:p>
    <w:p>
      <w:pPr>
        <w:spacing w:after="0" w:line="408"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Heading5"/>
        <w:spacing w:line="408" w:lineRule="auto" w:before="176"/>
        <w:ind w:right="1126" w:firstLine="0"/>
        <w:jc w:val="both"/>
        <w:rPr>
          <w:rFonts w:ascii="宋体" w:hAnsi="宋体" w:cs="宋体" w:eastAsia="宋体" w:hint="default"/>
        </w:rPr>
      </w:pPr>
      <w:r>
        <w:rPr>
          <w:spacing w:val="-2"/>
        </w:rPr>
        <w:t>展潜能，也为公司寻求优质潜在合作伙伴、挖掘产业连接和创新机会、进一步提升产业协同能力提供了更</w:t>
      </w:r>
      <w:r>
        <w:rPr>
          <w:spacing w:val="-43"/>
        </w:rPr>
        <w:t> </w:t>
      </w:r>
      <w:r>
        <w:rPr>
          <w:spacing w:val="-43"/>
        </w:rPr>
      </w:r>
      <w:r>
        <w:rPr/>
        <w:t>多契机。根据国家统计局数据，截止</w:t>
      </w:r>
      <w:r>
        <w:rPr>
          <w:spacing w:val="-32"/>
        </w:rPr>
        <w:t> </w:t>
      </w:r>
      <w:r>
        <w:rPr>
          <w:rFonts w:ascii="宋体" w:hAnsi="宋体" w:cs="宋体" w:eastAsia="宋体" w:hint="default"/>
        </w:rPr>
        <w:t>2019</w:t>
      </w:r>
      <w:r>
        <w:rPr>
          <w:rFonts w:ascii="宋体" w:hAnsi="宋体" w:cs="宋体" w:eastAsia="宋体" w:hint="default"/>
          <w:spacing w:val="-35"/>
        </w:rPr>
        <w:t> </w:t>
      </w:r>
      <w:r>
        <w:rPr/>
        <w:t>年末全国民用汽车保有量</w:t>
      </w:r>
      <w:r>
        <w:rPr>
          <w:spacing w:val="-34"/>
        </w:rPr>
        <w:t> </w:t>
      </w:r>
      <w:r>
        <w:rPr>
          <w:rFonts w:ascii="宋体" w:hAnsi="宋体" w:cs="宋体" w:eastAsia="宋体" w:hint="default"/>
        </w:rPr>
        <w:t>26150</w:t>
      </w:r>
      <w:r>
        <w:rPr>
          <w:rFonts w:ascii="宋体" w:hAnsi="宋体" w:cs="宋体" w:eastAsia="宋体" w:hint="default"/>
          <w:spacing w:val="-35"/>
        </w:rPr>
        <w:t> </w:t>
      </w:r>
      <w:r>
        <w:rPr/>
        <w:t>万辆，庞大的汽车存量市场基</w:t>
      </w:r>
      <w:r>
        <w:rPr>
          <w:w w:val="100"/>
        </w:rPr>
        <w:t> </w:t>
      </w:r>
      <w:r>
        <w:rPr/>
        <w:t>础为公司前装产品及服务能力后向迁移以及面向后装市场进行创新产品研发及拓展提供发展空间。</w:t>
      </w:r>
      <w:r>
        <w:rPr>
          <w:rFonts w:ascii="宋体" w:hAnsi="宋体" w:cs="宋体" w:eastAsia="宋体" w:hint="default"/>
        </w:rPr>
        <w:t> </w:t>
      </w:r>
    </w:p>
    <w:p>
      <w:pPr>
        <w:pStyle w:val="Heading5"/>
        <w:spacing w:line="408" w:lineRule="auto"/>
        <w:ind w:right="1210"/>
        <w:jc w:val="left"/>
        <w:rPr>
          <w:rFonts w:ascii="宋体" w:hAnsi="宋体" w:cs="宋体" w:eastAsia="宋体" w:hint="default"/>
        </w:rPr>
      </w:pPr>
      <w:r>
        <w:rPr>
          <w:spacing w:val="-2"/>
        </w:rPr>
        <w:t>（</w:t>
      </w:r>
      <w:r>
        <w:rPr>
          <w:rFonts w:ascii="宋体" w:hAnsi="宋体" w:cs="宋体" w:eastAsia="宋体" w:hint="default"/>
          <w:spacing w:val="-2"/>
        </w:rPr>
        <w:t>2</w:t>
      </w:r>
      <w:r>
        <w:rPr>
          <w:spacing w:val="-2"/>
        </w:rPr>
        <w:t>）国家产业推动政策频发发布，汽车智能化、网联化、新能源化发展进程提速，公司自动驾驶、</w:t>
      </w:r>
      <w:r>
        <w:rPr>
          <w:w w:val="100"/>
        </w:rPr>
        <w:t> </w:t>
      </w:r>
      <w:r>
        <w:rPr/>
        <w:t>车联网、新能源汽车智能出行解决方案、汽车芯片等创新业务迎来快速发展契机。近年，《中国汽车中</w:t>
      </w:r>
      <w:r>
        <w:rPr>
          <w:w w:val="100"/>
        </w:rPr>
        <w:t> </w:t>
      </w:r>
      <w:r>
        <w:rPr/>
        <w:t>长期发展规划》、《新一代人工智能发展规划》、《车联网（智能网联汽车）产业发展行动计划》等发</w:t>
      </w:r>
      <w:r>
        <w:rPr>
          <w:w w:val="100"/>
        </w:rPr>
        <w:t> </w:t>
      </w:r>
      <w:r>
        <w:rPr/>
        <w:t>展规划、专项行动计划陆续出台，不断推进我国汽车产业向“四化”创新方向纵深发展。</w:t>
      </w:r>
      <w:r>
        <w:rPr>
          <w:rFonts w:ascii="宋体" w:hAnsi="宋体" w:cs="宋体" w:eastAsia="宋体" w:hint="default"/>
        </w:rPr>
        <w:t>2020</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spacing w:val="-3"/>
        </w:rPr>
        <w:t>月，</w:t>
      </w:r>
      <w:r>
        <w:rPr>
          <w:spacing w:val="-3"/>
          <w:w w:val="100"/>
        </w:rPr>
        <w:t> </w:t>
      </w:r>
      <w:r>
        <w:rPr/>
        <w:t>发改委、工信部等</w:t>
      </w:r>
      <w:r>
        <w:rPr>
          <w:spacing w:val="-57"/>
        </w:rPr>
        <w:t> </w:t>
      </w:r>
      <w:r>
        <w:rPr>
          <w:rFonts w:ascii="宋体" w:hAnsi="宋体" w:cs="宋体" w:eastAsia="宋体" w:hint="default"/>
        </w:rPr>
        <w:t>11</w:t>
      </w:r>
      <w:r>
        <w:rPr>
          <w:rFonts w:ascii="宋体" w:hAnsi="宋体" w:cs="宋体" w:eastAsia="宋体" w:hint="default"/>
          <w:spacing w:val="-57"/>
        </w:rPr>
        <w:t> </w:t>
      </w:r>
      <w:r>
        <w:rPr/>
        <w:t>个国家部委联合下发“关于印发《智能汽车创新发展战略》的通知”进一步明确我</w:t>
      </w:r>
      <w:r>
        <w:rPr>
          <w:w w:val="100"/>
        </w:rPr>
        <w:t> </w:t>
      </w:r>
      <w:r>
        <w:rPr/>
        <w:t>国实现智能汽车创新战略的战略愿景和实现路径，将在复杂环境感知、智能决策、车路交互等关键基础</w:t>
      </w:r>
      <w:r>
        <w:rPr>
          <w:w w:val="100"/>
        </w:rPr>
        <w:t> </w:t>
      </w:r>
      <w:r>
        <w:rPr/>
        <w:t>技术领域，多源传感信息融合感知、新型智能终端、高精度时空基准服务、智能汽车基础地图、云控基</w:t>
      </w:r>
      <w:r>
        <w:rPr>
          <w:w w:val="100"/>
        </w:rPr>
        <w:t> </w:t>
      </w:r>
      <w:r>
        <w:rPr/>
        <w:t>础平台等交叉技术领域加大技术攻关力度；在虚拟仿真、软硬件结合仿真、试车道路测试等验证技术体</w:t>
      </w:r>
      <w:r>
        <w:rPr>
          <w:w w:val="100"/>
        </w:rPr>
        <w:t> </w:t>
      </w:r>
      <w:r>
        <w:rPr/>
        <w:t>系建设，车载高精度传感器、车规级芯片、智能操作系统、车载智能终端等产品研发与产业化进程，跨</w:t>
      </w:r>
      <w:r>
        <w:rPr>
          <w:w w:val="100"/>
        </w:rPr>
        <w:t> </w:t>
      </w:r>
      <w:r>
        <w:rPr/>
        <w:t>界融合的智能汽车产业生态体系构建，高精度时空基准服务、智能汽车基础地图、车联网、智能出行等</w:t>
      </w:r>
      <w:r>
        <w:rPr>
          <w:w w:val="100"/>
        </w:rPr>
        <w:t> </w:t>
      </w:r>
      <w:r>
        <w:rPr/>
        <w:t>创新产业发展形态，智能汽车复杂使用场景的大数据应用及商业化探索等领域予以大力扶持。公司高精</w:t>
      </w:r>
      <w:r>
        <w:rPr>
          <w:w w:val="100"/>
        </w:rPr>
        <w:t> </w:t>
      </w:r>
      <w:r>
        <w:rPr/>
        <w:t>度地图、高精度定位、自动驾驶、复杂环境感知、模拟仿真测试、车联网软硬件一体化、</w:t>
      </w:r>
      <w:r>
        <w:rPr>
          <w:rFonts w:ascii="宋体" w:hAnsi="宋体" w:cs="宋体" w:eastAsia="宋体" w:hint="default"/>
        </w:rPr>
        <w:t>5G/C-V2X</w:t>
      </w:r>
      <w:r>
        <w:rPr>
          <w:rFonts w:ascii="宋体" w:hAnsi="宋体" w:cs="宋体" w:eastAsia="宋体" w:hint="default"/>
          <w:spacing w:val="-57"/>
        </w:rPr>
        <w:t> </w:t>
      </w:r>
      <w:r>
        <w:rPr>
          <w:spacing w:val="-3"/>
        </w:rPr>
        <w:t>与车</w:t>
      </w:r>
      <w:r>
        <w:rPr>
          <w:spacing w:val="-3"/>
          <w:w w:val="100"/>
        </w:rPr>
        <w:t> </w:t>
      </w:r>
      <w:r>
        <w:rPr/>
        <w:t>路协同、新能源汽车智能出行解决方案、汽车芯片等创新产品及业务迎来极具前景的发展契机。</w:t>
      </w:r>
      <w:r>
        <w:rPr>
          <w:rFonts w:ascii="宋体" w:hAnsi="宋体" w:cs="宋体" w:eastAsia="宋体" w:hint="default"/>
        </w:rPr>
        <w:t> </w:t>
      </w:r>
    </w:p>
    <w:p>
      <w:pPr>
        <w:pStyle w:val="Heading5"/>
        <w:spacing w:line="408" w:lineRule="auto"/>
        <w:ind w:right="1020"/>
        <w:jc w:val="left"/>
        <w:rPr>
          <w:rFonts w:ascii="宋体" w:hAnsi="宋体" w:cs="宋体" w:eastAsia="宋体" w:hint="default"/>
        </w:rPr>
      </w:pPr>
      <w:r>
        <w:rPr/>
        <w:t>（</w:t>
      </w:r>
      <w:r>
        <w:rPr>
          <w:rFonts w:ascii="宋体" w:hAnsi="宋体" w:cs="宋体" w:eastAsia="宋体" w:hint="default"/>
        </w:rPr>
        <w:t>3</w:t>
      </w:r>
      <w:r>
        <w:rPr/>
        <w:t>）</w:t>
      </w:r>
      <w:r>
        <w:rPr>
          <w:rFonts w:ascii="宋体" w:hAnsi="宋体" w:cs="宋体" w:eastAsia="宋体" w:hint="default"/>
        </w:rPr>
        <w:t>5G</w:t>
      </w:r>
      <w:r>
        <w:rPr/>
        <w:t>、人工智能等新基建加速向智慧城市领域渗透融合，北斗将于 </w:t>
      </w:r>
      <w:r>
        <w:rPr>
          <w:rFonts w:ascii="宋体" w:hAnsi="宋体" w:cs="宋体" w:eastAsia="宋体" w:hint="default"/>
        </w:rPr>
        <w:t>2020</w:t>
      </w:r>
      <w:r>
        <w:rPr>
          <w:rFonts w:ascii="宋体" w:hAnsi="宋体" w:cs="宋体" w:eastAsia="宋体" w:hint="default"/>
          <w:spacing w:val="-31"/>
        </w:rPr>
        <w:t> </w:t>
      </w:r>
      <w:r>
        <w:rPr/>
        <w:t>年上半年完成全球组网，</w:t>
      </w:r>
      <w:r>
        <w:rPr>
          <w:w w:val="100"/>
        </w:rPr>
        <w:t> </w:t>
      </w:r>
      <w:r>
        <w:rPr>
          <w:spacing w:val="-2"/>
        </w:rPr>
        <w:t>基于位置的新型应用需求或将进一步爆发。《智能汽车创新发展战略》、《交通强国建设纲要》等国家战</w:t>
      </w:r>
      <w:r>
        <w:rPr>
          <w:spacing w:val="-42"/>
        </w:rPr>
        <w:t> </w:t>
      </w:r>
      <w:r>
        <w:rPr>
          <w:spacing w:val="-42"/>
        </w:rPr>
      </w:r>
      <w:r>
        <w:rPr>
          <w:spacing w:val="-3"/>
        </w:rPr>
        <w:t>略的陆续发布，将加速推进国家新一代交通路网及城市道路智慧化升级， </w:t>
      </w:r>
      <w:r>
        <w:rPr>
          <w:rFonts w:ascii="宋体" w:hAnsi="宋体" w:cs="宋体" w:eastAsia="宋体" w:hint="default"/>
          <w:spacing w:val="-3"/>
        </w:rPr>
      </w:r>
      <w:r>
        <w:rPr>
          <w:rFonts w:ascii="宋体" w:hAnsi="宋体" w:cs="宋体" w:eastAsia="宋体" w:hint="default"/>
          <w:spacing w:val="-7"/>
        </w:rPr>
        <w:t>5G</w:t>
      </w:r>
      <w:r>
        <w:rPr>
          <w:spacing w:val="-7"/>
        </w:rPr>
        <w:t>、人工智能、北斗卫星、车路</w:t>
      </w:r>
      <w:r>
        <w:rPr>
          <w:spacing w:val="-37"/>
        </w:rPr>
        <w:t> </w:t>
      </w:r>
      <w:r>
        <w:rPr>
          <w:spacing w:val="-37"/>
        </w:rPr>
      </w:r>
      <w:r>
        <w:rPr>
          <w:spacing w:val="-2"/>
        </w:rPr>
        <w:t>协同等新基建商业化进程加速将进一步驱动大数据、互联网、人工智能、区块链、超级计算等新技术向交</w:t>
      </w:r>
      <w:r>
        <w:rPr>
          <w:spacing w:val="-44"/>
        </w:rPr>
        <w:t> </w:t>
      </w:r>
      <w:r>
        <w:rPr>
          <w:spacing w:val="-44"/>
        </w:rPr>
      </w:r>
      <w:r>
        <w:rPr>
          <w:spacing w:val="-5"/>
        </w:rPr>
        <w:t>通出行相关行业的渗透和深度融合。伴随科技互联网头部企业加速向产业互联网领域渗透转型，基于</w:t>
      </w:r>
      <w:r>
        <w:rPr>
          <w:spacing w:val="-33"/>
        </w:rPr>
        <w:t> </w:t>
      </w:r>
      <w:r>
        <w:rPr>
          <w:rFonts w:ascii="宋体" w:hAnsi="宋体" w:cs="宋体" w:eastAsia="宋体" w:hint="default"/>
        </w:rPr>
        <w:t>AI</w:t>
      </w:r>
      <w:r>
        <w:rPr>
          <w:rFonts w:ascii="宋体" w:hAnsi="宋体" w:cs="宋体" w:eastAsia="宋体" w:hint="default"/>
          <w:spacing w:val="-35"/>
        </w:rPr>
        <w:t> </w:t>
      </w:r>
      <w:r>
        <w:rPr/>
        <w:t>人</w:t>
      </w:r>
      <w:r>
        <w:rPr>
          <w:spacing w:val="-60"/>
        </w:rPr>
        <w:t> </w:t>
      </w:r>
      <w:r>
        <w:rPr>
          <w:spacing w:val="-6"/>
        </w:rPr>
        <w:t>工智能、</w:t>
      </w:r>
      <w:r>
        <w:rPr>
          <w:rFonts w:ascii="宋体" w:hAnsi="宋体" w:cs="宋体" w:eastAsia="宋体" w:hint="default"/>
          <w:spacing w:val="-6"/>
        </w:rPr>
        <w:t>GIS</w:t>
      </w:r>
      <w:r>
        <w:rPr>
          <w:rFonts w:ascii="宋体" w:hAnsi="宋体" w:cs="宋体" w:eastAsia="宋体" w:hint="default"/>
          <w:spacing w:val="-51"/>
        </w:rPr>
        <w:t> </w:t>
      </w:r>
      <w:r>
        <w:rPr>
          <w:spacing w:val="-4"/>
        </w:rPr>
        <w:t>地理信息系统、大数据云平台等技术的</w:t>
      </w:r>
      <w:r>
        <w:rPr>
          <w:spacing w:val="-48"/>
        </w:rPr>
        <w:t> </w:t>
      </w:r>
      <w:r>
        <w:rPr>
          <w:rFonts w:ascii="宋体" w:hAnsi="宋体" w:cs="宋体" w:eastAsia="宋体" w:hint="default"/>
        </w:rPr>
        <w:t>SaaS</w:t>
      </w:r>
      <w:r>
        <w:rPr>
          <w:rFonts w:ascii="宋体" w:hAnsi="宋体" w:cs="宋体" w:eastAsia="宋体" w:hint="default"/>
          <w:spacing w:val="-48"/>
        </w:rPr>
        <w:t> </w:t>
      </w:r>
      <w:r>
        <w:rPr/>
        <w:t>生态建设以及数字化重构成为新一轮城市智慧化</w:t>
      </w:r>
      <w:r>
        <w:rPr>
          <w:spacing w:val="-93"/>
        </w:rPr>
        <w:t> </w:t>
      </w:r>
      <w:r>
        <w:rPr>
          <w:spacing w:val="-93"/>
        </w:rPr>
      </w:r>
      <w:r>
        <w:rPr>
          <w:spacing w:val="-9"/>
        </w:rPr>
        <w:t>建设的重要驱动因素，与位置相关的数字政府、智慧交通、共享出行、新电商</w:t>
      </w:r>
      <w:r>
        <w:rPr>
          <w:rFonts w:ascii="宋体" w:hAnsi="宋体" w:cs="宋体" w:eastAsia="宋体" w:hint="default"/>
          <w:spacing w:val="-9"/>
        </w:rPr>
        <w:t>/</w:t>
      </w:r>
      <w:r>
        <w:rPr>
          <w:spacing w:val="-9"/>
        </w:rPr>
        <w:t>物流、智慧景区、金融保险、</w:t>
      </w:r>
      <w:r>
        <w:rPr>
          <w:spacing w:val="-21"/>
        </w:rPr>
        <w:t> </w:t>
      </w:r>
      <w:r>
        <w:rPr>
          <w:spacing w:val="-21"/>
        </w:rPr>
      </w:r>
      <w:r>
        <w:rPr/>
        <w:t>选址分析等应用场景不断拓展，基于 </w:t>
      </w:r>
      <w:r>
        <w:rPr>
          <w:rFonts w:ascii="宋体" w:hAnsi="宋体" w:cs="宋体" w:eastAsia="宋体" w:hint="default"/>
        </w:rPr>
        <w:t>SaaS</w:t>
      </w:r>
      <w:r>
        <w:rPr>
          <w:rFonts w:ascii="宋体" w:hAnsi="宋体" w:cs="宋体" w:eastAsia="宋体" w:hint="default"/>
          <w:spacing w:val="-28"/>
        </w:rPr>
        <w:t> </w:t>
      </w:r>
      <w:r>
        <w:rPr/>
        <w:t>平台的能够满足区域性特点及垂直领域应用特点的定制化解决</w:t>
      </w:r>
      <w:r>
        <w:rPr>
          <w:w w:val="100"/>
        </w:rPr>
        <w:t> </w:t>
      </w:r>
      <w:r>
        <w:rPr>
          <w:spacing w:val="-3"/>
        </w:rPr>
        <w:t>方案需求日益强烈。</w:t>
      </w:r>
      <w:r>
        <w:rPr>
          <w:rFonts w:ascii="宋体" w:hAnsi="宋体" w:cs="宋体" w:eastAsia="宋体" w:hint="default"/>
          <w:spacing w:val="-3"/>
        </w:rPr>
        <w:t>2020</w:t>
      </w:r>
      <w:r>
        <w:rPr>
          <w:rFonts w:ascii="宋体" w:hAnsi="宋体" w:cs="宋体" w:eastAsia="宋体" w:hint="default"/>
          <w:spacing w:val="-39"/>
        </w:rPr>
        <w:t> </w:t>
      </w:r>
      <w:r>
        <w:rPr>
          <w:spacing w:val="-3"/>
        </w:rPr>
        <w:t>年初突发应急事件在全球范围蔓延，基于位置信息的网联式动态信息监控、智慧</w:t>
      </w:r>
      <w:r>
        <w:rPr>
          <w:spacing w:val="-62"/>
        </w:rPr>
        <w:t> </w:t>
      </w:r>
      <w:r>
        <w:rPr>
          <w:spacing w:val="-62"/>
        </w:rPr>
      </w:r>
      <w:r>
        <w:rPr>
          <w:spacing w:val="-2"/>
        </w:rPr>
        <w:t>物流等领域爆发出强烈的应用需求。公司围绕道路信息打造的位置大数据数字化、可视化及应用服务，已</w:t>
      </w:r>
      <w:r>
        <w:rPr>
          <w:spacing w:val="-44"/>
        </w:rPr>
        <w:t> </w:t>
      </w:r>
      <w:r>
        <w:rPr>
          <w:spacing w:val="-44"/>
        </w:rPr>
      </w:r>
      <w:r>
        <w:rPr>
          <w:spacing w:val="-5"/>
        </w:rPr>
        <w:t>经在智慧景区、智慧公路、公安</w:t>
      </w:r>
      <w:r>
        <w:rPr>
          <w:rFonts w:ascii="宋体" w:hAnsi="宋体" w:cs="宋体" w:eastAsia="宋体" w:hint="default"/>
          <w:spacing w:val="-5"/>
        </w:rPr>
        <w:t>/</w:t>
      </w:r>
      <w:r>
        <w:rPr>
          <w:spacing w:val="-5"/>
        </w:rPr>
        <w:t>交警、商用车物流、金融保险等领域建立了客户集群，面向未来的市场发</w:t>
      </w:r>
      <w:r>
        <w:rPr>
          <w:spacing w:val="-6"/>
        </w:rPr>
        <w:t> </w:t>
      </w:r>
      <w:r>
        <w:rPr>
          <w:spacing w:val="-6"/>
        </w:rPr>
      </w:r>
      <w:r>
        <w:rPr/>
        <w:t>展空间将进一步扩大。</w:t>
      </w:r>
      <w:r>
        <w:rPr>
          <w:rFonts w:ascii="宋体" w:hAnsi="宋体" w:cs="宋体" w:eastAsia="宋体" w:hint="default"/>
        </w:rPr>
        <w:t> </w:t>
      </w:r>
    </w:p>
    <w:p>
      <w:pPr>
        <w:pStyle w:val="Heading5"/>
        <w:spacing w:line="240" w:lineRule="auto"/>
        <w:ind w:left="573" w:right="0" w:firstLine="0"/>
        <w:jc w:val="left"/>
        <w:rPr>
          <w:rFonts w:ascii="宋体" w:hAnsi="宋体" w:cs="宋体" w:eastAsia="宋体" w:hint="default"/>
        </w:rPr>
      </w:pPr>
      <w:r>
        <w:rPr>
          <w:rFonts w:ascii="宋体" w:hAnsi="宋体" w:cs="宋体" w:eastAsia="宋体" w:hint="default"/>
        </w:rPr>
        <w:t>2</w:t>
      </w:r>
      <w:r>
        <w:rPr/>
        <w:t>、挑战：</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Heading5"/>
        <w:spacing w:line="408" w:lineRule="auto" w:before="176"/>
        <w:ind w:right="0"/>
        <w:jc w:val="left"/>
        <w:rPr>
          <w:rFonts w:ascii="宋体" w:hAnsi="宋体" w:cs="宋体" w:eastAsia="宋体" w:hint="default"/>
        </w:rPr>
      </w:pPr>
      <w:r>
        <w:rPr>
          <w:spacing w:val="-5"/>
        </w:rPr>
        <w:t>（</w:t>
      </w:r>
      <w:r>
        <w:rPr>
          <w:rFonts w:ascii="宋体" w:hAnsi="宋体" w:cs="宋体" w:eastAsia="宋体" w:hint="default"/>
          <w:spacing w:val="-5"/>
        </w:rPr>
        <w:t>1</w:t>
      </w:r>
      <w:r>
        <w:rPr>
          <w:spacing w:val="-5"/>
        </w:rPr>
        <w:t>）我国汽车产业格局重塑加剧，市场未来走向不确定性增加，为公司新产品研发及商业化落地带来</w:t>
      </w:r>
      <w:r>
        <w:rPr>
          <w:w w:val="100"/>
        </w:rPr>
        <w:t> </w:t>
      </w:r>
      <w:r>
        <w:rPr>
          <w:spacing w:val="-2"/>
        </w:rPr>
        <w:t>全新压力。全球汽车销量连续下滑，产业链供应企业承受较大价格压力。新一代信息技术革命所带来的跨</w:t>
      </w:r>
      <w:r>
        <w:rPr>
          <w:spacing w:val="-45"/>
        </w:rPr>
        <w:t> </w:t>
      </w:r>
      <w:r>
        <w:rPr>
          <w:spacing w:val="-45"/>
        </w:rPr>
      </w:r>
      <w:r>
        <w:rPr/>
        <w:t>界融合正在快速消融传统产业边界藩篱，国内竞争国际化、国际竞争全球化趋于常态，传统企业在人才、</w:t>
      </w:r>
      <w:r>
        <w:rPr>
          <w:spacing w:val="-24"/>
        </w:rPr>
        <w:t> </w:t>
      </w:r>
      <w:r>
        <w:rPr>
          <w:spacing w:val="-24"/>
        </w:rPr>
      </w:r>
      <w:r>
        <w:rPr>
          <w:spacing w:val="-2"/>
        </w:rPr>
        <w:t>资本、技术、市场等领域不断面临跨界对手的全新压力。市场竞争格局面临重新洗牌，市场未来走向不确</w:t>
      </w:r>
      <w:r>
        <w:rPr>
          <w:spacing w:val="-47"/>
        </w:rPr>
        <w:t> </w:t>
      </w:r>
      <w:r>
        <w:rPr>
          <w:spacing w:val="-47"/>
        </w:rPr>
      </w:r>
      <w:r>
        <w:rPr>
          <w:spacing w:val="-2"/>
        </w:rPr>
        <w:t>定性增加，公司新产品研发及产品化路径是否可以经受市场挑战并快速形成竞争优势，以及能否快速突破</w:t>
      </w:r>
      <w:r>
        <w:rPr>
          <w:spacing w:val="-42"/>
        </w:rPr>
        <w:t> </w:t>
      </w:r>
      <w:r>
        <w:rPr>
          <w:spacing w:val="-42"/>
        </w:rPr>
      </w:r>
      <w:r>
        <w:rPr/>
        <w:t>传统商业模式禁锢、有效培育极具增长潜力的新兴业务，面临着巨大的挑战。</w:t>
      </w:r>
      <w:r>
        <w:rPr>
          <w:rFonts w:ascii="宋体" w:hAnsi="宋体" w:cs="宋体" w:eastAsia="宋体" w:hint="default"/>
        </w:rPr>
        <w:t> </w:t>
      </w:r>
    </w:p>
    <w:p>
      <w:pPr>
        <w:pStyle w:val="Heading5"/>
        <w:spacing w:line="408" w:lineRule="auto"/>
        <w:ind w:right="1126"/>
        <w:jc w:val="both"/>
        <w:rPr>
          <w:rFonts w:ascii="宋体" w:hAnsi="宋体" w:cs="宋体" w:eastAsia="宋体" w:hint="default"/>
        </w:rPr>
      </w:pPr>
      <w:r>
        <w:rPr/>
        <w:t>（</w:t>
      </w:r>
      <w:r>
        <w:rPr>
          <w:rFonts w:ascii="宋体" w:hAnsi="宋体" w:cs="宋体" w:eastAsia="宋体" w:hint="default"/>
        </w:rPr>
        <w:t>2</w:t>
      </w:r>
      <w:r>
        <w:rPr/>
        <w:t>）面对激烈的人才竞争，公司在打造高素质人才选育用留机制以及打造发展平台方面面临很大挑</w:t>
      </w:r>
      <w:r>
        <w:rPr>
          <w:w w:val="100"/>
        </w:rPr>
        <w:t> </w:t>
      </w:r>
      <w:r>
        <w:rPr>
          <w:spacing w:val="-2"/>
        </w:rPr>
        <w:t>战。公司在高精度地图、大数据算法、高精度定位等领域培养和积累了大批优秀人才，并在公司未来的发</w:t>
      </w:r>
      <w:r>
        <w:rPr>
          <w:spacing w:val="-47"/>
        </w:rPr>
        <w:t> </w:t>
      </w:r>
      <w:r>
        <w:rPr>
          <w:spacing w:val="-47"/>
        </w:rPr>
      </w:r>
      <w:r>
        <w:rPr>
          <w:spacing w:val="-2"/>
        </w:rPr>
        <w:t>展当中将继续发挥重要作用。面向未来，公司所关注的高精度定位、自动驾驶、汽车芯片、人工智能、车</w:t>
      </w:r>
      <w:r>
        <w:rPr>
          <w:spacing w:val="-42"/>
        </w:rPr>
        <w:t> </w:t>
      </w:r>
      <w:r>
        <w:rPr>
          <w:spacing w:val="-42"/>
        </w:rPr>
      </w:r>
      <w:r>
        <w:rPr>
          <w:spacing w:val="-2"/>
        </w:rPr>
        <w:t>路协同等领域，还需要吸纳大批掌握核心关键技术和前沿领域攻关能力的研发人才，以及具有国际视野的</w:t>
      </w:r>
      <w:r>
        <w:rPr>
          <w:spacing w:val="-43"/>
        </w:rPr>
        <w:t> </w:t>
      </w:r>
      <w:r>
        <w:rPr>
          <w:spacing w:val="-43"/>
        </w:rPr>
      </w:r>
      <w:r>
        <w:rPr>
          <w:spacing w:val="-2"/>
        </w:rPr>
        <w:t>综合性顶尖人才，帮助公司共同推动推动战略实施及落地。现阶段，智能汽车产业成为国家新旧动能接档</w:t>
      </w:r>
      <w:r>
        <w:rPr>
          <w:spacing w:val="-43"/>
        </w:rPr>
        <w:t> </w:t>
      </w:r>
      <w:r>
        <w:rPr>
          <w:spacing w:val="-43"/>
        </w:rPr>
      </w:r>
      <w:r>
        <w:rPr>
          <w:spacing w:val="-2"/>
        </w:rPr>
        <w:t>转换的重要突破口，已经吸引了大量资金和市场的广泛关注，关键领域的优秀人才也成为产业资源的争夺</w:t>
      </w:r>
      <w:r>
        <w:rPr>
          <w:spacing w:val="-42"/>
        </w:rPr>
        <w:t> </w:t>
      </w:r>
      <w:r>
        <w:rPr>
          <w:spacing w:val="-42"/>
        </w:rPr>
      </w:r>
      <w:r>
        <w:rPr/>
        <w:t>重点，日益激烈的人才竞争局势对公司推动战略实施及落地提出极大挑战。</w:t>
      </w:r>
      <w:r>
        <w:rPr>
          <w:rFonts w:ascii="宋体" w:hAnsi="宋体" w:cs="宋体" w:eastAsia="宋体" w:hint="default"/>
        </w:rPr>
        <w:t> </w:t>
      </w:r>
    </w:p>
    <w:p>
      <w:pPr>
        <w:pStyle w:val="Heading5"/>
        <w:spacing w:line="408" w:lineRule="auto"/>
        <w:ind w:left="573" w:right="0" w:firstLine="0"/>
        <w:jc w:val="left"/>
      </w:pPr>
      <w:r>
        <w:rPr>
          <w:rFonts w:ascii="宋体" w:hAnsi="宋体" w:cs="宋体" w:eastAsia="宋体" w:hint="default"/>
        </w:rPr>
        <w:t>3</w:t>
      </w:r>
      <w:r>
        <w:rPr/>
        <w:t>、公司未来发展战略</w:t>
      </w:r>
      <w:r>
        <w:rPr>
          <w:rFonts w:ascii="宋体" w:hAnsi="宋体" w:cs="宋体" w:eastAsia="宋体" w:hint="default"/>
          <w:w w:val="100"/>
        </w:rPr>
        <w:t> </w:t>
      </w:r>
      <w:r>
        <w:rPr>
          <w:spacing w:val="-2"/>
        </w:rPr>
        <w:t>面向全球汽车产业加速推进“四化”转型带来的市场机遇以及国家大力驱动智能汽车产业快速发展的</w:t>
      </w:r>
    </w:p>
    <w:p>
      <w:pPr>
        <w:pStyle w:val="Heading5"/>
        <w:spacing w:line="408" w:lineRule="auto"/>
        <w:ind w:right="1126" w:firstLine="0"/>
        <w:jc w:val="both"/>
        <w:rPr>
          <w:rFonts w:ascii="宋体" w:hAnsi="宋体" w:cs="宋体" w:eastAsia="宋体" w:hint="default"/>
        </w:rPr>
      </w:pPr>
      <w:r>
        <w:rPr>
          <w:spacing w:val="-2"/>
        </w:rPr>
        <w:t>契机，公司将继续围绕“智能汽车大脑”的战略愿景，以数据、算法和算力为核心，通过加大创新研发和</w:t>
      </w:r>
      <w:r>
        <w:rPr>
          <w:spacing w:val="-42"/>
        </w:rPr>
        <w:t> </w:t>
      </w:r>
      <w:r>
        <w:rPr>
          <w:spacing w:val="-42"/>
        </w:rPr>
      </w:r>
      <w:r>
        <w:rPr>
          <w:spacing w:val="-2"/>
        </w:rPr>
        <w:t>借助产业投融资双轮引擎驱动，积极打造自动驾驶时代的“数据</w:t>
      </w:r>
      <w:r>
        <w:rPr>
          <w:rFonts w:ascii="宋体" w:hAnsi="宋体" w:cs="宋体" w:eastAsia="宋体" w:hint="default"/>
          <w:spacing w:val="-2"/>
        </w:rPr>
        <w:t>+</w:t>
      </w:r>
      <w:r>
        <w:rPr>
          <w:spacing w:val="-2"/>
        </w:rPr>
        <w:t>云</w:t>
      </w:r>
      <w:r>
        <w:rPr>
          <w:rFonts w:ascii="宋体" w:hAnsi="宋体" w:cs="宋体" w:eastAsia="宋体" w:hint="default"/>
          <w:spacing w:val="-2"/>
        </w:rPr>
        <w:t>+AI+</w:t>
      </w:r>
      <w:r>
        <w:rPr>
          <w:spacing w:val="-2"/>
        </w:rPr>
        <w:t>芯片</w:t>
      </w:r>
      <w:r>
        <w:rPr>
          <w:rFonts w:ascii="宋体" w:hAnsi="宋体" w:cs="宋体" w:eastAsia="宋体" w:hint="default"/>
          <w:spacing w:val="-2"/>
        </w:rPr>
        <w:t>+</w:t>
      </w:r>
      <w:r>
        <w:rPr>
          <w:spacing w:val="-2"/>
        </w:rPr>
        <w:t>软硬一体化”解决方案服务</w:t>
      </w:r>
      <w:r>
        <w:rPr>
          <w:spacing w:val="-41"/>
        </w:rPr>
        <w:t> </w:t>
      </w:r>
      <w:r>
        <w:rPr>
          <w:spacing w:val="-41"/>
        </w:rPr>
      </w:r>
      <w:r>
        <w:rPr>
          <w:spacing w:val="-2"/>
        </w:rPr>
        <w:t>能力，在导航、高精度地图、高精度定位、自动驾驶云平台、汽车芯片等核心业务领域建立国际领先、国</w:t>
      </w:r>
      <w:r>
        <w:rPr>
          <w:spacing w:val="-42"/>
        </w:rPr>
        <w:t> </w:t>
      </w:r>
      <w:r>
        <w:rPr>
          <w:spacing w:val="-42"/>
        </w:rPr>
      </w:r>
      <w:r>
        <w:rPr>
          <w:spacing w:val="-2"/>
        </w:rPr>
        <w:t>内一流的竞争优势，致力于成为中国乃至全球值得信赖的自动驾驶解决方案提供商，为车企和科技互联网</w:t>
      </w:r>
      <w:r>
        <w:rPr>
          <w:spacing w:val="-43"/>
        </w:rPr>
        <w:t> </w:t>
      </w:r>
      <w:r>
        <w:rPr>
          <w:spacing w:val="-43"/>
        </w:rPr>
      </w:r>
      <w:r>
        <w:rPr>
          <w:spacing w:val="-2"/>
        </w:rPr>
        <w:t>企业客户提供一流的产品和服务，并赋能位置大数据服务领域，为公司未来的万物互联（</w:t>
      </w:r>
      <w:r>
        <w:rPr>
          <w:rFonts w:ascii="宋体" w:hAnsi="宋体" w:cs="宋体" w:eastAsia="宋体" w:hint="default"/>
          <w:spacing w:val="-2"/>
        </w:rPr>
        <w:t>AIoT</w:t>
      </w:r>
      <w:r>
        <w:rPr>
          <w:spacing w:val="-2"/>
        </w:rPr>
        <w:t>）发展战略</w:t>
      </w:r>
      <w:r>
        <w:rPr>
          <w:spacing w:val="-43"/>
        </w:rPr>
        <w:t> </w:t>
      </w:r>
      <w:r>
        <w:rPr>
          <w:spacing w:val="-43"/>
        </w:rPr>
      </w:r>
      <w:r>
        <w:rPr/>
        <w:t>奠定基础。</w:t>
      </w:r>
      <w:r>
        <w:rPr>
          <w:rFonts w:ascii="宋体" w:hAnsi="宋体" w:cs="宋体" w:eastAsia="宋体" w:hint="default"/>
        </w:rPr>
        <w:t> </w:t>
      </w:r>
    </w:p>
    <w:p>
      <w:pPr>
        <w:pStyle w:val="Heading5"/>
        <w:spacing w:line="408" w:lineRule="auto"/>
        <w:ind w:right="1126"/>
        <w:jc w:val="both"/>
        <w:rPr>
          <w:rFonts w:ascii="宋体" w:hAnsi="宋体" w:cs="宋体" w:eastAsia="宋体" w:hint="default"/>
        </w:rPr>
      </w:pPr>
      <w:r>
        <w:rPr>
          <w:spacing w:val="-3"/>
        </w:rPr>
        <w:t>在导航业务板块，公司将借助 </w:t>
      </w:r>
      <w:r>
        <w:rPr>
          <w:rFonts w:ascii="宋体" w:hAnsi="宋体" w:cs="宋体" w:eastAsia="宋体" w:hint="default"/>
          <w:spacing w:val="-4"/>
        </w:rPr>
        <w:t>AI</w:t>
      </w:r>
      <w:r>
        <w:rPr>
          <w:spacing w:val="-4"/>
        </w:rPr>
        <w:t>、大数据挖掘、云等技术能力，强化采、编、出一体化和自动化生产</w:t>
      </w:r>
      <w:r>
        <w:rPr>
          <w:w w:val="100"/>
        </w:rPr>
        <w:t> </w:t>
      </w:r>
      <w:r>
        <w:rPr>
          <w:spacing w:val="-2"/>
        </w:rPr>
        <w:t>能力建设，通过全面的项目管理机制，在保证数据品质的前提下，不断提升终端用户体验，面对日益复杂</w:t>
      </w:r>
      <w:r>
        <w:rPr>
          <w:spacing w:val="-50"/>
        </w:rPr>
        <w:t> </w:t>
      </w:r>
      <w:r>
        <w:rPr>
          <w:spacing w:val="-50"/>
        </w:rPr>
      </w:r>
      <w:r>
        <w:rPr>
          <w:spacing w:val="-2"/>
        </w:rPr>
        <w:t>的高等级实时调用和新型应用需求，建立灵活的响应机制，进一步加强国际合作和生态建设，成为世界一</w:t>
      </w:r>
      <w:r>
        <w:rPr>
          <w:spacing w:val="-44"/>
        </w:rPr>
        <w:t> </w:t>
      </w:r>
      <w:r>
        <w:rPr>
          <w:spacing w:val="-44"/>
        </w:rPr>
      </w:r>
      <w:r>
        <w:rPr/>
        <w:t>流的地图数据与导航服务供应商。</w:t>
      </w:r>
      <w:r>
        <w:rPr>
          <w:rFonts w:ascii="宋体" w:hAnsi="宋体" w:cs="宋体" w:eastAsia="宋体" w:hint="default"/>
        </w:rPr>
        <w:t> </w:t>
      </w:r>
    </w:p>
    <w:p>
      <w:pPr>
        <w:pStyle w:val="Heading5"/>
        <w:spacing w:line="408" w:lineRule="auto"/>
        <w:ind w:right="0"/>
        <w:jc w:val="left"/>
        <w:rPr>
          <w:rFonts w:ascii="宋体" w:hAnsi="宋体" w:cs="宋体" w:eastAsia="宋体" w:hint="default"/>
        </w:rPr>
      </w:pPr>
      <w:r>
        <w:rPr>
          <w:spacing w:val="-2"/>
        </w:rPr>
        <w:t>在高级辅助驾驶和自动驾驶业务板块，公司将不断加强创新技术攻关和人才引进，协同产业内外部资</w:t>
      </w:r>
      <w:r>
        <w:rPr>
          <w:w w:val="100"/>
        </w:rPr>
        <w:t> </w:t>
      </w:r>
      <w:r>
        <w:rPr>
          <w:spacing w:val="-7"/>
        </w:rPr>
        <w:t>源，打通能力壁垒，以</w:t>
      </w:r>
      <w:r>
        <w:rPr>
          <w:spacing w:val="-36"/>
        </w:rPr>
        <w:t> </w:t>
      </w:r>
      <w:r>
        <w:rPr>
          <w:rFonts w:ascii="宋体" w:hAnsi="宋体" w:cs="宋体" w:eastAsia="宋体" w:hint="default"/>
        </w:rPr>
        <w:t>AI</w:t>
      </w:r>
      <w:r>
        <w:rPr>
          <w:rFonts w:ascii="宋体" w:hAnsi="宋体" w:cs="宋体" w:eastAsia="宋体" w:hint="default"/>
          <w:spacing w:val="-39"/>
        </w:rPr>
        <w:t> </w:t>
      </w:r>
      <w:r>
        <w:rPr>
          <w:spacing w:val="-4"/>
        </w:rPr>
        <w:t>为支撑，建立行业领先的一站式自动驾驶数据、算法及能力平台，并在高精度地</w:t>
      </w:r>
      <w:r>
        <w:rPr>
          <w:spacing w:val="-65"/>
        </w:rPr>
        <w:t> </w:t>
      </w:r>
      <w:r>
        <w:rPr>
          <w:spacing w:val="-65"/>
        </w:rPr>
      </w:r>
      <w:r>
        <w:rPr/>
        <w:t>图、高精度定位、自动驾驶云平台、自动驾驶整体解决方案等领域建立国际领先、国内一流的竞争优势，</w:t>
      </w:r>
      <w:r>
        <w:rPr>
          <w:spacing w:val="-24"/>
        </w:rPr>
        <w:t> </w:t>
      </w:r>
      <w:r>
        <w:rPr>
          <w:spacing w:val="-24"/>
        </w:rPr>
      </w:r>
      <w:r>
        <w:rPr>
          <w:spacing w:val="-2"/>
        </w:rPr>
        <w:t>面向各车企、政府及行业客户不同的应用及场景需求，致力于成为中国市场乃至全球值得信赖的自动驾驶</w:t>
      </w:r>
      <w:r>
        <w:rPr>
          <w:spacing w:val="-44"/>
        </w:rPr>
        <w:t> </w:t>
      </w:r>
      <w:r>
        <w:rPr>
          <w:spacing w:val="-44"/>
        </w:rPr>
      </w:r>
      <w:r>
        <w:rPr/>
        <w:t>解决方案提供商。</w:t>
      </w:r>
      <w:r>
        <w:rPr>
          <w:rFonts w:ascii="宋体" w:hAnsi="宋体" w:cs="宋体" w:eastAsia="宋体" w:hint="default"/>
        </w:rPr>
        <w:t> </w:t>
      </w:r>
    </w:p>
    <w:p>
      <w:pPr>
        <w:spacing w:after="0" w:line="408" w:lineRule="auto"/>
        <w:jc w:val="left"/>
        <w:rPr>
          <w:rFonts w:ascii="宋体" w:hAnsi="宋体" w:cs="宋体" w:eastAsia="宋体" w:hint="default"/>
        </w:rPr>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Heading5"/>
        <w:spacing w:line="408" w:lineRule="auto" w:before="176"/>
        <w:ind w:right="0"/>
        <w:jc w:val="left"/>
        <w:rPr>
          <w:rFonts w:ascii="宋体" w:hAnsi="宋体" w:cs="宋体" w:eastAsia="宋体" w:hint="default"/>
        </w:rPr>
      </w:pPr>
      <w:r>
        <w:rPr>
          <w:spacing w:val="-3"/>
        </w:rPr>
        <w:t>在汽车芯片业务板块，公司将面向自动驾驶、智能座舱、域控制器等新一代芯片应用领域，充分发挥</w:t>
      </w:r>
      <w:r>
        <w:rPr>
          <w:w w:val="100"/>
        </w:rPr>
        <w:t> </w:t>
      </w:r>
      <w:r>
        <w:rPr/>
        <w:t>内部资源垂直整合的协同作用，提升新产品研发和量产进程，与上下游企业建立可持续发展的产业联系，</w:t>
      </w:r>
      <w:r>
        <w:rPr>
          <w:spacing w:val="-24"/>
        </w:rPr>
        <w:t> </w:t>
      </w:r>
      <w:r>
        <w:rPr>
          <w:spacing w:val="-24"/>
        </w:rPr>
      </w:r>
      <w:r>
        <w:rPr>
          <w:spacing w:val="-5"/>
        </w:rPr>
        <w:t>加速拓展车联网</w:t>
      </w:r>
      <w:r>
        <w:rPr>
          <w:rFonts w:ascii="宋体" w:hAnsi="宋体" w:cs="宋体" w:eastAsia="宋体" w:hint="default"/>
          <w:spacing w:val="-5"/>
        </w:rPr>
        <w:t>/</w:t>
      </w:r>
      <w:r>
        <w:rPr>
          <w:spacing w:val="-5"/>
        </w:rPr>
        <w:t>智能座舱芯片、车身控制芯片、胎压监测系统芯片、功放芯片等主要芯片产品的市场发展</w:t>
      </w:r>
      <w:r>
        <w:rPr>
          <w:spacing w:val="-6"/>
        </w:rPr>
        <w:t> </w:t>
      </w:r>
      <w:r>
        <w:rPr>
          <w:spacing w:val="-6"/>
        </w:rPr>
      </w:r>
      <w:r>
        <w:rPr>
          <w:spacing w:val="-5"/>
        </w:rPr>
        <w:t>空间，积极推进在自动驾驶算力平台芯片、汽车模拟芯片、车用</w:t>
      </w:r>
      <w:r>
        <w:rPr>
          <w:spacing w:val="-40"/>
        </w:rPr>
        <w:t> </w:t>
      </w:r>
      <w:r>
        <w:rPr>
          <w:rFonts w:ascii="宋体" w:hAnsi="宋体" w:cs="宋体" w:eastAsia="宋体" w:hint="default"/>
        </w:rPr>
        <w:t>MEMS</w:t>
      </w:r>
      <w:r>
        <w:rPr>
          <w:rFonts w:ascii="宋体" w:hAnsi="宋体" w:cs="宋体" w:eastAsia="宋体" w:hint="default"/>
          <w:spacing w:val="-40"/>
        </w:rPr>
        <w:t> </w:t>
      </w:r>
      <w:r>
        <w:rPr>
          <w:spacing w:val="-4"/>
        </w:rPr>
        <w:t>传感器芯片等领域的战略布局，打造</w:t>
      </w:r>
      <w:r>
        <w:rPr>
          <w:spacing w:val="-67"/>
        </w:rPr>
        <w:t> </w:t>
      </w:r>
      <w:r>
        <w:rPr>
          <w:spacing w:val="-67"/>
        </w:rPr>
      </w:r>
      <w:r>
        <w:rPr/>
        <w:t>集团软硬件一体化服务能力及市场竞争优势。</w:t>
      </w:r>
      <w:r>
        <w:rPr>
          <w:rFonts w:ascii="宋体" w:hAnsi="宋体" w:cs="宋体" w:eastAsia="宋体" w:hint="default"/>
        </w:rPr>
        <w:t> </w:t>
      </w:r>
    </w:p>
    <w:p>
      <w:pPr>
        <w:pStyle w:val="Heading5"/>
        <w:spacing w:line="408" w:lineRule="auto"/>
        <w:ind w:right="1126"/>
        <w:jc w:val="both"/>
        <w:rPr>
          <w:rFonts w:ascii="宋体" w:hAnsi="宋体" w:cs="宋体" w:eastAsia="宋体" w:hint="default"/>
        </w:rPr>
      </w:pPr>
      <w:r>
        <w:rPr>
          <w:spacing w:val="2"/>
        </w:rPr>
        <w:t>在位置大数据服务业务板块，公司将基于在汽车领域连续十多年积累的能力和数据优势，持续推进</w:t>
      </w:r>
      <w:r>
        <w:rPr>
          <w:w w:val="100"/>
        </w:rPr>
        <w:t> </w:t>
      </w:r>
      <w:r>
        <w:rPr>
          <w:rFonts w:ascii="宋体" w:hAnsi="宋体" w:cs="宋体" w:eastAsia="宋体" w:hint="default"/>
        </w:rPr>
        <w:t>Minedata </w:t>
      </w:r>
      <w:r>
        <w:rPr>
          <w:spacing w:val="-4"/>
        </w:rPr>
        <w:t>位置大数据服务平台及重点行业解决方案的升级及递进演化，建立产业集群规模优势及位置服务</w:t>
      </w:r>
      <w:r>
        <w:rPr>
          <w:spacing w:val="-74"/>
        </w:rPr>
        <w:t> </w:t>
      </w:r>
      <w:r>
        <w:rPr>
          <w:spacing w:val="-74"/>
        </w:rPr>
      </w:r>
      <w:r>
        <w:rPr>
          <w:spacing w:val="-2"/>
        </w:rPr>
        <w:t>生态，积极推进商业模式探索和落地，加大面向国际市场的拓展和合作力度，致力于成为我国国内领先的</w:t>
      </w:r>
      <w:r>
        <w:rPr>
          <w:spacing w:val="-44"/>
        </w:rPr>
        <w:t> </w:t>
      </w:r>
      <w:r>
        <w:rPr>
          <w:spacing w:val="-44"/>
        </w:rPr>
      </w:r>
      <w:r>
        <w:rPr/>
        <w:t>一站式企业级位置大数据智能方案供应商。</w:t>
      </w:r>
      <w:r>
        <w:rPr>
          <w:rFonts w:ascii="宋体" w:hAnsi="宋体" w:cs="宋体" w:eastAsia="宋体" w:hint="default"/>
        </w:rPr>
        <w:t> </w:t>
      </w:r>
    </w:p>
    <w:p>
      <w:pPr>
        <w:pStyle w:val="Heading5"/>
        <w:spacing w:line="408" w:lineRule="auto"/>
        <w:ind w:right="1126"/>
        <w:jc w:val="both"/>
        <w:rPr>
          <w:rFonts w:ascii="宋体" w:hAnsi="宋体" w:cs="宋体" w:eastAsia="宋体" w:hint="default"/>
        </w:rPr>
      </w:pPr>
      <w:r>
        <w:rPr/>
        <w:t>在车联网业务板块，公司将以大数据</w:t>
      </w:r>
      <w:r>
        <w:rPr>
          <w:rFonts w:ascii="宋体" w:hAnsi="宋体" w:cs="宋体" w:eastAsia="宋体" w:hint="default"/>
        </w:rPr>
        <w:t>/AI</w:t>
      </w:r>
      <w:r>
        <w:rPr>
          <w:rFonts w:ascii="宋体" w:hAnsi="宋体" w:cs="宋体" w:eastAsia="宋体" w:hint="default"/>
          <w:spacing w:val="-28"/>
        </w:rPr>
        <w:t> </w:t>
      </w:r>
      <w:r>
        <w:rPr/>
        <w:t>为驱动，以车联网云平台为基础服务，以智能网联系统为载</w:t>
      </w:r>
      <w:r>
        <w:rPr>
          <w:w w:val="100"/>
        </w:rPr>
        <w:t> </w:t>
      </w:r>
      <w:r>
        <w:rPr>
          <w:spacing w:val="-2"/>
        </w:rPr>
        <w:t>体，以围绕智能汽车大数据融合为核心诉求，打造可同时提供模块化产品组件及可满足高等级定制化需求</w:t>
      </w:r>
      <w:r>
        <w:rPr>
          <w:spacing w:val="-43"/>
        </w:rPr>
        <w:t> </w:t>
      </w:r>
      <w:r>
        <w:rPr>
          <w:spacing w:val="-43"/>
        </w:rPr>
      </w:r>
      <w:r>
        <w:rPr>
          <w:spacing w:val="-2"/>
        </w:rPr>
        <w:t>的软硬件一体化服务能力，面向自动驾驶、智能座舱、新能源汽车、智慧物流、金融保险等应用场景，建</w:t>
      </w:r>
      <w:r>
        <w:rPr>
          <w:spacing w:val="-42"/>
        </w:rPr>
        <w:t> </w:t>
      </w:r>
      <w:r>
        <w:rPr>
          <w:spacing w:val="-42"/>
        </w:rPr>
      </w:r>
      <w:r>
        <w:rPr>
          <w:spacing w:val="-2"/>
        </w:rPr>
        <w:t>立与车厂客户以及第三方合作伙伴共生共荣的新型生态关系，致力于成为国内领先的车联网综合服务提供</w:t>
      </w:r>
      <w:r>
        <w:rPr>
          <w:spacing w:val="-43"/>
        </w:rPr>
        <w:t> </w:t>
      </w:r>
      <w:r>
        <w:rPr>
          <w:spacing w:val="-43"/>
        </w:rPr>
      </w:r>
      <w:r>
        <w:rPr/>
        <w:t>商和运营商。</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4"/>
        <w:spacing w:line="335" w:lineRule="exact"/>
        <w:ind w:right="0"/>
        <w:jc w:val="left"/>
        <w:rPr>
          <w:b w:val="0"/>
          <w:bCs w:val="0"/>
        </w:rPr>
      </w:pPr>
      <w:r>
        <w:rPr/>
        <w:t>（二）公司 </w:t>
      </w:r>
      <w:r>
        <w:rPr>
          <w:rFonts w:ascii="Times New Roman" w:hAnsi="Times New Roman" w:cs="Times New Roman" w:eastAsia="Times New Roman" w:hint="default"/>
        </w:rPr>
        <w:t>2020</w:t>
      </w:r>
      <w:r>
        <w:rPr>
          <w:rFonts w:ascii="Times New Roman" w:hAnsi="Times New Roman" w:cs="Times New Roman" w:eastAsia="Times New Roman" w:hint="default"/>
          <w:spacing w:val="12"/>
        </w:rPr>
        <w:t> </w:t>
      </w:r>
      <w:r>
        <w:rPr/>
        <w:t>年度主要经营计划</w:t>
      </w:r>
      <w:r>
        <w:rPr>
          <w:b w:val="0"/>
          <w:bCs w:val="0"/>
        </w:rPr>
      </w:r>
    </w:p>
    <w:p>
      <w:pPr>
        <w:spacing w:line="240" w:lineRule="auto" w:before="1"/>
        <w:rPr>
          <w:rFonts w:ascii="Microsoft JhengHei" w:hAnsi="Microsoft JhengHei" w:cs="Microsoft JhengHei" w:eastAsia="Microsoft JhengHei" w:hint="default"/>
          <w:b/>
          <w:bCs/>
          <w:sz w:val="12"/>
          <w:szCs w:val="12"/>
        </w:rPr>
      </w:pPr>
    </w:p>
    <w:p>
      <w:pPr>
        <w:pStyle w:val="Heading5"/>
        <w:spacing w:line="408" w:lineRule="auto" w:before="0"/>
        <w:ind w:right="0"/>
        <w:jc w:val="left"/>
        <w:rPr>
          <w:rFonts w:ascii="宋体" w:hAnsi="宋体" w:cs="宋体" w:eastAsia="宋体" w:hint="default"/>
        </w:rPr>
      </w:pPr>
      <w:r>
        <w:rPr/>
        <w:t>在导航业务方面，加速推进地图数据生产与产品应用服务在云端一体化整合与提效，拓展数据生态，</w:t>
      </w:r>
      <w:r>
        <w:rPr>
          <w:w w:val="100"/>
        </w:rPr>
        <w:t> </w:t>
      </w:r>
      <w:r>
        <w:rPr>
          <w:spacing w:val="-2"/>
        </w:rPr>
        <w:t>提升第三代地图生产作业体系的自动化效率和面向产品与市场的服务能力，持续优化工艺流程和平台功能。</w:t>
      </w:r>
      <w:r>
        <w:rPr>
          <w:spacing w:val="-43"/>
        </w:rPr>
        <w:t> </w:t>
      </w:r>
      <w:r>
        <w:rPr>
          <w:spacing w:val="-43"/>
        </w:rPr>
      </w:r>
      <w:r>
        <w:rPr/>
        <w:t>面向新型应用场景及客户高等级数据服务需求，积极推进新产品研发和商业化探索，持续提升数据更新、</w:t>
      </w:r>
      <w:r>
        <w:rPr>
          <w:spacing w:val="-24"/>
        </w:rPr>
        <w:t> </w:t>
      </w:r>
      <w:r>
        <w:rPr>
          <w:spacing w:val="-24"/>
        </w:rPr>
      </w:r>
      <w:r>
        <w:rPr/>
        <w:t>编译、发布及应用拓展能力，加速推进重点项目实施。导航业务持续保持车载前装地图市场的领先地位，</w:t>
      </w:r>
      <w:r>
        <w:rPr>
          <w:spacing w:val="-24"/>
        </w:rPr>
        <w:t> </w:t>
      </w:r>
      <w:r>
        <w:rPr>
          <w:spacing w:val="-24"/>
        </w:rPr>
      </w:r>
      <w:r>
        <w:rPr/>
        <w:t>满足细分市场、新型市场及国际化市场需求。</w:t>
      </w:r>
      <w:r>
        <w:rPr>
          <w:rFonts w:ascii="宋体" w:hAnsi="宋体" w:cs="宋体" w:eastAsia="宋体" w:hint="default"/>
        </w:rPr>
        <w:t> </w:t>
      </w:r>
    </w:p>
    <w:p>
      <w:pPr>
        <w:pStyle w:val="Heading5"/>
        <w:spacing w:line="408" w:lineRule="auto"/>
        <w:ind w:right="0"/>
        <w:jc w:val="left"/>
        <w:rPr>
          <w:rFonts w:ascii="宋体" w:hAnsi="宋体" w:cs="宋体" w:eastAsia="宋体" w:hint="default"/>
        </w:rPr>
      </w:pPr>
      <w:r>
        <w:rPr>
          <w:spacing w:val="-2"/>
        </w:rPr>
        <w:t>在高级辅助驾驶和自动驾驶相关业务方面，加大研发投入力度和攻关力度，优化高精度地图数据产品</w:t>
      </w:r>
      <w:r>
        <w:rPr>
          <w:w w:val="100"/>
        </w:rPr>
        <w:t> </w:t>
      </w:r>
      <w:r>
        <w:rPr>
          <w:spacing w:val="-2"/>
        </w:rPr>
        <w:t>结构，进一步推进数据、算法、平台及服务的云化整合，升级底层架构和关键技术，提升城市道路覆盖范</w:t>
      </w:r>
      <w:r>
        <w:rPr>
          <w:spacing w:val="-43"/>
        </w:rPr>
        <w:t> </w:t>
      </w:r>
      <w:r>
        <w:rPr>
          <w:spacing w:val="-43"/>
        </w:rPr>
      </w:r>
      <w:r>
        <w:rPr/>
        <w:t>围和高速道路更新能力，提升复杂环境感知能力和多源数据融合处理能力，加速推进高精度定位、感知、</w:t>
      </w:r>
      <w:r>
        <w:rPr>
          <w:spacing w:val="-24"/>
        </w:rPr>
        <w:t> </w:t>
      </w:r>
      <w:r>
        <w:rPr>
          <w:spacing w:val="-24"/>
        </w:rPr>
      </w:r>
      <w:r>
        <w:rPr>
          <w:spacing w:val="-2"/>
        </w:rPr>
        <w:t>多源融合等各模块产品化及商业化进程，加强自动驾驶仿真云平台建设，提升可面向不同等级自动驾驶综</w:t>
      </w:r>
      <w:r>
        <w:rPr>
          <w:spacing w:val="-43"/>
        </w:rPr>
        <w:t> </w:t>
      </w:r>
      <w:r>
        <w:rPr>
          <w:spacing w:val="-43"/>
        </w:rPr>
      </w:r>
      <w:r>
        <w:rPr/>
        <w:t>合解决方案需求的技术研发和服务能力，满足重要客户测试及量产需求。</w:t>
      </w:r>
      <w:r>
        <w:rPr>
          <w:rFonts w:ascii="宋体" w:hAnsi="宋体" w:cs="宋体" w:eastAsia="宋体" w:hint="default"/>
        </w:rPr>
        <w:t> </w:t>
      </w:r>
    </w:p>
    <w:p>
      <w:pPr>
        <w:pStyle w:val="Heading5"/>
        <w:spacing w:line="408" w:lineRule="auto" w:before="87"/>
        <w:ind w:right="1126"/>
        <w:jc w:val="both"/>
      </w:pPr>
      <w:r>
        <w:rPr>
          <w:spacing w:val="-2"/>
        </w:rPr>
        <w:t>在芯片业务方面，充分发挥内部资源垂直整合的协同作用，加大新产品研发和投入力度，推进新一代</w:t>
      </w:r>
      <w:r>
        <w:rPr>
          <w:w w:val="100"/>
        </w:rPr>
        <w:t> </w:t>
      </w:r>
      <w:r>
        <w:rPr/>
        <w:t>智能座舱</w:t>
      </w:r>
      <w:r>
        <w:rPr>
          <w:spacing w:val="-48"/>
        </w:rPr>
        <w:t> </w:t>
      </w:r>
      <w:r>
        <w:rPr>
          <w:rFonts w:ascii="宋体" w:hAnsi="宋体" w:cs="宋体" w:eastAsia="宋体" w:hint="default"/>
        </w:rPr>
        <w:t>IVI</w:t>
      </w:r>
      <w:r>
        <w:rPr>
          <w:rFonts w:ascii="宋体" w:hAnsi="宋体" w:cs="宋体" w:eastAsia="宋体" w:hint="default"/>
          <w:spacing w:val="-48"/>
        </w:rPr>
        <w:t> </w:t>
      </w:r>
      <w:r>
        <w:rPr/>
        <w:t>芯片、</w:t>
      </w:r>
      <w:r>
        <w:rPr>
          <w:rFonts w:ascii="宋体" w:hAnsi="宋体" w:cs="宋体" w:eastAsia="宋体" w:hint="default"/>
        </w:rPr>
        <w:t>MCU</w:t>
      </w:r>
      <w:r>
        <w:rPr>
          <w:rFonts w:ascii="宋体" w:hAnsi="宋体" w:cs="宋体" w:eastAsia="宋体" w:hint="default"/>
          <w:spacing w:val="-50"/>
        </w:rPr>
        <w:t> </w:t>
      </w:r>
      <w:r>
        <w:rPr/>
        <w:t>车身控制芯片、</w:t>
      </w:r>
      <w:r>
        <w:rPr>
          <w:rFonts w:ascii="宋体" w:hAnsi="宋体" w:cs="宋体" w:eastAsia="宋体" w:hint="default"/>
        </w:rPr>
        <w:t>TPMS</w:t>
      </w:r>
      <w:r>
        <w:rPr>
          <w:rFonts w:ascii="宋体" w:hAnsi="宋体" w:cs="宋体" w:eastAsia="宋体" w:hint="default"/>
          <w:spacing w:val="-50"/>
        </w:rPr>
        <w:t> </w:t>
      </w:r>
      <w:r>
        <w:rPr/>
        <w:t>胎压监测系统芯片、</w:t>
      </w:r>
      <w:r>
        <w:rPr>
          <w:rFonts w:ascii="宋体" w:hAnsi="宋体" w:cs="宋体" w:eastAsia="宋体" w:hint="default"/>
        </w:rPr>
        <w:t>AMP</w:t>
      </w:r>
      <w:r>
        <w:rPr>
          <w:rFonts w:ascii="宋体" w:hAnsi="宋体" w:cs="宋体" w:eastAsia="宋体" w:hint="default"/>
          <w:spacing w:val="-48"/>
        </w:rPr>
        <w:t> </w:t>
      </w:r>
      <w:r>
        <w:rPr/>
        <w:t>功放芯片的量产及研发进度。持续</w:t>
      </w:r>
      <w:r>
        <w:rPr>
          <w:w w:val="100"/>
        </w:rPr>
        <w:t> </w:t>
      </w:r>
      <w:r>
        <w:rPr>
          <w:spacing w:val="-2"/>
        </w:rPr>
        <w:t>加大芯片产品的市场拓展力度，加速推动新一代车联网芯片、智能座舱芯片在前后装市场及其他应用市场</w:t>
      </w:r>
    </w:p>
    <w:p>
      <w:pPr>
        <w:spacing w:after="0" w:line="408" w:lineRule="auto"/>
        <w:jc w:val="both"/>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Heading5"/>
        <w:spacing w:line="408" w:lineRule="auto" w:before="176"/>
        <w:ind w:right="1126" w:firstLine="0"/>
        <w:jc w:val="both"/>
        <w:rPr>
          <w:rFonts w:ascii="宋体" w:hAnsi="宋体" w:cs="宋体" w:eastAsia="宋体" w:hint="default"/>
        </w:rPr>
      </w:pPr>
      <w:r>
        <w:rPr/>
        <w:t>的商业化落地进程，进一步丰富</w:t>
      </w:r>
      <w:r>
        <w:rPr>
          <w:spacing w:val="-33"/>
        </w:rPr>
        <w:t> </w:t>
      </w:r>
      <w:r>
        <w:rPr>
          <w:rFonts w:ascii="宋体" w:hAnsi="宋体" w:cs="宋体" w:eastAsia="宋体" w:hint="default"/>
        </w:rPr>
        <w:t>MCU</w:t>
      </w:r>
      <w:r>
        <w:rPr>
          <w:rFonts w:ascii="宋体" w:hAnsi="宋体" w:cs="宋体" w:eastAsia="宋体" w:hint="default"/>
          <w:spacing w:val="-36"/>
        </w:rPr>
        <w:t> </w:t>
      </w:r>
      <w:r>
        <w:rPr/>
        <w:t>产品线及客户规模，提升</w:t>
      </w:r>
      <w:r>
        <w:rPr>
          <w:spacing w:val="-33"/>
        </w:rPr>
        <w:t> </w:t>
      </w:r>
      <w:r>
        <w:rPr>
          <w:rFonts w:ascii="宋体" w:hAnsi="宋体" w:cs="宋体" w:eastAsia="宋体" w:hint="default"/>
        </w:rPr>
        <w:t>TPMS</w:t>
      </w:r>
      <w:r>
        <w:rPr>
          <w:rFonts w:ascii="宋体" w:hAnsi="宋体" w:cs="宋体" w:eastAsia="宋体" w:hint="default"/>
          <w:spacing w:val="-36"/>
        </w:rPr>
        <w:t> </w:t>
      </w:r>
      <w:r>
        <w:rPr/>
        <w:t>胎压监测系统芯片市场份额和新一代</w:t>
      </w:r>
      <w:r>
        <w:rPr>
          <w:w w:val="100"/>
        </w:rPr>
        <w:t> </w:t>
      </w:r>
      <w:r>
        <w:rPr>
          <w:rFonts w:ascii="宋体" w:hAnsi="宋体" w:cs="宋体" w:eastAsia="宋体" w:hint="default"/>
        </w:rPr>
        <w:t>AMP</w:t>
      </w:r>
      <w:r>
        <w:rPr>
          <w:rFonts w:ascii="宋体" w:hAnsi="宋体" w:cs="宋体" w:eastAsia="宋体" w:hint="default"/>
          <w:spacing w:val="-31"/>
        </w:rPr>
        <w:t> </w:t>
      </w:r>
      <w:r>
        <w:rPr>
          <w:spacing w:val="-4"/>
        </w:rPr>
        <w:t>产品市场占有率。面向下一代智能座舱芯片、自动驾驶算力平台芯片、汽车模拟芯片、车用</w:t>
      </w:r>
      <w:r>
        <w:rPr>
          <w:spacing w:val="-33"/>
        </w:rPr>
        <w:t> </w:t>
      </w:r>
      <w:r>
        <w:rPr>
          <w:rFonts w:ascii="宋体" w:hAnsi="宋体" w:cs="宋体" w:eastAsia="宋体" w:hint="default"/>
        </w:rPr>
        <w:t>MEMS</w:t>
      </w:r>
      <w:r>
        <w:rPr>
          <w:rFonts w:ascii="宋体" w:hAnsi="宋体" w:cs="宋体" w:eastAsia="宋体" w:hint="default"/>
          <w:spacing w:val="-33"/>
        </w:rPr>
        <w:t> </w:t>
      </w:r>
      <w:r>
        <w:rPr>
          <w:spacing w:val="-3"/>
        </w:rPr>
        <w:t>传感</w:t>
      </w:r>
      <w:r>
        <w:rPr>
          <w:spacing w:val="-93"/>
        </w:rPr>
        <w:t> </w:t>
      </w:r>
      <w:r>
        <w:rPr/>
        <w:t>器芯片等领域，进行积极布局。</w:t>
      </w:r>
      <w:r>
        <w:rPr>
          <w:rFonts w:ascii="宋体" w:hAnsi="宋体" w:cs="宋体" w:eastAsia="宋体" w:hint="default"/>
        </w:rPr>
        <w:t> </w:t>
      </w:r>
    </w:p>
    <w:p>
      <w:pPr>
        <w:pStyle w:val="Heading5"/>
        <w:spacing w:line="408" w:lineRule="auto" w:before="87"/>
        <w:ind w:right="1126"/>
        <w:jc w:val="both"/>
        <w:rPr>
          <w:rFonts w:ascii="宋体" w:hAnsi="宋体" w:cs="宋体" w:eastAsia="宋体" w:hint="default"/>
        </w:rPr>
      </w:pPr>
      <w:r>
        <w:rPr>
          <w:spacing w:val="-2"/>
        </w:rPr>
        <w:t>在位置大数据服务业务方面，深耕互联网、公安、交警、交通、规划等重点应用领域在重点区域的客</w:t>
      </w:r>
      <w:r>
        <w:rPr>
          <w:w w:val="100"/>
        </w:rPr>
        <w:t> </w:t>
      </w:r>
      <w:r>
        <w:rPr>
          <w:spacing w:val="-5"/>
        </w:rPr>
        <w:t>户需求，推进</w:t>
      </w:r>
      <w:r>
        <w:rPr>
          <w:spacing w:val="-22"/>
        </w:rPr>
        <w:t> </w:t>
      </w:r>
      <w:r>
        <w:rPr>
          <w:rFonts w:ascii="宋体" w:hAnsi="宋体" w:cs="宋体" w:eastAsia="宋体" w:hint="default"/>
        </w:rPr>
        <w:t>Minedata</w:t>
      </w:r>
      <w:r>
        <w:rPr>
          <w:rFonts w:ascii="宋体" w:hAnsi="宋体" w:cs="宋体" w:eastAsia="宋体" w:hint="default"/>
          <w:spacing w:val="-24"/>
        </w:rPr>
        <w:t> </w:t>
      </w:r>
      <w:r>
        <w:rPr>
          <w:spacing w:val="-5"/>
        </w:rPr>
        <w:t>平台标准化、专业化、国际化落地，拓展开放平台服务能力，形成合作生态，打造</w:t>
      </w:r>
      <w:r>
        <w:rPr>
          <w:spacing w:val="-92"/>
        </w:rPr>
        <w:t> </w:t>
      </w:r>
      <w:r>
        <w:rPr>
          <w:spacing w:val="-92"/>
        </w:rPr>
      </w:r>
      <w:r>
        <w:rPr/>
        <w:t>可持续发展的商业模式，进一步提升市场竞争优势和行业地位。</w:t>
      </w:r>
      <w:r>
        <w:rPr>
          <w:rFonts w:ascii="宋体" w:hAnsi="宋体" w:cs="宋体" w:eastAsia="宋体" w:hint="default"/>
        </w:rPr>
        <w:t> </w:t>
      </w:r>
    </w:p>
    <w:p>
      <w:pPr>
        <w:pStyle w:val="Heading5"/>
        <w:spacing w:line="408" w:lineRule="auto"/>
        <w:ind w:right="1126"/>
        <w:jc w:val="both"/>
        <w:rPr>
          <w:rFonts w:ascii="宋体" w:hAnsi="宋体" w:cs="宋体" w:eastAsia="宋体" w:hint="default"/>
        </w:rPr>
      </w:pPr>
      <w:r>
        <w:rPr>
          <w:spacing w:val="-2"/>
        </w:rPr>
        <w:t>在动态交通信息服务业务方面，围绕客户需求，拓展动态数据信息源，持续提升路况及事件信息用户</w:t>
      </w:r>
      <w:r>
        <w:rPr>
          <w:w w:val="100"/>
        </w:rPr>
        <w:t> </w:t>
      </w:r>
      <w:r>
        <w:rPr>
          <w:spacing w:val="-2"/>
        </w:rPr>
        <w:t>满意度和服务品质，提升车载用户搭载数量，稳定车载市场领先地位，面向高等级应用需求，加大新产品</w:t>
      </w:r>
      <w:r>
        <w:rPr>
          <w:spacing w:val="-50"/>
        </w:rPr>
        <w:t> </w:t>
      </w:r>
      <w:r>
        <w:rPr>
          <w:spacing w:val="-50"/>
        </w:rPr>
      </w:r>
      <w:r>
        <w:rPr/>
        <w:t>研发及商业化孵化力度。</w:t>
      </w:r>
      <w:r>
        <w:rPr>
          <w:rFonts w:ascii="宋体" w:hAnsi="宋体" w:cs="宋体" w:eastAsia="宋体" w:hint="default"/>
        </w:rPr>
        <w:t> </w:t>
      </w:r>
    </w:p>
    <w:p>
      <w:pPr>
        <w:pStyle w:val="Heading5"/>
        <w:spacing w:line="408" w:lineRule="auto"/>
        <w:ind w:right="1126"/>
        <w:jc w:val="both"/>
        <w:rPr>
          <w:rFonts w:ascii="宋体" w:hAnsi="宋体" w:cs="宋体" w:eastAsia="宋体" w:hint="default"/>
        </w:rPr>
      </w:pPr>
      <w:r>
        <w:rPr/>
        <w:t>在乘用车联网服务业务方面，以大数据</w:t>
      </w:r>
      <w:r>
        <w:rPr>
          <w:rFonts w:ascii="宋体" w:hAnsi="宋体" w:cs="宋体" w:eastAsia="宋体" w:hint="default"/>
        </w:rPr>
        <w:t>/AI</w:t>
      </w:r>
      <w:r>
        <w:rPr>
          <w:rFonts w:ascii="宋体" w:hAnsi="宋体" w:cs="宋体" w:eastAsia="宋体" w:hint="default"/>
          <w:spacing w:val="34"/>
        </w:rPr>
        <w:t> </w:t>
      </w:r>
      <w:r>
        <w:rPr>
          <w:spacing w:val="-3"/>
        </w:rPr>
        <w:t>为驱动，加大生态资源整合力度，面向车身大数据商业化</w:t>
      </w:r>
      <w:r>
        <w:rPr>
          <w:w w:val="100"/>
        </w:rPr>
        <w:t> </w:t>
      </w:r>
      <w:r>
        <w:rPr>
          <w:spacing w:val="-2"/>
        </w:rPr>
        <w:t>应用场景，进一步加强智能云平台及数据中台能力建设。积极打造可面向未来的新型车联网智能产品及软</w:t>
      </w:r>
      <w:r>
        <w:rPr>
          <w:spacing w:val="-42"/>
        </w:rPr>
        <w:t> </w:t>
      </w:r>
      <w:r>
        <w:rPr>
          <w:spacing w:val="-42"/>
        </w:rPr>
      </w:r>
      <w:r>
        <w:rPr>
          <w:spacing w:val="-2"/>
        </w:rPr>
        <w:t>硬件一体化、定制化服务能力，推动通用型车联网云平台及服务组件、后装智能车机、轻车联网方案等主</w:t>
      </w:r>
      <w:r>
        <w:rPr>
          <w:spacing w:val="-50"/>
        </w:rPr>
        <w:t> </w:t>
      </w:r>
      <w:r>
        <w:rPr>
          <w:spacing w:val="-50"/>
        </w:rPr>
      </w:r>
      <w:r>
        <w:rPr/>
        <w:t>要产品的市场拓展和项目落地，加速推进新能源汽车充电服务商业化进程。</w:t>
      </w:r>
      <w:r>
        <w:rPr>
          <w:rFonts w:ascii="宋体" w:hAnsi="宋体" w:cs="宋体" w:eastAsia="宋体" w:hint="default"/>
        </w:rPr>
        <w:t> </w:t>
      </w:r>
    </w:p>
    <w:p>
      <w:pPr>
        <w:pStyle w:val="Heading5"/>
        <w:spacing w:line="408" w:lineRule="auto"/>
        <w:ind w:right="0"/>
        <w:jc w:val="left"/>
        <w:rPr>
          <w:rFonts w:ascii="宋体" w:hAnsi="宋体" w:cs="宋体" w:eastAsia="宋体" w:hint="default"/>
        </w:rPr>
      </w:pPr>
      <w:r>
        <w:rPr/>
        <w:t>在商用车联网服务业务方面，进一步拓展商用车前装市场占有率和用户规模，提升车联网平台技术标</w:t>
      </w:r>
      <w:r>
        <w:rPr>
          <w:w w:val="100"/>
        </w:rPr>
        <w:t> </w:t>
      </w:r>
      <w:r>
        <w:rPr>
          <w:spacing w:val="-2"/>
        </w:rPr>
        <w:t>准化能力和大数据能力。打造智能硬件产品组合方案以及面向车厂客户多场景应用需求的定制化服务能力，</w:t>
      </w:r>
      <w:r>
        <w:rPr>
          <w:spacing w:val="-43"/>
        </w:rPr>
        <w:t> </w:t>
      </w:r>
      <w:r>
        <w:rPr>
          <w:spacing w:val="-43"/>
        </w:rPr>
      </w:r>
      <w:r>
        <w:rPr/>
        <w:t>加速推进后市场运营数据的变现进程。以车联网为基础，推出面向节油、安全、物流等不同场景的系列新</w:t>
      </w:r>
      <w:r>
        <w:rPr>
          <w:w w:val="100"/>
        </w:rPr>
        <w:t> </w:t>
      </w:r>
      <w:r>
        <w:rPr/>
        <w:t>型产品及服务。</w:t>
      </w:r>
      <w:r>
        <w:rPr>
          <w:rFonts w:ascii="宋体" w:hAnsi="宋体" w:cs="宋体" w:eastAsia="宋体" w:hint="default"/>
        </w:rPr>
        <w:t> </w:t>
      </w:r>
    </w:p>
    <w:p>
      <w:pPr>
        <w:pStyle w:val="Heading5"/>
        <w:spacing w:line="408" w:lineRule="auto"/>
        <w:ind w:right="1126"/>
        <w:jc w:val="both"/>
        <w:rPr>
          <w:rFonts w:ascii="宋体" w:hAnsi="宋体" w:cs="宋体" w:eastAsia="宋体" w:hint="default"/>
        </w:rPr>
      </w:pPr>
      <w:r>
        <w:rPr/>
        <w:t>上述经营计划、经营目标并不代表本公司对 </w:t>
      </w:r>
      <w:r>
        <w:rPr>
          <w:rFonts w:ascii="宋体" w:hAnsi="宋体" w:cs="宋体" w:eastAsia="宋体" w:hint="default"/>
        </w:rPr>
        <w:t>2020</w:t>
      </w:r>
      <w:r>
        <w:rPr>
          <w:rFonts w:ascii="宋体" w:hAnsi="宋体" w:cs="宋体" w:eastAsia="宋体" w:hint="default"/>
          <w:spacing w:val="-28"/>
        </w:rPr>
        <w:t> </w:t>
      </w:r>
      <w:r>
        <w:rPr/>
        <w:t>年度的盈利做出了预测，其是否实现将取决于市场</w:t>
      </w:r>
      <w:r>
        <w:rPr>
          <w:w w:val="100"/>
        </w:rPr>
        <w:t> </w:t>
      </w:r>
      <w:r>
        <w:rPr/>
        <w:t>状况变化、经营团队的努力程度等多种因素，存在很大的不确定性，特提请投资者注意。</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4"/>
        <w:spacing w:line="335" w:lineRule="exact"/>
        <w:ind w:right="0"/>
        <w:jc w:val="left"/>
        <w:rPr>
          <w:b w:val="0"/>
          <w:bCs w:val="0"/>
        </w:rPr>
      </w:pPr>
      <w:r>
        <w:rPr/>
        <w:t>（三）公司面临的风险和应对措施</w:t>
      </w:r>
      <w:r>
        <w:rPr>
          <w:b w:val="0"/>
          <w:bCs w:val="0"/>
        </w:rPr>
      </w:r>
    </w:p>
    <w:p>
      <w:pPr>
        <w:spacing w:line="350" w:lineRule="auto" w:before="143"/>
        <w:ind w:left="573" w:right="0" w:firstLine="2"/>
        <w:jc w:val="left"/>
        <w:rPr>
          <w:rFonts w:ascii="宋体" w:hAnsi="宋体" w:cs="宋体" w:eastAsia="宋体"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、市场发展及经营环境不确定性增加的风险</w:t>
      </w:r>
      <w:r>
        <w:rPr>
          <w:rFonts w:ascii="Arial" w:hAnsi="Arial" w:cs="Arial" w:eastAsia="Arial" w:hint="default"/>
          <w:b/>
          <w:bCs/>
          <w:w w:val="180"/>
          <w:sz w:val="21"/>
          <w:szCs w:val="21"/>
        </w:rPr>
        <w:t> </w:t>
      </w:r>
      <w:r>
        <w:rPr>
          <w:rFonts w:ascii="宋体" w:hAnsi="宋体" w:cs="宋体" w:eastAsia="宋体" w:hint="default"/>
          <w:spacing w:val="-2"/>
          <w:sz w:val="21"/>
          <w:szCs w:val="21"/>
        </w:rPr>
        <w:t>国家经济增速下行压力增加，中美贸易关系不稳定，应急突发事件产生的影响不断蔓延，汽车产业产</w:t>
      </w:r>
    </w:p>
    <w:p>
      <w:pPr>
        <w:pStyle w:val="Heading5"/>
        <w:spacing w:line="408" w:lineRule="auto" w:before="96"/>
        <w:ind w:right="0" w:firstLine="0"/>
        <w:jc w:val="left"/>
        <w:rPr>
          <w:rFonts w:ascii="宋体" w:hAnsi="宋体" w:cs="宋体" w:eastAsia="宋体" w:hint="default"/>
        </w:rPr>
      </w:pPr>
      <w:r>
        <w:rPr>
          <w:spacing w:val="-2"/>
        </w:rPr>
        <w:t>销承受压力，国际化的市场冲击和市场竞争日益激烈，公司新产品研发及产品化路径是否能够经受市场验</w:t>
      </w:r>
      <w:r>
        <w:rPr>
          <w:spacing w:val="-44"/>
        </w:rPr>
        <w:t> </w:t>
      </w:r>
      <w:r>
        <w:rPr>
          <w:spacing w:val="-44"/>
        </w:rPr>
      </w:r>
      <w:r>
        <w:rPr/>
        <w:t>证并快速形成竞争优势，以及公司能否快速突破传统商业模式禁锢、有效培育极具增长潜力的新兴业务，</w:t>
      </w:r>
      <w:r>
        <w:rPr>
          <w:spacing w:val="-24"/>
        </w:rPr>
        <w:t> </w:t>
      </w:r>
      <w:r>
        <w:rPr>
          <w:spacing w:val="-24"/>
        </w:rPr>
      </w:r>
      <w:r>
        <w:rPr>
          <w:spacing w:val="-2"/>
        </w:rPr>
        <w:t>面临巨大挑战。公司在经营策略上将密切关注市场及国际形势的变化及走向，不断提升自主科研能力和商</w:t>
      </w:r>
      <w:r>
        <w:rPr>
          <w:spacing w:val="-43"/>
        </w:rPr>
        <w:t> </w:t>
      </w:r>
      <w:r>
        <w:rPr>
          <w:spacing w:val="-43"/>
        </w:rPr>
      </w:r>
      <w:r>
        <w:rPr/>
        <w:t>业化能力，进一步拓展全球化战略布局。</w:t>
      </w:r>
      <w:r>
        <w:rPr>
          <w:rFonts w:ascii="宋体" w:hAnsi="宋体" w:cs="宋体" w:eastAsia="宋体" w:hint="default"/>
        </w:rPr>
        <w:t> </w:t>
      </w:r>
    </w:p>
    <w:p>
      <w:pPr>
        <w:pStyle w:val="Heading4"/>
        <w:spacing w:line="345" w:lineRule="exact"/>
        <w:ind w:left="575" w:right="0"/>
        <w:jc w:val="left"/>
        <w:rPr>
          <w:rFonts w:ascii="Arial" w:hAnsi="Arial" w:cs="Arial" w:eastAsia="Arial" w:hint="default"/>
          <w:b w:val="0"/>
          <w:bCs w:val="0"/>
        </w:rPr>
      </w:pPr>
      <w:r>
        <w:rPr>
          <w:rFonts w:ascii="Arial" w:hAnsi="Arial" w:cs="Arial" w:eastAsia="Arial" w:hint="default"/>
        </w:rPr>
        <w:t>2</w:t>
      </w:r>
      <w:r>
        <w:rPr/>
        <w:t>、新业务、新产品研发投入变现速度不及预期的风险</w:t>
      </w:r>
      <w:r>
        <w:rPr>
          <w:rFonts w:ascii="Arial" w:hAnsi="Arial" w:cs="Arial" w:eastAsia="Arial" w:hint="default"/>
          <w:w w:val="180"/>
        </w:rPr>
        <w:t> </w:t>
      </w:r>
      <w:r>
        <w:rPr>
          <w:rFonts w:ascii="Arial" w:hAnsi="Arial" w:cs="Arial" w:eastAsia="Arial" w:hint="default"/>
          <w:b w:val="0"/>
          <w:bCs w:val="0"/>
        </w:rPr>
      </w:r>
    </w:p>
    <w:p>
      <w:pPr>
        <w:spacing w:after="0" w:line="345" w:lineRule="exact"/>
        <w:jc w:val="left"/>
        <w:rPr>
          <w:rFonts w:ascii="Arial" w:hAnsi="Arial" w:cs="Arial" w:eastAsia="Arial" w:hint="default"/>
        </w:rPr>
        <w:sectPr>
          <w:pgSz w:w="11910" w:h="16840"/>
          <w:pgMar w:header="748" w:footer="979" w:top="1060" w:bottom="1160" w:left="980" w:right="0"/>
        </w:sectPr>
      </w:pPr>
    </w:p>
    <w:p>
      <w:pPr>
        <w:spacing w:line="240" w:lineRule="auto" w:before="0"/>
        <w:rPr>
          <w:rFonts w:ascii="Arial" w:hAnsi="Arial" w:cs="Arial" w:eastAsia="Arial" w:hint="default"/>
          <w:b/>
          <w:bCs/>
          <w:sz w:val="20"/>
          <w:szCs w:val="20"/>
        </w:rPr>
      </w:pPr>
    </w:p>
    <w:p>
      <w:pPr>
        <w:spacing w:line="240" w:lineRule="auto" w:before="1"/>
        <w:rPr>
          <w:rFonts w:ascii="Arial" w:hAnsi="Arial" w:cs="Arial" w:eastAsia="Arial" w:hint="default"/>
          <w:b/>
          <w:bCs/>
          <w:sz w:val="18"/>
          <w:szCs w:val="18"/>
        </w:rPr>
      </w:pPr>
    </w:p>
    <w:p>
      <w:pPr>
        <w:pStyle w:val="Heading5"/>
        <w:spacing w:line="408" w:lineRule="auto" w:before="0"/>
        <w:ind w:right="1126"/>
        <w:jc w:val="both"/>
        <w:rPr>
          <w:rFonts w:ascii="宋体" w:hAnsi="宋体" w:cs="宋体" w:eastAsia="宋体" w:hint="default"/>
        </w:rPr>
      </w:pPr>
      <w:r>
        <w:rPr>
          <w:spacing w:val="-3"/>
        </w:rPr>
        <w:t>公司为推进未来发展战略，将继续保持对高精度地图、高精度定位、自动驾驶整体解决方案、</w:t>
      </w:r>
      <w:r>
        <w:rPr>
          <w:rFonts w:ascii="宋体" w:hAnsi="宋体" w:cs="宋体" w:eastAsia="宋体" w:hint="default"/>
          <w:spacing w:val="-3"/>
        </w:rPr>
        <w:t>TPMS</w:t>
      </w:r>
      <w:r>
        <w:rPr>
          <w:rFonts w:ascii="宋体" w:hAnsi="宋体" w:cs="宋体" w:eastAsia="宋体" w:hint="default"/>
          <w:spacing w:val="-16"/>
        </w:rPr>
        <w:t> </w:t>
      </w:r>
      <w:r>
        <w:rPr/>
        <w:t>芯</w:t>
      </w:r>
      <w:r>
        <w:rPr>
          <w:w w:val="100"/>
        </w:rPr>
        <w:t> </w:t>
      </w:r>
      <w:r>
        <w:rPr>
          <w:spacing w:val="-2"/>
        </w:rPr>
        <w:t>片等车相关领域及业务的投入力度。产业协同及资本合作能否及时到位，新业务及产品是否能被市场认可</w:t>
      </w:r>
      <w:r>
        <w:rPr>
          <w:spacing w:val="-43"/>
        </w:rPr>
        <w:t> </w:t>
      </w:r>
      <w:r>
        <w:rPr>
          <w:spacing w:val="-43"/>
        </w:rPr>
      </w:r>
      <w:r>
        <w:rPr>
          <w:spacing w:val="-2"/>
        </w:rPr>
        <w:t>和接受，面临一定风险。公司将提高新业务开展的预见性，在内部建立类似风险投资的项目评估机制，积</w:t>
      </w:r>
      <w:r>
        <w:rPr>
          <w:spacing w:val="-44"/>
        </w:rPr>
        <w:t> </w:t>
      </w:r>
      <w:r>
        <w:rPr>
          <w:spacing w:val="-44"/>
        </w:rPr>
      </w:r>
      <w:r>
        <w:rPr>
          <w:spacing w:val="-2"/>
        </w:rPr>
        <w:t>极探索与外部战略合作者或投资机构风险与收益共担的产业投资和发展模式，与优秀企业建立可持续的战</w:t>
      </w:r>
      <w:r>
        <w:rPr>
          <w:spacing w:val="-43"/>
        </w:rPr>
        <w:t> </w:t>
      </w:r>
      <w:r>
        <w:rPr>
          <w:spacing w:val="-43"/>
        </w:rPr>
      </w:r>
      <w:r>
        <w:rPr/>
        <w:t>略合作关系，引进产业优势资源和资金支持，共同助力新产品和新业务孵化，缓解上市公司资金压力。</w:t>
      </w:r>
      <w:r>
        <w:rPr>
          <w:rFonts w:ascii="宋体" w:hAnsi="宋体" w:cs="宋体" w:eastAsia="宋体" w:hint="default"/>
        </w:rPr>
        <w:t> </w:t>
      </w:r>
    </w:p>
    <w:p>
      <w:pPr>
        <w:pStyle w:val="Heading4"/>
        <w:spacing w:line="345" w:lineRule="exact"/>
        <w:ind w:left="575" w:right="0"/>
        <w:jc w:val="left"/>
        <w:rPr>
          <w:rFonts w:ascii="Arial" w:hAnsi="Arial" w:cs="Arial" w:eastAsia="Arial" w:hint="default"/>
          <w:b w:val="0"/>
          <w:bCs w:val="0"/>
        </w:rPr>
      </w:pPr>
      <w:r>
        <w:rPr>
          <w:rFonts w:ascii="Arial" w:hAnsi="Arial" w:cs="Arial" w:eastAsia="Arial" w:hint="default"/>
        </w:rPr>
        <w:t>3</w:t>
      </w:r>
      <w:r>
        <w:rPr/>
        <w:t>、优秀人才的选育用留机制不能及时满足公司快速发展需求的风险</w:t>
      </w:r>
      <w:r>
        <w:rPr>
          <w:rFonts w:ascii="Arial" w:hAnsi="Arial" w:cs="Arial" w:eastAsia="Arial" w:hint="default"/>
          <w:w w:val="180"/>
        </w:rPr>
        <w:t> </w:t>
      </w:r>
      <w:r>
        <w:rPr>
          <w:rFonts w:ascii="Arial" w:hAnsi="Arial" w:cs="Arial" w:eastAsia="Arial" w:hint="default"/>
          <w:b w:val="0"/>
          <w:bCs w:val="0"/>
        </w:rPr>
      </w:r>
    </w:p>
    <w:p>
      <w:pPr>
        <w:pStyle w:val="Heading5"/>
        <w:spacing w:line="408" w:lineRule="auto" w:before="169"/>
        <w:ind w:right="1126"/>
        <w:jc w:val="both"/>
        <w:rPr>
          <w:rFonts w:ascii="宋体" w:hAnsi="宋体" w:cs="宋体" w:eastAsia="宋体" w:hint="default"/>
        </w:rPr>
      </w:pPr>
      <w:r>
        <w:rPr>
          <w:spacing w:val="-2"/>
        </w:rPr>
        <w:t>公司关注的面向未来的高精度地图、高精度定位、自动驾驶、人工智能等领域，需要吸引大批掌握核</w:t>
      </w:r>
      <w:r>
        <w:rPr>
          <w:w w:val="100"/>
        </w:rPr>
        <w:t> </w:t>
      </w:r>
      <w:r>
        <w:rPr>
          <w:spacing w:val="-2"/>
        </w:rPr>
        <w:t>心关键技术及前沿攻关能力的专业研发及技术人才，面对激烈的人才竞争，公司在打造吸引人才的发展平</w:t>
      </w:r>
      <w:r>
        <w:rPr>
          <w:spacing w:val="-43"/>
        </w:rPr>
        <w:t> </w:t>
      </w:r>
      <w:r>
        <w:rPr>
          <w:spacing w:val="-43"/>
        </w:rPr>
      </w:r>
      <w:r>
        <w:rPr>
          <w:spacing w:val="-2"/>
        </w:rPr>
        <w:t>台方面面临很大挑战。公司将积极拓展国内外人才引进渠道，与行业知名院校及重点学科单位建立人才培</w:t>
      </w:r>
      <w:r>
        <w:rPr>
          <w:spacing w:val="-43"/>
        </w:rPr>
        <w:t> </w:t>
      </w:r>
      <w:r>
        <w:rPr>
          <w:spacing w:val="-43"/>
        </w:rPr>
      </w:r>
      <w:r>
        <w:rPr>
          <w:spacing w:val="-2"/>
        </w:rPr>
        <w:t>养和共建机制，持续优化在组织能力和人才选育用留方面的机制建设，创新人才激励机制，为高端优秀人</w:t>
      </w:r>
      <w:r>
        <w:rPr>
          <w:spacing w:val="-44"/>
        </w:rPr>
        <w:t> </w:t>
      </w:r>
      <w:r>
        <w:rPr>
          <w:spacing w:val="-44"/>
        </w:rPr>
      </w:r>
      <w:r>
        <w:rPr/>
        <w:t>才提供更为广阔的事业发展平台。</w:t>
      </w:r>
      <w:r>
        <w:rPr>
          <w:rFonts w:ascii="宋体" w:hAnsi="宋体" w:cs="宋体" w:eastAsia="宋体" w:hint="default"/>
        </w:rPr>
        <w:t> </w:t>
      </w:r>
    </w:p>
    <w:p>
      <w:pPr>
        <w:pStyle w:val="Heading4"/>
        <w:spacing w:line="345" w:lineRule="exact"/>
        <w:ind w:left="575" w:right="0"/>
        <w:jc w:val="left"/>
        <w:rPr>
          <w:rFonts w:ascii="Arial" w:hAnsi="Arial" w:cs="Arial" w:eastAsia="Arial" w:hint="default"/>
          <w:b w:val="0"/>
          <w:bCs w:val="0"/>
        </w:rPr>
      </w:pPr>
      <w:r>
        <w:rPr>
          <w:rFonts w:ascii="Arial" w:hAnsi="Arial" w:cs="Arial" w:eastAsia="Arial" w:hint="default"/>
        </w:rPr>
        <w:t>4</w:t>
      </w:r>
      <w:r>
        <w:rPr/>
        <w:t>、知识产权被侵犯的风险</w:t>
      </w:r>
      <w:r>
        <w:rPr>
          <w:rFonts w:ascii="Arial" w:hAnsi="Arial" w:cs="Arial" w:eastAsia="Arial" w:hint="default"/>
          <w:w w:val="180"/>
        </w:rPr>
        <w:t> </w:t>
      </w:r>
      <w:r>
        <w:rPr>
          <w:rFonts w:ascii="Arial" w:hAnsi="Arial" w:cs="Arial" w:eastAsia="Arial" w:hint="default"/>
          <w:b w:val="0"/>
          <w:bCs w:val="0"/>
        </w:rPr>
      </w:r>
    </w:p>
    <w:p>
      <w:pPr>
        <w:pStyle w:val="Heading5"/>
        <w:spacing w:line="408" w:lineRule="auto" w:before="169"/>
        <w:ind w:right="1126"/>
        <w:jc w:val="both"/>
        <w:rPr>
          <w:rFonts w:ascii="宋体" w:hAnsi="宋体" w:cs="宋体" w:eastAsia="宋体" w:hint="default"/>
        </w:rPr>
      </w:pPr>
      <w:r>
        <w:rPr>
          <w:spacing w:val="-2"/>
        </w:rPr>
        <w:t>伴随互联网技术的快速发展，新型电子地图版权侵权案件时有发生，对于公司电子地图业务及软件产</w:t>
      </w:r>
      <w:r>
        <w:rPr>
          <w:w w:val="100"/>
        </w:rPr>
        <w:t> </w:t>
      </w:r>
      <w:r>
        <w:rPr>
          <w:spacing w:val="-2"/>
        </w:rPr>
        <w:t>品的经济收入造成巨大威胁。在研发工具及基础协议的调取和使用、研发成果的保护和二次开发利用、掌</w:t>
      </w:r>
      <w:r>
        <w:rPr>
          <w:spacing w:val="-43"/>
        </w:rPr>
        <w:t> </w:t>
      </w:r>
      <w:r>
        <w:rPr>
          <w:spacing w:val="-43"/>
        </w:rPr>
      </w:r>
      <w:r>
        <w:rPr>
          <w:spacing w:val="-2"/>
        </w:rPr>
        <w:t>握核心技术的关键人员的流动和转岗等过程中，也面临软件著作权、专利权、商标权、商业秘密等权益未</w:t>
      </w:r>
      <w:r>
        <w:rPr>
          <w:spacing w:val="-47"/>
        </w:rPr>
        <w:t> </w:t>
      </w:r>
      <w:r>
        <w:rPr>
          <w:spacing w:val="-47"/>
        </w:rPr>
      </w:r>
      <w:r>
        <w:rPr>
          <w:spacing w:val="-2"/>
        </w:rPr>
        <w:t>被合理保护及被侵犯的风险。公司将加大知识产权保护力度，及时采取法律行动维护公司合法权益，将知</w:t>
      </w:r>
      <w:r>
        <w:rPr>
          <w:spacing w:val="-43"/>
        </w:rPr>
        <w:t> </w:t>
      </w:r>
      <w:r>
        <w:rPr>
          <w:spacing w:val="-43"/>
        </w:rPr>
      </w:r>
      <w:r>
        <w:rPr>
          <w:spacing w:val="-2"/>
        </w:rPr>
        <w:t>识权利风险防御及保护机制嵌入运用到技术创新、产品创新、组织创新和商业模式创新当中，从源头即建</w:t>
      </w:r>
      <w:r>
        <w:rPr>
          <w:spacing w:val="-44"/>
        </w:rPr>
        <w:t> </w:t>
      </w:r>
      <w:r>
        <w:rPr>
          <w:spacing w:val="-44"/>
        </w:rPr>
      </w:r>
      <w:r>
        <w:rPr/>
        <w:t>立起有效措施。</w:t>
      </w:r>
      <w:r>
        <w:rPr>
          <w:rFonts w:ascii="宋体" w:hAnsi="宋体" w:cs="宋体" w:eastAsia="宋体" w:hint="default"/>
        </w:rPr>
        <w:t> </w:t>
      </w:r>
    </w:p>
    <w:p>
      <w:pPr>
        <w:pStyle w:val="Heading2"/>
        <w:spacing w:line="240" w:lineRule="auto" w:before="167"/>
        <w:ind w:right="0"/>
        <w:jc w:val="left"/>
        <w:rPr>
          <w:b w:val="0"/>
          <w:bCs w:val="0"/>
        </w:rPr>
      </w:pPr>
      <w:r>
        <w:rPr/>
        <w:t>十、接待调研、沟通、采访等活动</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177"/>
        <w:gridCol w:w="2177"/>
        <w:gridCol w:w="2177"/>
        <w:gridCol w:w="3039"/>
      </w:tblGrid>
      <w:tr>
        <w:trPr>
          <w:trHeight w:val="401"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5"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65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6" w:right="30"/>
              <w:jc w:val="left"/>
              <w:rPr>
                <w:rFonts w:ascii="Times New Roman" w:hAnsi="Times New Roman" w:cs="Times New Roman" w:eastAsia="Times New Roman" w:hint="default"/>
                <w:sz w:val="18"/>
                <w:szCs w:val="18"/>
              </w:rPr>
            </w:pPr>
            <w:hyperlink r:id="rId17">
              <w:r>
                <w:rPr>
                  <w:rFonts w:ascii="Times New Roman"/>
                  <w:sz w:val="18"/>
                </w:rPr>
                <w:t>http://www.cninfo.com.cn/new/common</w:t>
              </w:r>
            </w:hyperlink>
            <w:r>
              <w:rPr>
                <w:rFonts w:ascii="Times New Roman"/>
                <w:sz w:val="18"/>
              </w:rPr>
              <w:t> Url/pageOfSearch?url=disclosure/list/sea</w:t>
            </w:r>
            <w:r>
              <w:rPr>
                <w:rFonts w:ascii="Times New Roman"/>
                <w:w w:val="100"/>
                <w:sz w:val="18"/>
              </w:rPr>
              <w:t> </w:t>
            </w:r>
            <w:r>
              <w:rPr>
                <w:rFonts w:ascii="Times New Roman"/>
                <w:sz w:val="18"/>
              </w:rPr>
              <w:t>rch&amp;code=002405&amp;name=%E5%9B%9</w:t>
            </w:r>
            <w:r>
              <w:rPr>
                <w:rFonts w:ascii="Times New Roman"/>
                <w:w w:val="100"/>
                <w:sz w:val="18"/>
              </w:rPr>
              <w:t> </w:t>
            </w:r>
            <w:r>
              <w:rPr>
                <w:rFonts w:ascii="Times New Roman"/>
                <w:sz w:val="18"/>
              </w:rPr>
              <w:t>B%E7%BB%B4%E5%9B%BE%E6%9</w:t>
            </w:r>
          </w:p>
          <w:p>
            <w:pPr>
              <w:pStyle w:val="TableParagraph"/>
              <w:spacing w:line="240" w:lineRule="auto" w:before="3"/>
              <w:ind w:left="26" w:right="0"/>
              <w:jc w:val="left"/>
              <w:rPr>
                <w:rFonts w:ascii="Times New Roman" w:hAnsi="Times New Roman" w:cs="Times New Roman" w:eastAsia="Times New Roman" w:hint="default"/>
                <w:sz w:val="18"/>
                <w:szCs w:val="18"/>
              </w:rPr>
            </w:pPr>
            <w:r>
              <w:rPr>
                <w:rFonts w:ascii="Times New Roman"/>
                <w:sz w:val="18"/>
              </w:rPr>
              <w:t>6%B0&amp;orgId=9900012447#szseSme/3</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1472"/>
        <w:jc w:val="center"/>
        <w:rPr>
          <w:b w:val="0"/>
          <w:bCs w:val="0"/>
        </w:rPr>
      </w:pPr>
      <w:bookmarkStart w:name="_bookmark4" w:id="5"/>
      <w:bookmarkEnd w:id="5"/>
      <w:r>
        <w:rPr>
          <w:b w:val="0"/>
          <w:bCs w:val="0"/>
        </w:rPr>
      </w:r>
      <w:r>
        <w:rPr/>
        <w:t>第五节重要事项</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left="513" w:right="121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公司及董事会一贯重视对投资者的合理回报，《公司章程》中明晰了利润分配及现金分红事项的标准和比例、决策程</w:t>
      </w:r>
    </w:p>
    <w:p>
      <w:pPr>
        <w:pStyle w:val="BodyText"/>
        <w:spacing w:line="319" w:lineRule="auto" w:before="2"/>
        <w:ind w:left="0" w:right="1411"/>
        <w:jc w:val="right"/>
      </w:pPr>
      <w:r>
        <w:rPr/>
        <w:t>序和机制、利润分配的形式。公司严格执行《公司章程》以及股东大会决议，实施利润分配，相关的决策程序和机制完 备，独立董事尽职尽责并发挥应有职责，中小股东有充分表达意见和诉求的机会，中小股东的合法权益得到充分维护。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日，公司召开</w:t>
      </w:r>
      <w:r>
        <w:rPr>
          <w:rFonts w:ascii="Times New Roman" w:hAnsi="Times New Roman" w:cs="Times New Roman" w:eastAsia="Times New Roman" w:hint="default"/>
        </w:rPr>
        <w:t>2018</w:t>
      </w:r>
      <w:r>
        <w:rPr/>
        <w:t>年度股东大会，审议通过《</w:t>
      </w:r>
      <w:r>
        <w:rPr>
          <w:rFonts w:ascii="Times New Roman" w:hAnsi="Times New Roman" w:cs="Times New Roman" w:eastAsia="Times New Roman" w:hint="default"/>
        </w:rPr>
        <w:t>2018</w:t>
      </w:r>
      <w:r>
        <w:rPr/>
        <w:t>年度利润分配方案》，同意以</w:t>
      </w:r>
      <w:r>
        <w:rPr>
          <w:rFonts w:ascii="Times New Roman" w:hAnsi="Times New Roman" w:cs="Times New Roman" w:eastAsia="Times New Roman" w:hint="default"/>
        </w:rPr>
        <w:t>1,308,310,460</w:t>
      </w:r>
      <w:r>
        <w:rPr>
          <w:rFonts w:ascii="Times New Roman" w:hAnsi="Times New Roman" w:cs="Times New Roman" w:eastAsia="Times New Roman" w:hint="default"/>
          <w:spacing w:val="22"/>
        </w:rPr>
        <w:t> </w:t>
      </w:r>
      <w:r>
        <w:rPr/>
        <w:t>股为基</w:t>
      </w:r>
    </w:p>
    <w:p>
      <w:pPr>
        <w:pStyle w:val="BodyText"/>
        <w:spacing w:line="246" w:lineRule="exact"/>
        <w:ind w:right="0"/>
        <w:jc w:val="left"/>
      </w:pPr>
      <w:r>
        <w:rPr/>
        <w:t>数，每 </w:t>
      </w:r>
      <w:r>
        <w:rPr>
          <w:rFonts w:ascii="Times New Roman" w:hAnsi="Times New Roman" w:cs="Times New Roman" w:eastAsia="Times New Roman" w:hint="default"/>
        </w:rPr>
        <w:t>10 </w:t>
      </w:r>
      <w:r>
        <w:rPr/>
        <w:t>股派发现金 </w:t>
      </w:r>
      <w:r>
        <w:rPr>
          <w:rFonts w:ascii="Times New Roman" w:hAnsi="Times New Roman" w:cs="Times New Roman" w:eastAsia="Times New Roman" w:hint="default"/>
        </w:rPr>
        <w:t>0.14</w:t>
      </w:r>
      <w:r>
        <w:rPr/>
        <w:t>元（含税），同时以资本公积金向全体股东每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rFonts w:ascii="Times New Roman" w:hAnsi="Times New Roman" w:cs="Times New Roman" w:eastAsia="Times New Roman" w:hint="default"/>
        </w:rPr>
        <w:t>5</w:t>
      </w:r>
      <w:r>
        <w:rPr/>
        <w:t>股。</w:t>
      </w:r>
    </w:p>
    <w:p>
      <w:pPr>
        <w:spacing w:line="240" w:lineRule="auto" w:before="1"/>
        <w:rPr>
          <w:rFonts w:ascii="宋体" w:hAnsi="宋体" w:cs="宋体" w:eastAsia="宋体" w:hint="default"/>
          <w:sz w:val="4"/>
          <w:szCs w:val="4"/>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397"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pStyle w:val="BodyText"/>
        <w:spacing w:line="240" w:lineRule="auto" w:before="49"/>
        <w:ind w:right="-18"/>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Heading5"/>
        <w:spacing w:line="240" w:lineRule="auto" w:before="83"/>
        <w:ind w:right="-18" w:firstLine="0"/>
        <w:jc w:val="left"/>
      </w:pPr>
      <w:r>
        <w:rPr>
          <w:rFonts w:ascii="Times New Roman" w:hAnsi="Times New Roman" w:cs="Times New Roman" w:eastAsia="Times New Roman" w:hint="default"/>
        </w:rPr>
        <w:t>2017</w:t>
      </w:r>
      <w:r>
        <w:rPr/>
        <w:t>年度利润分配方案：每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0.42</w:t>
      </w:r>
      <w:r>
        <w:rPr/>
        <w:t>元（含税），不转增。</w:t>
      </w:r>
    </w:p>
    <w:p>
      <w:pPr>
        <w:pStyle w:val="Heading5"/>
        <w:spacing w:line="240" w:lineRule="auto" w:before="21"/>
        <w:ind w:right="-18" w:firstLine="0"/>
        <w:jc w:val="left"/>
      </w:pPr>
      <w:r>
        <w:rPr>
          <w:rFonts w:ascii="Times New Roman" w:hAnsi="Times New Roman" w:cs="Times New Roman" w:eastAsia="Times New Roman" w:hint="default"/>
        </w:rPr>
        <w:t>2018</w:t>
      </w:r>
      <w:r>
        <w:rPr/>
        <w:t>年度利润分配方案：每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0.14</w:t>
      </w:r>
      <w:r>
        <w:rPr/>
        <w:t>元（含税），转增资本公积</w:t>
      </w:r>
      <w:r>
        <w:rPr>
          <w:rFonts w:ascii="Times New Roman" w:hAnsi="Times New Roman" w:cs="Times New Roman" w:eastAsia="Times New Roman" w:hint="default"/>
        </w:rPr>
        <w:t>5</w:t>
      </w:r>
      <w:r>
        <w:rPr/>
        <w:t>股。</w:t>
      </w:r>
    </w:p>
    <w:p>
      <w:pPr>
        <w:pStyle w:val="Heading5"/>
        <w:spacing w:line="240" w:lineRule="auto" w:before="21"/>
        <w:ind w:right="-18" w:firstLine="0"/>
        <w:jc w:val="left"/>
      </w:pPr>
      <w:r>
        <w:rPr>
          <w:rFonts w:ascii="Times New Roman" w:hAnsi="Times New Roman" w:cs="Times New Roman" w:eastAsia="Times New Roman" w:hint="default"/>
        </w:rPr>
        <w:t>2019</w:t>
      </w:r>
      <w:r>
        <w:rPr/>
        <w:t>年度利润分配预案：每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0.18</w:t>
      </w:r>
      <w:r>
        <w:rPr/>
        <w:t>元（含税），不转增。</w:t>
      </w:r>
    </w:p>
    <w:p>
      <w:pPr>
        <w:pStyle w:val="BodyText"/>
        <w:spacing w:line="240" w:lineRule="auto" w:before="80"/>
        <w:ind w:right="-18"/>
        <w:jc w:val="left"/>
      </w:pPr>
      <w:r>
        <w:rPr/>
        <w:t>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165" w:space="755"/>
            <w:col w:w="2010"/>
          </w:cols>
        </w:sectPr>
      </w:pP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198"/>
        <w:gridCol w:w="1193"/>
        <w:gridCol w:w="1198"/>
        <w:gridCol w:w="1195"/>
        <w:gridCol w:w="1196"/>
        <w:gridCol w:w="1198"/>
        <w:gridCol w:w="1196"/>
        <w:gridCol w:w="1195"/>
      </w:tblGrid>
      <w:tr>
        <w:trPr>
          <w:trHeight w:val="227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55"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2" w:right="51"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5"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4"/>
              <w:ind w:left="52" w:right="50"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35,308,137.06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339,184,565.86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35,308,137.06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10.41%</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18,317,392.24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479,070,711.85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30,001,482.59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48,318,874.83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54,997,781.24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265,199,610.30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54,997,781.24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20.74%</w:t>
            </w: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二、本报告期利润分配及资本公积金转增股本情况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4220"/>
        <w:gridCol w:w="5348"/>
      </w:tblGrid>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0.18</w:t>
            </w: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1,961,563,170</w:t>
            </w: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35,308,137.06</w:t>
            </w:r>
          </w:p>
        </w:tc>
      </w:tr>
      <w:tr>
        <w:trPr>
          <w:trHeight w:val="40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35,308,137.06</w:t>
            </w:r>
          </w:p>
        </w:tc>
      </w:tr>
      <w:tr>
        <w:trPr>
          <w:trHeight w:val="40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1,879,908,756.67</w:t>
            </w:r>
          </w:p>
        </w:tc>
      </w:tr>
      <w:tr>
        <w:trPr>
          <w:trHeight w:val="408"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r>
        <w:trPr>
          <w:trHeight w:val="396"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5"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年度利润分配预案：以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日总股本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1,961,563,170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股为基数，每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股派发现金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0.18</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元（含税），不转</w:t>
            </w:r>
            <w:r>
              <w:rPr>
                <w:rFonts w:ascii="宋体" w:hAnsi="宋体" w:cs="宋体" w:eastAsia="宋体" w:hint="default"/>
                <w:sz w:val="18"/>
                <w:szCs w:val="18"/>
              </w:rPr>
              <w:t> 增。</w:t>
            </w:r>
          </w:p>
        </w:tc>
      </w:tr>
    </w:tbl>
    <w:p>
      <w:pPr>
        <w:spacing w:line="240" w:lineRule="auto" w:before="3"/>
        <w:rPr>
          <w:rFonts w:ascii="宋体" w:hAnsi="宋体" w:cs="宋体" w:eastAsia="宋体" w:hint="default"/>
          <w:sz w:val="18"/>
          <w:szCs w:val="18"/>
        </w:rPr>
      </w:pPr>
    </w:p>
    <w:p>
      <w:pPr>
        <w:pStyle w:val="Heading2"/>
        <w:spacing w:line="367" w:lineRule="exact"/>
        <w:ind w:right="0"/>
        <w:jc w:val="left"/>
        <w:rPr>
          <w:b w:val="0"/>
          <w:bCs w:val="0"/>
        </w:rPr>
      </w:pPr>
      <w:r>
        <w:rPr/>
        <w:t>三、承诺事项履行情况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Heading4"/>
        <w:spacing w:line="314" w:lineRule="exact"/>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26"/>
        </w:rPr>
        <w:t> </w:t>
      </w:r>
      <w:r>
        <w:rPr>
          <w:spacing w:val="26"/>
        </w:rPr>
      </w:r>
      <w:r>
        <w:rPr/>
        <w:t>尚未履行完毕的承诺事项</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410"/>
        <w:gridCol w:w="1551"/>
        <w:gridCol w:w="859"/>
        <w:gridCol w:w="1985"/>
        <w:gridCol w:w="994"/>
        <w:gridCol w:w="850"/>
        <w:gridCol w:w="919"/>
      </w:tblGrid>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55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收购报告书或权益变动报告书 中所作承诺</w:t>
            </w:r>
          </w:p>
        </w:tc>
        <w:tc>
          <w:tcPr>
            <w:tcW w:w="1551" w:type="dxa"/>
            <w:tcBorders>
              <w:top w:val="single" w:sz="4" w:space="0" w:color="000000"/>
              <w:left w:val="single" w:sz="12" w:space="0" w:color="D2D2D2"/>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55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2410"/>
        <w:gridCol w:w="1551"/>
        <w:gridCol w:w="859"/>
        <w:gridCol w:w="1985"/>
        <w:gridCol w:w="994"/>
        <w:gridCol w:w="850"/>
        <w:gridCol w:w="919"/>
      </w:tblGrid>
      <w:tr>
        <w:trPr>
          <w:trHeight w:val="4146"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34"/>
              <w:jc w:val="left"/>
              <w:rPr>
                <w:rFonts w:ascii="宋体" w:hAnsi="宋体" w:cs="宋体" w:eastAsia="宋体" w:hint="default"/>
                <w:sz w:val="18"/>
                <w:szCs w:val="18"/>
              </w:rPr>
            </w:pPr>
            <w:r>
              <w:rPr>
                <w:rFonts w:ascii="宋体" w:hAnsi="宋体" w:cs="宋体" w:eastAsia="宋体" w:hint="default"/>
                <w:sz w:val="18"/>
                <w:szCs w:val="18"/>
              </w:rPr>
              <w:t>首次公开发行或再融资时所作 承诺</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3" w:right="75"/>
              <w:jc w:val="both"/>
              <w:rPr>
                <w:rFonts w:ascii="宋体" w:hAnsi="宋体" w:cs="宋体" w:eastAsia="宋体" w:hint="default"/>
                <w:sz w:val="18"/>
                <w:szCs w:val="18"/>
              </w:rPr>
            </w:pPr>
            <w:r>
              <w:rPr>
                <w:rFonts w:ascii="宋体" w:hAnsi="宋体" w:cs="宋体" w:eastAsia="宋体" w:hint="default"/>
                <w:sz w:val="18"/>
                <w:szCs w:val="18"/>
              </w:rPr>
              <w:t>孙玉国、赖丰福、 程鹏、金水祥、黄 维远、雷文辉、徐 晋晖、吴浩、黄栋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103"/>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本人自四维图新股票上 市之日起十二个月内不 转让、不委托他人管理 四维图新首次公开发行 前本人持有四维图新之 股票，也不由四维图新 回购该部分股票。本人 在任职期间每年转让的 四维图新股份不超过所 持有的股份总数的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内，不转让所持有的四 维图新股份。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09" w:lineRule="auto"/>
              <w:ind w:left="24" w:right="47"/>
              <w:jc w:val="both"/>
              <w:rPr>
                <w:rFonts w:ascii="宋体" w:hAnsi="宋体" w:cs="宋体" w:eastAsia="宋体" w:hint="default"/>
                <w:sz w:val="18"/>
                <w:szCs w:val="18"/>
              </w:rPr>
            </w:pPr>
            <w:r>
              <w:rPr>
                <w:rFonts w:ascii="宋体" w:hAnsi="宋体" w:cs="宋体" w:eastAsia="宋体" w:hint="default"/>
                <w:sz w:val="18"/>
                <w:szCs w:val="18"/>
              </w:rPr>
              <w:t>上市后的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个月及 任职期间</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55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55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15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34"/>
              <w:jc w:val="both"/>
              <w:rPr>
                <w:rFonts w:ascii="宋体" w:hAnsi="宋体" w:cs="宋体" w:eastAsia="宋体" w:hint="default"/>
                <w:sz w:val="18"/>
                <w:szCs w:val="18"/>
              </w:rPr>
            </w:pPr>
            <w:r>
              <w:rPr>
                <w:rFonts w:ascii="宋体" w:hAnsi="宋体" w:cs="宋体" w:eastAsia="宋体" w:hint="default"/>
                <w:sz w:val="18"/>
                <w:szCs w:val="18"/>
              </w:rPr>
              <w:t>如承诺超期未履行完毕的，应 当详细说明未完成履行的具体 原因及下一步的工作计划</w:t>
            </w:r>
          </w:p>
        </w:tc>
        <w:tc>
          <w:tcPr>
            <w:tcW w:w="715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5"/>
        <w:rPr>
          <w:rFonts w:ascii="宋体" w:hAnsi="宋体" w:cs="宋体" w:eastAsia="宋体" w:hint="default"/>
          <w:sz w:val="19"/>
          <w:szCs w:val="19"/>
        </w:rPr>
      </w:pPr>
    </w:p>
    <w:p>
      <w:pPr>
        <w:pStyle w:val="Heading4"/>
        <w:spacing w:line="312" w:lineRule="exact" w:before="32"/>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6"/>
        </w:rPr>
        <w:t> </w:t>
      </w:r>
      <w:r>
        <w:rPr>
          <w:spacing w:val="26"/>
        </w:rPr>
      </w:r>
      <w:r>
        <w:rPr/>
        <w:t>其原因做出说明</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四、控股股东及其关联方对上市公司的非经营性占用资金情况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rPr>
        <w:t>1</w:t>
      </w:r>
      <w:r>
        <w:rPr/>
        <w:t>、新金融工具准则</w:t>
      </w:r>
    </w:p>
    <w:p>
      <w:pPr>
        <w:spacing w:line="240" w:lineRule="auto" w:before="13"/>
        <w:rPr>
          <w:rFonts w:ascii="宋体" w:hAnsi="宋体" w:cs="宋体" w:eastAsia="宋体" w:hint="default"/>
          <w:sz w:val="13"/>
          <w:szCs w:val="13"/>
        </w:rPr>
      </w:pPr>
    </w:p>
    <w:p>
      <w:pPr>
        <w:pStyle w:val="BodyText"/>
        <w:spacing w:line="300" w:lineRule="auto"/>
        <w:ind w:right="1131" w:firstLine="360"/>
        <w:jc w:val="both"/>
      </w:pPr>
      <w:r>
        <w:rPr>
          <w:rFonts w:ascii="Times New Roman" w:hAnsi="Times New Roman" w:cs="Times New Roman" w:eastAsia="Times New Roman" w:hint="default"/>
        </w:rPr>
        <w:t>2017</w:t>
      </w:r>
      <w:r>
        <w:rPr/>
        <w:t>年，财政部修订发布了《企业会计准则第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金融工具确认和计量》、《企业会计准则第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 转移》、《企业会计准则第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套期会计》及《企业会计准则第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金融工具列报》（以上四项准则统称</w:t>
      </w:r>
      <w:r>
        <w:rPr>
          <w:rFonts w:ascii="Times New Roman" w:hAnsi="Times New Roman" w:cs="Times New Roman" w:eastAsia="Times New Roman" w:hint="default"/>
        </w:rPr>
        <w:t>“</w:t>
      </w:r>
      <w:r>
        <w:rPr/>
        <w:t>新金融</w:t>
      </w:r>
      <w:r>
        <w:rPr>
          <w:spacing w:val="-75"/>
        </w:rPr>
        <w:t> </w:t>
      </w:r>
      <w:r>
        <w:rPr>
          <w:spacing w:val="-75"/>
        </w:rPr>
      </w:r>
      <w:r>
        <w:rPr/>
        <w:t>工具准则</w:t>
      </w:r>
      <w:r>
        <w:rPr>
          <w:rFonts w:ascii="Times New Roman" w:hAnsi="Times New Roman" w:cs="Times New Roman" w:eastAsia="Times New Roman" w:hint="default"/>
        </w:rPr>
        <w:t>”</w:t>
      </w:r>
      <w:r>
        <w:rPr/>
        <w:t>），并要求境内上市企业自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日起施行新金融工具相关会计准则。</w:t>
      </w:r>
    </w:p>
    <w:p>
      <w:pPr>
        <w:pStyle w:val="BodyText"/>
        <w:spacing w:line="240" w:lineRule="auto" w:before="133"/>
        <w:ind w:left="513" w:right="0"/>
        <w:jc w:val="left"/>
      </w:pPr>
      <w:r>
        <w:rPr/>
        <w:t>本次变更后，公司将按照新金融工具准则相关规则执行。根据新旧准则衔接规定，公司无需追溯调整前期可比数，首次</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执行日执行新准则与原准则的差异追溯调整本报告期期初留存收益或其他综合收益。具体调整如下表：</w:t>
      </w:r>
    </w:p>
    <w:p>
      <w:pPr>
        <w:spacing w:line="240" w:lineRule="auto" w:before="8"/>
        <w:rPr>
          <w:rFonts w:ascii="宋体" w:hAnsi="宋体" w:cs="宋体" w:eastAsia="宋体" w:hint="default"/>
          <w:sz w:val="11"/>
          <w:szCs w:val="11"/>
        </w:rPr>
      </w:pPr>
    </w:p>
    <w:p>
      <w:pPr>
        <w:pStyle w:val="BodyText"/>
        <w:spacing w:line="240" w:lineRule="auto" w:before="44"/>
        <w:ind w:right="0"/>
        <w:jc w:val="left"/>
      </w:pPr>
      <w:r>
        <w:rPr/>
        <w:t>合并资产负债表</w:t>
      </w:r>
    </w:p>
    <w:p>
      <w:pPr>
        <w:pStyle w:val="BodyText"/>
        <w:spacing w:line="240" w:lineRule="auto" w:before="117"/>
        <w:ind w:left="0" w:right="1128"/>
        <w:jc w:val="right"/>
      </w:pPr>
      <w:r>
        <w:rPr/>
        <w:t>单位：元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4079"/>
        <w:gridCol w:w="1841"/>
        <w:gridCol w:w="1843"/>
        <w:gridCol w:w="1844"/>
      </w:tblGrid>
      <w:tr>
        <w:trPr>
          <w:trHeight w:val="403"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12" w:hRule="exact"/>
        </w:trPr>
        <w:tc>
          <w:tcPr>
            <w:tcW w:w="4079" w:type="dxa"/>
            <w:tcBorders>
              <w:top w:val="single" w:sz="5"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75,331,342.98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75,317,126.98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-14,216.00</w:t>
            </w:r>
          </w:p>
        </w:tc>
      </w:tr>
      <w:tr>
        <w:trPr>
          <w:trHeight w:val="407" w:hRule="exact"/>
        </w:trPr>
        <w:tc>
          <w:tcPr>
            <w:tcW w:w="40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437,586,998.67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439,766,922.98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2,179,924.31</w:t>
            </w:r>
          </w:p>
        </w:tc>
      </w:tr>
      <w:tr>
        <w:trPr>
          <w:trHeight w:val="408" w:hRule="exact"/>
        </w:trPr>
        <w:tc>
          <w:tcPr>
            <w:tcW w:w="40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306,514,819.32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-306,514,819.32</w:t>
            </w:r>
          </w:p>
        </w:tc>
      </w:tr>
      <w:tr>
        <w:trPr>
          <w:trHeight w:val="406" w:hRule="exact"/>
        </w:trPr>
        <w:tc>
          <w:tcPr>
            <w:tcW w:w="40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99,386,899.10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99,386,899.10</w:t>
            </w:r>
          </w:p>
        </w:tc>
      </w:tr>
      <w:tr>
        <w:trPr>
          <w:trHeight w:val="408" w:hRule="exact"/>
        </w:trPr>
        <w:tc>
          <w:tcPr>
            <w:tcW w:w="40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265,416,570.76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265,416,570.76</w:t>
            </w:r>
          </w:p>
        </w:tc>
      </w:tr>
      <w:tr>
        <w:trPr>
          <w:trHeight w:val="407" w:hRule="exact"/>
        </w:trPr>
        <w:tc>
          <w:tcPr>
            <w:tcW w:w="40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9,215,105,313.63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9,275,559,672.48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60,454,358.85</w:t>
            </w:r>
          </w:p>
        </w:tc>
      </w:tr>
      <w:tr>
        <w:trPr>
          <w:trHeight w:val="407" w:hRule="exact"/>
        </w:trPr>
        <w:tc>
          <w:tcPr>
            <w:tcW w:w="40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29,928,239.11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29,928,239.11</w:t>
            </w:r>
          </w:p>
        </w:tc>
      </w:tr>
      <w:tr>
        <w:trPr>
          <w:trHeight w:val="408" w:hRule="exact"/>
        </w:trPr>
        <w:tc>
          <w:tcPr>
            <w:tcW w:w="40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29,928,239.11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-29,928,239.11</w:t>
            </w:r>
          </w:p>
        </w:tc>
      </w:tr>
      <w:tr>
        <w:trPr>
          <w:trHeight w:val="406" w:hRule="exact"/>
        </w:trPr>
        <w:tc>
          <w:tcPr>
            <w:tcW w:w="40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13,581,178.21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48,014,216.49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34,433,038.28</w:t>
            </w:r>
          </w:p>
        </w:tc>
      </w:tr>
      <w:tr>
        <w:trPr>
          <w:trHeight w:val="408" w:hRule="exact"/>
        </w:trPr>
        <w:tc>
          <w:tcPr>
            <w:tcW w:w="40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1,535,012,703.46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1,559,040,537.25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24,027,833.79</w:t>
            </w:r>
          </w:p>
        </w:tc>
      </w:tr>
      <w:tr>
        <w:trPr>
          <w:trHeight w:val="407" w:hRule="exact"/>
        </w:trPr>
        <w:tc>
          <w:tcPr>
            <w:tcW w:w="40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7,201,231,752.10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7,259,692,624.17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58,460,872.07</w:t>
            </w:r>
          </w:p>
        </w:tc>
      </w:tr>
      <w:tr>
        <w:trPr>
          <w:trHeight w:val="407" w:hRule="exact"/>
        </w:trPr>
        <w:tc>
          <w:tcPr>
            <w:tcW w:w="40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201,547,330.42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203,540,817.20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1,993,486.78</w:t>
            </w:r>
          </w:p>
        </w:tc>
      </w:tr>
      <w:tr>
        <w:trPr>
          <w:trHeight w:val="408" w:hRule="exact"/>
        </w:trPr>
        <w:tc>
          <w:tcPr>
            <w:tcW w:w="40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7,402,779,082.52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7,463,233,441.37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60,454,358.85</w:t>
            </w:r>
          </w:p>
        </w:tc>
      </w:tr>
      <w:tr>
        <w:trPr>
          <w:trHeight w:val="406" w:hRule="exact"/>
        </w:trPr>
        <w:tc>
          <w:tcPr>
            <w:tcW w:w="40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9,215,105,313.63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9,275,559,672.48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60,454,358.85</w:t>
            </w:r>
          </w:p>
        </w:tc>
      </w:tr>
    </w:tbl>
    <w:p>
      <w:pPr>
        <w:spacing w:line="240" w:lineRule="auto" w:before="6"/>
        <w:rPr>
          <w:rFonts w:ascii="宋体" w:hAnsi="宋体" w:cs="宋体" w:eastAsia="宋体" w:hint="default"/>
          <w:sz w:val="27"/>
          <w:szCs w:val="27"/>
        </w:rPr>
      </w:pPr>
    </w:p>
    <w:p>
      <w:pPr>
        <w:pStyle w:val="BodyText"/>
        <w:spacing w:line="240" w:lineRule="auto" w:before="44"/>
        <w:ind w:right="0"/>
        <w:jc w:val="left"/>
      </w:pPr>
      <w:r>
        <w:rPr/>
        <w:t>母公司资产负债表</w:t>
      </w:r>
    </w:p>
    <w:p>
      <w:pPr>
        <w:pStyle w:val="BodyText"/>
        <w:spacing w:line="240" w:lineRule="auto" w:before="115"/>
        <w:ind w:left="0" w:right="1128"/>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079"/>
        <w:gridCol w:w="1841"/>
        <w:gridCol w:w="1843"/>
        <w:gridCol w:w="1844"/>
      </w:tblGrid>
      <w:tr>
        <w:trPr>
          <w:trHeight w:val="403"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10" w:hRule="exact"/>
        </w:trPr>
        <w:tc>
          <w:tcPr>
            <w:tcW w:w="40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94,833,385.37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92,902,918.03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-1,930,467.34</w:t>
            </w:r>
          </w:p>
        </w:tc>
      </w:tr>
      <w:tr>
        <w:trPr>
          <w:trHeight w:val="408" w:hRule="exact"/>
        </w:trPr>
        <w:tc>
          <w:tcPr>
            <w:tcW w:w="40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231,552,525.53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-231,552,525.53</w:t>
            </w:r>
          </w:p>
        </w:tc>
      </w:tr>
      <w:tr>
        <w:trPr>
          <w:trHeight w:val="406" w:hRule="exact"/>
        </w:trPr>
        <w:tc>
          <w:tcPr>
            <w:tcW w:w="40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64,769,520.51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64,769,520.51</w:t>
            </w:r>
          </w:p>
        </w:tc>
      </w:tr>
      <w:tr>
        <w:trPr>
          <w:trHeight w:val="408" w:hRule="exact"/>
        </w:trPr>
        <w:tc>
          <w:tcPr>
            <w:tcW w:w="40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192,000,000.00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192,000,000.00</w:t>
            </w:r>
          </w:p>
        </w:tc>
      </w:tr>
      <w:tr>
        <w:trPr>
          <w:trHeight w:val="407" w:hRule="exact"/>
        </w:trPr>
        <w:tc>
          <w:tcPr>
            <w:tcW w:w="40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7,500,597,581.53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7,523,884,109.17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23,286,527.64</w:t>
            </w:r>
          </w:p>
        </w:tc>
      </w:tr>
      <w:tr>
        <w:trPr>
          <w:trHeight w:val="407" w:hRule="exact"/>
        </w:trPr>
        <w:tc>
          <w:tcPr>
            <w:tcW w:w="40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29,928,239.11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29,928,239.11</w:t>
            </w:r>
          </w:p>
        </w:tc>
      </w:tr>
      <w:tr>
        <w:trPr>
          <w:trHeight w:val="408" w:hRule="exact"/>
        </w:trPr>
        <w:tc>
          <w:tcPr>
            <w:tcW w:w="40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29,928,239.11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-29,928,239.11</w:t>
            </w:r>
          </w:p>
        </w:tc>
      </w:tr>
      <w:tr>
        <w:trPr>
          <w:trHeight w:val="406" w:hRule="exact"/>
        </w:trPr>
        <w:tc>
          <w:tcPr>
            <w:tcW w:w="40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-5,688,189.78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19,528,805.20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25,216,994.98</w:t>
            </w:r>
          </w:p>
        </w:tc>
      </w:tr>
      <w:tr>
        <w:trPr>
          <w:trHeight w:val="408" w:hRule="exact"/>
        </w:trPr>
        <w:tc>
          <w:tcPr>
            <w:tcW w:w="40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326,613,564.06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324,683,096.72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-1,930,467.34</w:t>
            </w:r>
          </w:p>
        </w:tc>
      </w:tr>
      <w:tr>
        <w:trPr>
          <w:trHeight w:val="407" w:hRule="exact"/>
        </w:trPr>
        <w:tc>
          <w:tcPr>
            <w:tcW w:w="40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6,183,244,332.72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6,206,530,860.36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23,286,527.64</w:t>
            </w:r>
          </w:p>
        </w:tc>
      </w:tr>
      <w:tr>
        <w:trPr>
          <w:trHeight w:val="407" w:hRule="exact"/>
        </w:trPr>
        <w:tc>
          <w:tcPr>
            <w:tcW w:w="40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7,500,597,581.53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7,523,884,109.17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23,286,527.64</w:t>
            </w:r>
          </w:p>
        </w:tc>
      </w:tr>
    </w:tbl>
    <w:p>
      <w:pPr>
        <w:spacing w:line="240" w:lineRule="auto" w:before="8"/>
        <w:rPr>
          <w:rFonts w:ascii="宋体" w:hAnsi="宋体" w:cs="宋体" w:eastAsia="宋体" w:hint="default"/>
          <w:sz w:val="6"/>
          <w:szCs w:val="6"/>
        </w:rPr>
      </w:pPr>
    </w:p>
    <w:p>
      <w:pPr>
        <w:pStyle w:val="BodyText"/>
        <w:spacing w:line="240" w:lineRule="auto" w:before="44"/>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0"/>
        <w:jc w:val="left"/>
        <w:rPr>
          <w:rFonts w:ascii="宋体" w:hAnsi="宋体" w:cs="宋体" w:eastAsia="宋体" w:hint="default"/>
        </w:rPr>
      </w:pPr>
      <w:r>
        <w:rPr>
          <w:rFonts w:ascii="宋体" w:hAnsi="宋体" w:cs="宋体" w:eastAsia="宋体" w:hint="default"/>
        </w:rPr>
        <w:t>2</w:t>
      </w:r>
      <w:r>
        <w:rPr/>
        <w:t>、新收入准则</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1" w:firstLine="360"/>
        <w:jc w:val="both"/>
        <w:rPr>
          <w:rFonts w:ascii="宋体" w:hAnsi="宋体" w:cs="宋体" w:eastAsia="宋体" w:hint="default"/>
        </w:rPr>
      </w:pP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5</w:t>
      </w:r>
      <w:r>
        <w:rPr/>
        <w:t>日，财政部修订并发布了《企业会计准则第 </w:t>
      </w:r>
      <w:r>
        <w:rPr>
          <w:rFonts w:ascii="宋体" w:hAnsi="宋体" w:cs="宋体" w:eastAsia="宋体" w:hint="default"/>
        </w:rPr>
        <w:t>14</w:t>
      </w:r>
      <w:r>
        <w:rPr/>
        <w:t>号—收入》（财会（</w:t>
      </w:r>
      <w:r>
        <w:rPr>
          <w:rFonts w:ascii="宋体" w:hAnsi="宋体" w:cs="宋体" w:eastAsia="宋体" w:hint="default"/>
        </w:rPr>
        <w:t>2017</w:t>
      </w:r>
      <w:r>
        <w:rPr/>
        <w:t>）</w:t>
      </w:r>
      <w:r>
        <w:rPr>
          <w:rFonts w:ascii="宋体" w:hAnsi="宋体" w:cs="宋体" w:eastAsia="宋体" w:hint="default"/>
        </w:rPr>
        <w:t>22 </w:t>
      </w:r>
      <w:r>
        <w:rPr/>
        <w:t>号）（以下简称“新收入准 则”）。要求境内上市公司自</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1</w:t>
      </w:r>
      <w:r>
        <w:rPr/>
        <w:t>日起施行。</w:t>
      </w:r>
      <w:r>
        <w:rPr>
          <w:rFonts w:ascii="宋体" w:hAnsi="宋体" w:cs="宋体" w:eastAsia="宋体" w:hint="default"/>
        </w:rPr>
        <w:t> </w:t>
      </w:r>
    </w:p>
    <w:p>
      <w:pPr>
        <w:pStyle w:val="BodyText"/>
        <w:spacing w:line="316" w:lineRule="auto" w:before="139"/>
        <w:ind w:right="1129" w:firstLine="360"/>
        <w:jc w:val="both"/>
        <w:rPr>
          <w:rFonts w:ascii="宋体" w:hAnsi="宋体" w:cs="宋体" w:eastAsia="宋体" w:hint="default"/>
        </w:rPr>
      </w:pPr>
      <w:r>
        <w:rPr>
          <w:spacing w:val="-2"/>
        </w:rPr>
        <w:t>根据新旧准则衔接规定，公司自</w:t>
      </w:r>
      <w:r>
        <w:rPr>
          <w:rFonts w:ascii="宋体" w:hAnsi="宋体" w:cs="宋体" w:eastAsia="宋体" w:hint="default"/>
          <w:spacing w:val="-2"/>
        </w:rPr>
        <w:t>2020</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日起按新收入准则要求进行会计报表披露，根据衔接规定，公司应当根据首</w:t>
      </w:r>
      <w:r>
        <w:rPr/>
        <w:t> </w:t>
      </w:r>
      <w:r>
        <w:rPr>
          <w:spacing w:val="-2"/>
        </w:rPr>
        <w:t>次执行该准则的累积影响数调整期初留存收益及财务报表其他相关项目金额，对可比期间信息不予调整。公司按照新的收入</w:t>
      </w:r>
      <w:r>
        <w:rPr>
          <w:spacing w:val="-64"/>
        </w:rPr>
        <w:t> </w:t>
      </w:r>
      <w:r>
        <w:rPr>
          <w:spacing w:val="-64"/>
        </w:rPr>
      </w:r>
      <w:r>
        <w:rPr>
          <w:spacing w:val="-2"/>
        </w:rPr>
        <w:t>准则重新评估了公司主要合同收入的确认、计量、核算和列报，预计该新准则的施行不会导致公司收入确认方式发生重大变</w:t>
      </w:r>
      <w:r>
        <w:rPr>
          <w:spacing w:val="-65"/>
        </w:rPr>
        <w:t> </w:t>
      </w:r>
      <w:r>
        <w:rPr>
          <w:spacing w:val="-65"/>
        </w:rPr>
      </w:r>
      <w:r>
        <w:rPr/>
        <w:t>化，对公司当期和会计政策变更前公司总资产、总负债、净利润、所有者权益等不产生重大影响。</w:t>
      </w:r>
      <w:r>
        <w:rPr>
          <w:rFonts w:ascii="宋体" w:hAnsi="宋体" w:cs="宋体" w:eastAsia="宋体" w:hint="default"/>
        </w:rPr>
        <w:t> </w:t>
      </w:r>
    </w:p>
    <w:p>
      <w:pPr>
        <w:pStyle w:val="BodyText"/>
        <w:spacing w:line="432" w:lineRule="exact" w:before="3"/>
        <w:ind w:left="513" w:right="0"/>
        <w:jc w:val="left"/>
      </w:pPr>
      <w:r>
        <w:rPr>
          <w:rFonts w:ascii="宋体" w:hAnsi="宋体" w:cs="宋体" w:eastAsia="宋体" w:hint="default"/>
        </w:rPr>
        <w:t>3</w:t>
      </w:r>
      <w:r>
        <w:rPr/>
        <w:t>、新财务报表格式 </w:t>
      </w:r>
      <w:r>
        <w:rPr>
          <w:spacing w:val="-2"/>
        </w:rPr>
        <w:t>财政部于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日发布《关于修订印发</w:t>
      </w:r>
      <w:r>
        <w:rPr>
          <w:rFonts w:ascii="Times New Roman" w:hAnsi="Times New Roman" w:cs="Times New Roman" w:eastAsia="Times New Roman" w:hint="default"/>
          <w:spacing w:val="-2"/>
        </w:rPr>
        <w:t>2019</w:t>
      </w:r>
      <w:r>
        <w:rPr>
          <w:spacing w:val="-2"/>
        </w:rPr>
        <w:t>年度一般企业财务报表格式的通知》（财会【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6</w:t>
      </w:r>
      <w:r>
        <w:rPr>
          <w:spacing w:val="-2"/>
        </w:rPr>
        <w:t>号），对一般企</w:t>
      </w:r>
    </w:p>
    <w:p>
      <w:pPr>
        <w:pStyle w:val="BodyText"/>
        <w:spacing w:line="300" w:lineRule="auto" w:before="15"/>
        <w:ind w:right="1157"/>
        <w:jc w:val="left"/>
      </w:pPr>
      <w:r>
        <w:rPr/>
        <w:t>业财务报表格式进行了修订，适用于执行企业会计准则的非金融企业</w:t>
      </w:r>
      <w:r>
        <w:rPr>
          <w:rFonts w:ascii="Times New Roman" w:hAnsi="Times New Roman" w:cs="Times New Roman" w:eastAsia="Times New Roman" w:hint="default"/>
        </w:rPr>
        <w:t>2019</w:t>
      </w:r>
      <w:r>
        <w:rPr/>
        <w:t>年度中期财务报表和年度财务报表及以后期间的</w:t>
      </w:r>
      <w:r>
        <w:rPr>
          <w:spacing w:val="-3"/>
        </w:rPr>
        <w:t> </w:t>
      </w:r>
      <w:r>
        <w:rPr>
          <w:spacing w:val="-3"/>
        </w:rPr>
      </w:r>
      <w:r>
        <w:rPr/>
        <w:t>财务报表。</w:t>
      </w:r>
    </w:p>
    <w:p>
      <w:pPr>
        <w:pStyle w:val="BodyText"/>
        <w:spacing w:line="300" w:lineRule="auto" w:before="151"/>
        <w:ind w:right="1134" w:firstLine="360"/>
        <w:jc w:val="both"/>
      </w:pPr>
      <w:r>
        <w:rPr/>
        <w:t>根据《关于修订印发</w:t>
      </w:r>
      <w:r>
        <w:rPr>
          <w:rFonts w:ascii="Times New Roman" w:hAnsi="Times New Roman" w:cs="Times New Roman" w:eastAsia="Times New Roman" w:hint="default"/>
        </w:rPr>
        <w:t>2019</w:t>
      </w:r>
      <w:r>
        <w:rPr/>
        <w:t>年度一般企业财务报表格式的通知》（财会【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号）相关要求，公司将对财务报表相关 项目进行列报调整，并对可比会计期间的比较数据相应进行调整，具体情况如下：</w:t>
      </w:r>
    </w:p>
    <w:p>
      <w:pPr>
        <w:pStyle w:val="BodyText"/>
        <w:spacing w:line="300" w:lineRule="auto" w:before="151"/>
        <w:ind w:right="1133" w:firstLine="360"/>
        <w:jc w:val="both"/>
      </w:pPr>
      <w:r>
        <w:rPr/>
        <w:t>（</w:t>
      </w:r>
      <w:r>
        <w:rPr>
          <w:rFonts w:ascii="Times New Roman" w:hAnsi="Times New Roman" w:cs="Times New Roman" w:eastAsia="Times New Roman" w:hint="default"/>
        </w:rPr>
        <w:t>1</w:t>
      </w:r>
      <w:r>
        <w:rPr/>
        <w:t>）将原资产负债表中的“应收票据及应收账款”行项目分拆为“应收票据”、“应收账款”、“应收款项融资”三 个行项目；将 </w:t>
      </w:r>
      <w:r>
        <w:rPr>
          <w:rFonts w:ascii="宋体" w:hAnsi="宋体" w:cs="宋体" w:eastAsia="宋体" w:hint="default"/>
        </w:rPr>
      </w:r>
      <w:r>
        <w:rPr/>
        <w:t>“应付票据及应付账款”行项目分拆为“应付票据”、“应付账款”</w:t>
      </w:r>
      <w:r>
        <w:rPr>
          <w:spacing w:val="2"/>
        </w:rPr>
        <w:t> </w:t>
      </w:r>
      <w:r>
        <w:rPr/>
        <w:t>两个行项目。</w:t>
      </w:r>
    </w:p>
    <w:p>
      <w:pPr>
        <w:pStyle w:val="BodyText"/>
        <w:spacing w:line="300" w:lineRule="auto" w:before="151"/>
        <w:ind w:right="1132" w:firstLine="360"/>
        <w:jc w:val="both"/>
      </w:pPr>
      <w:r>
        <w:rPr>
          <w:spacing w:val="-4"/>
        </w:rPr>
        <w:t>（</w:t>
      </w:r>
      <w:r>
        <w:rPr>
          <w:rFonts w:ascii="Times New Roman" w:hAnsi="Times New Roman" w:cs="Times New Roman" w:eastAsia="Times New Roman" w:hint="default"/>
          <w:spacing w:val="-4"/>
        </w:rPr>
        <w:t>2</w:t>
      </w:r>
      <w:r>
        <w:rPr>
          <w:spacing w:val="-4"/>
        </w:rPr>
        <w:t>）资产负债表中“递延收益”项目中摊销期限只剩一年或不足一年的，或预计在一年内（含一年）进行摊销的部分，</w:t>
      </w:r>
      <w:r>
        <w:rPr/>
        <w:t> 不再归类为流动负债，仍在该项目中填列。</w:t>
      </w:r>
    </w:p>
    <w:p>
      <w:pPr>
        <w:pStyle w:val="BodyText"/>
        <w:spacing w:line="300" w:lineRule="auto" w:before="151"/>
        <w:ind w:right="1133" w:firstLine="360"/>
        <w:jc w:val="both"/>
      </w:pPr>
      <w:r>
        <w:rPr/>
        <w:t>（</w:t>
      </w:r>
      <w:r>
        <w:rPr>
          <w:rFonts w:ascii="Times New Roman" w:hAnsi="Times New Roman" w:cs="Times New Roman" w:eastAsia="Times New Roman" w:hint="default"/>
        </w:rPr>
        <w:t>3</w:t>
      </w:r>
      <w:r>
        <w:rPr/>
        <w:t>）利润表在原“投资收益”行项目下增加“其中：以摊余成本计量的金融资产终止确认收益”行项目，反映因转让 等情形导致终止确认以摊余成本计量的金融资产而产生的利得或损失。</w:t>
      </w:r>
    </w:p>
    <w:p>
      <w:pPr>
        <w:pStyle w:val="BodyText"/>
        <w:spacing w:line="300" w:lineRule="auto" w:before="152"/>
        <w:ind w:right="1133" w:firstLine="360"/>
        <w:jc w:val="both"/>
      </w:pPr>
      <w:r>
        <w:rPr/>
        <w:t>（</w:t>
      </w:r>
      <w:r>
        <w:rPr>
          <w:rFonts w:ascii="Times New Roman" w:hAnsi="Times New Roman" w:cs="Times New Roman" w:eastAsia="Times New Roman" w:hint="default"/>
        </w:rPr>
        <w:t>4</w:t>
      </w:r>
      <w:r>
        <w:rPr/>
        <w:t>）利润表“资产减值损失”和“信用减值损失”项目由“减：资产减值损失”、“减：信用减值损失”改为“加： 资产减值损失（损失以“</w:t>
      </w:r>
      <w:r>
        <w:rPr>
          <w:rFonts w:ascii="宋体" w:hAnsi="宋体" w:cs="宋体" w:eastAsia="宋体" w:hint="default"/>
        </w:rPr>
        <w:t>-</w:t>
      </w:r>
      <w:r>
        <w:rPr/>
        <w:t>”号填列）”、“加：信用减值损失（损失以“</w:t>
      </w:r>
      <w:r>
        <w:rPr>
          <w:rFonts w:ascii="宋体" w:hAnsi="宋体" w:cs="宋体" w:eastAsia="宋体" w:hint="default"/>
        </w:rPr>
        <w:t>-</w:t>
      </w:r>
      <w:r>
        <w:rPr/>
        <w:t>”号填列）”。</w:t>
      </w:r>
    </w:p>
    <w:p>
      <w:pPr>
        <w:pStyle w:val="BodyText"/>
        <w:spacing w:line="240" w:lineRule="auto" w:before="151"/>
        <w:ind w:left="513" w:right="0"/>
        <w:jc w:val="left"/>
        <w:rPr>
          <w:rFonts w:ascii="宋体" w:hAnsi="宋体" w:cs="宋体" w:eastAsia="宋体" w:hint="default"/>
        </w:rPr>
      </w:pPr>
      <w:r>
        <w:rPr/>
        <w:t>本公司根据通知要求对</w:t>
      </w:r>
      <w:r>
        <w:rPr>
          <w:rFonts w:ascii="宋体" w:hAnsi="宋体" w:cs="宋体" w:eastAsia="宋体" w:hint="default"/>
        </w:rPr>
        <w:t>2019</w:t>
      </w:r>
      <w:r>
        <w:rPr/>
        <w:t>年年初财务报表进行了调整（不影响当期损益），具体影响如下：</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0" w:right="1041"/>
        <w:jc w:val="right"/>
        <w:rPr>
          <w:rFonts w:ascii="宋体" w:hAnsi="宋体" w:cs="宋体" w:eastAsia="宋体" w:hint="default"/>
        </w:rPr>
      </w:pPr>
      <w:r>
        <w:rPr/>
        <w:t>单位：元</w:t>
      </w:r>
      <w:r>
        <w:rPr>
          <w:rFonts w:ascii="宋体" w:hAnsi="宋体" w:cs="宋体" w:eastAsia="宋体" w:hint="default"/>
        </w:rPr>
        <w:t> </w:t>
      </w:r>
    </w:p>
    <w:p>
      <w:pPr>
        <w:spacing w:line="240" w:lineRule="auto" w:before="7"/>
        <w:rPr>
          <w:rFonts w:ascii="宋体" w:hAnsi="宋体" w:cs="宋体" w:eastAsia="宋体" w:hint="default"/>
          <w:sz w:val="14"/>
          <w:szCs w:val="14"/>
        </w:rPr>
      </w:pPr>
    </w:p>
    <w:tbl>
      <w:tblPr>
        <w:tblW w:w="0" w:type="auto"/>
        <w:jc w:val="left"/>
        <w:tblInd w:w="164" w:type="dxa"/>
        <w:tblLayout w:type="fixed"/>
        <w:tblCellMar>
          <w:top w:w="0" w:type="dxa"/>
          <w:left w:w="0" w:type="dxa"/>
          <w:bottom w:w="0" w:type="dxa"/>
          <w:right w:w="0" w:type="dxa"/>
        </w:tblCellMar>
        <w:tblLook w:val="01E0"/>
      </w:tblPr>
      <w:tblGrid>
        <w:gridCol w:w="3829"/>
        <w:gridCol w:w="1930"/>
        <w:gridCol w:w="1932"/>
        <w:gridCol w:w="1930"/>
      </w:tblGrid>
      <w:tr>
        <w:trPr>
          <w:trHeight w:val="230" w:hRule="exact"/>
        </w:trPr>
        <w:tc>
          <w:tcPr>
            <w:tcW w:w="3829" w:type="dxa"/>
            <w:tcBorders>
              <w:top w:val="single" w:sz="6" w:space="0" w:color="000000"/>
              <w:left w:val="single" w:sz="6" w:space="0" w:color="000000"/>
              <w:bottom w:val="nil" w:sz="6" w:space="0" w:color="auto"/>
              <w:right w:val="single" w:sz="6" w:space="0" w:color="000000"/>
            </w:tcBorders>
            <w:shd w:val="clear" w:color="auto" w:fill="D9D9D9"/>
          </w:tcPr>
          <w:p>
            <w:pPr/>
          </w:p>
        </w:tc>
        <w:tc>
          <w:tcPr>
            <w:tcW w:w="5792" w:type="dxa"/>
            <w:gridSpan w:val="3"/>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53"/>
              <w:ind w:left="1007" w:right="0"/>
              <w:jc w:val="left"/>
              <w:rPr>
                <w:rFonts w:ascii="宋体" w:hAnsi="宋体" w:cs="宋体" w:eastAsia="宋体" w:hint="default"/>
                <w:sz w:val="18"/>
                <w:szCs w:val="18"/>
              </w:rPr>
            </w:pPr>
            <w:r>
              <w:rPr>
                <w:rFonts w:ascii="宋体" w:hAnsi="宋体" w:cs="宋体" w:eastAsia="宋体" w:hint="default"/>
                <w:sz w:val="18"/>
                <w:szCs w:val="18"/>
              </w:rPr>
              <w:t>合并财务报表（</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190" w:hRule="exact"/>
        </w:trPr>
        <w:tc>
          <w:tcPr>
            <w:tcW w:w="3829" w:type="dxa"/>
            <w:vMerge w:val="restart"/>
            <w:tcBorders>
              <w:top w:val="nil" w:sz="6" w:space="0" w:color="auto"/>
              <w:left w:val="single" w:sz="6" w:space="0" w:color="000000"/>
              <w:right w:val="single" w:sz="6" w:space="0" w:color="000000"/>
            </w:tcBorders>
            <w:shd w:val="clear" w:color="auto" w:fill="D9D9D9"/>
          </w:tcPr>
          <w:p>
            <w:pPr>
              <w:pStyle w:val="TableParagraph"/>
              <w:spacing w:line="240" w:lineRule="auto" w:before="49"/>
              <w:ind w:left="996"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5792" w:type="dxa"/>
            <w:gridSpan w:val="3"/>
            <w:vMerge/>
            <w:tcBorders>
              <w:left w:val="single" w:sz="6" w:space="0" w:color="000000"/>
              <w:bottom w:val="single" w:sz="6" w:space="0" w:color="000000"/>
              <w:right w:val="single" w:sz="6" w:space="0" w:color="000000"/>
            </w:tcBorders>
            <w:shd w:val="clear" w:color="auto" w:fill="D9D9D9"/>
          </w:tcPr>
          <w:p>
            <w:pPr/>
          </w:p>
        </w:tc>
      </w:tr>
      <w:tr>
        <w:trPr>
          <w:trHeight w:val="204" w:hRule="exact"/>
        </w:trPr>
        <w:tc>
          <w:tcPr>
            <w:tcW w:w="3829" w:type="dxa"/>
            <w:vMerge/>
            <w:tcBorders>
              <w:left w:val="single" w:sz="6" w:space="0" w:color="000000"/>
              <w:bottom w:val="nil" w:sz="6" w:space="0" w:color="auto"/>
              <w:right w:val="single" w:sz="6" w:space="0" w:color="000000"/>
            </w:tcBorders>
            <w:shd w:val="clear" w:color="auto" w:fill="D9D9D9"/>
          </w:tcPr>
          <w:p>
            <w:pPr/>
          </w:p>
        </w:tc>
        <w:tc>
          <w:tcPr>
            <w:tcW w:w="193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5"/>
              <w:ind w:right="15"/>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93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5"/>
              <w:ind w:right="12"/>
              <w:jc w:val="center"/>
              <w:rPr>
                <w:rFonts w:ascii="宋体" w:hAnsi="宋体" w:cs="宋体" w:eastAsia="宋体" w:hint="default"/>
                <w:sz w:val="18"/>
                <w:szCs w:val="18"/>
              </w:rPr>
            </w:pPr>
            <w:r>
              <w:rPr>
                <w:rFonts w:ascii="宋体" w:hAnsi="宋体" w:cs="宋体" w:eastAsia="宋体" w:hint="default"/>
                <w:sz w:val="18"/>
                <w:szCs w:val="18"/>
              </w:rPr>
              <w:t>调整数</w:t>
            </w:r>
          </w:p>
        </w:tc>
        <w:tc>
          <w:tcPr>
            <w:tcW w:w="193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5"/>
              <w:ind w:right="14"/>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236" w:hRule="exact"/>
        </w:trPr>
        <w:tc>
          <w:tcPr>
            <w:tcW w:w="3829" w:type="dxa"/>
            <w:tcBorders>
              <w:top w:val="nil" w:sz="6" w:space="0" w:color="auto"/>
              <w:left w:val="single" w:sz="6" w:space="0" w:color="000000"/>
              <w:bottom w:val="single" w:sz="6" w:space="0" w:color="000000"/>
              <w:right w:val="single" w:sz="6" w:space="0" w:color="000000"/>
            </w:tcBorders>
            <w:shd w:val="clear" w:color="auto" w:fill="D9D9D9"/>
          </w:tcPr>
          <w:p>
            <w:pPr/>
          </w:p>
        </w:tc>
        <w:tc>
          <w:tcPr>
            <w:tcW w:w="1930" w:type="dxa"/>
            <w:vMerge/>
            <w:tcBorders>
              <w:left w:val="single" w:sz="6" w:space="0" w:color="000000"/>
              <w:bottom w:val="single" w:sz="6" w:space="0" w:color="000000"/>
              <w:right w:val="single" w:sz="6" w:space="0" w:color="000000"/>
            </w:tcBorders>
            <w:shd w:val="clear" w:color="auto" w:fill="D9D9D9"/>
          </w:tcPr>
          <w:p>
            <w:pPr/>
          </w:p>
        </w:tc>
        <w:tc>
          <w:tcPr>
            <w:tcW w:w="1932" w:type="dxa"/>
            <w:vMerge/>
            <w:tcBorders>
              <w:left w:val="single" w:sz="6" w:space="0" w:color="000000"/>
              <w:bottom w:val="single" w:sz="6" w:space="0" w:color="000000"/>
              <w:right w:val="single" w:sz="6" w:space="0" w:color="000000"/>
            </w:tcBorders>
            <w:shd w:val="clear" w:color="auto" w:fill="D9D9D9"/>
          </w:tcPr>
          <w:p>
            <w:pPr/>
          </w:p>
        </w:tc>
        <w:tc>
          <w:tcPr>
            <w:tcW w:w="1930" w:type="dxa"/>
            <w:vMerge/>
            <w:tcBorders>
              <w:left w:val="single" w:sz="6" w:space="0" w:color="000000"/>
              <w:bottom w:val="single" w:sz="6" w:space="0" w:color="000000"/>
              <w:right w:val="single" w:sz="6" w:space="0" w:color="000000"/>
            </w:tcBorders>
            <w:shd w:val="clear" w:color="auto" w:fill="D9D9D9"/>
          </w:tcPr>
          <w:p>
            <w:pPr/>
          </w:p>
        </w:tc>
      </w:tr>
      <w:tr>
        <w:trPr>
          <w:trHeight w:val="431"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512,918,341.65</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-512,918,341.65</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32"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75,331,342.98</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75,331,342.98</w:t>
            </w:r>
          </w:p>
        </w:tc>
      </w:tr>
      <w:tr>
        <w:trPr>
          <w:trHeight w:val="433"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437,586,998.67</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437,586,998.67</w:t>
            </w:r>
          </w:p>
        </w:tc>
      </w:tr>
      <w:tr>
        <w:trPr>
          <w:trHeight w:val="432"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156,012,955.30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-156,012,955.30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32"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25,003,958.62</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25,003,958.62</w:t>
            </w:r>
          </w:p>
        </w:tc>
      </w:tr>
      <w:tr>
        <w:trPr>
          <w:trHeight w:val="432"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131,008,996.68</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131,008,996.68</w:t>
            </w:r>
          </w:p>
        </w:tc>
      </w:tr>
      <w:tr>
        <w:trPr>
          <w:trHeight w:val="432"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49,217,588.48</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-4,973,085.68</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44,244,502.80</w:t>
            </w:r>
          </w:p>
        </w:tc>
      </w:tr>
      <w:tr>
        <w:trPr>
          <w:trHeight w:val="432"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30,997,377.49</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4,973,085.68</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35,970,463.17</w:t>
            </w:r>
          </w:p>
        </w:tc>
      </w:tr>
      <w:tr>
        <w:trPr>
          <w:trHeight w:val="432"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减：资产减值损失</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945,892,718.64</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-945,892,718.64</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32"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加：资产减值损失（损失以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-945,892,718.64</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-945,892,718.64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041"/>
        <w:jc w:val="right"/>
        <w:rPr>
          <w:rFonts w:ascii="宋体" w:hAnsi="宋体" w:cs="宋体" w:eastAsia="宋体" w:hint="default"/>
        </w:rPr>
      </w:pPr>
      <w:r>
        <w:rPr/>
        <w:t>单位：元</w:t>
      </w:r>
      <w:r>
        <w:rPr>
          <w:rFonts w:ascii="宋体" w:hAnsi="宋体" w:cs="宋体" w:eastAsia="宋体" w:hint="default"/>
        </w:rPr>
        <w:t> </w:t>
      </w:r>
    </w:p>
    <w:p>
      <w:pPr>
        <w:spacing w:line="240" w:lineRule="auto" w:before="7"/>
        <w:rPr>
          <w:rFonts w:ascii="宋体" w:hAnsi="宋体" w:cs="宋体" w:eastAsia="宋体" w:hint="default"/>
          <w:sz w:val="14"/>
          <w:szCs w:val="14"/>
        </w:rPr>
      </w:pPr>
    </w:p>
    <w:tbl>
      <w:tblPr>
        <w:tblW w:w="0" w:type="auto"/>
        <w:jc w:val="left"/>
        <w:tblInd w:w="164" w:type="dxa"/>
        <w:tblLayout w:type="fixed"/>
        <w:tblCellMar>
          <w:top w:w="0" w:type="dxa"/>
          <w:left w:w="0" w:type="dxa"/>
          <w:bottom w:w="0" w:type="dxa"/>
          <w:right w:w="0" w:type="dxa"/>
        </w:tblCellMar>
        <w:tblLook w:val="01E0"/>
      </w:tblPr>
      <w:tblGrid>
        <w:gridCol w:w="3829"/>
        <w:gridCol w:w="1930"/>
        <w:gridCol w:w="1932"/>
        <w:gridCol w:w="1930"/>
      </w:tblGrid>
      <w:tr>
        <w:trPr>
          <w:trHeight w:val="230" w:hRule="exact"/>
        </w:trPr>
        <w:tc>
          <w:tcPr>
            <w:tcW w:w="3829" w:type="dxa"/>
            <w:tcBorders>
              <w:top w:val="single" w:sz="6" w:space="0" w:color="000000"/>
              <w:left w:val="single" w:sz="6" w:space="0" w:color="000000"/>
              <w:bottom w:val="nil" w:sz="6" w:space="0" w:color="auto"/>
              <w:right w:val="single" w:sz="6" w:space="0" w:color="000000"/>
            </w:tcBorders>
            <w:shd w:val="clear" w:color="auto" w:fill="D9D9D9"/>
          </w:tcPr>
          <w:p>
            <w:pPr/>
          </w:p>
        </w:tc>
        <w:tc>
          <w:tcPr>
            <w:tcW w:w="5792" w:type="dxa"/>
            <w:gridSpan w:val="3"/>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53"/>
              <w:ind w:left="919" w:right="0"/>
              <w:jc w:val="left"/>
              <w:rPr>
                <w:rFonts w:ascii="宋体" w:hAnsi="宋体" w:cs="宋体" w:eastAsia="宋体" w:hint="default"/>
                <w:sz w:val="18"/>
                <w:szCs w:val="18"/>
              </w:rPr>
            </w:pPr>
            <w:r>
              <w:rPr>
                <w:rFonts w:ascii="宋体" w:hAnsi="宋体" w:cs="宋体" w:eastAsia="宋体" w:hint="default"/>
                <w:sz w:val="18"/>
                <w:szCs w:val="18"/>
              </w:rPr>
              <w:t>母公司财务报表（</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190" w:hRule="exact"/>
        </w:trPr>
        <w:tc>
          <w:tcPr>
            <w:tcW w:w="3829" w:type="dxa"/>
            <w:vMerge w:val="restart"/>
            <w:tcBorders>
              <w:top w:val="nil" w:sz="6" w:space="0" w:color="auto"/>
              <w:left w:val="single" w:sz="6" w:space="0" w:color="000000"/>
              <w:right w:val="single" w:sz="6" w:space="0" w:color="000000"/>
            </w:tcBorders>
            <w:shd w:val="clear" w:color="auto" w:fill="D9D9D9"/>
          </w:tcPr>
          <w:p>
            <w:pPr>
              <w:pStyle w:val="TableParagraph"/>
              <w:spacing w:line="240" w:lineRule="auto" w:before="49"/>
              <w:ind w:left="996"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5792" w:type="dxa"/>
            <w:gridSpan w:val="3"/>
            <w:vMerge/>
            <w:tcBorders>
              <w:left w:val="single" w:sz="6" w:space="0" w:color="000000"/>
              <w:bottom w:val="single" w:sz="6" w:space="0" w:color="000000"/>
              <w:right w:val="single" w:sz="6" w:space="0" w:color="000000"/>
            </w:tcBorders>
            <w:shd w:val="clear" w:color="auto" w:fill="D9D9D9"/>
          </w:tcPr>
          <w:p>
            <w:pPr/>
          </w:p>
        </w:tc>
      </w:tr>
      <w:tr>
        <w:trPr>
          <w:trHeight w:val="204" w:hRule="exact"/>
        </w:trPr>
        <w:tc>
          <w:tcPr>
            <w:tcW w:w="3829" w:type="dxa"/>
            <w:vMerge/>
            <w:tcBorders>
              <w:left w:val="single" w:sz="6" w:space="0" w:color="000000"/>
              <w:bottom w:val="nil" w:sz="6" w:space="0" w:color="auto"/>
              <w:right w:val="single" w:sz="6" w:space="0" w:color="000000"/>
            </w:tcBorders>
            <w:shd w:val="clear" w:color="auto" w:fill="D9D9D9"/>
          </w:tcPr>
          <w:p>
            <w:pPr/>
          </w:p>
        </w:tc>
        <w:tc>
          <w:tcPr>
            <w:tcW w:w="193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5"/>
              <w:ind w:right="15"/>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93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5"/>
              <w:ind w:right="12"/>
              <w:jc w:val="center"/>
              <w:rPr>
                <w:rFonts w:ascii="宋体" w:hAnsi="宋体" w:cs="宋体" w:eastAsia="宋体" w:hint="default"/>
                <w:sz w:val="18"/>
                <w:szCs w:val="18"/>
              </w:rPr>
            </w:pPr>
            <w:r>
              <w:rPr>
                <w:rFonts w:ascii="宋体" w:hAnsi="宋体" w:cs="宋体" w:eastAsia="宋体" w:hint="default"/>
                <w:sz w:val="18"/>
                <w:szCs w:val="18"/>
              </w:rPr>
              <w:t>调整数</w:t>
            </w:r>
          </w:p>
        </w:tc>
        <w:tc>
          <w:tcPr>
            <w:tcW w:w="193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5"/>
              <w:ind w:right="14"/>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236" w:hRule="exact"/>
        </w:trPr>
        <w:tc>
          <w:tcPr>
            <w:tcW w:w="3829" w:type="dxa"/>
            <w:tcBorders>
              <w:top w:val="nil" w:sz="6" w:space="0" w:color="auto"/>
              <w:left w:val="single" w:sz="6" w:space="0" w:color="000000"/>
              <w:bottom w:val="single" w:sz="6" w:space="0" w:color="000000"/>
              <w:right w:val="single" w:sz="6" w:space="0" w:color="000000"/>
            </w:tcBorders>
            <w:shd w:val="clear" w:color="auto" w:fill="D9D9D9"/>
          </w:tcPr>
          <w:p>
            <w:pPr/>
          </w:p>
        </w:tc>
        <w:tc>
          <w:tcPr>
            <w:tcW w:w="1930" w:type="dxa"/>
            <w:vMerge/>
            <w:tcBorders>
              <w:left w:val="single" w:sz="6" w:space="0" w:color="000000"/>
              <w:bottom w:val="single" w:sz="6" w:space="0" w:color="000000"/>
              <w:right w:val="single" w:sz="6" w:space="0" w:color="000000"/>
            </w:tcBorders>
            <w:shd w:val="clear" w:color="auto" w:fill="D9D9D9"/>
          </w:tcPr>
          <w:p>
            <w:pPr/>
          </w:p>
        </w:tc>
        <w:tc>
          <w:tcPr>
            <w:tcW w:w="1932" w:type="dxa"/>
            <w:vMerge/>
            <w:tcBorders>
              <w:left w:val="single" w:sz="6" w:space="0" w:color="000000"/>
              <w:bottom w:val="single" w:sz="6" w:space="0" w:color="000000"/>
              <w:right w:val="single" w:sz="6" w:space="0" w:color="000000"/>
            </w:tcBorders>
            <w:shd w:val="clear" w:color="auto" w:fill="D9D9D9"/>
          </w:tcPr>
          <w:p>
            <w:pPr/>
          </w:p>
        </w:tc>
        <w:tc>
          <w:tcPr>
            <w:tcW w:w="1930" w:type="dxa"/>
            <w:vMerge/>
            <w:tcBorders>
              <w:left w:val="single" w:sz="6" w:space="0" w:color="000000"/>
              <w:bottom w:val="single" w:sz="6" w:space="0" w:color="000000"/>
              <w:right w:val="single" w:sz="6" w:space="0" w:color="000000"/>
            </w:tcBorders>
            <w:shd w:val="clear" w:color="auto" w:fill="D9D9D9"/>
          </w:tcPr>
          <w:p>
            <w:pPr/>
          </w:p>
        </w:tc>
      </w:tr>
      <w:tr>
        <w:trPr>
          <w:trHeight w:val="431"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126,977,477.69</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-126,977,477.69</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32"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32,144,092.32</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32,144,092.32</w:t>
            </w:r>
          </w:p>
        </w:tc>
      </w:tr>
      <w:tr>
        <w:trPr>
          <w:trHeight w:val="432"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94,833,385.37</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94,833,385.37</w:t>
            </w:r>
          </w:p>
        </w:tc>
      </w:tr>
      <w:tr>
        <w:trPr>
          <w:trHeight w:val="432"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1,463,687.09</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-1,463,687.09</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32"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1,463,687.09</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1,463,687.09</w:t>
            </w:r>
          </w:p>
        </w:tc>
      </w:tr>
      <w:tr>
        <w:trPr>
          <w:trHeight w:val="433"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38,314,229.49</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-1,698,175.35</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36,616,054.14</w:t>
            </w:r>
          </w:p>
        </w:tc>
      </w:tr>
      <w:tr>
        <w:trPr>
          <w:trHeight w:val="432"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1,698,175.35</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1,698,175.35</w:t>
            </w:r>
          </w:p>
        </w:tc>
      </w:tr>
      <w:tr>
        <w:trPr>
          <w:trHeight w:val="432"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减：资产减值损失</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631,088,058.48</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-631,088,058.48</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32"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加：资产减值损失（损失以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-631,088,058.48</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-631,088,058.48</w:t>
            </w:r>
          </w:p>
        </w:tc>
      </w:tr>
    </w:tbl>
    <w:p>
      <w:pPr>
        <w:spacing w:line="240" w:lineRule="auto" w:before="8"/>
        <w:rPr>
          <w:rFonts w:ascii="宋体" w:hAnsi="宋体" w:cs="宋体" w:eastAsia="宋体" w:hint="default"/>
          <w:sz w:val="6"/>
          <w:szCs w:val="6"/>
        </w:rPr>
      </w:pPr>
    </w:p>
    <w:p>
      <w:pPr>
        <w:pStyle w:val="BodyText"/>
        <w:spacing w:line="240" w:lineRule="auto" w:before="44"/>
        <w:ind w:left="513" w:right="0"/>
        <w:jc w:val="left"/>
        <w:rPr>
          <w:rFonts w:ascii="宋体" w:hAnsi="宋体" w:cs="宋体" w:eastAsia="宋体" w:hint="default"/>
        </w:rPr>
      </w:pPr>
      <w:r>
        <w:rPr>
          <w:rFonts w:ascii="宋体" w:hAnsi="宋体" w:cs="宋体" w:eastAsia="宋体" w:hint="default"/>
        </w:rPr>
        <w:t>4</w:t>
      </w:r>
      <w:r>
        <w:rPr/>
        <w:t>、新非货币性资产交换准则</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0" w:firstLine="360"/>
        <w:jc w:val="left"/>
        <w:rPr>
          <w:rFonts w:ascii="宋体" w:hAnsi="宋体" w:cs="宋体" w:eastAsia="宋体" w:hint="default"/>
        </w:rPr>
      </w:pPr>
      <w:r>
        <w:rPr>
          <w:spacing w:val="-2"/>
        </w:rPr>
        <w:t>公司对</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日至本准则施行日之间发生的非货币性资产交换，应根据本准则进行调整。对</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日之前发生</w:t>
      </w:r>
      <w:r>
        <w:rPr/>
        <w:t> 的非货币性资产交换，不需要按照本准则的规定进行追溯调整。本公司执行上述准则在本报告期内无重大影响。</w:t>
      </w:r>
      <w:r>
        <w:rPr>
          <w:rFonts w:ascii="宋体" w:hAnsi="宋体" w:cs="宋体" w:eastAsia="宋体" w:hint="default"/>
          <w:spacing w:val="1"/>
        </w:rPr>
        <w:t> </w:t>
      </w:r>
      <w:r>
        <w:rPr>
          <w:rFonts w:ascii="宋体" w:hAnsi="宋体" w:cs="宋体" w:eastAsia="宋体" w:hint="default"/>
        </w:rPr>
        <w:t> </w:t>
      </w:r>
    </w:p>
    <w:p>
      <w:pPr>
        <w:pStyle w:val="BodyText"/>
        <w:spacing w:line="432" w:lineRule="exact" w:before="3"/>
        <w:ind w:left="513" w:right="1123"/>
        <w:jc w:val="left"/>
      </w:pPr>
      <w:r>
        <w:rPr>
          <w:rFonts w:ascii="宋体" w:hAnsi="宋体" w:cs="宋体" w:eastAsia="宋体" w:hint="default"/>
        </w:rPr>
        <w:t>5</w:t>
      </w:r>
      <w:r>
        <w:rPr/>
        <w:t>、新债务重组准则</w:t>
      </w:r>
      <w:r>
        <w:rPr>
          <w:rFonts w:ascii="宋体" w:hAnsi="宋体" w:cs="宋体" w:eastAsia="宋体" w:hint="default"/>
          <w:spacing w:val="-2"/>
        </w:rPr>
        <w:t> </w:t>
      </w:r>
      <w:r>
        <w:rPr>
          <w:rFonts w:ascii="宋体" w:hAnsi="宋体" w:cs="宋体" w:eastAsia="宋体" w:hint="default"/>
        </w:rPr>
        <w:t> </w:t>
      </w:r>
      <w:r>
        <w:rPr/>
        <w:t>公司自</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17</w:t>
      </w:r>
      <w:r>
        <w:rPr/>
        <w:t>日起施行债务重组新准则，对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日至本准则施行日之间发生的债务重组，应根据本准则进</w:t>
      </w:r>
    </w:p>
    <w:p>
      <w:pPr>
        <w:pStyle w:val="BodyText"/>
        <w:spacing w:line="316" w:lineRule="auto" w:before="15"/>
        <w:ind w:right="1121"/>
        <w:jc w:val="left"/>
        <w:rPr>
          <w:rFonts w:ascii="宋体" w:hAnsi="宋体" w:cs="宋体" w:eastAsia="宋体" w:hint="default"/>
        </w:rPr>
      </w:pPr>
      <w:r>
        <w:rPr>
          <w:spacing w:val="-2"/>
        </w:rPr>
        <w:t>行调整。对</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日之前发生的债务重组，不需要按照本准则的规定进行追溯调整。本公司执行上述准则在本报告期内</w:t>
      </w:r>
      <w:r>
        <w:rPr>
          <w:spacing w:val="-60"/>
        </w:rPr>
        <w:t> </w:t>
      </w:r>
      <w:r>
        <w:rPr>
          <w:spacing w:val="-60"/>
        </w:rPr>
      </w:r>
      <w:r>
        <w:rPr/>
        <w:t>无重大影响。</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Heading2"/>
        <w:spacing w:line="240" w:lineRule="auto"/>
        <w:ind w:right="0"/>
        <w:jc w:val="left"/>
        <w:rPr>
          <w:b w:val="0"/>
          <w:bCs w:val="0"/>
        </w:rPr>
      </w:pPr>
      <w:r>
        <w:rPr/>
        <w:t>七、报告期内发生重大会计差错更正需追溯重述的情况说明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八、与上年度财务报告相比，合并报表范围发生变化的情况说明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26" w:lineRule="auto"/>
        <w:ind w:right="3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本期因投资设立增加合肥四维图新科技有限公司和北京满电出行科技有限公司。 本期因第三方增资导致本公司失去对北京六分科技有限公司的控制权，不再将其纳入合并范围。 本期因注销减少图新投资（香港）科技有限公司。</w:t>
      </w:r>
    </w:p>
    <w:p>
      <w:pPr>
        <w:spacing w:line="240" w:lineRule="auto" w:before="6"/>
        <w:rPr>
          <w:rFonts w:ascii="宋体" w:hAnsi="宋体" w:cs="宋体" w:eastAsia="宋体" w:hint="default"/>
          <w:sz w:val="14"/>
          <w:szCs w:val="14"/>
        </w:rPr>
      </w:pPr>
    </w:p>
    <w:p>
      <w:pPr>
        <w:pStyle w:val="Heading2"/>
        <w:spacing w:line="240" w:lineRule="auto"/>
        <w:ind w:right="0"/>
        <w:jc w:val="left"/>
        <w:rPr>
          <w:b w:val="0"/>
          <w:bCs w:val="0"/>
        </w:rPr>
      </w:pPr>
      <w:r>
        <w:rPr/>
        <w:t>九、聘任、解聘会计师事务所情况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91"/>
        <w:gridCol w:w="4777"/>
      </w:tblGrid>
      <w:tr>
        <w:trPr>
          <w:trHeight w:val="401"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170</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十三年</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季晟、李宏志</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五年</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当期是否改聘会计师事务所</w:t>
      </w:r>
    </w:p>
    <w:p>
      <w:pPr>
        <w:pStyle w:val="BodyText"/>
        <w:spacing w:line="340" w:lineRule="auto" w:before="118"/>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十一、破产重整相关事项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6"/>
        <w:rPr>
          <w:rFonts w:ascii="宋体" w:hAnsi="宋体" w:cs="宋体" w:eastAsia="宋体" w:hint="default"/>
          <w:sz w:val="13"/>
          <w:szCs w:val="13"/>
        </w:rPr>
      </w:pPr>
    </w:p>
    <w:p>
      <w:pPr>
        <w:pStyle w:val="Heading2"/>
        <w:spacing w:line="240" w:lineRule="auto"/>
        <w:ind w:right="0"/>
        <w:jc w:val="left"/>
        <w:rPr>
          <w:b w:val="0"/>
          <w:bCs w:val="0"/>
        </w:rPr>
      </w:pPr>
      <w:r>
        <w:rPr/>
        <w:t>十二、重大诉讼、仲裁事项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6"/>
        <w:rPr>
          <w:rFonts w:ascii="宋体" w:hAnsi="宋体" w:cs="宋体" w:eastAsia="宋体" w:hint="default"/>
          <w:sz w:val="13"/>
          <w:szCs w:val="13"/>
        </w:rPr>
      </w:pPr>
    </w:p>
    <w:p>
      <w:pPr>
        <w:pStyle w:val="Heading2"/>
        <w:spacing w:line="240" w:lineRule="auto"/>
        <w:ind w:right="0"/>
        <w:jc w:val="left"/>
        <w:rPr>
          <w:b w:val="0"/>
          <w:bCs w:val="0"/>
        </w:rPr>
      </w:pPr>
      <w:r>
        <w:rPr/>
        <w:t>十三、处罚及整改情况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9"/>
        <w:rPr>
          <w:rFonts w:ascii="宋体" w:hAnsi="宋体" w:cs="宋体" w:eastAsia="宋体" w:hint="default"/>
          <w:sz w:val="13"/>
          <w:szCs w:val="13"/>
        </w:rPr>
      </w:pPr>
    </w:p>
    <w:p>
      <w:pPr>
        <w:pStyle w:val="Heading2"/>
        <w:spacing w:line="240" w:lineRule="auto"/>
        <w:ind w:right="0"/>
        <w:jc w:val="left"/>
        <w:rPr>
          <w:b w:val="0"/>
          <w:bCs w:val="0"/>
        </w:rPr>
      </w:pPr>
      <w:r>
        <w:rPr/>
        <w:t>十四、公司及其控股股东、实际控制人的诚信状况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1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报告期内，公司第一大股东及其实际控制人不存在未履行法院生效判决、所负数额较大的债务到期未清偿等情况。</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513" w:right="0"/>
        <w:jc w:val="left"/>
      </w:pPr>
      <w:r>
        <w:rPr>
          <w:rFonts w:ascii="Times New Roman" w:hAnsi="Times New Roman" w:cs="Times New Roman" w:eastAsia="Times New Roman" w:hint="default"/>
        </w:rPr>
        <w:t>1</w:t>
      </w:r>
      <w:r>
        <w:rPr/>
        <w:t>、公司分别于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日召开第四届董事会第十四次会议、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日召开</w:t>
      </w:r>
      <w:r>
        <w:rPr>
          <w:rFonts w:ascii="Times New Roman" w:hAnsi="Times New Roman" w:cs="Times New Roman" w:eastAsia="Times New Roman" w:hint="default"/>
        </w:rPr>
        <w:t>2018</w:t>
      </w:r>
      <w:r>
        <w:rPr/>
        <w:t>年度股东大会，审议通过《关</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222"/>
        <w:jc w:val="both"/>
      </w:pPr>
      <w:r>
        <w:rPr/>
        <w:t>于回购注销部分限制性股票的议案》，对</w:t>
      </w:r>
      <w:r>
        <w:rPr>
          <w:rFonts w:ascii="Times New Roman" w:hAnsi="Times New Roman" w:cs="Times New Roman" w:eastAsia="Times New Roman" w:hint="default"/>
        </w:rPr>
        <w:t>2015</w:t>
      </w:r>
      <w:r>
        <w:rPr/>
        <w:t>年首次授予限制性股票原激励对象以及</w:t>
      </w:r>
      <w:r>
        <w:rPr>
          <w:rFonts w:ascii="Times New Roman" w:hAnsi="Times New Roman" w:cs="Times New Roman" w:eastAsia="Times New Roman" w:hint="default"/>
        </w:rPr>
        <w:t>2018</w:t>
      </w:r>
      <w:r>
        <w:rPr/>
        <w:t>年首次授予限制性股票原激励对 象共计</w:t>
      </w:r>
      <w:r>
        <w:rPr>
          <w:rFonts w:ascii="Times New Roman" w:hAnsi="Times New Roman" w:cs="Times New Roman" w:eastAsia="Times New Roman" w:hint="default"/>
        </w:rPr>
        <w:t>10</w:t>
      </w:r>
      <w:r>
        <w:rPr/>
        <w:t>人原持有的已获授但尚未解锁的全部限制性股票进行回购，回购数量为</w:t>
      </w:r>
      <w:r>
        <w:rPr>
          <w:rFonts w:ascii="Times New Roman" w:hAnsi="Times New Roman" w:cs="Times New Roman" w:eastAsia="Times New Roman" w:hint="default"/>
        </w:rPr>
        <w:t>673,122</w:t>
      </w:r>
      <w:r>
        <w:rPr/>
        <w:t>股，占公司股本总额的</w:t>
      </w:r>
      <w:r>
        <w:rPr>
          <w:rFonts w:ascii="Times New Roman" w:hAnsi="Times New Roman" w:cs="Times New Roman" w:eastAsia="Times New Roman" w:hint="default"/>
        </w:rPr>
        <w:t>0.0514%</w:t>
      </w:r>
      <w:r>
        <w:rPr/>
        <w:t>， </w:t>
      </w:r>
      <w:r>
        <w:rPr>
          <w:rFonts w:ascii="Times New Roman" w:hAnsi="Times New Roman" w:cs="Times New Roman" w:eastAsia="Times New Roman" w:hint="default"/>
          <w:spacing w:val="-1"/>
        </w:rPr>
        <w:t>2015</w:t>
      </w:r>
      <w:r>
        <w:rPr>
          <w:spacing w:val="-1"/>
        </w:rPr>
        <w:t>年首次授予限制性股票回购价格为</w:t>
      </w:r>
      <w:r>
        <w:rPr>
          <w:rFonts w:ascii="Times New Roman" w:hAnsi="Times New Roman" w:cs="Times New Roman" w:eastAsia="Times New Roman" w:hint="default"/>
          <w:spacing w:val="-1"/>
        </w:rPr>
        <w:t>7.4037</w:t>
      </w:r>
      <w:r>
        <w:rPr>
          <w:spacing w:val="-1"/>
        </w:rPr>
        <w:t>元</w:t>
      </w:r>
      <w:r>
        <w:rPr>
          <w:rFonts w:ascii="Times New Roman" w:hAnsi="Times New Roman" w:cs="Times New Roman" w:eastAsia="Times New Roman" w:hint="default"/>
          <w:spacing w:val="-1"/>
        </w:rPr>
        <w:t>/</w:t>
      </w:r>
      <w:r>
        <w:rPr>
          <w:spacing w:val="-1"/>
        </w:rPr>
        <w:t>股，</w:t>
      </w:r>
      <w:r>
        <w:rPr>
          <w:rFonts w:ascii="Times New Roman" w:hAnsi="Times New Roman" w:cs="Times New Roman" w:eastAsia="Times New Roman" w:hint="default"/>
          <w:spacing w:val="-1"/>
        </w:rPr>
        <w:t>2018</w:t>
      </w:r>
      <w:r>
        <w:rPr>
          <w:spacing w:val="-1"/>
        </w:rPr>
        <w:t>年首次授予限制性股票回购价格为</w:t>
      </w:r>
      <w:r>
        <w:rPr>
          <w:rFonts w:ascii="Times New Roman" w:hAnsi="Times New Roman" w:cs="Times New Roman" w:eastAsia="Times New Roman" w:hint="default"/>
          <w:spacing w:val="-1"/>
        </w:rPr>
        <w:t>12.108</w:t>
      </w:r>
      <w:r>
        <w:rPr>
          <w:spacing w:val="-1"/>
        </w:rPr>
        <w:t>元</w:t>
      </w:r>
      <w:r>
        <w:rPr>
          <w:rFonts w:ascii="Times New Roman" w:hAnsi="Times New Roman" w:cs="Times New Roman" w:eastAsia="Times New Roman" w:hint="default"/>
          <w:spacing w:val="-1"/>
        </w:rPr>
        <w:t>/</w:t>
      </w:r>
      <w:r>
        <w:rPr>
          <w:spacing w:val="-1"/>
        </w:rPr>
        <w:t>股。</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6</w:t>
      </w:r>
      <w:r>
        <w:rPr>
          <w:spacing w:val="-1"/>
        </w:rPr>
        <w:t>日，</w:t>
      </w:r>
      <w:r>
        <w:rPr>
          <w:spacing w:val="-39"/>
        </w:rPr>
        <w:t> </w:t>
      </w:r>
      <w:r>
        <w:rPr/>
        <w:t>公司披露《关于部分限制性股票回购注销完成的公告》，公司已于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日在中国证券登记结算有限责任公司深圳分 公司完成限制性股票的回购注销手续。</w:t>
      </w:r>
    </w:p>
    <w:p>
      <w:pPr>
        <w:pStyle w:val="BodyText"/>
        <w:spacing w:line="300" w:lineRule="auto" w:before="31"/>
        <w:ind w:right="1209" w:firstLine="360"/>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日召开第四届董事会第十六次会议，审议通过《关于向激励对象授予预留限制性股票的议案》。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日，公司披露《关于</w:t>
      </w:r>
      <w:r>
        <w:rPr>
          <w:rFonts w:ascii="Times New Roman" w:hAnsi="Times New Roman" w:cs="Times New Roman" w:eastAsia="Times New Roman" w:hint="default"/>
        </w:rPr>
        <w:t>2018</w:t>
      </w:r>
      <w:r>
        <w:rPr/>
        <w:t>年度限制性股票激励计划预留授予登记完成的公告》，预留限制性股票授予日为</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日，授予价格</w:t>
      </w:r>
      <w:r>
        <w:rPr>
          <w:rFonts w:ascii="Times New Roman" w:hAnsi="Times New Roman" w:cs="Times New Roman" w:eastAsia="Times New Roman" w:hint="default"/>
        </w:rPr>
        <w:t>12.80</w:t>
      </w:r>
      <w:r>
        <w:rPr/>
        <w:t>元</w:t>
      </w:r>
      <w:r>
        <w:rPr>
          <w:rFonts w:ascii="Times New Roman" w:hAnsi="Times New Roman" w:cs="Times New Roman" w:eastAsia="Times New Roman" w:hint="default"/>
        </w:rPr>
        <w:t>/</w:t>
      </w:r>
      <w:r>
        <w:rPr/>
        <w:t>股，因部分激励对象放弃认购或部分认购，公司实际向</w:t>
      </w:r>
      <w:r>
        <w:rPr>
          <w:rFonts w:ascii="Times New Roman" w:hAnsi="Times New Roman" w:cs="Times New Roman" w:eastAsia="Times New Roman" w:hint="default"/>
        </w:rPr>
        <w:t>56</w:t>
      </w:r>
      <w:r>
        <w:rPr/>
        <w:t>名激励对象授予</w:t>
      </w:r>
      <w:r>
        <w:rPr>
          <w:rFonts w:ascii="Times New Roman" w:hAnsi="Times New Roman" w:cs="Times New Roman" w:eastAsia="Times New Roman" w:hint="default"/>
        </w:rPr>
        <w:t>1,475,300</w:t>
      </w:r>
      <w:r>
        <w:rPr/>
        <w:t>股限制性 股票，限制性股票上市日期为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w:t>
      </w:r>
    </w:p>
    <w:p>
      <w:pPr>
        <w:pStyle w:val="BodyText"/>
        <w:spacing w:line="300" w:lineRule="auto" w:before="13"/>
        <w:ind w:right="1124" w:firstLine="360"/>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日召开第四届董事会第十七次会议，审议通过《关于调整</w:t>
      </w:r>
      <w:r>
        <w:rPr>
          <w:rFonts w:ascii="Times New Roman" w:hAnsi="Times New Roman" w:cs="Times New Roman" w:eastAsia="Times New Roman" w:hint="default"/>
        </w:rPr>
        <w:t>2018</w:t>
      </w:r>
      <w:r>
        <w:rPr/>
        <w:t>年度限制性股票激励计划授予权益数 量及回购价格的议案》、《关于</w:t>
      </w:r>
      <w:r>
        <w:rPr>
          <w:rFonts w:ascii="Times New Roman" w:hAnsi="Times New Roman" w:cs="Times New Roman" w:eastAsia="Times New Roman" w:hint="default"/>
        </w:rPr>
        <w:t>2018</w:t>
      </w:r>
      <w:r>
        <w:rPr/>
        <w:t>年度限制性股票激励计划首次授予限制性股票第一个解锁期解锁条件成就的议案》， 鉴于公司</w:t>
      </w:r>
      <w:r>
        <w:rPr>
          <w:rFonts w:ascii="Times New Roman" w:hAnsi="Times New Roman" w:cs="Times New Roman" w:eastAsia="Times New Roman" w:hint="default"/>
        </w:rPr>
        <w:t>2018</w:t>
      </w:r>
      <w:r>
        <w:rPr>
          <w:rFonts w:ascii="Times New Roman" w:hAnsi="Times New Roman" w:cs="Times New Roman" w:eastAsia="Times New Roman" w:hint="default"/>
          <w:spacing w:val="25"/>
        </w:rPr>
        <w:t> </w:t>
      </w:r>
      <w:r>
        <w:rPr/>
        <w:t>年年度权益分派方案已实施完毕，按照相关规定对授予权益数量及回购价格进行相应调整，同时公司</w:t>
      </w:r>
      <w:r>
        <w:rPr>
          <w:rFonts w:ascii="Times New Roman" w:hAnsi="Times New Roman" w:cs="Times New Roman" w:eastAsia="Times New Roman" w:hint="default"/>
        </w:rPr>
        <w:t>2018</w:t>
      </w:r>
      <w:r>
        <w:rPr/>
        <w:t>年 度限制性股票激励计划首次授予第一个解锁期解锁条件已成就，同意</w:t>
      </w:r>
      <w:r>
        <w:rPr>
          <w:rFonts w:ascii="Times New Roman" w:hAnsi="Times New Roman" w:cs="Times New Roman" w:eastAsia="Times New Roman" w:hint="default"/>
        </w:rPr>
        <w:t>353</w:t>
      </w:r>
      <w:r>
        <w:rPr/>
        <w:t>名激励对象获授的</w:t>
      </w:r>
      <w:r>
        <w:rPr>
          <w:rFonts w:ascii="Times New Roman" w:hAnsi="Times New Roman" w:cs="Times New Roman" w:eastAsia="Times New Roman" w:hint="default"/>
        </w:rPr>
        <w:t>115,821,488</w:t>
      </w:r>
      <w:r>
        <w:rPr/>
        <w:t>股限制性股票解锁。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日，公司披露《关于</w:t>
      </w:r>
      <w:r>
        <w:rPr>
          <w:rFonts w:ascii="Times New Roman" w:hAnsi="Times New Roman" w:cs="Times New Roman" w:eastAsia="Times New Roman" w:hint="default"/>
        </w:rPr>
        <w:t>2018</w:t>
      </w:r>
      <w:r>
        <w:rPr/>
        <w:t>年度限制性股票激励计划首次授予第一期解锁股份上市流通的提示性公告》，本次解 锁股份可上市流通日为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w:t>
      </w:r>
    </w:p>
    <w:p>
      <w:pPr>
        <w:pStyle w:val="BodyText"/>
        <w:spacing w:line="300" w:lineRule="auto" w:before="13"/>
        <w:ind w:right="1169" w:firstLine="360"/>
        <w:jc w:val="left"/>
      </w:pPr>
      <w:r>
        <w:rPr/>
        <w:t>公司分别于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日召开第四届董事会第十九次会议、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日召开</w:t>
      </w:r>
      <w:r>
        <w:rPr>
          <w:rFonts w:ascii="Times New Roman" w:hAnsi="Times New Roman" w:cs="Times New Roman" w:eastAsia="Times New Roman" w:hint="default"/>
        </w:rPr>
        <w:t>2019</w:t>
      </w:r>
      <w:r>
        <w:rPr/>
        <w:t>年第一次临时股东大会，审议 通过《关于回购注销部分限制性股票的议案》，对</w:t>
      </w:r>
      <w:r>
        <w:rPr>
          <w:rFonts w:ascii="Times New Roman" w:hAnsi="Times New Roman" w:cs="Times New Roman" w:eastAsia="Times New Roman" w:hint="default"/>
        </w:rPr>
        <w:t>2018</w:t>
      </w:r>
      <w:r>
        <w:rPr/>
        <w:t>年限制性股票激励计划首次授予及</w:t>
      </w:r>
      <w:r>
        <w:rPr>
          <w:rFonts w:ascii="Times New Roman" w:hAnsi="Times New Roman" w:cs="Times New Roman" w:eastAsia="Times New Roman" w:hint="default"/>
        </w:rPr>
        <w:t>2018</w:t>
      </w:r>
      <w:r>
        <w:rPr/>
        <w:t>年限制性股票激励计划预留</w:t>
      </w:r>
      <w:r>
        <w:rPr>
          <w:spacing w:val="-87"/>
        </w:rPr>
        <w:t> </w:t>
      </w:r>
      <w:r>
        <w:rPr/>
        <w:t>授予的原激励对象共计</w:t>
      </w:r>
      <w:r>
        <w:rPr>
          <w:rFonts w:ascii="Times New Roman" w:hAnsi="Times New Roman" w:cs="Times New Roman" w:eastAsia="Times New Roman" w:hint="default"/>
        </w:rPr>
        <w:t>17</w:t>
      </w:r>
      <w:r>
        <w:rPr/>
        <w:t>人原持有的已获授但尚未解锁的全部限制性股票进行回购，回购数量为</w:t>
      </w:r>
      <w:r>
        <w:rPr>
          <w:rFonts w:ascii="Times New Roman" w:hAnsi="Times New Roman" w:cs="Times New Roman" w:eastAsia="Times New Roman" w:hint="default"/>
        </w:rPr>
        <w:t>902,520</w:t>
      </w:r>
      <w:r>
        <w:rPr/>
        <w:t>股，占公司股本总 额的</w:t>
      </w:r>
      <w:r>
        <w:rPr>
          <w:rFonts w:ascii="Times New Roman" w:hAnsi="Times New Roman" w:cs="Times New Roman" w:eastAsia="Times New Roman" w:hint="default"/>
        </w:rPr>
        <w:t>0.046%</w:t>
      </w:r>
      <w:r>
        <w:rPr/>
        <w:t>，</w:t>
      </w:r>
      <w:r>
        <w:rPr>
          <w:rFonts w:ascii="Times New Roman" w:hAnsi="Times New Roman" w:cs="Times New Roman" w:eastAsia="Times New Roman" w:hint="default"/>
        </w:rPr>
        <w:t>2018 </w:t>
      </w:r>
      <w:r>
        <w:rPr/>
        <w:t>年首次授予限制性股票的回购价格</w:t>
      </w:r>
      <w:r>
        <w:rPr>
          <w:rFonts w:ascii="Times New Roman" w:hAnsi="Times New Roman" w:cs="Times New Roman" w:eastAsia="Times New Roman" w:hint="default"/>
        </w:rPr>
        <w:t>8.0627 </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2018 </w:t>
      </w:r>
      <w:r>
        <w:rPr/>
        <w:t>年预留限制性股票的回购价格</w:t>
      </w:r>
      <w:r>
        <w:rPr>
          <w:rFonts w:ascii="Times New Roman" w:hAnsi="Times New Roman" w:cs="Times New Roman" w:eastAsia="Times New Roman" w:hint="default"/>
        </w:rPr>
        <w:t>8.5240</w:t>
      </w:r>
      <w:r>
        <w:rPr>
          <w:rFonts w:ascii="Times New Roman" w:hAnsi="Times New Roman" w:cs="Times New Roman" w:eastAsia="Times New Roman" w:hint="default"/>
          <w:spacing w:val="13"/>
        </w:rPr>
        <w:t> </w:t>
      </w:r>
      <w:r>
        <w:rPr/>
        <w:t>元</w:t>
      </w:r>
      <w:r>
        <w:rPr>
          <w:rFonts w:ascii="Times New Roman" w:hAnsi="Times New Roman" w:cs="Times New Roman" w:eastAsia="Times New Roman" w:hint="default"/>
        </w:rPr>
        <w:t>/</w:t>
      </w:r>
      <w:r>
        <w:rPr/>
        <w:t>股。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日，公司披露《关于部分限制性股票回购注销完成的公告》，公司已于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日在中国证券登记结算 有限责任公司深圳分公司完成限制性股票的回购注销手续。</w:t>
      </w:r>
    </w:p>
    <w:p>
      <w:pPr>
        <w:pStyle w:val="BodyText"/>
        <w:spacing w:line="240" w:lineRule="auto" w:before="31"/>
        <w:ind w:left="510" w:right="0"/>
        <w:jc w:val="left"/>
      </w:pPr>
      <w:r>
        <w:rPr/>
        <w:t>上述内容详见公司披露的相关公告：</w:t>
      </w:r>
      <w:r>
        <w:rPr>
          <w:rFonts w:ascii="Times New Roman" w:hAnsi="Times New Roman" w:cs="Times New Roman" w:eastAsia="Times New Roman" w:hint="default"/>
        </w:rPr>
      </w:r>
      <w:hyperlink r:id="rId13">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r>
        <w:rPr/>
        <w:t>。</w:t>
      </w:r>
    </w:p>
    <w:p>
      <w:pPr>
        <w:spacing w:line="240" w:lineRule="auto" w:before="8"/>
        <w:rPr>
          <w:rFonts w:ascii="宋体" w:hAnsi="宋体" w:cs="宋体" w:eastAsia="宋体" w:hint="default"/>
          <w:sz w:val="10"/>
          <w:szCs w:val="10"/>
        </w:rPr>
      </w:pPr>
    </w:p>
    <w:p>
      <w:pPr>
        <w:pStyle w:val="BodyText"/>
        <w:spacing w:line="304" w:lineRule="auto" w:before="44"/>
        <w:ind w:right="1148" w:firstLine="358"/>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日，公司披露《第一期员工持股计划（草案）（非公开发行方式认购）》，公司以发行股份及支付现 金相结合方式收购合肥杰发科技有限公司</w:t>
      </w:r>
      <w:r>
        <w:rPr>
          <w:rFonts w:ascii="Times New Roman" w:hAnsi="Times New Roman" w:cs="Times New Roman" w:eastAsia="Times New Roman" w:hint="default"/>
        </w:rPr>
        <w:t>100%</w:t>
      </w:r>
      <w:r>
        <w:rPr/>
        <w:t>股权的重大重组事项，其中通过非公开发行股份方式募集配套资金的对象包 括腾讯产业基金、芯动能基金、天安财险、中信建投证券、华泰资产、林芝锦华、华泰瑞联、安鹏资本、龙华启富和员工 持股计划。本员工持股计划的参加对象包括公司董事（不含独立董事）、监事、高级管理人员及其他人员，公司及其全 资、控股子公司以及杰发科技符合认购条件的员工，共计</w:t>
      </w:r>
      <w:r>
        <w:rPr>
          <w:rFonts w:ascii="Times New Roman" w:hAnsi="Times New Roman" w:cs="Times New Roman" w:eastAsia="Times New Roman" w:hint="default"/>
        </w:rPr>
        <w:t>24</w:t>
      </w:r>
      <w:r>
        <w:rPr/>
        <w:t>人。每单位份额的认购价格为人民币</w:t>
      </w:r>
      <w:r>
        <w:rPr>
          <w:rFonts w:ascii="Times New Roman" w:hAnsi="Times New Roman" w:cs="Times New Roman" w:eastAsia="Times New Roman" w:hint="default"/>
        </w:rPr>
        <w:t>1.00</w:t>
      </w:r>
      <w:r>
        <w:rPr/>
        <w:t>元，设立时的份额合 计不超过</w:t>
      </w:r>
      <w:r>
        <w:rPr>
          <w:rFonts w:ascii="Times New Roman" w:hAnsi="Times New Roman" w:cs="Times New Roman" w:eastAsia="Times New Roman" w:hint="default"/>
        </w:rPr>
        <w:t>40,000</w:t>
      </w:r>
      <w:r>
        <w:rPr/>
        <w:t>万份，对应资金总额上限人民币</w:t>
      </w:r>
      <w:r>
        <w:rPr>
          <w:rFonts w:ascii="Times New Roman" w:hAnsi="Times New Roman" w:cs="Times New Roman" w:eastAsia="Times New Roman" w:hint="default"/>
        </w:rPr>
        <w:t>40,000</w:t>
      </w:r>
      <w:r>
        <w:rPr/>
        <w:t>万元，认购股票数量不超过</w:t>
      </w:r>
      <w:r>
        <w:rPr>
          <w:rFonts w:ascii="Times New Roman" w:hAnsi="Times New Roman" w:cs="Times New Roman" w:eastAsia="Times New Roman" w:hint="default"/>
        </w:rPr>
        <w:t>1,563.11</w:t>
      </w:r>
      <w:r>
        <w:rPr>
          <w:rFonts w:ascii="Times New Roman" w:hAnsi="Times New Roman" w:cs="Times New Roman" w:eastAsia="Times New Roman" w:hint="default"/>
          <w:spacing w:val="21"/>
        </w:rPr>
        <w:t> </w:t>
      </w:r>
      <w:r>
        <w:rPr/>
        <w:t>万股，占本员工持股计划公告时 公司股本总额的</w:t>
      </w:r>
      <w:r>
        <w:rPr>
          <w:rFonts w:ascii="Times New Roman" w:hAnsi="Times New Roman" w:cs="Times New Roman" w:eastAsia="Times New Roman" w:hint="default"/>
        </w:rPr>
        <w:t>1.79%</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日，公司本次发行新增股份取得了中国证券登记结算有限责任公司出具的《股份登记 申请受理确认书》，新增股份上市日为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日，公司第一期员工持股计划最终的认购总额为</w:t>
      </w:r>
      <w:r>
        <w:rPr>
          <w:rFonts w:ascii="Times New Roman" w:hAnsi="Times New Roman" w:cs="Times New Roman" w:eastAsia="Times New Roman" w:hint="default"/>
        </w:rPr>
        <w:t>35,863.00</w:t>
      </w:r>
      <w:r>
        <w:rPr>
          <w:rFonts w:ascii="Times New Roman" w:hAnsi="Times New Roman" w:cs="Times New Roman" w:eastAsia="Times New Roman" w:hint="default"/>
          <w:spacing w:val="26"/>
        </w:rPr>
        <w:t> </w:t>
      </w:r>
      <w:r>
        <w:rPr/>
        <w:t>万元。</w:t>
      </w:r>
    </w:p>
    <w:p>
      <w:pPr>
        <w:pStyle w:val="BodyText"/>
        <w:spacing w:line="240" w:lineRule="auto" w:before="129"/>
        <w:ind w:left="510" w:right="0"/>
        <w:jc w:val="left"/>
      </w:pPr>
      <w:r>
        <w:rPr/>
        <w:t>上述内容详见公司披露的相关公告：</w:t>
      </w:r>
      <w:r>
        <w:rPr>
          <w:rFonts w:ascii="Times New Roman" w:hAnsi="Times New Roman" w:cs="Times New Roman" w:eastAsia="Times New Roman" w:hint="default"/>
        </w:rPr>
      </w:r>
      <w:hyperlink r:id="rId13">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r>
        <w:rPr/>
        <w:t>。</w:t>
      </w:r>
    </w:p>
    <w:p>
      <w:pPr>
        <w:spacing w:line="240" w:lineRule="auto" w:before="8"/>
        <w:rPr>
          <w:rFonts w:ascii="宋体" w:hAnsi="宋体" w:cs="宋体" w:eastAsia="宋体" w:hint="default"/>
          <w:sz w:val="10"/>
          <w:szCs w:val="10"/>
        </w:rPr>
      </w:pPr>
    </w:p>
    <w:p>
      <w:pPr>
        <w:pStyle w:val="BodyText"/>
        <w:spacing w:line="240" w:lineRule="auto" w:before="44"/>
        <w:ind w:right="0"/>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00" w:lineRule="auto" w:before="104"/>
        <w:ind w:right="1220" w:firstLine="360"/>
        <w:jc w:val="left"/>
      </w:pPr>
      <w:r>
        <w:rPr/>
        <w:t>本报告期，公司实施股权激励计提的激励成本为</w:t>
      </w:r>
      <w:r>
        <w:rPr>
          <w:spacing w:val="-47"/>
        </w:rPr>
        <w:t> </w:t>
      </w:r>
      <w:r>
        <w:rPr>
          <w:rFonts w:ascii="Times New Roman" w:hAnsi="Times New Roman" w:cs="Times New Roman" w:eastAsia="Times New Roman" w:hint="default"/>
        </w:rPr>
        <w:t>3,017.42</w:t>
      </w:r>
      <w:r>
        <w:rPr>
          <w:rFonts w:ascii="Times New Roman" w:hAnsi="Times New Roman" w:cs="Times New Roman" w:eastAsia="Times New Roman" w:hint="default"/>
          <w:spacing w:val="-1"/>
        </w:rPr>
        <w:t> </w:t>
      </w:r>
      <w:r>
        <w:rPr/>
        <w:t>万元，减少公司利润总额</w:t>
      </w:r>
      <w:r>
        <w:rPr>
          <w:spacing w:val="-47"/>
        </w:rPr>
        <w:t> </w:t>
      </w:r>
      <w:r>
        <w:rPr>
          <w:rFonts w:ascii="Times New Roman" w:hAnsi="Times New Roman" w:cs="Times New Roman" w:eastAsia="Times New Roman" w:hint="default"/>
        </w:rPr>
        <w:t>3,017.42</w:t>
      </w:r>
      <w:r>
        <w:rPr>
          <w:rFonts w:ascii="Times New Roman" w:hAnsi="Times New Roman" w:cs="Times New Roman" w:eastAsia="Times New Roman" w:hint="default"/>
          <w:spacing w:val="-1"/>
        </w:rPr>
        <w:t> </w:t>
      </w:r>
      <w:r>
        <w:rPr/>
        <w:t>万元。其中，核心技术人 员的股权激励费用及占公司当期股权激励费用的比例为</w:t>
      </w:r>
      <w:r>
        <w:rPr>
          <w:spacing w:val="-46"/>
        </w:rPr>
        <w:t> </w:t>
      </w:r>
      <w:r>
        <w:rPr>
          <w:rFonts w:ascii="Times New Roman" w:hAnsi="Times New Roman" w:cs="Times New Roman" w:eastAsia="Times New Roman" w:hint="default"/>
        </w:rPr>
        <w:t>52.95%</w:t>
      </w:r>
      <w:r>
        <w:rPr/>
        <w:t>。</w:t>
      </w:r>
    </w:p>
    <w:p>
      <w:pPr>
        <w:spacing w:line="240" w:lineRule="auto" w:before="5"/>
        <w:rPr>
          <w:rFonts w:ascii="宋体" w:hAnsi="宋体" w:cs="宋体" w:eastAsia="宋体" w:hint="default"/>
          <w:sz w:val="14"/>
          <w:szCs w:val="14"/>
        </w:rPr>
      </w:pPr>
    </w:p>
    <w:p>
      <w:pPr>
        <w:pStyle w:val="Heading2"/>
        <w:spacing w:line="240" w:lineRule="auto"/>
        <w:ind w:right="0"/>
        <w:jc w:val="left"/>
        <w:rPr>
          <w:b w:val="0"/>
          <w:bCs w:val="0"/>
        </w:rPr>
      </w:pPr>
      <w:r>
        <w:rPr/>
        <w:t>十六、重大关联交易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after="0" w:line="338"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both"/>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6"/>
        <w:rPr>
          <w:rFonts w:ascii="宋体" w:hAnsi="宋体" w:cs="宋体" w:eastAsia="宋体" w:hint="default"/>
          <w:sz w:val="16"/>
          <w:szCs w:val="16"/>
        </w:rPr>
      </w:pPr>
    </w:p>
    <w:p>
      <w:pPr>
        <w:pStyle w:val="Heading4"/>
        <w:spacing w:line="240" w:lineRule="auto"/>
        <w:ind w:right="0"/>
        <w:jc w:val="both"/>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6"/>
        <w:rPr>
          <w:rFonts w:ascii="宋体" w:hAnsi="宋体" w:cs="宋体" w:eastAsia="宋体" w:hint="default"/>
          <w:sz w:val="16"/>
          <w:szCs w:val="16"/>
        </w:rPr>
      </w:pPr>
    </w:p>
    <w:p>
      <w:pPr>
        <w:pStyle w:val="Heading4"/>
        <w:spacing w:line="240" w:lineRule="auto"/>
        <w:ind w:right="0"/>
        <w:jc w:val="both"/>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2"/>
        <w:rPr>
          <w:rFonts w:ascii="宋体" w:hAnsi="宋体" w:cs="宋体" w:eastAsia="宋体" w:hint="default"/>
          <w:sz w:val="16"/>
          <w:szCs w:val="16"/>
        </w:rPr>
      </w:pPr>
    </w:p>
    <w:p>
      <w:pPr>
        <w:pStyle w:val="Heading4"/>
        <w:spacing w:line="240" w:lineRule="auto"/>
        <w:ind w:right="0"/>
        <w:jc w:val="both"/>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left="513" w:right="112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9</w:t>
      </w:r>
      <w:r>
        <w:rPr/>
        <w:t>日召开第四届董事会第二十次会议、</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27</w:t>
      </w:r>
      <w:r>
        <w:rPr/>
        <w:t>日召开</w:t>
      </w:r>
      <w:r>
        <w:rPr>
          <w:rFonts w:ascii="宋体" w:hAnsi="宋体" w:cs="宋体" w:eastAsia="宋体" w:hint="default"/>
        </w:rPr>
        <w:t>2019</w:t>
      </w:r>
      <w:r>
        <w:rPr/>
        <w:t>年第二次临时股东大会，审议通过了</w:t>
      </w:r>
    </w:p>
    <w:p>
      <w:pPr>
        <w:pStyle w:val="BodyText"/>
        <w:spacing w:line="316" w:lineRule="auto" w:before="1"/>
        <w:ind w:right="1128"/>
        <w:jc w:val="both"/>
      </w:pPr>
      <w:r>
        <w:rPr>
          <w:spacing w:val="-2"/>
        </w:rPr>
        <w:t>《关于子公司北京六分科技有限公司接受投资暨关联交易的议案》，公司控股子公司北京六分科技有限公司（以下简称“六</w:t>
      </w:r>
      <w:r>
        <w:rPr>
          <w:spacing w:val="-64"/>
        </w:rPr>
        <w:t> </w:t>
      </w:r>
      <w:r>
        <w:rPr>
          <w:spacing w:val="-64"/>
        </w:rPr>
      </w:r>
      <w:r>
        <w:rPr>
          <w:spacing w:val="-2"/>
        </w:rPr>
        <w:t>分科技”）拟进行增资扩股，引进投资者洪鑫源、北京北斗通、南方工业、北京四维互联基金管理中心（有限合伙）。相关</w:t>
      </w:r>
      <w:r>
        <w:rPr>
          <w:spacing w:val="-64"/>
        </w:rPr>
        <w:t> </w:t>
      </w:r>
      <w:r>
        <w:rPr>
          <w:spacing w:val="-64"/>
        </w:rPr>
      </w:r>
      <w:r>
        <w:rPr>
          <w:spacing w:val="-2"/>
        </w:rPr>
        <w:t>事项完成后，公司对六分科技的持股比例将降为</w:t>
      </w:r>
      <w:r>
        <w:rPr>
          <w:rFonts w:ascii="宋体" w:hAnsi="宋体" w:cs="宋体" w:eastAsia="宋体" w:hint="default"/>
          <w:spacing w:val="-2"/>
        </w:rPr>
        <w:t>40.18%</w:t>
      </w:r>
      <w:r>
        <w:rPr>
          <w:spacing w:val="-2"/>
        </w:rPr>
        <w:t>，六分科技将不再纳入公司合并范围。因北京四维互联基金管理中心</w:t>
      </w:r>
    </w:p>
    <w:p>
      <w:pPr>
        <w:pStyle w:val="BodyText"/>
        <w:spacing w:line="240" w:lineRule="auto" w:before="19"/>
        <w:ind w:right="0"/>
        <w:jc w:val="both"/>
        <w:rPr>
          <w:rFonts w:ascii="宋体" w:hAnsi="宋体" w:cs="宋体" w:eastAsia="宋体" w:hint="default"/>
        </w:rPr>
      </w:pPr>
      <w:r>
        <w:rPr/>
        <w:t>（有限合伙）为本公司的关联方，本次交易涉及北京四维互联基金管理中心（有限合伙）的部分构成本公司的关联交易。</w:t>
      </w:r>
      <w:r>
        <w:rPr>
          <w:rFonts w:ascii="宋体" w:hAnsi="宋体" w:cs="宋体" w:eastAsia="宋体" w:hint="default"/>
        </w:rPr>
        <w:t> </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r>
        <w:rPr/>
        <w:t>十七、重大合同及其履行情况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both"/>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5"/>
        <w:rPr>
          <w:rFonts w:ascii="宋体" w:hAnsi="宋体" w:cs="宋体" w:eastAsia="宋体" w:hint="default"/>
          <w:sz w:val="16"/>
          <w:szCs w:val="16"/>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6"/>
        <w:rPr>
          <w:rFonts w:ascii="宋体" w:hAnsi="宋体" w:cs="宋体" w:eastAsia="宋体" w:hint="default"/>
          <w:sz w:val="16"/>
          <w:szCs w:val="16"/>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after="0" w:line="3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1"/>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709"/>
        <w:gridCol w:w="926"/>
        <w:gridCol w:w="925"/>
        <w:gridCol w:w="1296"/>
        <w:gridCol w:w="1064"/>
        <w:gridCol w:w="1034"/>
        <w:gridCol w:w="1048"/>
        <w:gridCol w:w="793"/>
        <w:gridCol w:w="780"/>
      </w:tblGrid>
      <w:tr>
        <w:trPr>
          <w:trHeight w:val="40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51"/>
              <w:ind w:left="100"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53"/>
              <w:jc w:val="left"/>
              <w:rPr>
                <w:rFonts w:ascii="宋体" w:hAnsi="宋体" w:cs="宋体" w:eastAsia="宋体" w:hint="default"/>
                <w:sz w:val="18"/>
                <w:szCs w:val="18"/>
              </w:rPr>
            </w:pPr>
            <w:r>
              <w:rPr>
                <w:rFonts w:ascii="宋体" w:hAnsi="宋体" w:cs="宋体" w:eastAsia="宋体" w:hint="default"/>
                <w:sz w:val="18"/>
                <w:szCs w:val="18"/>
              </w:rPr>
              <w:t>深圳市红塔资产管理 有限公司</w:t>
            </w:r>
          </w:p>
        </w:tc>
        <w:tc>
          <w:tcPr>
            <w:tcW w:w="926"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23,652.71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53"/>
              <w:jc w:val="left"/>
              <w:rPr>
                <w:rFonts w:ascii="宋体" w:hAnsi="宋体" w:cs="宋体" w:eastAsia="宋体" w:hint="default"/>
                <w:sz w:val="18"/>
                <w:szCs w:val="18"/>
              </w:rPr>
            </w:pPr>
            <w:r>
              <w:rPr>
                <w:rFonts w:ascii="宋体" w:hAnsi="宋体" w:cs="宋体" w:eastAsia="宋体" w:hint="default"/>
                <w:sz w:val="18"/>
                <w:szCs w:val="18"/>
              </w:rPr>
              <w:t>北京金盛博基资产管 理有限公司</w:t>
            </w:r>
          </w:p>
        </w:tc>
        <w:tc>
          <w:tcPr>
            <w:tcW w:w="926"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2,348.03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北京四维智联科技有 限公司</w:t>
            </w:r>
          </w:p>
        </w:tc>
        <w:tc>
          <w:tcPr>
            <w:tcW w:w="926"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82"/>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36,000.74</w:t>
            </w:r>
          </w:p>
        </w:tc>
      </w:tr>
      <w:tr>
        <w:trPr>
          <w:trHeight w:val="718" w:hRule="exact"/>
        </w:trPr>
        <w:tc>
          <w:tcPr>
            <w:tcW w:w="2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82"/>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36,000.74</w:t>
            </w:r>
          </w:p>
        </w:tc>
      </w:tr>
      <w:tr>
        <w:trPr>
          <w:trHeight w:val="398"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9"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4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53"/>
              <w:jc w:val="left"/>
              <w:rPr>
                <w:rFonts w:ascii="宋体" w:hAnsi="宋体" w:cs="宋体" w:eastAsia="宋体" w:hint="default"/>
                <w:sz w:val="18"/>
                <w:szCs w:val="18"/>
              </w:rPr>
            </w:pPr>
            <w:r>
              <w:rPr>
                <w:rFonts w:ascii="宋体" w:hAnsi="宋体" w:cs="宋体" w:eastAsia="宋体" w:hint="default"/>
                <w:sz w:val="18"/>
                <w:szCs w:val="18"/>
              </w:rPr>
              <w:t>图新投资（香港）科 技有限公司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85,970.5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53"/>
              <w:jc w:val="left"/>
              <w:rPr>
                <w:rFonts w:ascii="宋体" w:hAnsi="宋体" w:cs="宋体" w:eastAsia="宋体" w:hint="default"/>
                <w:sz w:val="18"/>
                <w:szCs w:val="18"/>
              </w:rPr>
            </w:pPr>
            <w:r>
              <w:rPr>
                <w:rFonts w:ascii="宋体" w:hAnsi="宋体" w:cs="宋体" w:eastAsia="宋体" w:hint="default"/>
                <w:sz w:val="18"/>
                <w:szCs w:val="18"/>
              </w:rPr>
              <w:t>合肥杰发科技有限公 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709"/>
        <w:gridCol w:w="916"/>
        <w:gridCol w:w="918"/>
        <w:gridCol w:w="1313"/>
        <w:gridCol w:w="1044"/>
        <w:gridCol w:w="1054"/>
        <w:gridCol w:w="1045"/>
        <w:gridCol w:w="787"/>
        <w:gridCol w:w="790"/>
      </w:tblGrid>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85,970.5</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27" w:right="6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8"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3" w:right="82"/>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36,000.74</w:t>
            </w:r>
          </w:p>
        </w:tc>
      </w:tr>
      <w:tr>
        <w:trPr>
          <w:trHeight w:val="715"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72" w:right="0"/>
              <w:jc w:val="left"/>
              <w:rPr>
                <w:rFonts w:ascii="Times New Roman" w:hAnsi="Times New Roman" w:cs="Times New Roman" w:eastAsia="Times New Roman" w:hint="default"/>
                <w:sz w:val="18"/>
                <w:szCs w:val="18"/>
              </w:rPr>
            </w:pPr>
            <w:r>
              <w:rPr>
                <w:rFonts w:ascii="Times New Roman"/>
                <w:sz w:val="18"/>
              </w:rPr>
              <w:t>195,970.5</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82"/>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36,000.74</w:t>
            </w:r>
          </w:p>
        </w:tc>
      </w:tr>
      <w:tr>
        <w:trPr>
          <w:trHeight w:val="408"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4.62%</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4" w:right="12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40"/>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 偿责任的情况说明（如有）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60" w:lineRule="auto" w:before="49"/>
        <w:ind w:right="8054"/>
        <w:jc w:val="left"/>
      </w:pPr>
      <w:r>
        <w:rPr/>
        <w:t>采用复合方式担保的具体情况说明 无</w:t>
      </w:r>
    </w:p>
    <w:p>
      <w:pPr>
        <w:spacing w:line="240" w:lineRule="auto" w:before="3"/>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2"/>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8" w:footer="979" w:top="106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868"/>
        <w:gridCol w:w="1964"/>
        <w:gridCol w:w="1980"/>
        <w:gridCol w:w="1908"/>
        <w:gridCol w:w="1849"/>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868"/>
        <w:gridCol w:w="1964"/>
        <w:gridCol w:w="1980"/>
        <w:gridCol w:w="1908"/>
        <w:gridCol w:w="1849"/>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单项金额重大或安全性较低、流动性较差、不保本的高风险委托理财具体情况</w:t>
      </w:r>
    </w:p>
    <w:p>
      <w:pPr>
        <w:pStyle w:val="BodyText"/>
        <w:spacing w:line="340" w:lineRule="auto" w:before="117"/>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4"/>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十八、社会责任情况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00" w:lineRule="auto"/>
        <w:ind w:right="1124" w:firstLine="360"/>
        <w:jc w:val="left"/>
      </w:pPr>
      <w:r>
        <w:rPr/>
        <w:t>具体内容详见</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日发布在《中国证券报》、《证券时报》及巨潮资讯网上的《北京四维图新科技股份有限公 司</w:t>
      </w:r>
      <w:r>
        <w:rPr>
          <w:rFonts w:ascii="Times New Roman" w:hAnsi="Times New Roman" w:cs="Times New Roman" w:eastAsia="Times New Roman" w:hint="default"/>
        </w:rPr>
        <w:t>2019</w:t>
      </w:r>
      <w:r>
        <w:rPr/>
        <w:t>年度社会责任报告》。</w:t>
      </w:r>
    </w:p>
    <w:p>
      <w:pPr>
        <w:spacing w:line="240" w:lineRule="auto" w:before="3"/>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3" w:right="0"/>
        <w:jc w:val="left"/>
      </w:pPr>
      <w:r>
        <w:rPr/>
        <w:t>公司报告年度暂未开展精准扶贫工作，也暂无后续精准扶贫计划。</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5714"/>
        <w:jc w:val="left"/>
      </w:pPr>
      <w:r>
        <w:rPr/>
        <w:t>上市公司及其子公司是否属于环境保护部门公布的重点排污单位 否</w:t>
      </w:r>
    </w:p>
    <w:p>
      <w:pPr>
        <w:pStyle w:val="BodyText"/>
        <w:spacing w:line="300" w:lineRule="auto" w:before="28"/>
        <w:ind w:right="1124" w:firstLine="360"/>
        <w:jc w:val="left"/>
      </w:pPr>
      <w:r>
        <w:rPr/>
        <w:t>具体内容详见</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日发布在《中国证券报》、《证券时报》及巨潮资讯网上的《北京四维图新科技股份有限公 司</w:t>
      </w:r>
      <w:r>
        <w:rPr>
          <w:rFonts w:ascii="Times New Roman" w:hAnsi="Times New Roman" w:cs="Times New Roman" w:eastAsia="Times New Roman" w:hint="default"/>
        </w:rPr>
        <w:t>2019</w:t>
      </w:r>
      <w:r>
        <w:rPr/>
        <w:t>年度社会责任报告》。</w:t>
      </w:r>
    </w:p>
    <w:p>
      <w:pPr>
        <w:spacing w:line="240" w:lineRule="auto" w:before="7"/>
        <w:rPr>
          <w:rFonts w:ascii="宋体" w:hAnsi="宋体" w:cs="宋体" w:eastAsia="宋体" w:hint="default"/>
          <w:sz w:val="14"/>
          <w:szCs w:val="14"/>
        </w:rPr>
      </w:pPr>
    </w:p>
    <w:p>
      <w:pPr>
        <w:pStyle w:val="Heading2"/>
        <w:spacing w:line="240" w:lineRule="auto"/>
        <w:ind w:right="0"/>
        <w:jc w:val="left"/>
        <w:rPr>
          <w:b w:val="0"/>
          <w:bCs w:val="0"/>
        </w:rPr>
      </w:pPr>
      <w:r>
        <w:rPr/>
        <w:t>十九、其他重大事项的说明</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二十、公司子公司重大事项</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0"/>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日召开第四届董事会第二十次会议、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日召开</w:t>
      </w:r>
      <w:r>
        <w:rPr>
          <w:rFonts w:ascii="Times New Roman" w:hAnsi="Times New Roman" w:cs="Times New Roman" w:eastAsia="Times New Roman" w:hint="default"/>
        </w:rPr>
        <w:t>2019</w:t>
      </w:r>
      <w:r>
        <w:rPr/>
        <w:t>年第二次临时股东大会，审议通过了</w:t>
      </w:r>
    </w:p>
    <w:p>
      <w:pPr>
        <w:pStyle w:val="BodyText"/>
        <w:spacing w:line="300" w:lineRule="auto" w:before="63"/>
        <w:ind w:right="1131"/>
        <w:jc w:val="both"/>
      </w:pPr>
      <w:r>
        <w:rPr/>
        <w:t>《关于子公司北京六分科技有限公司接受投资暨关联交易的议案》，公司控股子公司北京六分科技有限公司（以下简称</w:t>
      </w:r>
      <w:r>
        <w:rPr>
          <w:rFonts w:ascii="Times New Roman" w:hAnsi="Times New Roman" w:cs="Times New Roman" w:eastAsia="Times New Roman" w:hint="default"/>
        </w:rPr>
        <w:t>“</w:t>
      </w:r>
      <w:r>
        <w:rPr/>
        <w:t>六</w:t>
      </w:r>
      <w:r>
        <w:rPr>
          <w:spacing w:val="-73"/>
        </w:rPr>
        <w:t> </w:t>
      </w:r>
      <w:r>
        <w:rPr/>
        <w:t>分科技</w:t>
      </w:r>
      <w:r>
        <w:rPr>
          <w:rFonts w:ascii="Times New Roman" w:hAnsi="Times New Roman" w:cs="Times New Roman" w:eastAsia="Times New Roman" w:hint="default"/>
        </w:rPr>
        <w:t>”</w:t>
      </w:r>
      <w:r>
        <w:rPr/>
        <w:t>）拟进行增资扩股，引进投资者洪鑫源、北京北斗通、南方工业、四维互联基金。相关事项完成后，公司对六分科</w:t>
      </w:r>
      <w:r>
        <w:rPr>
          <w:spacing w:val="-76"/>
        </w:rPr>
        <w:t> </w:t>
      </w:r>
      <w:r>
        <w:rPr>
          <w:spacing w:val="-76"/>
        </w:rPr>
      </w:r>
      <w:r>
        <w:rPr/>
        <w:t>技的持股比例将降为</w:t>
      </w:r>
      <w:r>
        <w:rPr>
          <w:rFonts w:ascii="Times New Roman" w:hAnsi="Times New Roman" w:cs="Times New Roman" w:eastAsia="Times New Roman" w:hint="default"/>
        </w:rPr>
        <w:t>40.18%</w:t>
      </w:r>
      <w:r>
        <w:rPr/>
        <w:t>，六分科技将不再纳入公司合并范围。</w:t>
      </w:r>
    </w:p>
    <w:p>
      <w:pPr>
        <w:spacing w:after="0" w:line="300" w:lineRule="auto"/>
        <w:jc w:val="both"/>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1"/>
        <w:spacing w:line="456" w:lineRule="exact"/>
        <w:ind w:left="3045" w:right="0"/>
        <w:jc w:val="left"/>
        <w:rPr>
          <w:b w:val="0"/>
          <w:bCs w:val="0"/>
        </w:rPr>
      </w:pPr>
      <w:bookmarkStart w:name="_bookmark5" w:id="6"/>
      <w:bookmarkEnd w:id="6"/>
      <w:r>
        <w:rPr>
          <w:b w:val="0"/>
          <w:bCs w:val="0"/>
        </w:rPr>
      </w:r>
      <w:r>
        <w:rPr/>
        <w:t>第六节股份变动及股东情况</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一、股份变动情况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85"/>
        <w:gridCol w:w="1133"/>
        <w:gridCol w:w="756"/>
        <w:gridCol w:w="804"/>
        <w:gridCol w:w="708"/>
        <w:gridCol w:w="953"/>
        <w:gridCol w:w="823"/>
        <w:gridCol w:w="821"/>
        <w:gridCol w:w="794"/>
        <w:gridCol w:w="794"/>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8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5"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381" w:right="108"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02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266,110,589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20.32%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1,475,300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133,394,17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71" w:right="19"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14,967,10</w:t>
            </w:r>
          </w:p>
          <w:p>
            <w:pPr>
              <w:pStyle w:val="TableParagraph"/>
              <w:spacing w:line="240" w:lineRule="auto" w:before="3"/>
              <w:ind w:right="20"/>
              <w:jc w:val="right"/>
              <w:rPr>
                <w:rFonts w:ascii="Times New Roman" w:hAnsi="Times New Roman" w:cs="Times New Roman" w:eastAsia="Times New Roman" w:hint="default"/>
                <w:sz w:val="18"/>
                <w:szCs w:val="18"/>
              </w:rPr>
            </w:pPr>
            <w:r>
              <w:rPr>
                <w:rFonts w:ascii="Times New Roman"/>
                <w:sz w:val="18"/>
              </w:rPr>
              <w:t>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119,902,3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386,012,9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19.68%</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25,012,069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w:t>
            </w:r>
          </w:p>
        </w:tc>
        <w:tc>
          <w:tcPr>
            <w:tcW w:w="8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12,506,035</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12,506,03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37,518,10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w:t>
            </w:r>
          </w:p>
        </w:tc>
      </w:tr>
      <w:tr>
        <w:trPr>
          <w:trHeight w:val="102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240,308,264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18.35%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1,475,300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120,493,01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71" w:right="19"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14,438,95</w:t>
            </w:r>
          </w:p>
          <w:p>
            <w:pPr>
              <w:pStyle w:val="TableParagraph"/>
              <w:spacing w:line="240" w:lineRule="auto" w:before="3"/>
              <w:ind w:right="20"/>
              <w:jc w:val="right"/>
              <w:rPr>
                <w:rFonts w:ascii="Times New Roman" w:hAnsi="Times New Roman" w:cs="Times New Roman" w:eastAsia="Times New Roman" w:hint="default"/>
                <w:sz w:val="18"/>
                <w:szCs w:val="18"/>
              </w:rPr>
            </w:pPr>
            <w:r>
              <w:rPr>
                <w:rFonts w:ascii="Times New Roman"/>
                <w:sz w:val="18"/>
              </w:rPr>
              <w:t>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107,529,3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347,837,6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17.73%</w:t>
            </w:r>
          </w:p>
        </w:tc>
      </w:tr>
      <w:tr>
        <w:trPr>
          <w:trHeight w:val="71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171,176,919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13.07%</w:t>
            </w:r>
          </w:p>
        </w:tc>
        <w:tc>
          <w:tcPr>
            <w:tcW w:w="8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85,588,459</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85,588,45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256,765,3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13.09%</w:t>
            </w:r>
          </w:p>
        </w:tc>
      </w:tr>
      <w:tr>
        <w:trPr>
          <w:trHeight w:val="102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69,131,345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1,475,300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34,904,556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71" w:right="19"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14,438,95</w:t>
            </w:r>
          </w:p>
          <w:p>
            <w:pPr>
              <w:pStyle w:val="TableParagraph"/>
              <w:spacing w:line="240" w:lineRule="auto" w:before="3"/>
              <w:ind w:right="20"/>
              <w:jc w:val="right"/>
              <w:rPr>
                <w:rFonts w:ascii="Times New Roman" w:hAnsi="Times New Roman" w:cs="Times New Roman" w:eastAsia="Times New Roman" w:hint="default"/>
                <w:sz w:val="18"/>
                <w:szCs w:val="18"/>
              </w:rPr>
            </w:pPr>
            <w:r>
              <w:rPr>
                <w:rFonts w:ascii="Times New Roman"/>
                <w:sz w:val="18"/>
              </w:rPr>
              <w:t>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21,940,90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91,072,25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790,256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0.06%</w:t>
            </w:r>
          </w:p>
        </w:tc>
        <w:tc>
          <w:tcPr>
            <w:tcW w:w="8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395,128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-528,154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-133,026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7" w:right="0"/>
              <w:jc w:val="left"/>
              <w:rPr>
                <w:rFonts w:ascii="Times New Roman" w:hAnsi="Times New Roman" w:cs="Times New Roman" w:eastAsia="Times New Roman" w:hint="default"/>
                <w:sz w:val="18"/>
                <w:szCs w:val="18"/>
              </w:rPr>
            </w:pPr>
            <w:r>
              <w:rPr>
                <w:rFonts w:ascii="Times New Roman"/>
                <w:sz w:val="18"/>
              </w:rPr>
              <w:t>657,230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0.04%</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790,256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8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395,128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-528,154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-133,026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657,230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1,043,360,393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79.68%</w:t>
            </w:r>
          </w:p>
        </w:tc>
        <w:tc>
          <w:tcPr>
            <w:tcW w:w="8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520,761,05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w w:val="95"/>
                <w:sz w:val="18"/>
              </w:rPr>
              <w:t>11,428,76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532,189,8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1,575,550</w:t>
            </w:r>
          </w:p>
          <w:p>
            <w:pPr>
              <w:pStyle w:val="TableParagraph"/>
              <w:spacing w:line="240" w:lineRule="auto" w:before="102"/>
              <w:ind w:left="448" w:right="0"/>
              <w:jc w:val="left"/>
              <w:rPr>
                <w:rFonts w:ascii="Times New Roman" w:hAnsi="Times New Roman" w:cs="Times New Roman" w:eastAsia="Times New Roman" w:hint="default"/>
                <w:sz w:val="18"/>
                <w:szCs w:val="18"/>
              </w:rPr>
            </w:pPr>
            <w:r>
              <w:rPr>
                <w:rFonts w:ascii="Times New Roman"/>
                <w:sz w:val="18"/>
              </w:rPr>
              <w:t>,208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80.32%</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1,043,360,393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79.68%</w:t>
            </w:r>
          </w:p>
        </w:tc>
        <w:tc>
          <w:tcPr>
            <w:tcW w:w="8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520,761,05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11,428,76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532,189,8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1,575,550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,208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80.32%</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1,309,470,982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1,475,300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654,155,23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71" w:right="19"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3,538,342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652,092,1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1,961,563</w:t>
            </w:r>
          </w:p>
          <w:p>
            <w:pPr>
              <w:pStyle w:val="TableParagraph"/>
              <w:spacing w:line="240" w:lineRule="auto" w:before="102"/>
              <w:ind w:left="448" w:right="0"/>
              <w:jc w:val="left"/>
              <w:rPr>
                <w:rFonts w:ascii="Times New Roman" w:hAnsi="Times New Roman" w:cs="Times New Roman" w:eastAsia="Times New Roman" w:hint="default"/>
                <w:sz w:val="18"/>
                <w:szCs w:val="18"/>
              </w:rPr>
            </w:pPr>
            <w:r>
              <w:rPr>
                <w:rFonts w:ascii="Times New Roman"/>
                <w:sz w:val="18"/>
              </w:rPr>
              <w:t>,170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、公司完成</w:t>
      </w:r>
      <w:r>
        <w:rPr>
          <w:rFonts w:ascii="Times New Roman" w:hAnsi="Times New Roman" w:cs="Times New Roman" w:eastAsia="Times New Roman" w:hint="default"/>
        </w:rPr>
        <w:t>2018</w:t>
      </w:r>
      <w:r>
        <w:rPr/>
        <w:t>年度股权激励计划预留限制性股票</w:t>
      </w:r>
      <w:r>
        <w:rPr>
          <w:rFonts w:ascii="Times New Roman" w:hAnsi="Times New Roman" w:cs="Times New Roman" w:eastAsia="Times New Roman" w:hint="default"/>
        </w:rPr>
        <w:t>1,475,300</w:t>
      </w:r>
      <w:r>
        <w:rPr/>
        <w:t>股的授予登记，授予预留限制性股票的上市日期为 </w:t>
      </w:r>
      <w:r>
        <w:rPr>
          <w:rFonts w:ascii="Times New Roman" w:hAnsi="Times New Roman" w:cs="Times New Roman" w:eastAsia="Times New Roman" w:hint="default"/>
        </w:rPr>
        <w:t>2019</w:t>
      </w:r>
      <w:r>
        <w:rPr/>
        <w:t>年</w:t>
      </w:r>
      <w:r>
        <w:rPr>
          <w:spacing w:val="-38"/>
        </w:rPr>
        <w:t> </w:t>
      </w:r>
      <w:r>
        <w:rPr>
          <w:rFonts w:ascii="Times New Roman" w:hAnsi="Times New Roman" w:cs="Times New Roman" w:eastAsia="Times New Roman" w:hint="default"/>
        </w:rPr>
        <w:t>5</w:t>
      </w:r>
    </w:p>
    <w:p>
      <w:pPr>
        <w:pStyle w:val="BodyText"/>
        <w:spacing w:line="240" w:lineRule="auto" w:before="63"/>
        <w:ind w:right="0"/>
        <w:jc w:val="left"/>
      </w:pP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日。</w:t>
      </w:r>
    </w:p>
    <w:p>
      <w:pPr>
        <w:pStyle w:val="BodyText"/>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日公司回购股份事宜期限已届满，共计回购</w:t>
      </w:r>
      <w:r>
        <w:rPr>
          <w:rFonts w:ascii="Times New Roman" w:hAnsi="Times New Roman" w:cs="Times New Roman" w:eastAsia="Times New Roman" w:hint="default"/>
        </w:rPr>
        <w:t>1,962,700</w:t>
      </w:r>
      <w:r>
        <w:rPr/>
        <w:t>股，本次回购股份注销事宜已于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5 </w:t>
      </w:r>
      <w:r>
        <w:rPr/>
        <w:t>月</w:t>
      </w:r>
      <w:r>
        <w:rPr>
          <w:spacing w:val="-5"/>
        </w:rPr>
        <w:t> </w:t>
      </w:r>
      <w:r>
        <w:rPr>
          <w:rFonts w:ascii="Times New Roman" w:hAnsi="Times New Roman" w:cs="Times New Roman" w:eastAsia="Times New Roman" w:hint="default"/>
        </w:rPr>
        <w:t>15</w:t>
      </w:r>
    </w:p>
    <w:p>
      <w:pPr>
        <w:pStyle w:val="BodyText"/>
        <w:spacing w:line="240" w:lineRule="auto" w:before="62"/>
        <w:ind w:right="0"/>
        <w:jc w:val="left"/>
      </w:pPr>
      <w:r>
        <w:rPr/>
        <w:t>日办理完成。</w:t>
      </w:r>
    </w:p>
    <w:p>
      <w:pPr>
        <w:pStyle w:val="BodyText"/>
        <w:spacing w:line="240" w:lineRule="auto" w:before="76"/>
        <w:ind w:right="0"/>
        <w:jc w:val="left"/>
      </w:pPr>
      <w:r>
        <w:rPr>
          <w:rFonts w:ascii="Times New Roman" w:hAnsi="Times New Roman" w:cs="Times New Roman" w:eastAsia="Times New Roman" w:hint="default"/>
        </w:rPr>
        <w:t>3</w:t>
      </w:r>
      <w:r>
        <w:rPr/>
        <w:t>、公司回购了已离职激励对象所持有的未解锁限制性股票共计</w:t>
      </w:r>
      <w:r>
        <w:rPr>
          <w:rFonts w:ascii="Times New Roman" w:hAnsi="Times New Roman" w:cs="Times New Roman" w:eastAsia="Times New Roman" w:hint="default"/>
        </w:rPr>
        <w:t>673,122</w:t>
      </w:r>
      <w:r>
        <w:rPr/>
        <w:t>股，并于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日完成注销。</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214"/>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日，公司召开</w:t>
      </w:r>
      <w:r>
        <w:rPr>
          <w:rFonts w:ascii="Times New Roman" w:hAnsi="Times New Roman" w:cs="Times New Roman" w:eastAsia="Times New Roman" w:hint="default"/>
        </w:rPr>
        <w:t>2018</w:t>
      </w:r>
      <w:r>
        <w:rPr/>
        <w:t>年度股东大会，审议通过《</w:t>
      </w:r>
      <w:r>
        <w:rPr>
          <w:rFonts w:ascii="Times New Roman" w:hAnsi="Times New Roman" w:cs="Times New Roman" w:eastAsia="Times New Roman" w:hint="default"/>
        </w:rPr>
        <w:t>2018</w:t>
      </w:r>
      <w:r>
        <w:rPr/>
        <w:t>年度利润分配方案》，同意以权益分派实施股权登记日 公司股份总数为基数，每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0.14</w:t>
      </w:r>
      <w:r>
        <w:rPr/>
        <w:t>元（含税），以资本公积金向全体股东每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股。公司以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 为股权登记日，</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日为除权除息日完成了</w:t>
      </w:r>
      <w:r>
        <w:rPr>
          <w:rFonts w:ascii="Times New Roman" w:hAnsi="Times New Roman" w:cs="Times New Roman" w:eastAsia="Times New Roman" w:hint="default"/>
        </w:rPr>
        <w:t>2018</w:t>
      </w:r>
      <w:r>
        <w:rPr/>
        <w:t>年度权益分派，本次送转股于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日直接记入股东证券账户。 </w:t>
      </w:r>
      <w:r>
        <w:rPr>
          <w:rFonts w:ascii="Times New Roman" w:hAnsi="Times New Roman" w:cs="Times New Roman" w:eastAsia="Times New Roman" w:hint="default"/>
        </w:rPr>
        <w:t>5</w:t>
      </w:r>
      <w:r>
        <w:rPr/>
        <w:t>、公司完成</w:t>
      </w:r>
      <w:r>
        <w:rPr>
          <w:rFonts w:ascii="Times New Roman" w:hAnsi="Times New Roman" w:cs="Times New Roman" w:eastAsia="Times New Roman" w:hint="default"/>
        </w:rPr>
        <w:t>2018</w:t>
      </w:r>
      <w:r>
        <w:rPr>
          <w:rFonts w:ascii="Times New Roman" w:hAnsi="Times New Roman" w:cs="Times New Roman" w:eastAsia="Times New Roman" w:hint="default"/>
          <w:spacing w:val="27"/>
        </w:rPr>
        <w:t> </w:t>
      </w:r>
      <w:r>
        <w:rPr/>
        <w:t>年度限制性股票激励计划首次授予第一期解锁并于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日上市。</w:t>
      </w:r>
    </w:p>
    <w:p>
      <w:pPr>
        <w:pStyle w:val="BodyText"/>
        <w:spacing w:line="240" w:lineRule="auto" w:before="13"/>
        <w:ind w:right="0"/>
        <w:jc w:val="left"/>
        <w:rPr>
          <w:rFonts w:ascii="宋体" w:hAnsi="宋体" w:cs="宋体" w:eastAsia="宋体" w:hint="default"/>
        </w:rPr>
      </w:pPr>
      <w:r>
        <w:rPr>
          <w:rFonts w:ascii="Times New Roman" w:hAnsi="Times New Roman" w:cs="Times New Roman" w:eastAsia="Times New Roman" w:hint="default"/>
        </w:rPr>
        <w:t>6</w:t>
      </w:r>
      <w:r>
        <w:rPr/>
        <w:t>、公司回购了已离职激励对象所持有的未解锁限制性股票共计</w:t>
      </w:r>
      <w:r>
        <w:rPr>
          <w:rFonts w:ascii="Times New Roman" w:hAnsi="Times New Roman" w:cs="Times New Roman" w:eastAsia="Times New Roman" w:hint="default"/>
        </w:rPr>
        <w:t>902,520</w:t>
      </w:r>
      <w:r>
        <w:rPr/>
        <w:t>股，并于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日完成注销。</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240" w:lineRule="auto"/>
        <w:ind w:right="0"/>
        <w:jc w:val="left"/>
      </w:pPr>
      <w:r>
        <w:rPr/>
        <w:t>股份变动的批准情况</w:t>
      </w:r>
    </w:p>
    <w:p>
      <w:pPr>
        <w:pStyle w:val="BodyText"/>
        <w:spacing w:line="319" w:lineRule="auto" w:before="117"/>
        <w:ind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1</w:t>
      </w:r>
      <w:r>
        <w:rPr/>
        <w:t>、公司分别于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日召开第四届董事会第十四次会议、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日召开</w:t>
      </w:r>
      <w:r>
        <w:rPr>
          <w:rFonts w:ascii="Times New Roman" w:hAnsi="Times New Roman" w:cs="Times New Roman" w:eastAsia="Times New Roman" w:hint="default"/>
        </w:rPr>
        <w:t>2018</w:t>
      </w:r>
      <w:r>
        <w:rPr/>
        <w:t>年度股东大会，审议通过《关于回 购注销部分限制性股票的议案》。</w:t>
      </w:r>
    </w:p>
    <w:p>
      <w:pPr>
        <w:pStyle w:val="BodyText"/>
        <w:spacing w:line="309" w:lineRule="auto" w:before="17"/>
        <w:ind w:right="1124"/>
        <w:jc w:val="left"/>
      </w:pPr>
      <w:r>
        <w:rPr>
          <w:rFonts w:ascii="Times New Roman" w:hAnsi="Times New Roman" w:cs="Times New Roman" w:eastAsia="Times New Roman" w:hint="default"/>
        </w:rPr>
        <w:t>2</w:t>
      </w:r>
      <w:r>
        <w:rPr/>
        <w:t>、公司分别于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日召开第四届董事会第十五次会议、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日召开</w:t>
      </w:r>
      <w:r>
        <w:rPr>
          <w:rFonts w:ascii="Times New Roman" w:hAnsi="Times New Roman" w:cs="Times New Roman" w:eastAsia="Times New Roman" w:hint="default"/>
        </w:rPr>
        <w:t>2018</w:t>
      </w:r>
      <w:r>
        <w:rPr/>
        <w:t>年度股东大会，审议通过《</w:t>
      </w:r>
      <w:r>
        <w:rPr>
          <w:rFonts w:ascii="Times New Roman" w:hAnsi="Times New Roman" w:cs="Times New Roman" w:eastAsia="Times New Roman" w:hint="default"/>
        </w:rPr>
        <w:t>2018</w:t>
      </w:r>
      <w:r>
        <w:rPr/>
        <w:t>年 度利润分配方案》。 </w:t>
      </w: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日召开第四届董事会第十六次会议，审议通过《关于向激励对象授予预留限制性股票的议案》。</w:t>
      </w:r>
    </w:p>
    <w:p>
      <w:pPr>
        <w:pStyle w:val="BodyText"/>
        <w:spacing w:line="307" w:lineRule="auto" w:before="5"/>
        <w:ind w:right="1124"/>
        <w:jc w:val="left"/>
      </w:pPr>
      <w:r>
        <w:rPr>
          <w:rFonts w:ascii="Times New Roman" w:hAnsi="Times New Roman" w:cs="Times New Roman" w:eastAsia="Times New Roman" w:hint="default"/>
        </w:rPr>
        <w:t>4</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日召开第四届董事会第十七次会议，审议通过《关于</w:t>
      </w:r>
      <w:r>
        <w:rPr>
          <w:rFonts w:ascii="Times New Roman" w:hAnsi="Times New Roman" w:cs="Times New Roman" w:eastAsia="Times New Roman" w:hint="default"/>
        </w:rPr>
        <w:t>2018</w:t>
      </w:r>
      <w:r>
        <w:rPr/>
        <w:t>年度限制性股票激励计划首次授予限制性 股票第一个解锁期解锁条件成就的议案》。 </w:t>
      </w:r>
      <w:r>
        <w:rPr>
          <w:rFonts w:ascii="Times New Roman" w:hAnsi="Times New Roman" w:cs="Times New Roman" w:eastAsia="Times New Roman" w:hint="default"/>
        </w:rPr>
        <w:t>5</w:t>
      </w:r>
      <w:r>
        <w:rPr/>
        <w:t>、公司分别于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日召开第四届董事会第十九次会议、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日召开</w:t>
      </w:r>
      <w:r>
        <w:rPr>
          <w:rFonts w:ascii="Times New Roman" w:hAnsi="Times New Roman" w:cs="Times New Roman" w:eastAsia="Times New Roman" w:hint="default"/>
        </w:rPr>
        <w:t>2019</w:t>
      </w:r>
      <w:r>
        <w:rPr/>
        <w:t>年第一次临时股东大会，审议通 过《关于回购注销部分限制性股票的议案》。</w:t>
      </w:r>
    </w:p>
    <w:p>
      <w:pPr>
        <w:spacing w:line="240" w:lineRule="auto" w:before="0"/>
        <w:rPr>
          <w:rFonts w:ascii="宋体" w:hAnsi="宋体" w:cs="宋体" w:eastAsia="宋体" w:hint="default"/>
          <w:sz w:val="18"/>
          <w:szCs w:val="18"/>
        </w:rPr>
      </w:pPr>
    </w:p>
    <w:p>
      <w:pPr>
        <w:pStyle w:val="BodyText"/>
        <w:spacing w:line="240" w:lineRule="auto" w:before="141"/>
        <w:ind w:right="0"/>
        <w:jc w:val="left"/>
      </w:pPr>
      <w:r>
        <w:rPr/>
        <w:t>股份变动的过户情况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0"/>
        <w:jc w:val="left"/>
      </w:pPr>
      <w:r>
        <w:rPr>
          <w:rFonts w:ascii="Times New Roman" w:hAnsi="Times New Roman" w:cs="Times New Roman" w:eastAsia="Times New Roman" w:hint="default"/>
        </w:rPr>
        <w:t>1</w:t>
      </w:r>
      <w:r>
        <w:rPr/>
        <w:t>、公司完成</w:t>
      </w:r>
      <w:r>
        <w:rPr>
          <w:rFonts w:ascii="Times New Roman" w:hAnsi="Times New Roman" w:cs="Times New Roman" w:eastAsia="Times New Roman" w:hint="default"/>
        </w:rPr>
        <w:t>2018</w:t>
      </w:r>
      <w:r>
        <w:rPr/>
        <w:t>年度股权激励计划预留限制性股票的授予登记，授予预留限制性股票的上市日期为</w:t>
      </w:r>
      <w:r>
        <w:rPr>
          <w:spacing w:val="-17"/>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w:t>
      </w:r>
    </w:p>
    <w:p>
      <w:pPr>
        <w:pStyle w:val="BodyText"/>
        <w:spacing w:line="300" w:lineRule="auto" w:before="63"/>
        <w:ind w:right="1237"/>
        <w:jc w:val="left"/>
      </w:pPr>
      <w:r>
        <w:rPr>
          <w:rFonts w:ascii="Times New Roman" w:hAnsi="Times New Roman" w:cs="Times New Roman" w:eastAsia="Times New Roman" w:hint="default"/>
        </w:rPr>
        <w:t>2</w:t>
      </w:r>
      <w:r>
        <w:rPr/>
        <w:t>、公司分别于</w:t>
      </w:r>
      <w:r>
        <w:rPr>
          <w:spacing w:val="-23"/>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日在中国证券登记结算有限责任公司深圳分公司完成部分限制性股票的回购 注销手续。</w:t>
      </w:r>
    </w:p>
    <w:p>
      <w:pPr>
        <w:pStyle w:val="BodyText"/>
        <w:spacing w:line="240" w:lineRule="auto" w:before="31"/>
        <w:ind w:right="0"/>
        <w:jc w:val="left"/>
        <w:rPr>
          <w:rFonts w:ascii="宋体" w:hAnsi="宋体" w:cs="宋体" w:eastAsia="宋体" w:hint="default"/>
        </w:rPr>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2018</w:t>
      </w:r>
      <w:r>
        <w:rPr/>
        <w:t>年度权益分派完成后</w:t>
      </w:r>
      <w:r>
        <w:rPr>
          <w:rFonts w:ascii="Times New Roman" w:hAnsi="Times New Roman" w:cs="Times New Roman" w:eastAsia="Times New Roman" w:hint="default"/>
        </w:rPr>
        <w:t>,</w:t>
      </w:r>
      <w:r>
        <w:rPr/>
        <w:t>转增股份于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日直接记入股东证券账户。</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240" w:lineRule="auto"/>
        <w:ind w:right="0"/>
        <w:jc w:val="left"/>
      </w:pPr>
      <w:r>
        <w:rPr/>
        <w:t>股份回购的实施进展情况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27"/>
        <w:jc w:val="both"/>
      </w:pPr>
      <w:r>
        <w:rPr>
          <w:spacing w:val="2"/>
        </w:rPr>
        <w:t>公司于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17 </w:t>
      </w:r>
      <w:r>
        <w:rPr/>
        <w:t>日及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5 </w:t>
      </w:r>
      <w:r>
        <w:rPr>
          <w:spacing w:val="3"/>
        </w:rPr>
        <w:t>日分别召开第四届董事会第十二次会议和 </w:t>
      </w:r>
      <w:r>
        <w:rPr>
          <w:rFonts w:ascii="Times New Roman" w:hAnsi="Times New Roman" w:cs="Times New Roman" w:eastAsia="Times New Roman" w:hint="default"/>
        </w:rPr>
        <w:t>2018</w:t>
      </w:r>
      <w:r>
        <w:rPr>
          <w:rFonts w:ascii="Times New Roman" w:hAnsi="Times New Roman" w:cs="Times New Roman" w:eastAsia="Times New Roman" w:hint="default"/>
          <w:spacing w:val="32"/>
        </w:rPr>
        <w:t> </w:t>
      </w:r>
      <w:r>
        <w:rPr>
          <w:spacing w:val="2"/>
        </w:rPr>
        <w:t>年第三次临时股东大会审</w:t>
      </w:r>
      <w:r>
        <w:rPr/>
        <w:t> </w:t>
      </w:r>
      <w:r>
        <w:rPr>
          <w:spacing w:val="-2"/>
        </w:rPr>
        <w:t>议通过了《关于公司回购股份的预案》，截至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5</w:t>
      </w:r>
      <w:r>
        <w:rPr>
          <w:spacing w:val="-2"/>
        </w:rPr>
        <w:t>日本次回购期限已届满，公司自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13</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5</w:t>
      </w:r>
      <w:r>
        <w:rPr>
          <w:spacing w:val="-2"/>
        </w:rPr>
        <w:t>日共</w:t>
      </w:r>
      <w:r>
        <w:rPr>
          <w:spacing w:val="-54"/>
        </w:rPr>
        <w:t> </w:t>
      </w:r>
      <w:r>
        <w:rPr>
          <w:spacing w:val="5"/>
        </w:rPr>
        <w:t>计回购</w:t>
      </w:r>
      <w:r>
        <w:rPr>
          <w:rFonts w:ascii="Times New Roman" w:hAnsi="Times New Roman" w:cs="Times New Roman" w:eastAsia="Times New Roman" w:hint="default"/>
          <w:spacing w:val="5"/>
        </w:rPr>
        <w:t>1,962,700</w:t>
      </w:r>
      <w:r>
        <w:rPr>
          <w:spacing w:val="5"/>
        </w:rPr>
        <w:t>股，占公司总股本的</w:t>
      </w:r>
      <w:r>
        <w:rPr>
          <w:rFonts w:ascii="Times New Roman" w:hAnsi="Times New Roman" w:cs="Times New Roman" w:eastAsia="Times New Roman" w:hint="default"/>
          <w:spacing w:val="5"/>
        </w:rPr>
        <w:t>0.15%</w:t>
      </w:r>
      <w:r>
        <w:rPr>
          <w:spacing w:val="5"/>
        </w:rPr>
        <w:t>，最高成交价为</w:t>
      </w:r>
      <w:r>
        <w:rPr>
          <w:rFonts w:ascii="Times New Roman" w:hAnsi="Times New Roman" w:cs="Times New Roman" w:eastAsia="Times New Roman" w:hint="default"/>
          <w:spacing w:val="5"/>
        </w:rPr>
        <w:t>15.62</w:t>
      </w:r>
      <w:r>
        <w:rPr>
          <w:spacing w:val="5"/>
        </w:rPr>
        <w:t>元</w:t>
      </w:r>
      <w:r>
        <w:rPr>
          <w:rFonts w:ascii="Times New Roman" w:hAnsi="Times New Roman" w:cs="Times New Roman" w:eastAsia="Times New Roman" w:hint="default"/>
          <w:spacing w:val="5"/>
        </w:rPr>
        <w:t>/</w:t>
      </w:r>
      <w:r>
        <w:rPr>
          <w:spacing w:val="5"/>
        </w:rPr>
        <w:t>股，最低成交价为</w:t>
      </w:r>
      <w:r>
        <w:rPr>
          <w:rFonts w:ascii="Times New Roman" w:hAnsi="Times New Roman" w:cs="Times New Roman" w:eastAsia="Times New Roman" w:hint="default"/>
          <w:spacing w:val="5"/>
        </w:rPr>
        <w:t>14.30</w:t>
      </w:r>
      <w:r>
        <w:rPr>
          <w:spacing w:val="5"/>
        </w:rPr>
        <w:t>元</w:t>
      </w:r>
      <w:r>
        <w:rPr>
          <w:rFonts w:ascii="Times New Roman" w:hAnsi="Times New Roman" w:cs="Times New Roman" w:eastAsia="Times New Roman" w:hint="default"/>
          <w:spacing w:val="5"/>
        </w:rPr>
        <w:t>/</w:t>
      </w:r>
      <w:r>
        <w:rPr>
          <w:spacing w:val="5"/>
        </w:rPr>
        <w:t>股，合计支付的总金额为</w:t>
      </w:r>
      <w:r>
        <w:rPr>
          <w:spacing w:val="7"/>
        </w:rPr>
        <w:t> </w:t>
      </w:r>
      <w:r>
        <w:rPr>
          <w:rFonts w:ascii="Times New Roman" w:hAnsi="Times New Roman" w:cs="Times New Roman" w:eastAsia="Times New Roman" w:hint="default"/>
        </w:rPr>
        <w:t>30,001,482.59  </w:t>
      </w:r>
      <w:r>
        <w:rPr/>
        <w:t>元（含交易费用），本次回购股份注销事宜已于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日办理完成。</w:t>
      </w:r>
    </w:p>
    <w:p>
      <w:pPr>
        <w:spacing w:line="240" w:lineRule="auto" w:before="0"/>
        <w:rPr>
          <w:rFonts w:ascii="宋体" w:hAnsi="宋体" w:cs="宋体" w:eastAsia="宋体" w:hint="default"/>
          <w:sz w:val="18"/>
          <w:szCs w:val="18"/>
        </w:rPr>
      </w:pPr>
    </w:p>
    <w:p>
      <w:pPr>
        <w:pStyle w:val="BodyText"/>
        <w:spacing w:line="240" w:lineRule="auto" w:before="128"/>
        <w:ind w:right="0"/>
        <w:jc w:val="left"/>
      </w:pPr>
      <w:r>
        <w:rPr/>
        <w:t>采用集中竞价方式减持回购股份的实施进展情况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0"/>
        <w:jc w:val="left"/>
      </w:pPr>
      <w:r>
        <w:rPr/>
        <w:t>股份变动对最近一年和最近一期基本每股收益和稀释每股收益、归属于公司普通股股东的每股净资产等财务指标的影响</w:t>
      </w:r>
    </w:p>
    <w:p>
      <w:pPr>
        <w:pStyle w:val="BodyText"/>
        <w:spacing w:line="319" w:lineRule="auto" w:before="115"/>
        <w:ind w:right="1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按新股本</w:t>
      </w:r>
      <w:r>
        <w:rPr>
          <w:rFonts w:ascii="Times New Roman" w:hAnsi="Times New Roman" w:cs="Times New Roman" w:eastAsia="Times New Roman" w:hint="default"/>
        </w:rPr>
        <w:t>1,961,563,170</w:t>
      </w:r>
      <w:r>
        <w:rPr/>
        <w:t>股摊薄计算，公司</w:t>
      </w:r>
      <w:r>
        <w:rPr>
          <w:rFonts w:ascii="Times New Roman" w:hAnsi="Times New Roman" w:cs="Times New Roman" w:eastAsia="Times New Roman" w:hint="default"/>
        </w:rPr>
        <w:t>2018</w:t>
      </w:r>
      <w:r>
        <w:rPr/>
        <w:t>年度全面摊薄每股收益为</w:t>
      </w:r>
      <w:r>
        <w:rPr>
          <w:rFonts w:ascii="Times New Roman" w:hAnsi="Times New Roman" w:cs="Times New Roman" w:eastAsia="Times New Roman" w:hint="default"/>
        </w:rPr>
        <w:t>0.2442</w:t>
      </w:r>
      <w:r>
        <w:rPr/>
        <w:t>元</w:t>
      </w:r>
      <w:r>
        <w:rPr>
          <w:rFonts w:ascii="Times New Roman" w:hAnsi="Times New Roman" w:cs="Times New Roman" w:eastAsia="Times New Roman" w:hint="default"/>
        </w:rPr>
        <w:t>/</w:t>
      </w:r>
      <w:r>
        <w:rPr/>
        <w:t>股，归属于公司普通股股东的每股净资产 为</w:t>
      </w:r>
      <w:r>
        <w:rPr>
          <w:rFonts w:ascii="Times New Roman" w:hAnsi="Times New Roman" w:cs="Times New Roman" w:eastAsia="Times New Roman" w:hint="default"/>
        </w:rPr>
        <w:t>3.6712</w:t>
      </w:r>
      <w:r>
        <w:rPr/>
        <w:t>元。</w:t>
      </w:r>
    </w:p>
    <w:p>
      <w:pPr>
        <w:spacing w:line="240" w:lineRule="auto" w:before="7"/>
        <w:rPr>
          <w:rFonts w:ascii="宋体" w:hAnsi="宋体" w:cs="宋体" w:eastAsia="宋体" w:hint="default"/>
          <w:sz w:val="26"/>
          <w:szCs w:val="26"/>
        </w:rPr>
      </w:pPr>
    </w:p>
    <w:p>
      <w:pPr>
        <w:pStyle w:val="BodyText"/>
        <w:spacing w:line="240" w:lineRule="auto"/>
        <w:ind w:right="0"/>
        <w:jc w:val="left"/>
      </w:pPr>
      <w:r>
        <w:rPr/>
        <w:t>公司认为必要或证券监管机构要求披露的其他内容</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702"/>
        <w:gridCol w:w="1275"/>
        <w:gridCol w:w="1277"/>
        <w:gridCol w:w="991"/>
        <w:gridCol w:w="1136"/>
        <w:gridCol w:w="1558"/>
        <w:gridCol w:w="1634"/>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3" w:right="91"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0" w:right="38"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3" w:right="110"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46"/>
              <w:jc w:val="left"/>
              <w:rPr>
                <w:rFonts w:ascii="宋体" w:hAnsi="宋体" w:cs="宋体" w:eastAsia="宋体" w:hint="default"/>
                <w:sz w:val="18"/>
                <w:szCs w:val="18"/>
              </w:rPr>
            </w:pPr>
            <w:r>
              <w:rPr>
                <w:rFonts w:ascii="宋体" w:hAnsi="宋体" w:cs="宋体" w:eastAsia="宋体" w:hint="default"/>
                <w:sz w:val="18"/>
                <w:szCs w:val="18"/>
              </w:rPr>
              <w:t>天安财产保险股份有 限公司－保赢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45,828,437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22,914,218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68,742,655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北京芯动能投资基金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23,501,762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11,750,881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35,252,643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10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46"/>
              <w:jc w:val="both"/>
              <w:rPr>
                <w:rFonts w:ascii="宋体" w:hAnsi="宋体" w:cs="宋体" w:eastAsia="宋体" w:hint="default"/>
                <w:sz w:val="18"/>
                <w:szCs w:val="18"/>
              </w:rPr>
            </w:pPr>
            <w:r>
              <w:rPr>
                <w:rFonts w:ascii="宋体" w:hAnsi="宋体" w:cs="宋体" w:eastAsia="宋体" w:hint="default"/>
                <w:sz w:val="18"/>
                <w:szCs w:val="18"/>
              </w:rPr>
              <w:t>北京四维图新科技股 份有限公司－第一期 员工持股计划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21,071,092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10,535,546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31,606,638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林芝锦华投资管理有 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20,564,042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10,282,021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30,846,063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李龙萍</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18,213,866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9,106,933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27,320,799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133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z w:val="18"/>
                <w:szCs w:val="18"/>
              </w:rPr>
              <w:t>华泰瑞联基金管理有 限公司－南京华泰瑞 联并购基金一号（有 限合伙）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17,626,321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8,813,160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26,439,481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46"/>
              <w:jc w:val="left"/>
              <w:rPr>
                <w:rFonts w:ascii="宋体" w:hAnsi="宋体" w:cs="宋体" w:eastAsia="宋体" w:hint="default"/>
                <w:sz w:val="18"/>
                <w:szCs w:val="18"/>
              </w:rPr>
            </w:pPr>
            <w:r>
              <w:rPr>
                <w:rFonts w:ascii="宋体" w:hAnsi="宋体" w:cs="宋体" w:eastAsia="宋体" w:hint="default"/>
                <w:sz w:val="18"/>
                <w:szCs w:val="18"/>
              </w:rPr>
              <w:t>华泰资产管理有限公 司－策略投资产品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17,038,777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8,519,388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25,558,165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合肥高新科技创业投 资有限公司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13,261,188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6,630,594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19,891,782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13,251,242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6,625,621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19,876,863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8"/>
              <w:jc w:val="both"/>
              <w:rPr>
                <w:rFonts w:ascii="宋体" w:hAnsi="宋体" w:cs="宋体" w:eastAsia="宋体" w:hint="default"/>
                <w:sz w:val="18"/>
                <w:szCs w:val="18"/>
              </w:rPr>
            </w:pPr>
            <w:r>
              <w:rPr>
                <w:rFonts w:ascii="宋体" w:hAnsi="宋体" w:cs="宋体" w:eastAsia="宋体" w:hint="default"/>
                <w:sz w:val="18"/>
                <w:szCs w:val="18"/>
              </w:rPr>
              <w:t>高管锁定股每年年 初按高管持股总数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重新核定</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深圳安鹏资本创新有 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11,750,881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5,875,441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17,626,322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290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其他限售股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64,002,981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33,816,275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14,967,705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82,851,551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82"/>
              <w:jc w:val="both"/>
              <w:rPr>
                <w:rFonts w:ascii="宋体" w:hAnsi="宋体" w:cs="宋体" w:eastAsia="宋体" w:hint="default"/>
                <w:sz w:val="18"/>
                <w:szCs w:val="18"/>
              </w:rPr>
            </w:pPr>
            <w:r>
              <w:rPr>
                <w:rFonts w:ascii="宋体" w:hAnsi="宋体" w:cs="宋体" w:eastAsia="宋体" w:hint="default"/>
                <w:sz w:val="18"/>
                <w:szCs w:val="18"/>
              </w:rPr>
              <w:t>高管锁定股、股权 激励限售股、非公 开发行限售股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43"/>
              <w:jc w:val="left"/>
              <w:rPr>
                <w:rFonts w:ascii="宋体" w:hAnsi="宋体" w:cs="宋体" w:eastAsia="宋体" w:hint="default"/>
                <w:sz w:val="18"/>
                <w:szCs w:val="18"/>
              </w:rPr>
            </w:pPr>
            <w:r>
              <w:rPr>
                <w:rFonts w:ascii="宋体" w:hAnsi="宋体" w:cs="宋体" w:eastAsia="宋体" w:hint="default"/>
                <w:sz w:val="18"/>
                <w:szCs w:val="18"/>
              </w:rPr>
              <w:t>高管锁定股每年年 初按高管持股总数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重新核定； 股权激励限售股按 照公司限制性股票 激励计划管理； 非公开发行限售股 解除限售日期为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266,110,589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134,870,078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14,967,705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386,012,962</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二、证券发行与上市情况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412"/>
        <w:gridCol w:w="1294"/>
        <w:gridCol w:w="1294"/>
        <w:gridCol w:w="1296"/>
        <w:gridCol w:w="1296"/>
        <w:gridCol w:w="1296"/>
        <w:gridCol w:w="1683"/>
      </w:tblGrid>
      <w:tr>
        <w:trPr>
          <w:trHeight w:val="713"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6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1" w:right="98" w:hanging="269"/>
              <w:jc w:val="left"/>
              <w:rPr>
                <w:rFonts w:ascii="宋体" w:hAnsi="宋体" w:cs="宋体" w:eastAsia="宋体" w:hint="default"/>
                <w:sz w:val="18"/>
                <w:szCs w:val="18"/>
              </w:rPr>
            </w:pPr>
            <w:r>
              <w:rPr>
                <w:rFonts w:ascii="宋体" w:hAnsi="宋体" w:cs="宋体" w:eastAsia="宋体" w:hint="default"/>
                <w:sz w:val="18"/>
                <w:szCs w:val="18"/>
              </w:rPr>
              <w:t>发行价格（或 利率）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年度预留限 制性股票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12.80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1,475,300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49"/>
        <w:ind w:right="0"/>
        <w:jc w:val="left"/>
      </w:pPr>
      <w:r>
        <w:rPr/>
        <w:t>报告期内证券发行（不含优先股）情况的说明</w:t>
      </w:r>
    </w:p>
    <w:p>
      <w:pPr>
        <w:pStyle w:val="BodyText"/>
        <w:spacing w:line="240" w:lineRule="auto" w:before="119"/>
        <w:ind w:left="513"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日，公司召开第四届董事会第十六次会议，审议通过了《关于向激励对象授予预留限制性股票的议案》，</w:t>
      </w:r>
    </w:p>
    <w:p>
      <w:pPr>
        <w:pStyle w:val="BodyText"/>
        <w:spacing w:line="300" w:lineRule="auto" w:before="63"/>
        <w:ind w:right="1207"/>
        <w:jc w:val="left"/>
      </w:pPr>
      <w:r>
        <w:rPr>
          <w:rFonts w:ascii="Times New Roman" w:hAnsi="Times New Roman" w:cs="Times New Roman" w:eastAsia="Times New Roman" w:hint="default"/>
        </w:rPr>
        <w:t>2018</w:t>
      </w:r>
      <w:r>
        <w:rPr/>
        <w:t>年度股权激励计划预留授予限制性股票采用向激励对象定向发行 </w:t>
      </w:r>
      <w:r>
        <w:rPr>
          <w:rFonts w:ascii="Times New Roman" w:hAnsi="Times New Roman" w:cs="Times New Roman" w:eastAsia="Times New Roman" w:hint="default"/>
        </w:rPr>
        <w:t>A</w:t>
      </w:r>
      <w:r>
        <w:rPr>
          <w:rFonts w:ascii="Times New Roman" w:hAnsi="Times New Roman" w:cs="Times New Roman" w:eastAsia="Times New Roman" w:hint="default"/>
          <w:spacing w:val="7"/>
        </w:rPr>
        <w:t> </w:t>
      </w:r>
      <w:r>
        <w:rPr/>
        <w:t>股普通股股票的方式，授予价格为</w:t>
      </w:r>
      <w:r>
        <w:rPr>
          <w:rFonts w:ascii="Times New Roman" w:hAnsi="Times New Roman" w:cs="Times New Roman" w:eastAsia="Times New Roman" w:hint="default"/>
        </w:rPr>
        <w:t>12.80</w:t>
      </w:r>
      <w:r>
        <w:rPr/>
        <w:t>元</w:t>
      </w:r>
      <w:r>
        <w:rPr>
          <w:rFonts w:ascii="Times New Roman" w:hAnsi="Times New Roman" w:cs="Times New Roman" w:eastAsia="Times New Roman" w:hint="default"/>
        </w:rPr>
        <w:t>/</w:t>
      </w:r>
      <w:r>
        <w:rPr/>
        <w:t>股，授 予日为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日，上市日期为</w:t>
      </w:r>
      <w:r>
        <w:rPr>
          <w:spacing w:val="-23"/>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日，实际授予对象为</w:t>
      </w:r>
      <w:r>
        <w:rPr>
          <w:rFonts w:ascii="Times New Roman" w:hAnsi="Times New Roman" w:cs="Times New Roman" w:eastAsia="Times New Roman" w:hint="default"/>
        </w:rPr>
        <w:t>56</w:t>
      </w:r>
      <w:r>
        <w:rPr/>
        <w:t>人，实际授予限制性股票数量为</w:t>
      </w:r>
      <w:r>
        <w:rPr>
          <w:rFonts w:ascii="Times New Roman" w:hAnsi="Times New Roman" w:cs="Times New Roman" w:eastAsia="Times New Roman" w:hint="default"/>
        </w:rPr>
        <w:t>1,475,300</w:t>
      </w:r>
      <w:r>
        <w:rPr/>
        <w:t>股。</w:t>
      </w:r>
    </w:p>
    <w:p>
      <w:pPr>
        <w:pStyle w:val="BodyText"/>
        <w:spacing w:line="300" w:lineRule="auto" w:before="13"/>
        <w:ind w:right="1189" w:firstLine="360"/>
        <w:jc w:val="left"/>
      </w:pPr>
      <w:r>
        <w:rPr/>
        <w:t>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日在巨潮资讯网（</w:t>
      </w:r>
      <w:hyperlink r:id="rId13">
        <w:r>
          <w:rPr>
            <w:rFonts w:ascii="Times New Roman" w:hAnsi="Times New Roman" w:cs="Times New Roman" w:eastAsia="Times New Roman" w:hint="default"/>
          </w:rPr>
          <w:t>www.cninfo.com.cn</w:t>
        </w:r>
      </w:hyperlink>
      <w:r>
        <w:rPr/>
        <w:t>）披露的《关于</w:t>
      </w:r>
      <w:r>
        <w:rPr>
          <w:rFonts w:ascii="Times New Roman" w:hAnsi="Times New Roman" w:cs="Times New Roman" w:eastAsia="Times New Roman" w:hint="default"/>
        </w:rPr>
        <w:t>2018</w:t>
      </w:r>
      <w:r>
        <w:rPr/>
        <w:t>年度限制性股票激励计划预留授予登 记完成的公告》。</w:t>
      </w:r>
    </w:p>
    <w:p>
      <w:pPr>
        <w:spacing w:line="240" w:lineRule="auto" w:before="8"/>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19" w:lineRule="auto"/>
        <w:ind w:right="1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日，公司完成</w:t>
      </w:r>
      <w:r>
        <w:rPr>
          <w:rFonts w:ascii="Times New Roman" w:hAnsi="Times New Roman" w:cs="Times New Roman" w:eastAsia="Times New Roman" w:hint="default"/>
        </w:rPr>
        <w:t>2018</w:t>
      </w:r>
      <w:r>
        <w:rPr/>
        <w:t>年股权激励计划限制性股票预留授予登记工作，公司股份总数增加</w:t>
      </w:r>
      <w:r>
        <w:rPr>
          <w:rFonts w:ascii="Times New Roman" w:hAnsi="Times New Roman" w:cs="Times New Roman" w:eastAsia="Times New Roman" w:hint="default"/>
        </w:rPr>
        <w:t>1,475,300</w:t>
      </w:r>
      <w:r>
        <w:rPr/>
        <w:t>股，总股本 由</w:t>
      </w:r>
      <w:r>
        <w:rPr>
          <w:rFonts w:ascii="Times New Roman" w:hAnsi="Times New Roman" w:cs="Times New Roman" w:eastAsia="Times New Roman" w:hint="default"/>
        </w:rPr>
        <w:t>1,309,470,982</w:t>
      </w:r>
      <w:r>
        <w:rPr/>
        <w:t>股变更为</w:t>
      </w:r>
      <w:r>
        <w:rPr>
          <w:rFonts w:ascii="Times New Roman" w:hAnsi="Times New Roman" w:cs="Times New Roman" w:eastAsia="Times New Roman" w:hint="default"/>
        </w:rPr>
        <w:t>1,310,946,282</w:t>
      </w:r>
      <w:r>
        <w:rPr/>
        <w:t>股；公司净资产相应增加了</w:t>
      </w:r>
      <w:r>
        <w:rPr>
          <w:rFonts w:ascii="Times New Roman" w:hAnsi="Times New Roman" w:cs="Times New Roman" w:eastAsia="Times New Roman" w:hint="default"/>
        </w:rPr>
        <w:t>18,883,840</w:t>
      </w:r>
      <w:r>
        <w:rPr/>
        <w:t>元；公司负债结构未发生变化。</w:t>
      </w:r>
    </w:p>
    <w:p>
      <w:pPr>
        <w:pStyle w:val="BodyText"/>
        <w:spacing w:line="300" w:lineRule="auto" w:before="38"/>
        <w:ind w:right="1134"/>
        <w:jc w:val="both"/>
      </w:pPr>
      <w:r>
        <w:rPr>
          <w:rFonts w:ascii="Times New Roman" w:hAnsi="Times New Roman" w:cs="Times New Roman" w:eastAsia="Times New Roman" w:hint="default"/>
        </w:rPr>
        <w:t>2</w:t>
      </w:r>
      <w:r>
        <w:rPr/>
        <w:t>、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日公司回购股份事宜期限已届满，共计回购</w:t>
      </w:r>
      <w:r>
        <w:rPr>
          <w:rFonts w:ascii="Times New Roman" w:hAnsi="Times New Roman" w:cs="Times New Roman" w:eastAsia="Times New Roman" w:hint="default"/>
        </w:rPr>
        <w:t>1,962,700</w:t>
      </w:r>
      <w:r>
        <w:rPr/>
        <w:t>股，本次回购股份注销事宜已于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5 </w:t>
      </w:r>
      <w:r>
        <w:rPr/>
        <w:t>月</w:t>
      </w:r>
      <w:r>
        <w:rPr>
          <w:spacing w:val="-22"/>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日办理完成。公司股份总数相应减少</w:t>
      </w:r>
      <w:r>
        <w:rPr>
          <w:rFonts w:ascii="Times New Roman" w:hAnsi="Times New Roman" w:cs="Times New Roman" w:eastAsia="Times New Roman" w:hint="default"/>
        </w:rPr>
        <w:t>1,962,700</w:t>
      </w:r>
      <w:r>
        <w:rPr/>
        <w:t>股，总股本由 </w:t>
      </w:r>
      <w:r>
        <w:rPr>
          <w:rFonts w:ascii="Times New Roman" w:hAnsi="Times New Roman" w:cs="Times New Roman" w:eastAsia="Times New Roman" w:hint="default"/>
        </w:rPr>
        <w:t>1,310,946,282</w:t>
      </w:r>
      <w:r>
        <w:rPr/>
        <w:t>股变更为</w:t>
      </w:r>
      <w:r>
        <w:rPr>
          <w:spacing w:val="-45"/>
        </w:rPr>
        <w:t> </w:t>
      </w:r>
      <w:r>
        <w:rPr>
          <w:rFonts w:ascii="Times New Roman" w:hAnsi="Times New Roman" w:cs="Times New Roman" w:eastAsia="Times New Roman" w:hint="default"/>
        </w:rPr>
        <w:t>1,308,983,582</w:t>
      </w:r>
      <w:r>
        <w:rPr/>
        <w:t>股；公司资产和负债相应 减少了</w:t>
      </w:r>
      <w:r>
        <w:rPr>
          <w:rFonts w:ascii="Times New Roman" w:hAnsi="Times New Roman" w:cs="Times New Roman" w:eastAsia="Times New Roman" w:hint="default"/>
        </w:rPr>
        <w:t>30,001,482.59</w:t>
      </w:r>
      <w:r>
        <w:rPr>
          <w:rFonts w:ascii="Times New Roman" w:hAnsi="Times New Roman" w:cs="Times New Roman" w:eastAsia="Times New Roman" w:hint="default"/>
          <w:spacing w:val="21"/>
        </w:rPr>
        <w:t> </w:t>
      </w:r>
      <w:r>
        <w:rPr/>
        <w:t>元；公司净资产未发生变化。</w:t>
      </w:r>
    </w:p>
    <w:p>
      <w:pPr>
        <w:pStyle w:val="BodyText"/>
        <w:spacing w:line="300" w:lineRule="auto" w:before="51"/>
        <w:ind w:right="1124"/>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日，公司完成对</w:t>
      </w:r>
      <w:r>
        <w:rPr>
          <w:rFonts w:ascii="Times New Roman" w:hAnsi="Times New Roman" w:cs="Times New Roman" w:eastAsia="Times New Roman" w:hint="default"/>
        </w:rPr>
        <w:t>2015</w:t>
      </w:r>
      <w:r>
        <w:rPr/>
        <w:t>年限制性股票激励计划和</w:t>
      </w:r>
      <w:r>
        <w:rPr>
          <w:rFonts w:ascii="Times New Roman" w:hAnsi="Times New Roman" w:cs="Times New Roman" w:eastAsia="Times New Roman" w:hint="default"/>
        </w:rPr>
        <w:t>2018</w:t>
      </w:r>
      <w:r>
        <w:rPr/>
        <w:t>年限制性股票激励计划共计</w:t>
      </w:r>
      <w:r>
        <w:rPr>
          <w:rFonts w:ascii="Times New Roman" w:hAnsi="Times New Roman" w:cs="Times New Roman" w:eastAsia="Times New Roman" w:hint="default"/>
        </w:rPr>
        <w:t>11</w:t>
      </w:r>
      <w:r>
        <w:rPr/>
        <w:t>名离职激励对象已获授但尚 未解锁的限制性股票回购注销工作，回购数量为</w:t>
      </w:r>
      <w:r>
        <w:rPr>
          <w:rFonts w:ascii="Times New Roman" w:hAnsi="Times New Roman" w:cs="Times New Roman" w:eastAsia="Times New Roman" w:hint="default"/>
        </w:rPr>
        <w:t>673,122</w:t>
      </w:r>
      <w:r>
        <w:rPr/>
        <w:t>股，公司股份总数相应减少</w:t>
      </w:r>
      <w:r>
        <w:rPr>
          <w:rFonts w:ascii="Times New Roman" w:hAnsi="Times New Roman" w:cs="Times New Roman" w:eastAsia="Times New Roman" w:hint="default"/>
        </w:rPr>
        <w:t>673,122</w:t>
      </w:r>
      <w:r>
        <w:rPr/>
        <w:t>股，总股本由 </w:t>
      </w:r>
      <w:r>
        <w:rPr>
          <w:rFonts w:ascii="Times New Roman" w:hAnsi="Times New Roman" w:cs="Times New Roman" w:eastAsia="Times New Roman" w:hint="default"/>
        </w:rPr>
        <w:t>1,308,983,582</w:t>
      </w:r>
      <w:r>
        <w:rPr>
          <w:rFonts w:ascii="Times New Roman" w:hAnsi="Times New Roman" w:cs="Times New Roman" w:eastAsia="Times New Roman" w:hint="default"/>
          <w:spacing w:val="3"/>
        </w:rPr>
        <w:t> </w:t>
      </w:r>
      <w:r>
        <w:rPr/>
        <w:t>股</w:t>
      </w:r>
    </w:p>
    <w:p>
      <w:pPr>
        <w:pStyle w:val="BodyText"/>
        <w:spacing w:line="240" w:lineRule="auto" w:before="13"/>
        <w:ind w:right="0"/>
        <w:jc w:val="left"/>
      </w:pPr>
      <w:r>
        <w:rPr/>
        <w:t>变更为 </w:t>
      </w:r>
      <w:r>
        <w:rPr>
          <w:rFonts w:ascii="Times New Roman" w:hAnsi="Times New Roman" w:cs="Times New Roman" w:eastAsia="Times New Roman" w:hint="default"/>
        </w:rPr>
        <w:t>1,308,310,460</w:t>
      </w:r>
      <w:r>
        <w:rPr>
          <w:rFonts w:ascii="Times New Roman" w:hAnsi="Times New Roman" w:cs="Times New Roman" w:eastAsia="Times New Roman" w:hint="default"/>
          <w:spacing w:val="1"/>
        </w:rPr>
        <w:t> </w:t>
      </w:r>
      <w:r>
        <w:rPr/>
        <w:t>股；公司资产和负债相应减少了</w:t>
      </w:r>
      <w:r>
        <w:rPr>
          <w:rFonts w:ascii="Times New Roman" w:hAnsi="Times New Roman" w:cs="Times New Roman" w:eastAsia="Times New Roman" w:hint="default"/>
        </w:rPr>
        <w:t>7,592,701.626</w:t>
      </w:r>
      <w:r>
        <w:rPr/>
        <w:t>元；公司净资产未发生变化。</w:t>
      </w:r>
    </w:p>
    <w:p>
      <w:pPr>
        <w:pStyle w:val="BodyText"/>
        <w:spacing w:line="240" w:lineRule="auto" w:before="103"/>
        <w:ind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日，公司完成公积金转增股本方案，公司总股本由</w:t>
      </w:r>
      <w:r>
        <w:rPr>
          <w:rFonts w:ascii="Times New Roman" w:hAnsi="Times New Roman" w:cs="Times New Roman" w:eastAsia="Times New Roman" w:hint="default"/>
        </w:rPr>
        <w:t>1,308,310,460  </w:t>
      </w:r>
      <w:r>
        <w:rPr/>
        <w:t>股变更为</w:t>
      </w:r>
      <w:r>
        <w:rPr>
          <w:spacing w:val="-47"/>
        </w:rPr>
        <w:t> </w:t>
      </w:r>
      <w:r>
        <w:rPr>
          <w:rFonts w:ascii="Times New Roman" w:hAnsi="Times New Roman" w:cs="Times New Roman" w:eastAsia="Times New Roman" w:hint="default"/>
        </w:rPr>
        <w:t>1,962,465,690</w:t>
      </w:r>
      <w:r>
        <w:rPr/>
        <w:t>股。</w:t>
      </w:r>
    </w:p>
    <w:p>
      <w:pPr>
        <w:pStyle w:val="BodyText"/>
        <w:spacing w:line="300" w:lineRule="auto" w:before="104"/>
        <w:ind w:right="1124"/>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日，公司完成对</w:t>
      </w:r>
      <w:r>
        <w:rPr>
          <w:rFonts w:ascii="Times New Roman" w:hAnsi="Times New Roman" w:cs="Times New Roman" w:eastAsia="Times New Roman" w:hint="default"/>
        </w:rPr>
        <w:t>2015</w:t>
      </w:r>
      <w:r>
        <w:rPr/>
        <w:t>年限制性股票激励计划和</w:t>
      </w:r>
      <w:r>
        <w:rPr>
          <w:rFonts w:ascii="Times New Roman" w:hAnsi="Times New Roman" w:cs="Times New Roman" w:eastAsia="Times New Roman" w:hint="default"/>
        </w:rPr>
        <w:t>2018</w:t>
      </w:r>
      <w:r>
        <w:rPr/>
        <w:t>年限制性股票激励计划共计</w:t>
      </w:r>
      <w:r>
        <w:rPr>
          <w:rFonts w:ascii="Times New Roman" w:hAnsi="Times New Roman" w:cs="Times New Roman" w:eastAsia="Times New Roman" w:hint="default"/>
        </w:rPr>
        <w:t>18</w:t>
      </w:r>
      <w:r>
        <w:rPr/>
        <w:t>名离职激励对象已获授但 尚未解锁的限制性股票回购注销工作，回购数量为</w:t>
      </w:r>
      <w:r>
        <w:rPr>
          <w:rFonts w:ascii="Times New Roman" w:hAnsi="Times New Roman" w:cs="Times New Roman" w:eastAsia="Times New Roman" w:hint="default"/>
        </w:rPr>
        <w:t>902,520</w:t>
      </w:r>
      <w:r>
        <w:rPr/>
        <w:t>股，公司股份总数相应减少</w:t>
      </w:r>
      <w:r>
        <w:rPr>
          <w:rFonts w:ascii="Times New Roman" w:hAnsi="Times New Roman" w:cs="Times New Roman" w:eastAsia="Times New Roman" w:hint="default"/>
        </w:rPr>
        <w:t>902,520</w:t>
      </w:r>
      <w:r>
        <w:rPr/>
        <w:t>股，总股本由</w:t>
      </w:r>
      <w:r>
        <w:rPr>
          <w:spacing w:val="-21"/>
        </w:rPr>
        <w:t> </w:t>
      </w:r>
      <w:r>
        <w:rPr>
          <w:rFonts w:ascii="Times New Roman" w:hAnsi="Times New Roman" w:cs="Times New Roman" w:eastAsia="Times New Roman" w:hint="default"/>
        </w:rPr>
        <w:t>1,962,465,690 </w:t>
      </w:r>
      <w:r>
        <w:rPr/>
        <w:t>股变更为</w:t>
      </w:r>
      <w:r>
        <w:rPr>
          <w:rFonts w:ascii="Times New Roman" w:hAnsi="Times New Roman" w:cs="Times New Roman" w:eastAsia="Times New Roman" w:hint="default"/>
        </w:rPr>
        <w:t>1,961,563,170</w:t>
      </w:r>
      <w:r>
        <w:rPr/>
        <w:t>股；公司资产和负债相应减少了</w:t>
      </w:r>
      <w:r>
        <w:rPr>
          <w:rFonts w:ascii="Times New Roman" w:hAnsi="Times New Roman" w:cs="Times New Roman" w:eastAsia="Times New Roman" w:hint="default"/>
        </w:rPr>
        <w:t>7,177,135.56</w:t>
      </w:r>
      <w:r>
        <w:rPr>
          <w:rFonts w:ascii="Times New Roman" w:hAnsi="Times New Roman" w:cs="Times New Roman" w:eastAsia="Times New Roman" w:hint="default"/>
          <w:spacing w:val="18"/>
        </w:rPr>
        <w:t> </w:t>
      </w:r>
      <w:r>
        <w:rPr/>
        <w:t>元；公司净资产未发生变化。</w:t>
      </w:r>
    </w:p>
    <w:p>
      <w:pPr>
        <w:spacing w:line="240" w:lineRule="auto" w:before="1"/>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三、股东和实际控制人情况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196"/>
        <w:gridCol w:w="365"/>
        <w:gridCol w:w="832"/>
        <w:gridCol w:w="585"/>
        <w:gridCol w:w="653"/>
        <w:gridCol w:w="1049"/>
        <w:gridCol w:w="106"/>
        <w:gridCol w:w="886"/>
        <w:gridCol w:w="310"/>
        <w:gridCol w:w="684"/>
        <w:gridCol w:w="514"/>
        <w:gridCol w:w="622"/>
        <w:gridCol w:w="574"/>
        <w:gridCol w:w="101"/>
        <w:gridCol w:w="1094"/>
      </w:tblGrid>
      <w:tr>
        <w:trPr>
          <w:trHeight w:val="196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177,588</w:t>
            </w:r>
          </w:p>
        </w:tc>
        <w:tc>
          <w:tcPr>
            <w:tcW w:w="12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3"/>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199,075</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8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23" w:right="171"/>
              <w:jc w:val="both"/>
              <w:rPr>
                <w:rFonts w:ascii="宋体" w:hAnsi="宋体" w:cs="宋体" w:eastAsia="宋体" w:hint="default"/>
                <w:sz w:val="18"/>
                <w:szCs w:val="18"/>
              </w:rPr>
            </w:pPr>
            <w:r>
              <w:rPr>
                <w:rFonts w:ascii="宋体" w:hAnsi="宋体" w:cs="宋体" w:eastAsia="宋体" w:hint="default"/>
                <w:spacing w:val="-16"/>
                <w:sz w:val="18"/>
                <w:szCs w:val="18"/>
              </w:rPr>
              <w:t>（如有）（参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80"/>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9"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1" w:hRule="exact"/>
        </w:trPr>
        <w:tc>
          <w:tcPr>
            <w:tcW w:w="15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251" w:right="2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271" w:right="47"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40" w:right="3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2" w:right="11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7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715" w:hRule="exact"/>
        </w:trPr>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1135" w:type="dxa"/>
            <w:gridSpan w:val="2"/>
            <w:vMerge/>
            <w:tcBorders>
              <w:left w:val="single" w:sz="4" w:space="0" w:color="000000"/>
              <w:bottom w:val="single" w:sz="4" w:space="0" w:color="000000"/>
              <w:right w:val="single" w:sz="4" w:space="0" w:color="000000"/>
            </w:tcBorders>
            <w:shd w:val="clear" w:color="auto" w:fill="D2D2D2"/>
          </w:tcPr>
          <w:p>
            <w:pPr/>
          </w:p>
        </w:tc>
        <w:tc>
          <w:tcPr>
            <w:tcW w:w="6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3" w:right="62" w:hanging="181"/>
              <w:jc w:val="left"/>
              <w:rPr>
                <w:rFonts w:ascii="宋体" w:hAnsi="宋体" w:cs="宋体" w:eastAsia="宋体" w:hint="default"/>
                <w:sz w:val="18"/>
                <w:szCs w:val="18"/>
              </w:rPr>
            </w:pPr>
            <w:r>
              <w:rPr>
                <w:rFonts w:ascii="宋体" w:hAnsi="宋体" w:cs="宋体" w:eastAsia="宋体" w:hint="default"/>
                <w:sz w:val="18"/>
                <w:szCs w:val="18"/>
              </w:rPr>
              <w:t>股份状 态</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中国四维测绘技术 有限公司</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195,378,651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65,126,217</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195,378,651</w:t>
            </w:r>
          </w:p>
        </w:tc>
        <w:tc>
          <w:tcPr>
            <w:tcW w:w="675" w:type="dxa"/>
            <w:gridSpan w:val="2"/>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深圳市腾讯产业投 资基金有限公司</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191,363,690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63,787,897</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15,863,690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175,500,000</w:t>
            </w:r>
          </w:p>
        </w:tc>
        <w:tc>
          <w:tcPr>
            <w:tcW w:w="675" w:type="dxa"/>
            <w:gridSpan w:val="2"/>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天安财产保险股份 有限公司－保赢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68,742,655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22,914,218</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68,742,655</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5" w:type="dxa"/>
            <w:gridSpan w:val="2"/>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中央汇金资产管理 有限责任公司</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65,180,925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21,726,975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65,180,925</w:t>
            </w:r>
          </w:p>
        </w:tc>
        <w:tc>
          <w:tcPr>
            <w:tcW w:w="675" w:type="dxa"/>
            <w:gridSpan w:val="2"/>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北京芯动能投资基 金（有限合伙）</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35,252,643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11,750,881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35,252,643</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5" w:type="dxa"/>
            <w:gridSpan w:val="2"/>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北京四维图新科技 股份有限公司－第 一期员工持股计划</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31,606,638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10,535,546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31,606,638</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5" w:type="dxa"/>
            <w:gridSpan w:val="2"/>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林芝锦华投资管理 有限公司</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1.57%</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30,846,063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10,282,021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30,846,063</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5" w:type="dxa"/>
            <w:gridSpan w:val="2"/>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李龙萍</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27,320,799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9,106,933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27,320,799</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4"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27,320,799</w:t>
            </w:r>
          </w:p>
        </w:tc>
      </w:tr>
      <w:tr>
        <w:trPr>
          <w:trHeight w:val="1337"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华泰瑞联基金管理 有限公司－南京华 泰瑞联并购基金一 号（有限合伙）</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26,439,481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8,813,160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26,439,481</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5" w:type="dxa"/>
            <w:gridSpan w:val="2"/>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华泰资产管理有限 公司－策略投资产 品</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25,558,165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8,519,388</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25,558,165</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5" w:type="dxa"/>
            <w:gridSpan w:val="2"/>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2977"/>
        <w:gridCol w:w="3545"/>
        <w:gridCol w:w="1952"/>
        <w:gridCol w:w="1094"/>
      </w:tblGrid>
      <w:tr>
        <w:trPr>
          <w:trHeight w:val="1025"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60"/>
              <w:jc w:val="both"/>
              <w:rPr>
                <w:rFonts w:ascii="宋体" w:hAnsi="宋体" w:cs="宋体" w:eastAsia="宋体" w:hint="default"/>
                <w:sz w:val="18"/>
                <w:szCs w:val="18"/>
              </w:rPr>
            </w:pPr>
            <w:r>
              <w:rPr>
                <w:rFonts w:ascii="宋体" w:hAnsi="宋体" w:cs="宋体" w:eastAsia="宋体" w:hint="default"/>
                <w:sz w:val="18"/>
                <w:szCs w:val="18"/>
              </w:rPr>
              <w:t>战略投资者或一般法人因配售新股成 为前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名股东的情况（如有）（参见</w:t>
            </w:r>
            <w:r>
              <w:rPr>
                <w:rFonts w:ascii="宋体" w:hAnsi="宋体" w:cs="宋体" w:eastAsia="宋体" w:hint="default"/>
                <w:sz w:val="18"/>
                <w:szCs w:val="18"/>
              </w:rPr>
              <w:t> 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591" w:type="dxa"/>
            <w:gridSpan w:val="3"/>
            <w:tcBorders>
              <w:top w:val="single" w:sz="4" w:space="0" w:color="000000"/>
              <w:left w:val="single" w:sz="10" w:space="0" w:color="D2D2D2"/>
              <w:bottom w:val="single" w:sz="4" w:space="0" w:color="000000"/>
              <w:right w:val="single" w:sz="4" w:space="0" w:color="000000"/>
            </w:tcBorders>
          </w:tcPr>
          <w:p>
            <w:pPr>
              <w:pStyle w:val="TableParagraph"/>
              <w:spacing w:line="316" w:lineRule="auto" w:before="51"/>
              <w:ind w:left="16" w:right="75"/>
              <w:jc w:val="left"/>
              <w:rPr>
                <w:rFonts w:ascii="宋体" w:hAnsi="宋体" w:cs="宋体" w:eastAsia="宋体" w:hint="default"/>
                <w:sz w:val="18"/>
                <w:szCs w:val="18"/>
              </w:rPr>
            </w:pPr>
            <w:r>
              <w:rPr>
                <w:rFonts w:ascii="宋体" w:hAnsi="宋体" w:cs="宋体" w:eastAsia="宋体" w:hint="default"/>
                <w:sz w:val="18"/>
                <w:szCs w:val="18"/>
              </w:rPr>
              <w:t>上述公司前十名股东中，腾讯产业基金、天安财险、芯动能基金、员工持股计划、 </w:t>
            </w:r>
            <w:r>
              <w:rPr>
                <w:rFonts w:ascii="宋体" w:hAnsi="宋体" w:cs="宋体" w:eastAsia="宋体" w:hint="default"/>
                <w:spacing w:val="-3"/>
                <w:sz w:val="18"/>
                <w:szCs w:val="18"/>
              </w:rPr>
              <w:t>林芝锦华、李龙萍（中信建投证券委托人之一）、华泰瑞联、华泰资管为公司重大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资产重组的非公开发行对象。</w:t>
            </w:r>
          </w:p>
        </w:tc>
      </w:tr>
      <w:tr>
        <w:trPr>
          <w:trHeight w:val="163" w:hRule="exact"/>
        </w:trPr>
        <w:tc>
          <w:tcPr>
            <w:tcW w:w="2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1" w:type="dxa"/>
            <w:gridSpan w:val="3"/>
            <w:vMerge w:val="restart"/>
            <w:tcBorders>
              <w:top w:val="single" w:sz="4" w:space="0" w:color="000000"/>
              <w:left w:val="single" w:sz="4" w:space="0" w:color="000000"/>
              <w:right w:val="single" w:sz="4" w:space="0" w:color="000000"/>
            </w:tcBorders>
          </w:tcPr>
          <w:p>
            <w:pPr>
              <w:pStyle w:val="TableParagraph"/>
              <w:spacing w:line="314" w:lineRule="auto" w:before="53"/>
              <w:ind w:left="23" w:right="75"/>
              <w:jc w:val="left"/>
              <w:rPr>
                <w:rFonts w:ascii="宋体" w:hAnsi="宋体" w:cs="宋体" w:eastAsia="宋体" w:hint="default"/>
                <w:sz w:val="18"/>
                <w:szCs w:val="18"/>
              </w:rPr>
            </w:pPr>
            <w:r>
              <w:rPr>
                <w:rFonts w:ascii="宋体" w:hAnsi="宋体" w:cs="宋体" w:eastAsia="宋体" w:hint="default"/>
                <w:sz w:val="18"/>
                <w:szCs w:val="18"/>
              </w:rPr>
              <w:t>上述股东中天安财险、李龙萍将其表决权授予程鹏先生。公司未知除天安财险、李 龙萍外其他股东之间是否存在关联关系或一致行动。</w:t>
            </w:r>
          </w:p>
        </w:tc>
      </w:tr>
      <w:tr>
        <w:trPr>
          <w:trHeight w:val="391" w:hRule="exact"/>
        </w:trPr>
        <w:tc>
          <w:tcPr>
            <w:tcW w:w="29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591" w:type="dxa"/>
            <w:gridSpan w:val="3"/>
            <w:vMerge/>
            <w:tcBorders>
              <w:left w:val="single" w:sz="4" w:space="0" w:color="000000"/>
              <w:right w:val="single" w:sz="4" w:space="0" w:color="000000"/>
            </w:tcBorders>
          </w:tcPr>
          <w:p>
            <w:pPr/>
          </w:p>
        </w:tc>
      </w:tr>
      <w:tr>
        <w:trPr>
          <w:trHeight w:val="161" w:hRule="exact"/>
        </w:trPr>
        <w:tc>
          <w:tcPr>
            <w:tcW w:w="2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6591" w:type="dxa"/>
            <w:gridSpan w:val="3"/>
            <w:vMerge/>
            <w:tcBorders>
              <w:left w:val="single" w:sz="4" w:space="0" w:color="000000"/>
              <w:bottom w:val="single" w:sz="4" w:space="0" w:color="000000"/>
              <w:right w:val="single" w:sz="4" w:space="0" w:color="000000"/>
            </w:tcBorders>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4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5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1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04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977" w:type="dxa"/>
            <w:vMerge/>
            <w:tcBorders>
              <w:left w:val="single" w:sz="4" w:space="0" w:color="000000"/>
              <w:bottom w:val="nil" w:sz="6" w:space="0" w:color="auto"/>
              <w:right w:val="single" w:sz="4" w:space="0" w:color="000000"/>
            </w:tcBorders>
            <w:shd w:val="clear" w:color="auto" w:fill="D2D2D2"/>
          </w:tcPr>
          <w:p>
            <w:pPr/>
          </w:p>
        </w:tc>
        <w:tc>
          <w:tcPr>
            <w:tcW w:w="3545" w:type="dxa"/>
            <w:vMerge/>
            <w:tcBorders>
              <w:left w:val="single" w:sz="4" w:space="0" w:color="000000"/>
              <w:bottom w:val="nil" w:sz="6" w:space="0" w:color="auto"/>
              <w:right w:val="single" w:sz="4" w:space="0" w:color="000000"/>
            </w:tcBorders>
            <w:shd w:val="clear" w:color="auto" w:fill="D2D2D2"/>
          </w:tcPr>
          <w:p>
            <w:pPr/>
          </w:p>
        </w:tc>
        <w:tc>
          <w:tcPr>
            <w:tcW w:w="19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1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5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2" w:type="dxa"/>
            <w:vMerge/>
            <w:tcBorders>
              <w:left w:val="single" w:sz="4" w:space="0" w:color="000000"/>
              <w:bottom w:val="single" w:sz="4" w:space="0" w:color="000000"/>
              <w:right w:val="single" w:sz="4" w:space="0" w:color="000000"/>
            </w:tcBorders>
            <w:shd w:val="clear" w:color="auto" w:fill="D2D2D2"/>
          </w:tcPr>
          <w:p>
            <w:pPr/>
          </w:p>
        </w:tc>
        <w:tc>
          <w:tcPr>
            <w:tcW w:w="10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195,378,651</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195,378,651</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深圳市腾讯产业投资基金有限公司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175,500,000</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175,500,000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65,180,925</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65,180,925</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21,124,404</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21,124,404</w:t>
            </w:r>
          </w:p>
        </w:tc>
      </w:tr>
      <w:tr>
        <w:trPr>
          <w:trHeight w:val="1027"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1"/>
              <w:jc w:val="both"/>
              <w:rPr>
                <w:rFonts w:ascii="宋体" w:hAnsi="宋体" w:cs="宋体" w:eastAsia="宋体" w:hint="default"/>
                <w:sz w:val="18"/>
                <w:szCs w:val="18"/>
              </w:rPr>
            </w:pPr>
            <w:r>
              <w:rPr>
                <w:rFonts w:ascii="宋体" w:hAnsi="宋体" w:cs="宋体" w:eastAsia="宋体" w:hint="default"/>
                <w:sz w:val="18"/>
                <w:szCs w:val="18"/>
              </w:rPr>
              <w:t>招商银行股份有限公司－博时中证央 企创新驱动交易型开放式指数证券投 资基金</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16,468,403</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16,468,403</w:t>
            </w:r>
          </w:p>
        </w:tc>
      </w:tr>
      <w:tr>
        <w:trPr>
          <w:trHeight w:val="102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1"/>
              <w:jc w:val="both"/>
              <w:rPr>
                <w:rFonts w:ascii="宋体" w:hAnsi="宋体" w:cs="宋体" w:eastAsia="宋体" w:hint="default"/>
                <w:sz w:val="18"/>
                <w:szCs w:val="18"/>
              </w:rPr>
            </w:pPr>
            <w:r>
              <w:rPr>
                <w:rFonts w:ascii="宋体" w:hAnsi="宋体" w:cs="宋体" w:eastAsia="宋体" w:hint="default"/>
                <w:sz w:val="18"/>
                <w:szCs w:val="18"/>
              </w:rPr>
              <w:t>中国银行股份有限公司－嘉实中证央 企创新驱动交易型开放式指数证券投 资基金</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12,106,750</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12,106,750</w:t>
            </w:r>
          </w:p>
        </w:tc>
      </w:tr>
      <w:tr>
        <w:trPr>
          <w:trHeight w:val="102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1"/>
              <w:jc w:val="both"/>
              <w:rPr>
                <w:rFonts w:ascii="宋体" w:hAnsi="宋体" w:cs="宋体" w:eastAsia="宋体" w:hint="default"/>
                <w:sz w:val="18"/>
                <w:szCs w:val="18"/>
              </w:rPr>
            </w:pPr>
            <w:r>
              <w:rPr>
                <w:rFonts w:ascii="宋体" w:hAnsi="宋体" w:cs="宋体" w:eastAsia="宋体" w:hint="default"/>
                <w:sz w:val="18"/>
                <w:szCs w:val="18"/>
              </w:rPr>
              <w:t>招商银行股份有限公司－博时中证央 企结构调整交易型开放式指数证券投 资基金</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11,704,851</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11,704,851</w:t>
            </w:r>
          </w:p>
        </w:tc>
      </w:tr>
      <w:tr>
        <w:trPr>
          <w:trHeight w:val="102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1"/>
              <w:jc w:val="both"/>
              <w:rPr>
                <w:rFonts w:ascii="宋体" w:hAnsi="宋体" w:cs="宋体" w:eastAsia="宋体" w:hint="default"/>
                <w:sz w:val="18"/>
                <w:szCs w:val="18"/>
              </w:rPr>
            </w:pPr>
            <w:r>
              <w:rPr>
                <w:rFonts w:ascii="宋体" w:hAnsi="宋体" w:cs="宋体" w:eastAsia="宋体" w:hint="default"/>
                <w:sz w:val="18"/>
                <w:szCs w:val="18"/>
              </w:rPr>
              <w:t>中国农业银行股份有限公司－华夏中 证央企结构调整交易型开放式指数证 券投资基金</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10,443,925</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10,443,925</w:t>
            </w:r>
          </w:p>
        </w:tc>
      </w:tr>
      <w:tr>
        <w:trPr>
          <w:trHeight w:val="71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61"/>
              <w:jc w:val="left"/>
              <w:rPr>
                <w:rFonts w:ascii="宋体" w:hAnsi="宋体" w:cs="宋体" w:eastAsia="宋体" w:hint="default"/>
                <w:sz w:val="18"/>
                <w:szCs w:val="18"/>
              </w:rPr>
            </w:pPr>
            <w:r>
              <w:rPr>
                <w:rFonts w:ascii="宋体" w:hAnsi="宋体" w:cs="宋体" w:eastAsia="宋体" w:hint="default"/>
                <w:sz w:val="18"/>
                <w:szCs w:val="18"/>
              </w:rPr>
              <w:t>中国工商银行－易方达价值成长混合 型证券投资基金</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8,424,243</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8,424,243</w:t>
            </w:r>
          </w:p>
        </w:tc>
      </w:tr>
      <w:tr>
        <w:trPr>
          <w:trHeight w:val="102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1"/>
              <w:jc w:val="both"/>
              <w:rPr>
                <w:rFonts w:ascii="宋体" w:hAnsi="宋体" w:cs="宋体" w:eastAsia="宋体" w:hint="default"/>
                <w:sz w:val="18"/>
                <w:szCs w:val="18"/>
              </w:rPr>
            </w:pPr>
            <w:r>
              <w:rPr>
                <w:rFonts w:ascii="宋体" w:hAnsi="宋体" w:cs="宋体" w:eastAsia="宋体" w:hint="default"/>
                <w:sz w:val="18"/>
                <w:szCs w:val="18"/>
              </w:rPr>
              <w:t>中国工商银行股份有限公司－广发中 证央企创新驱动交易型开放式指数证 券投资基金</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7,707,438</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7,707,438</w:t>
            </w:r>
          </w:p>
        </w:tc>
      </w:tr>
      <w:tr>
        <w:trPr>
          <w:trHeight w:val="1340"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0"/>
              <w:ind w:left="24" w:right="61"/>
              <w:jc w:val="both"/>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名股东之间关联关系或一致行动的说 明</w:t>
            </w:r>
          </w:p>
        </w:tc>
        <w:tc>
          <w:tcPr>
            <w:tcW w:w="65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公司未知上述股东之间是否存在关联关系或一致行动。</w:t>
            </w:r>
          </w:p>
        </w:tc>
      </w:tr>
      <w:tr>
        <w:trPr>
          <w:trHeight w:val="715"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5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8234"/>
        <w:jc w:val="left"/>
      </w:pPr>
      <w:r>
        <w:rPr/>
        <w:t>控股股东性质：无控股主体 控股股东类型：不存在 公司不存在控股股东情况的说明</w:t>
      </w:r>
    </w:p>
    <w:p>
      <w:pPr>
        <w:pStyle w:val="BodyText"/>
        <w:spacing w:line="240" w:lineRule="auto" w:before="29"/>
        <w:ind w:left="573" w:right="0"/>
        <w:jc w:val="left"/>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13</w:t>
      </w:r>
      <w:r>
        <w:rPr>
          <w:spacing w:val="3"/>
        </w:rPr>
        <w:t>日，公司原控股股东中国四维测绘技术有限公司将持有的公司部分股份</w:t>
      </w:r>
      <w:r>
        <w:rPr>
          <w:rFonts w:ascii="Times New Roman" w:hAnsi="Times New Roman" w:cs="Times New Roman" w:eastAsia="Times New Roman" w:hint="default"/>
          <w:spacing w:val="3"/>
        </w:rPr>
        <w:t>78,000,000</w:t>
      </w:r>
      <w:r>
        <w:rPr>
          <w:spacing w:val="3"/>
        </w:rPr>
        <w:t>股（占公司总股本的</w:t>
      </w:r>
      <w:r>
        <w:rPr/>
      </w:r>
    </w:p>
    <w:p>
      <w:pPr>
        <w:pStyle w:val="BodyText"/>
        <w:spacing w:line="309" w:lineRule="auto" w:before="63"/>
        <w:ind w:right="1127"/>
        <w:jc w:val="both"/>
      </w:pPr>
      <w:r>
        <w:rPr>
          <w:rFonts w:ascii="Times New Roman" w:hAnsi="Times New Roman" w:cs="Times New Roman" w:eastAsia="Times New Roman" w:hint="default"/>
          <w:spacing w:val="-2"/>
        </w:rPr>
        <w:t>11.28%</w:t>
      </w:r>
      <w:r>
        <w:rPr>
          <w:spacing w:val="-2"/>
        </w:rPr>
        <w:t>）转让给深圳市腾讯产业投资基金有限公司受让方的过户登记手续办理完毕。协议转让股份过户登记完成后，中国四</w:t>
      </w:r>
      <w:r>
        <w:rPr>
          <w:spacing w:val="-74"/>
        </w:rPr>
        <w:t> </w:t>
      </w:r>
      <w:r>
        <w:rPr>
          <w:spacing w:val="-74"/>
        </w:rPr>
      </w:r>
      <w:r>
        <w:rPr>
          <w:spacing w:val="-5"/>
        </w:rPr>
        <w:t>维持有公司股份</w:t>
      </w:r>
      <w:r>
        <w:rPr>
          <w:rFonts w:ascii="Times New Roman" w:hAnsi="Times New Roman" w:cs="Times New Roman" w:eastAsia="Times New Roman" w:hint="default"/>
          <w:spacing w:val="-5"/>
        </w:rPr>
        <w:t>86,994,019</w:t>
      </w:r>
      <w:r>
        <w:rPr>
          <w:spacing w:val="-5"/>
        </w:rPr>
        <w:t>股（占公司总股本的</w:t>
      </w:r>
      <w:r>
        <w:rPr>
          <w:rFonts w:ascii="Times New Roman" w:hAnsi="Times New Roman" w:cs="Times New Roman" w:eastAsia="Times New Roman" w:hint="default"/>
          <w:spacing w:val="-5"/>
        </w:rPr>
        <w:t>12.58%</w:t>
      </w:r>
      <w:r>
        <w:rPr>
          <w:spacing w:val="-5"/>
        </w:rPr>
        <w:t>），腾讯产业基金持有公司股份</w:t>
      </w:r>
      <w:r>
        <w:rPr>
          <w:rFonts w:ascii="Times New Roman" w:hAnsi="Times New Roman" w:cs="Times New Roman" w:eastAsia="Times New Roman" w:hint="default"/>
          <w:spacing w:val="-5"/>
        </w:rPr>
        <w:t>78,000,000</w:t>
      </w:r>
      <w:r>
        <w:rPr>
          <w:spacing w:val="-5"/>
        </w:rPr>
        <w:t>股（占公司总股本的</w:t>
      </w:r>
      <w:r>
        <w:rPr>
          <w:rFonts w:ascii="Times New Roman" w:hAnsi="Times New Roman" w:cs="Times New Roman" w:eastAsia="Times New Roman" w:hint="default"/>
          <w:spacing w:val="-5"/>
        </w:rPr>
        <w:t>11.28%</w:t>
      </w:r>
      <w:r>
        <w:rPr>
          <w:spacing w:val="-5"/>
        </w:rPr>
        <w:t>）</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24"/>
        </w:rPr>
        <w:t> </w:t>
      </w:r>
      <w:r>
        <w:rPr>
          <w:spacing w:val="-2"/>
        </w:rPr>
        <w:t>中国四维通过协议方式将其持有的公司部分转让给深圳腾讯后，依其持有的股份所享有的表决权已不能对公司董事会、股东</w:t>
      </w:r>
      <w:r>
        <w:rPr>
          <w:spacing w:val="-63"/>
        </w:rPr>
        <w:t> </w:t>
      </w:r>
      <w:r>
        <w:rPr>
          <w:spacing w:val="-63"/>
        </w:rPr>
      </w:r>
      <w:r>
        <w:rPr/>
        <w:t>大会的决议产生重大影响，同时，公司董事会由</w:t>
      </w:r>
      <w:r>
        <w:rPr>
          <w:rFonts w:ascii="Times New Roman" w:hAnsi="Times New Roman" w:cs="Times New Roman" w:eastAsia="Times New Roman" w:hint="default"/>
        </w:rPr>
        <w:t>9</w:t>
      </w:r>
      <w:r>
        <w:rPr/>
        <w:t>名董事组成，除去独立董事</w:t>
      </w:r>
      <w:r>
        <w:rPr>
          <w:rFonts w:ascii="Times New Roman" w:hAnsi="Times New Roman" w:cs="Times New Roman" w:eastAsia="Times New Roman" w:hint="default"/>
        </w:rPr>
        <w:t>3</w:t>
      </w:r>
      <w:r>
        <w:rPr/>
        <w:t>名，其余</w:t>
      </w:r>
      <w:r>
        <w:rPr>
          <w:rFonts w:ascii="Times New Roman" w:hAnsi="Times New Roman" w:cs="Times New Roman" w:eastAsia="Times New Roman" w:hint="default"/>
        </w:rPr>
        <w:t>6</w:t>
      </w:r>
      <w:r>
        <w:rPr/>
        <w:t>个非独立董事席位由中国四维、深</w:t>
      </w:r>
      <w:r>
        <w:rPr>
          <w:spacing w:val="-83"/>
        </w:rPr>
        <w:t> </w:t>
      </w:r>
      <w:r>
        <w:rPr>
          <w:spacing w:val="-83"/>
        </w:rPr>
      </w:r>
      <w:r>
        <w:rPr>
          <w:spacing w:val="-2"/>
        </w:rPr>
        <w:t>圳腾讯投资、公司经营管理层三方平均分配。因此，在中国四维与深圳腾讯投资协议转让完成后，中国四维是公司第一大股</w:t>
      </w:r>
      <w:r>
        <w:rPr>
          <w:spacing w:val="-64"/>
        </w:rPr>
        <w:t> </w:t>
      </w:r>
      <w:r>
        <w:rPr>
          <w:spacing w:val="-64"/>
        </w:rPr>
      </w:r>
      <w:r>
        <w:rPr>
          <w:spacing w:val="-2"/>
        </w:rPr>
        <w:t>东，但不再是公司控股股东，中国航天科技集团公司也不再是公司的实际控制人。公司成为无实际控制人、无控股股东的上</w:t>
      </w:r>
      <w:r>
        <w:rPr>
          <w:spacing w:val="-64"/>
        </w:rPr>
        <w:t> </w:t>
      </w:r>
      <w:r>
        <w:rPr>
          <w:spacing w:val="-64"/>
        </w:rPr>
      </w:r>
      <w:r>
        <w:rPr/>
        <w:t>市公司。</w:t>
      </w:r>
    </w:p>
    <w:p>
      <w:pPr>
        <w:pStyle w:val="BodyText"/>
        <w:spacing w:line="240" w:lineRule="auto" w:before="62"/>
        <w:ind w:right="0"/>
        <w:jc w:val="left"/>
      </w:pPr>
      <w:r>
        <w:rPr/>
        <w:t>控股股东报告期内变更</w:t>
      </w:r>
    </w:p>
    <w:p>
      <w:pPr>
        <w:pStyle w:val="BodyText"/>
        <w:spacing w:line="340" w:lineRule="auto" w:before="117"/>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2"/>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8054"/>
        <w:jc w:val="left"/>
      </w:pPr>
      <w:r>
        <w:rPr/>
        <w:t>实际控制人性质：无实际控制人 实际控制人类型：不存在 公司不存在实际控制人情况的说明</w:t>
      </w:r>
    </w:p>
    <w:p>
      <w:pPr>
        <w:pStyle w:val="BodyText"/>
        <w:spacing w:line="240" w:lineRule="auto" w:before="29"/>
        <w:ind w:left="573" w:right="0"/>
        <w:jc w:val="left"/>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13</w:t>
      </w:r>
      <w:r>
        <w:rPr>
          <w:spacing w:val="3"/>
        </w:rPr>
        <w:t>日，公司原控股股东中国四维测绘技术有限公司将持有的公司部分股份</w:t>
      </w:r>
      <w:r>
        <w:rPr>
          <w:rFonts w:ascii="Times New Roman" w:hAnsi="Times New Roman" w:cs="Times New Roman" w:eastAsia="Times New Roman" w:hint="default"/>
          <w:spacing w:val="3"/>
        </w:rPr>
        <w:t>78,000,000</w:t>
      </w:r>
      <w:r>
        <w:rPr>
          <w:spacing w:val="3"/>
        </w:rPr>
        <w:t>股（占公司总股本的</w:t>
      </w:r>
      <w:r>
        <w:rPr/>
      </w:r>
    </w:p>
    <w:p>
      <w:pPr>
        <w:pStyle w:val="BodyText"/>
        <w:spacing w:line="307" w:lineRule="auto" w:before="63"/>
        <w:ind w:right="1119"/>
        <w:jc w:val="both"/>
      </w:pPr>
      <w:r>
        <w:rPr>
          <w:rFonts w:ascii="Times New Roman" w:hAnsi="Times New Roman" w:cs="Times New Roman" w:eastAsia="Times New Roman" w:hint="default"/>
          <w:spacing w:val="-2"/>
        </w:rPr>
        <w:t>11.28%</w:t>
      </w:r>
      <w:r>
        <w:rPr>
          <w:spacing w:val="-2"/>
        </w:rPr>
        <w:t>）转让给深圳市腾讯产业投资基金有限公司受让方的过户登记手续办理完毕。协议转让股份过户登记完成后，中国四</w:t>
      </w:r>
      <w:r>
        <w:rPr>
          <w:spacing w:val="-74"/>
        </w:rPr>
        <w:t> </w:t>
      </w:r>
      <w:r>
        <w:rPr>
          <w:spacing w:val="-74"/>
        </w:rPr>
      </w:r>
      <w:r>
        <w:rPr>
          <w:spacing w:val="-7"/>
        </w:rPr>
        <w:t>维持有公司股份</w:t>
      </w:r>
      <w:r>
        <w:rPr>
          <w:rFonts w:ascii="Times New Roman" w:hAnsi="Times New Roman" w:cs="Times New Roman" w:eastAsia="Times New Roman" w:hint="default"/>
          <w:spacing w:val="-7"/>
        </w:rPr>
        <w:t>86,994,019</w:t>
      </w:r>
      <w:r>
        <w:rPr>
          <w:spacing w:val="-7"/>
        </w:rPr>
        <w:t>股（占公司总股本的</w:t>
      </w:r>
      <w:r>
        <w:rPr>
          <w:rFonts w:ascii="Times New Roman" w:hAnsi="Times New Roman" w:cs="Times New Roman" w:eastAsia="Times New Roman" w:hint="default"/>
          <w:spacing w:val="-7"/>
        </w:rPr>
        <w:t>12.58%</w:t>
      </w:r>
      <w:r>
        <w:rPr>
          <w:spacing w:val="-7"/>
        </w:rPr>
        <w:t>），腾讯产业基金持有公司股份</w:t>
      </w:r>
      <w:r>
        <w:rPr>
          <w:rFonts w:ascii="Times New Roman" w:hAnsi="Times New Roman" w:cs="Times New Roman" w:eastAsia="Times New Roman" w:hint="default"/>
          <w:spacing w:val="-7"/>
        </w:rPr>
        <w:t>78,000,000</w:t>
      </w:r>
      <w:r>
        <w:rPr>
          <w:spacing w:val="-7"/>
        </w:rPr>
        <w:t>股（占公司总股本的</w:t>
      </w:r>
      <w:r>
        <w:rPr>
          <w:rFonts w:ascii="Times New Roman" w:hAnsi="Times New Roman" w:cs="Times New Roman" w:eastAsia="Times New Roman" w:hint="default"/>
          <w:spacing w:val="-7"/>
        </w:rPr>
        <w:t>11.28%</w:t>
      </w:r>
      <w:r>
        <w:rPr>
          <w:spacing w:val="-7"/>
        </w:rPr>
        <w:t>），</w:t>
      </w:r>
      <w:r>
        <w:rPr>
          <w:spacing w:val="-79"/>
        </w:rPr>
        <w:t> </w:t>
      </w:r>
      <w:r>
        <w:rPr>
          <w:spacing w:val="-2"/>
        </w:rPr>
        <w:t>中国四维是公司第一大股东，但不再是公司控股股东，中国航天科技集团公司也不再是公司的实际控制人。公司成为无实际</w:t>
      </w:r>
      <w:r>
        <w:rPr>
          <w:spacing w:val="-62"/>
        </w:rPr>
        <w:t> </w:t>
      </w:r>
      <w:r>
        <w:rPr>
          <w:spacing w:val="-62"/>
        </w:rPr>
      </w:r>
      <w:r>
        <w:rPr/>
        <w:t>控制人、无控股股东的上市公司。</w:t>
      </w:r>
    </w:p>
    <w:p>
      <w:pPr>
        <w:spacing w:line="240" w:lineRule="auto" w:before="0"/>
        <w:rPr>
          <w:rFonts w:ascii="宋体" w:hAnsi="宋体" w:cs="宋体" w:eastAsia="宋体" w:hint="default"/>
          <w:sz w:val="18"/>
          <w:szCs w:val="18"/>
        </w:rPr>
      </w:pPr>
    </w:p>
    <w:p>
      <w:pPr>
        <w:pStyle w:val="BodyText"/>
        <w:spacing w:line="240" w:lineRule="auto" w:before="141"/>
        <w:ind w:right="0"/>
        <w:jc w:val="left"/>
      </w:pPr>
      <w:r>
        <w:rPr/>
        <w:t>公司最终控制层面是否存在持股比例在</w:t>
      </w:r>
      <w:r>
        <w:rPr>
          <w:spacing w:val="-44"/>
        </w:rPr>
        <w:t> </w:t>
      </w:r>
      <w:r>
        <w:rPr>
          <w:rFonts w:ascii="Times New Roman" w:hAnsi="Times New Roman" w:cs="Times New Roman" w:eastAsia="Times New Roman" w:hint="default"/>
        </w:rPr>
        <w:t>10%</w:t>
      </w:r>
      <w:r>
        <w:rPr/>
        <w:t>以上的股东情况</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40" w:lineRule="auto" w:before="103"/>
        <w:ind w:right="7049"/>
        <w:jc w:val="left"/>
      </w:pPr>
      <w:r>
        <w:rPr/>
        <w:t>公司最终控制层面持股比例</w:t>
      </w:r>
      <w:r>
        <w:rPr>
          <w:spacing w:val="-45"/>
        </w:rPr>
        <w:t> </w:t>
      </w:r>
      <w:r>
        <w:rPr>
          <w:rFonts w:ascii="Times New Roman" w:hAnsi="Times New Roman" w:cs="Times New Roman" w:eastAsia="Times New Roman" w:hint="default"/>
        </w:rPr>
        <w:t>5%</w:t>
      </w:r>
      <w:r>
        <w:rPr/>
        <w:t>以上的股东情况 法人</w:t>
      </w:r>
    </w:p>
    <w:p>
      <w:pPr>
        <w:pStyle w:val="BodyText"/>
        <w:spacing w:line="240" w:lineRule="auto" w:before="40"/>
        <w:ind w:right="0"/>
        <w:jc w:val="left"/>
      </w:pPr>
      <w:r>
        <w:rPr/>
        <w:t>最终控制层面持股情况</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97"/>
        <w:gridCol w:w="1232"/>
        <w:gridCol w:w="1702"/>
        <w:gridCol w:w="1558"/>
        <w:gridCol w:w="3080"/>
      </w:tblGrid>
      <w:tr>
        <w:trPr>
          <w:trHeight w:val="715"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最终控制层面股东名称</w:t>
            </w: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51" w:right="43" w:hanging="20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 位负责人</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9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997"/>
        <w:gridCol w:w="1232"/>
        <w:gridCol w:w="1702"/>
        <w:gridCol w:w="1558"/>
        <w:gridCol w:w="3080"/>
      </w:tblGrid>
      <w:tr>
        <w:trPr>
          <w:trHeight w:val="2588"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国务院国有资产监督管 理委员会</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1110000000001954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5B</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4"/>
              <w:jc w:val="both"/>
              <w:rPr>
                <w:rFonts w:ascii="宋体" w:hAnsi="宋体" w:cs="宋体" w:eastAsia="宋体" w:hint="default"/>
                <w:sz w:val="18"/>
                <w:szCs w:val="18"/>
              </w:rPr>
            </w:pPr>
            <w:r>
              <w:rPr>
                <w:rFonts w:ascii="宋体" w:hAnsi="宋体" w:cs="宋体" w:eastAsia="宋体" w:hint="default"/>
                <w:sz w:val="18"/>
                <w:szCs w:val="18"/>
              </w:rPr>
              <w:t>根据国务院授权，依照《中华人民共 和国公司法》等法律和行政法规履行 出资人职责，指导推进国有企业改革 和重组；对所监管企业国有资产的保 值增值进行监督，加强国有资产的管 理工作；推进国有企业的现代企业制 度建设，完善公司治理结构；推动国 有经济结构和布局的战略性调整。</w:t>
            </w:r>
          </w:p>
        </w:tc>
      </w:tr>
    </w:tbl>
    <w:p>
      <w:pPr>
        <w:pStyle w:val="BodyText"/>
        <w:spacing w:line="240" w:lineRule="auto" w:before="49"/>
        <w:ind w:right="0"/>
        <w:jc w:val="left"/>
      </w:pPr>
      <w:r>
        <w:rPr/>
        <w:t>实际控制人报告期内变更</w:t>
      </w:r>
    </w:p>
    <w:p>
      <w:pPr>
        <w:pStyle w:val="BodyText"/>
        <w:spacing w:line="340" w:lineRule="auto" w:before="117"/>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w:t>
      </w:r>
    </w:p>
    <w:p>
      <w:pPr>
        <w:spacing w:line="240" w:lineRule="auto" w:before="0"/>
        <w:rPr>
          <w:rFonts w:ascii="宋体" w:hAnsi="宋体" w:cs="宋体" w:eastAsia="宋体" w:hint="default"/>
          <w:sz w:val="18"/>
          <w:szCs w:val="18"/>
        </w:rPr>
      </w:pPr>
    </w:p>
    <w:p>
      <w:pPr>
        <w:pStyle w:val="BodyText"/>
        <w:spacing w:line="240" w:lineRule="auto" w:before="157"/>
        <w:ind w:right="0"/>
        <w:jc w:val="left"/>
      </w:pPr>
      <w:r>
        <w:rPr/>
        <w:t>实际控制人通过信托或其他资产管理方式控制公司</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365" w:right="0"/>
        <w:jc w:val="left"/>
        <w:rPr>
          <w:b w:val="0"/>
          <w:bCs w:val="0"/>
        </w:rPr>
      </w:pPr>
      <w:bookmarkStart w:name="_bookmark6" w:id="7"/>
      <w:bookmarkEnd w:id="7"/>
      <w:r>
        <w:rPr>
          <w:b w:val="0"/>
          <w:bCs w:val="0"/>
        </w:rPr>
      </w:r>
      <w:r>
        <w:rPr/>
        <w:t>第七节优先股相关情况</w:t>
      </w:r>
      <w:r>
        <w:rPr>
          <w:b w:val="0"/>
          <w:bCs w:val="0"/>
        </w:rPr>
      </w:r>
    </w:p>
    <w:p>
      <w:pPr>
        <w:spacing w:line="240" w:lineRule="auto" w:before="8"/>
        <w:rPr>
          <w:rFonts w:ascii="Microsoft JhengHei" w:hAnsi="Microsoft JhengHei" w:cs="Microsoft JhengHei" w:eastAsia="Microsoft JhengHei" w:hint="default"/>
          <w:b/>
          <w:bCs/>
          <w:sz w:val="27"/>
          <w:szCs w:val="27"/>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2723" w:right="0"/>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1758" w:right="0"/>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10"/>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797"/>
        <w:gridCol w:w="797"/>
        <w:gridCol w:w="797"/>
        <w:gridCol w:w="800"/>
        <w:gridCol w:w="797"/>
        <w:gridCol w:w="797"/>
        <w:gridCol w:w="800"/>
        <w:gridCol w:w="797"/>
        <w:gridCol w:w="799"/>
        <w:gridCol w:w="797"/>
        <w:gridCol w:w="799"/>
        <w:gridCol w:w="797"/>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3" w:right="35" w:hanging="180"/>
              <w:jc w:val="left"/>
              <w:rPr>
                <w:rFonts w:ascii="宋体" w:hAnsi="宋体" w:cs="宋体" w:eastAsia="宋体" w:hint="default"/>
                <w:sz w:val="18"/>
                <w:szCs w:val="18"/>
              </w:rPr>
            </w:pPr>
            <w:r>
              <w:rPr>
                <w:rFonts w:ascii="宋体" w:hAnsi="宋体" w:cs="宋体" w:eastAsia="宋体" w:hint="default"/>
                <w:sz w:val="18"/>
                <w:szCs w:val="18"/>
              </w:rPr>
              <w:t>其他增减 变动</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吴劲风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孙玉国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17,668,32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362" w:lineRule="auto"/>
              <w:ind w:left="45" w:right="19"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5,307,808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8,452,470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20,812,98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程 </w:t>
            </w:r>
            <w:r>
              <w:rPr>
                <w:rFonts w:ascii="宋体" w:hAnsi="宋体" w:cs="宋体" w:eastAsia="宋体" w:hint="default"/>
                <w:spacing w:val="2"/>
                <w:sz w:val="18"/>
                <w:szCs w:val="18"/>
              </w:rPr>
              <w:t> </w:t>
            </w:r>
            <w:r>
              <w:rPr>
                <w:rFonts w:ascii="宋体" w:hAnsi="宋体" w:cs="宋体" w:eastAsia="宋体" w:hint="default"/>
                <w:sz w:val="18"/>
                <w:szCs w:val="18"/>
              </w:rPr>
              <w:t>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5,218,365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360" w:lineRule="auto"/>
              <w:ind w:left="45" w:right="19"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1,956,887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2,609,182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5,870,660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李克强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吴艾今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湛炜标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钟翔平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郑永进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徐晋晖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531,876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-199,454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265,937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598,359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5"/>
        <w:rPr>
          <w:rFonts w:ascii="Microsoft JhengHei" w:hAnsi="Microsoft JhengHei" w:cs="Microsoft JhengHei" w:eastAsia="Microsoft JhengHei" w:hint="default"/>
          <w:b/>
          <w:bCs/>
          <w:sz w:val="21"/>
          <w:szCs w:val="21"/>
        </w:rPr>
      </w:pPr>
    </w:p>
    <w:tbl>
      <w:tblPr>
        <w:tblW w:w="0" w:type="auto"/>
        <w:jc w:val="left"/>
        <w:tblInd w:w="181" w:type="dxa"/>
        <w:tblLayout w:type="fixed"/>
        <w:tblCellMar>
          <w:top w:w="0" w:type="dxa"/>
          <w:left w:w="0" w:type="dxa"/>
          <w:bottom w:w="0" w:type="dxa"/>
          <w:right w:w="0" w:type="dxa"/>
        </w:tblCellMar>
        <w:tblLook w:val="01E0"/>
      </w:tblPr>
      <w:tblGrid>
        <w:gridCol w:w="797"/>
        <w:gridCol w:w="797"/>
        <w:gridCol w:w="797"/>
        <w:gridCol w:w="800"/>
        <w:gridCol w:w="797"/>
        <w:gridCol w:w="797"/>
        <w:gridCol w:w="800"/>
        <w:gridCol w:w="797"/>
        <w:gridCol w:w="799"/>
        <w:gridCol w:w="797"/>
        <w:gridCol w:w="799"/>
        <w:gridCol w:w="797"/>
      </w:tblGrid>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刘铁军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张雪娇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毕 </w:t>
            </w:r>
            <w:r>
              <w:rPr>
                <w:rFonts w:ascii="宋体" w:hAnsi="宋体" w:cs="宋体" w:eastAsia="宋体" w:hint="default"/>
                <w:spacing w:val="2"/>
                <w:sz w:val="18"/>
                <w:szCs w:val="18"/>
              </w:rPr>
              <w:t> </w:t>
            </w:r>
            <w:r>
              <w:rPr>
                <w:rFonts w:ascii="宋体" w:hAnsi="宋体" w:cs="宋体" w:eastAsia="宋体" w:hint="default"/>
                <w:sz w:val="18"/>
                <w:szCs w:val="18"/>
              </w:rPr>
              <w:t>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785,950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392,975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894,925</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戴东海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-238,750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896,250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景慕寒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875,000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金水祥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1,300,838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650,419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1,901,257</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梁永杰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575,600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-207,400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656,000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孟庆昕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41"/>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625,500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宋铁辉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姜晓明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532,500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任光明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29,330,95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45" w:right="19"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8,981,299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14,263,78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34,613,43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r>
    </w:tbl>
    <w:p>
      <w:pPr>
        <w:spacing w:line="240" w:lineRule="auto" w:before="12"/>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二、公司董事、监事、高级管理人员变动情况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1330"/>
        <w:gridCol w:w="1330"/>
        <w:gridCol w:w="1330"/>
        <w:gridCol w:w="1330"/>
        <w:gridCol w:w="4248"/>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任光明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任光明先生连续担任公司独立董事已届满六年。</w:t>
            </w:r>
          </w:p>
        </w:tc>
      </w:tr>
    </w:tbl>
    <w:p>
      <w:pPr>
        <w:spacing w:line="240" w:lineRule="auto" w:before="3"/>
        <w:rPr>
          <w:rFonts w:ascii="宋体" w:hAnsi="宋体" w:cs="宋体" w:eastAsia="宋体" w:hint="default"/>
          <w:sz w:val="18"/>
          <w:szCs w:val="18"/>
        </w:rPr>
      </w:pPr>
    </w:p>
    <w:p>
      <w:pPr>
        <w:pStyle w:val="Heading2"/>
        <w:spacing w:line="367" w:lineRule="exact"/>
        <w:ind w:right="0"/>
        <w:jc w:val="left"/>
        <w:rPr>
          <w:b w:val="0"/>
          <w:bCs w:val="0"/>
        </w:rPr>
      </w:pPr>
      <w:r>
        <w:rPr/>
        <w:t>三、任职情况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公司现任董事、监事、高级管理人员专业背景、主要工作经历以及目前在公司的主要职责</w:t>
      </w:r>
    </w:p>
    <w:p>
      <w:pPr>
        <w:spacing w:line="240" w:lineRule="auto" w:before="1"/>
        <w:rPr>
          <w:rFonts w:ascii="宋体" w:hAnsi="宋体" w:cs="宋体" w:eastAsia="宋体" w:hint="default"/>
          <w:sz w:val="22"/>
          <w:szCs w:val="22"/>
        </w:rPr>
      </w:pPr>
    </w:p>
    <w:p>
      <w:pPr>
        <w:pStyle w:val="Heading5"/>
        <w:spacing w:line="408" w:lineRule="auto" w:before="0"/>
        <w:ind w:left="573" w:right="0" w:firstLine="0"/>
        <w:jc w:val="left"/>
      </w:pPr>
      <w:r>
        <w:rPr/>
        <w:t>（</w:t>
      </w:r>
      <w:r>
        <w:rPr>
          <w:rFonts w:ascii="宋体" w:hAnsi="宋体" w:cs="宋体" w:eastAsia="宋体" w:hint="default"/>
        </w:rPr>
        <w:t>1</w:t>
      </w:r>
      <w:r>
        <w:rPr/>
        <w:t>）公司董事任职情况</w:t>
      </w:r>
      <w:r>
        <w:rPr>
          <w:rFonts w:ascii="宋体" w:hAnsi="宋体" w:cs="宋体" w:eastAsia="宋体" w:hint="default"/>
          <w:w w:val="100"/>
        </w:rPr>
        <w:t> </w:t>
      </w:r>
      <w:r>
        <w:rPr>
          <w:spacing w:val="-5"/>
        </w:rPr>
        <w:t>吴劲风先生，中国国籍，无境外居留权，</w:t>
      </w:r>
      <w:r>
        <w:rPr>
          <w:rFonts w:ascii="宋体" w:hAnsi="宋体" w:cs="宋体" w:eastAsia="宋体" w:hint="default"/>
          <w:spacing w:val="-5"/>
        </w:rPr>
        <w:t>1961</w:t>
      </w:r>
      <w:r>
        <w:rPr>
          <w:spacing w:val="-5"/>
        </w:rPr>
        <w:t>年</w:t>
      </w:r>
      <w:r>
        <w:rPr>
          <w:rFonts w:ascii="宋体" w:hAnsi="宋体" w:cs="宋体" w:eastAsia="宋体" w:hint="default"/>
          <w:spacing w:val="-5"/>
        </w:rPr>
        <w:t>9</w:t>
      </w:r>
      <w:r>
        <w:rPr>
          <w:spacing w:val="-5"/>
        </w:rPr>
        <w:t>月出生，教授级高级工程师。曾任中国通信广播卫星</w:t>
      </w:r>
    </w:p>
    <w:p>
      <w:pPr>
        <w:pStyle w:val="Heading5"/>
        <w:spacing w:line="408" w:lineRule="auto"/>
        <w:ind w:right="0" w:firstLine="0"/>
        <w:jc w:val="left"/>
        <w:rPr>
          <w:rFonts w:ascii="宋体" w:hAnsi="宋体" w:cs="宋体" w:eastAsia="宋体" w:hint="default"/>
        </w:rPr>
      </w:pPr>
      <w:r>
        <w:rPr/>
        <w:t>公司副总经理、总经理、党委委员，中国卫星通信集团公司副总经理、总经理、党委委员、党委副书记、</w:t>
      </w:r>
      <w:r>
        <w:rPr>
          <w:spacing w:val="-24"/>
        </w:rPr>
        <w:t> </w:t>
      </w:r>
      <w:r>
        <w:rPr>
          <w:spacing w:val="-24"/>
        </w:rPr>
      </w:r>
      <w:r>
        <w:rPr>
          <w:spacing w:val="-2"/>
        </w:rPr>
        <w:t>科学技术专家委员会主任，中国东方通信卫星有限责任公司董事长、总经理、党委书记，中国直播卫星有</w:t>
      </w:r>
      <w:r>
        <w:rPr>
          <w:spacing w:val="-47"/>
        </w:rPr>
        <w:t> </w:t>
      </w:r>
      <w:r>
        <w:rPr>
          <w:spacing w:val="-47"/>
        </w:rPr>
      </w:r>
      <w:r>
        <w:rPr>
          <w:spacing w:val="-2"/>
        </w:rPr>
        <w:t>限公司董事长、总经理，鑫诺卫星通信有限公司董事长，中卫星空移动电视有限公司董事长，中寰卫星导</w:t>
      </w:r>
      <w:r>
        <w:rPr>
          <w:spacing w:val="-47"/>
        </w:rPr>
        <w:t> </w:t>
      </w:r>
      <w:r>
        <w:rPr>
          <w:spacing w:val="-47"/>
        </w:rPr>
      </w:r>
      <w:r>
        <w:rPr>
          <w:spacing w:val="-2"/>
        </w:rPr>
        <w:t>航通信有限公司副董事长，亚太卫星控股有限公司非执行董事，中国伽利略卫星导航有限公司董事，中卫</w:t>
      </w:r>
      <w:r>
        <w:rPr>
          <w:spacing w:val="-43"/>
        </w:rPr>
        <w:t> </w:t>
      </w:r>
      <w:r>
        <w:rPr>
          <w:spacing w:val="-43"/>
        </w:rPr>
      </w:r>
      <w:r>
        <w:rPr>
          <w:spacing w:val="-2"/>
        </w:rPr>
        <w:t>普信宽带通信有限公司董事，直播星数字信息技术有限公司董事，中国四维测绘技术有限公司董事长、总</w:t>
      </w:r>
      <w:r>
        <w:rPr>
          <w:spacing w:val="-43"/>
        </w:rPr>
        <w:t> </w:t>
      </w:r>
      <w:r>
        <w:rPr>
          <w:spacing w:val="-43"/>
        </w:rPr>
      </w:r>
      <w:r>
        <w:rPr>
          <w:spacing w:val="-2"/>
        </w:rPr>
        <w:t>经理、党委书记。现任公司董事长，中国航天科技集团有限公司科技委副主任，中国卫通集团股份有限公</w:t>
      </w:r>
      <w:r>
        <w:rPr>
          <w:spacing w:val="-47"/>
        </w:rPr>
        <w:t> </w:t>
      </w:r>
      <w:r>
        <w:rPr>
          <w:spacing w:val="-47"/>
        </w:rPr>
      </w:r>
      <w:r>
        <w:rPr/>
        <w:t>司董事，工业和信息化部通信科学技术委员会常委。</w:t>
      </w:r>
      <w:r>
        <w:rPr>
          <w:rFonts w:ascii="宋体" w:hAnsi="宋体" w:cs="宋体" w:eastAsia="宋体" w:hint="default"/>
        </w:rPr>
        <w:t> </w:t>
      </w:r>
    </w:p>
    <w:p>
      <w:pPr>
        <w:pStyle w:val="Heading5"/>
        <w:spacing w:line="408" w:lineRule="auto"/>
        <w:ind w:right="1126"/>
        <w:jc w:val="both"/>
        <w:rPr>
          <w:rFonts w:ascii="宋体" w:hAnsi="宋体" w:cs="宋体" w:eastAsia="宋体" w:hint="default"/>
        </w:rPr>
      </w:pPr>
      <w:r>
        <w:rPr>
          <w:spacing w:val="-4"/>
        </w:rPr>
        <w:t>孙玉国先生，中国国籍，无境外居留权，</w:t>
      </w:r>
      <w:r>
        <w:rPr>
          <w:rFonts w:ascii="宋体" w:hAnsi="宋体" w:cs="宋体" w:eastAsia="宋体" w:hint="default"/>
          <w:spacing w:val="-4"/>
        </w:rPr>
        <w:t>1964</w:t>
      </w:r>
      <w:r>
        <w:rPr>
          <w:spacing w:val="-4"/>
        </w:rPr>
        <w:t>年</w:t>
      </w:r>
      <w:r>
        <w:rPr>
          <w:rFonts w:ascii="宋体" w:hAnsi="宋体" w:cs="宋体" w:eastAsia="宋体" w:hint="default"/>
          <w:spacing w:val="-4"/>
        </w:rPr>
        <w:t>7</w:t>
      </w:r>
      <w:r>
        <w:rPr>
          <w:spacing w:val="-4"/>
        </w:rPr>
        <w:t>月出生，博士研究生学历，研究员。现任公司副董事</w:t>
      </w:r>
      <w:r>
        <w:rPr>
          <w:w w:val="100"/>
        </w:rPr>
        <w:t> </w:t>
      </w:r>
      <w:r>
        <w:rPr>
          <w:spacing w:val="-2"/>
        </w:rPr>
        <w:t>长，北京图迅丰达信息技术有限公司董事长，禾多科技</w:t>
      </w:r>
      <w:r>
        <w:rPr>
          <w:rFonts w:ascii="宋体" w:hAnsi="宋体" w:cs="宋体" w:eastAsia="宋体" w:hint="default"/>
          <w:spacing w:val="-2"/>
        </w:rPr>
        <w:t>(</w:t>
      </w:r>
      <w:r>
        <w:rPr>
          <w:spacing w:val="-2"/>
        </w:rPr>
        <w:t>北京</w:t>
      </w:r>
      <w:r>
        <w:rPr>
          <w:rFonts w:ascii="宋体" w:hAnsi="宋体" w:cs="宋体" w:eastAsia="宋体" w:hint="default"/>
          <w:spacing w:val="-2"/>
        </w:rPr>
        <w:t>)</w:t>
      </w:r>
      <w:r>
        <w:rPr>
          <w:spacing w:val="-2"/>
        </w:rPr>
        <w:t>有限公司、成都返空汇网络技术有限公司董</w:t>
      </w:r>
      <w:r>
        <w:rPr>
          <w:spacing w:val="-41"/>
        </w:rPr>
        <w:t> </w:t>
      </w:r>
      <w:r>
        <w:rPr>
          <w:spacing w:val="-41"/>
        </w:rPr>
      </w:r>
      <w:r>
        <w:rPr/>
        <w:t>事，北京万兔思睿科技有限公司监事，中国地理信息产业协会会长。</w:t>
      </w:r>
      <w:r>
        <w:rPr>
          <w:rFonts w:ascii="宋体" w:hAnsi="宋体" w:cs="宋体" w:eastAsia="宋体" w:hint="default"/>
        </w:rPr>
        <w:t> </w:t>
      </w:r>
    </w:p>
    <w:p>
      <w:pPr>
        <w:pStyle w:val="Heading5"/>
        <w:spacing w:line="408" w:lineRule="auto"/>
        <w:ind w:right="1126"/>
        <w:jc w:val="both"/>
        <w:rPr>
          <w:rFonts w:ascii="宋体" w:hAnsi="宋体" w:cs="宋体" w:eastAsia="宋体" w:hint="default"/>
        </w:rPr>
      </w:pPr>
      <w:r>
        <w:rPr>
          <w:spacing w:val="-5"/>
        </w:rPr>
        <w:t>程鹏先生，中国国籍，拥有美国居留权，</w:t>
      </w:r>
      <w:r>
        <w:rPr>
          <w:rFonts w:ascii="宋体" w:hAnsi="宋体" w:cs="宋体" w:eastAsia="宋体" w:hint="default"/>
          <w:spacing w:val="-5"/>
        </w:rPr>
        <w:t>1976</w:t>
      </w:r>
      <w:r>
        <w:rPr>
          <w:spacing w:val="-5"/>
        </w:rPr>
        <w:t>年</w:t>
      </w:r>
      <w:r>
        <w:rPr>
          <w:rFonts w:ascii="宋体" w:hAnsi="宋体" w:cs="宋体" w:eastAsia="宋体" w:hint="default"/>
          <w:spacing w:val="-5"/>
        </w:rPr>
        <w:t>1</w:t>
      </w:r>
      <w:r>
        <w:rPr>
          <w:spacing w:val="-5"/>
        </w:rPr>
        <w:t>月出生，本科学历。现任公司董事、总经理，中寰卫</w:t>
      </w:r>
      <w:r>
        <w:rPr>
          <w:w w:val="100"/>
        </w:rPr>
        <w:t> </w:t>
      </w:r>
      <w:r>
        <w:rPr>
          <w:spacing w:val="-2"/>
        </w:rPr>
        <w:t>星导航通信有限公司、北京世纪高通科技有限公司、合肥杰发科技有限公司、北京图新经纬导航系统有限</w:t>
      </w:r>
      <w:r>
        <w:rPr>
          <w:spacing w:val="-45"/>
        </w:rPr>
        <w:t> </w:t>
      </w:r>
      <w:r>
        <w:rPr>
          <w:spacing w:val="-45"/>
        </w:rPr>
      </w:r>
      <w:r>
        <w:rPr>
          <w:spacing w:val="-2"/>
        </w:rPr>
        <w:t>公司、北京四维智联科技有限公司、北京六分科技有限公司董事长，北京图迅丰达信息技术有限公司、上</w:t>
      </w:r>
      <w:r>
        <w:rPr>
          <w:spacing w:val="-47"/>
        </w:rPr>
        <w:t> </w:t>
      </w:r>
      <w:r>
        <w:rPr>
          <w:spacing w:val="-47"/>
        </w:rPr>
      </w:r>
      <w:r>
        <w:rPr/>
        <w:t>海安吉四维信息技术有限公司、</w:t>
      </w:r>
      <w:r>
        <w:rPr>
          <w:rFonts w:ascii="宋体" w:hAnsi="宋体" w:cs="宋体" w:eastAsia="宋体" w:hint="default"/>
        </w:rPr>
        <w:t>Cooperatieve NavInfo</w:t>
      </w:r>
      <w:r>
        <w:rPr>
          <w:rFonts w:ascii="宋体" w:hAnsi="宋体" w:cs="宋体" w:eastAsia="宋体" w:hint="default"/>
          <w:spacing w:val="-32"/>
        </w:rPr>
        <w:t> </w:t>
      </w:r>
      <w:r>
        <w:rPr>
          <w:rFonts w:ascii="宋体" w:hAnsi="宋体" w:cs="宋体" w:eastAsia="宋体" w:hint="default"/>
        </w:rPr>
        <w:t>U.A.</w:t>
      </w:r>
      <w:r>
        <w:rPr/>
        <w:t>、北京万兔思睿科技有限公司、禾多科技</w:t>
      </w:r>
      <w:r>
        <w:rPr>
          <w:rFonts w:ascii="宋体" w:hAnsi="宋体" w:cs="宋体" w:eastAsia="宋体" w:hint="default"/>
        </w:rPr>
        <w:t>(</w:t>
      </w:r>
      <w:r>
        <w:rPr/>
        <w:t>北</w:t>
      </w:r>
      <w:r>
        <w:rPr>
          <w:w w:val="100"/>
        </w:rPr>
        <w:t> </w:t>
      </w:r>
      <w:r>
        <w:rPr/>
        <w:t>京</w:t>
      </w:r>
      <w:r>
        <w:rPr>
          <w:rFonts w:ascii="宋体" w:hAnsi="宋体" w:cs="宋体" w:eastAsia="宋体" w:hint="default"/>
        </w:rPr>
        <w:t>)</w:t>
      </w:r>
      <w:r>
        <w:rPr/>
        <w:t>有限公司董事。</w:t>
      </w:r>
      <w:r>
        <w:rPr>
          <w:rFonts w:ascii="宋体" w:hAnsi="宋体" w:cs="宋体" w:eastAsia="宋体" w:hint="default"/>
        </w:rPr>
        <w:t> </w:t>
      </w:r>
    </w:p>
    <w:p>
      <w:pPr>
        <w:pStyle w:val="Heading5"/>
        <w:spacing w:line="408" w:lineRule="auto"/>
        <w:ind w:right="0"/>
        <w:jc w:val="left"/>
        <w:rPr>
          <w:rFonts w:ascii="宋体" w:hAnsi="宋体" w:cs="宋体" w:eastAsia="宋体" w:hint="default"/>
        </w:rPr>
      </w:pPr>
      <w:r>
        <w:rPr>
          <w:spacing w:val="-5"/>
        </w:rPr>
        <w:t>李克强先生，</w:t>
      </w:r>
      <w:r>
        <w:rPr>
          <w:rFonts w:ascii="宋体" w:hAnsi="宋体" w:cs="宋体" w:eastAsia="宋体" w:hint="default"/>
          <w:spacing w:val="-5"/>
        </w:rPr>
        <w:t>1963</w:t>
      </w:r>
      <w:r>
        <w:rPr>
          <w:spacing w:val="-5"/>
        </w:rPr>
        <w:t>年</w:t>
      </w:r>
      <w:r>
        <w:rPr>
          <w:rFonts w:ascii="宋体" w:hAnsi="宋体" w:cs="宋体" w:eastAsia="宋体" w:hint="default"/>
          <w:spacing w:val="-5"/>
        </w:rPr>
        <w:t>1</w:t>
      </w:r>
      <w:r>
        <w:rPr>
          <w:spacing w:val="-5"/>
        </w:rPr>
        <w:t>月出生，中国国籍，无境外居留权，博士。曾任重庆大学汽车工程系教授、清华</w:t>
      </w:r>
      <w:r>
        <w:rPr>
          <w:w w:val="100"/>
        </w:rPr>
        <w:t> </w:t>
      </w:r>
      <w:r>
        <w:rPr/>
        <w:t>大学汽车工程系教授、清华大学汽车工程系主任。现任公司独立董事，清华大学汽车工程系教授，清华大</w:t>
      </w:r>
      <w:r>
        <w:rPr>
          <w:w w:val="100"/>
        </w:rPr>
        <w:t> </w:t>
      </w:r>
      <w:r>
        <w:rPr>
          <w:spacing w:val="-2"/>
          <w:w w:val="100"/>
        </w:rPr>
        <w:t>学智能网联车辆研究中心主任，东风汽车股份有限公司独立董事，郑州宇通客车股份有限公司独立董事。</w:t>
      </w:r>
      <w:r>
        <w:rPr>
          <w:rFonts w:ascii="宋体" w:hAnsi="宋体" w:cs="宋体" w:eastAsia="宋体" w:hint="default"/>
          <w:spacing w:val="-3"/>
          <w:w w:val="100"/>
        </w:rPr>
        <w:t> </w:t>
      </w:r>
      <w:r>
        <w:rPr>
          <w:rFonts w:ascii="宋体" w:hAnsi="宋体" w:cs="宋体" w:eastAsia="宋体" w:hint="default"/>
          <w:w w:val="100"/>
        </w:rPr>
        <w:t> </w:t>
      </w:r>
    </w:p>
    <w:p>
      <w:pPr>
        <w:pStyle w:val="Heading5"/>
        <w:spacing w:line="408" w:lineRule="auto"/>
        <w:ind w:right="1126"/>
        <w:jc w:val="both"/>
        <w:rPr>
          <w:rFonts w:ascii="宋体" w:hAnsi="宋体" w:cs="宋体" w:eastAsia="宋体" w:hint="default"/>
        </w:rPr>
      </w:pPr>
      <w:r>
        <w:rPr>
          <w:spacing w:val="-2"/>
        </w:rPr>
        <w:t>李想先生，中国国籍，无境外居留权，</w:t>
      </w:r>
      <w:r>
        <w:rPr>
          <w:rFonts w:ascii="宋体" w:hAnsi="宋体" w:cs="宋体" w:eastAsia="宋体" w:hint="default"/>
          <w:spacing w:val="-2"/>
        </w:rPr>
        <w:t>1981</w:t>
      </w:r>
      <w:r>
        <w:rPr>
          <w:spacing w:val="-2"/>
        </w:rPr>
        <w:t>年</w:t>
      </w:r>
      <w:r>
        <w:rPr>
          <w:rFonts w:ascii="宋体" w:hAnsi="宋体" w:cs="宋体" w:eastAsia="宋体" w:hint="default"/>
          <w:spacing w:val="-2"/>
        </w:rPr>
        <w:t>10</w:t>
      </w:r>
      <w:r>
        <w:rPr>
          <w:spacing w:val="-2"/>
        </w:rPr>
        <w:t>月出生。曾任北京泡泡信息技术有限公司总经理、北</w:t>
      </w:r>
      <w:r>
        <w:rPr>
          <w:w w:val="100"/>
        </w:rPr>
        <w:t> </w:t>
      </w:r>
      <w:r>
        <w:rPr>
          <w:spacing w:val="-2"/>
        </w:rPr>
        <w:t>京车之家信息技术有限公司总裁。具有</w:t>
      </w:r>
      <w:r>
        <w:rPr>
          <w:rFonts w:ascii="宋体" w:hAnsi="宋体" w:cs="宋体" w:eastAsia="宋体" w:hint="default"/>
          <w:spacing w:val="-2"/>
        </w:rPr>
        <w:t>20</w:t>
      </w:r>
      <w:r>
        <w:rPr>
          <w:spacing w:val="-2"/>
        </w:rPr>
        <w:t>年的互联网行业经验，曾带领团队从</w:t>
      </w:r>
      <w:r>
        <w:rPr>
          <w:rFonts w:ascii="宋体" w:hAnsi="宋体" w:cs="宋体" w:eastAsia="宋体" w:hint="default"/>
          <w:spacing w:val="-2"/>
        </w:rPr>
        <w:t>IT</w:t>
      </w:r>
      <w:r>
        <w:rPr>
          <w:spacing w:val="-2"/>
        </w:rPr>
        <w:t>产品向汽车业扩张，创建</w:t>
      </w:r>
      <w:r>
        <w:rPr>
          <w:spacing w:val="-39"/>
        </w:rPr>
        <w:t> </w:t>
      </w:r>
      <w:r>
        <w:rPr>
          <w:spacing w:val="-39"/>
        </w:rPr>
      </w:r>
      <w:r>
        <w:rPr>
          <w:spacing w:val="-2"/>
        </w:rPr>
        <w:t>汽车之家网站，目前汽车之家已成长为全球访问量最大的汽车网站。现任公司独立董事，北京车和家信息</w:t>
      </w:r>
      <w:r>
        <w:rPr>
          <w:spacing w:val="-44"/>
        </w:rPr>
        <w:t> </w:t>
      </w:r>
      <w:r>
        <w:rPr>
          <w:spacing w:val="-44"/>
        </w:rPr>
      </w:r>
      <w:r>
        <w:rPr>
          <w:spacing w:val="-2"/>
        </w:rPr>
        <w:t>技术有限公司董事长、总经理，空气管家（北京）科技有限公司、江苏车宜家新能源科技有限公司、北京</w:t>
      </w:r>
      <w:r>
        <w:rPr>
          <w:spacing w:val="-45"/>
        </w:rPr>
        <w:t> </w:t>
      </w:r>
      <w:r>
        <w:rPr>
          <w:spacing w:val="-45"/>
        </w:rPr>
      </w:r>
      <w:r>
        <w:rPr/>
        <w:t>易航远智科技有限公司、新石器慧通（北京）科技有限公司董事。</w:t>
      </w:r>
      <w:r>
        <w:rPr>
          <w:rFonts w:ascii="宋体" w:hAnsi="宋体" w:cs="宋体" w:eastAsia="宋体" w:hint="default"/>
        </w:rPr>
        <w:t> </w:t>
      </w:r>
    </w:p>
    <w:p>
      <w:pPr>
        <w:spacing w:after="0" w:line="408" w:lineRule="auto"/>
        <w:jc w:val="both"/>
        <w:rPr>
          <w:rFonts w:ascii="宋体" w:hAnsi="宋体" w:cs="宋体" w:eastAsia="宋体" w:hint="default"/>
        </w:rPr>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Heading5"/>
        <w:spacing w:line="408" w:lineRule="auto" w:before="176"/>
        <w:ind w:right="0"/>
        <w:jc w:val="left"/>
        <w:rPr>
          <w:rFonts w:ascii="宋体" w:hAnsi="宋体" w:cs="宋体" w:eastAsia="宋体" w:hint="default"/>
        </w:rPr>
      </w:pPr>
      <w:r>
        <w:rPr>
          <w:spacing w:val="-4"/>
        </w:rPr>
        <w:t>吴艾今女士，中国国籍，无境外居留权，</w:t>
      </w:r>
      <w:r>
        <w:rPr>
          <w:rFonts w:ascii="宋体" w:hAnsi="宋体" w:cs="宋体" w:eastAsia="宋体" w:hint="default"/>
          <w:spacing w:val="-4"/>
        </w:rPr>
        <w:t>1970</w:t>
      </w:r>
      <w:r>
        <w:rPr>
          <w:spacing w:val="-4"/>
        </w:rPr>
        <w:t>年出生，北大光华管理学院工商管理硕士（</w:t>
      </w:r>
      <w:r>
        <w:rPr>
          <w:rFonts w:ascii="宋体" w:hAnsi="宋体" w:cs="宋体" w:eastAsia="宋体" w:hint="default"/>
          <w:spacing w:val="-4"/>
        </w:rPr>
        <w:t>MBA</w:t>
      </w:r>
      <w:r>
        <w:rPr>
          <w:spacing w:val="-4"/>
        </w:rPr>
        <w:t>），中国</w:t>
      </w:r>
      <w:r>
        <w:rPr>
          <w:w w:val="100"/>
        </w:rPr>
        <w:t> </w:t>
      </w:r>
      <w:r>
        <w:rPr/>
        <w:t>注册会计师、国际注册咨询师。曾任中天会计师事务所审计部项目经理，信永中和会计师事务所合伙人。</w:t>
      </w:r>
      <w:r>
        <w:rPr>
          <w:spacing w:val="-24"/>
        </w:rPr>
        <w:t> </w:t>
      </w:r>
      <w:r>
        <w:rPr>
          <w:spacing w:val="-24"/>
        </w:rPr>
      </w:r>
      <w:r>
        <w:rPr/>
        <w:t>现任公司独立董事，北京天润坤泽财务管理咨询公司总经理、合伙人。</w:t>
      </w:r>
      <w:r>
        <w:rPr>
          <w:rFonts w:ascii="宋体" w:hAnsi="宋体" w:cs="宋体" w:eastAsia="宋体" w:hint="default"/>
        </w:rPr>
        <w:t> </w:t>
      </w:r>
    </w:p>
    <w:p>
      <w:pPr>
        <w:pStyle w:val="Heading5"/>
        <w:spacing w:line="408" w:lineRule="auto"/>
        <w:ind w:right="1020"/>
        <w:jc w:val="left"/>
        <w:rPr>
          <w:rFonts w:ascii="宋体" w:hAnsi="宋体" w:cs="宋体" w:eastAsia="宋体" w:hint="default"/>
        </w:rPr>
      </w:pPr>
      <w:r>
        <w:rPr>
          <w:spacing w:val="-5"/>
        </w:rPr>
        <w:t>湛炜标先生，中国国籍，无境外居留权，</w:t>
      </w:r>
      <w:r>
        <w:rPr>
          <w:rFonts w:ascii="宋体" w:hAnsi="宋体" w:cs="宋体" w:eastAsia="宋体" w:hint="default"/>
          <w:spacing w:val="-5"/>
        </w:rPr>
        <w:t>1973</w:t>
      </w:r>
      <w:r>
        <w:rPr>
          <w:spacing w:val="-5"/>
        </w:rPr>
        <w:t>年</w:t>
      </w:r>
      <w:r>
        <w:rPr>
          <w:rFonts w:ascii="宋体" w:hAnsi="宋体" w:cs="宋体" w:eastAsia="宋体" w:hint="default"/>
          <w:spacing w:val="-5"/>
        </w:rPr>
        <w:t>9</w:t>
      </w:r>
      <w:r>
        <w:rPr>
          <w:spacing w:val="-5"/>
        </w:rPr>
        <w:t>月出生，硕士学位。曾任金蝶软件（中国）有限公司</w:t>
      </w:r>
      <w:r>
        <w:rPr>
          <w:w w:val="100"/>
        </w:rPr>
        <w:t> </w:t>
      </w:r>
      <w:r>
        <w:rPr>
          <w:spacing w:val="-2"/>
        </w:rPr>
        <w:t>项目经理、微软（中国）有限公司华南区企业服务部经理。于</w:t>
      </w:r>
      <w:r>
        <w:rPr>
          <w:rFonts w:ascii="宋体" w:hAnsi="宋体" w:cs="宋体" w:eastAsia="宋体" w:hint="default"/>
          <w:spacing w:val="-2"/>
        </w:rPr>
        <w:t>2003</w:t>
      </w:r>
      <w:r>
        <w:rPr>
          <w:spacing w:val="-2"/>
        </w:rPr>
        <w:t>年加入腾讯公司。现任公司董事，腾讯</w:t>
      </w:r>
      <w:r>
        <w:rPr>
          <w:spacing w:val="-39"/>
        </w:rPr>
        <w:t> </w:t>
      </w:r>
      <w:r>
        <w:rPr>
          <w:spacing w:val="-39"/>
        </w:rPr>
      </w:r>
      <w:r>
        <w:rPr/>
        <w:t>投资合伙人，腾讯金融科技副总裁，北京转转精神科技有限责任公司、天津转转世界科技有限责任公司、</w:t>
      </w:r>
      <w:r>
        <w:rPr>
          <w:spacing w:val="-24"/>
        </w:rPr>
        <w:t> </w:t>
      </w:r>
      <w:r>
        <w:rPr>
          <w:spacing w:val="-24"/>
        </w:rPr>
      </w:r>
      <w:r>
        <w:rPr>
          <w:rFonts w:ascii="宋体" w:hAnsi="宋体" w:cs="宋体" w:eastAsia="宋体" w:hint="default"/>
        </w:rPr>
        <w:t>ZHUAN SPIRIT HOLDINGS</w:t>
      </w:r>
      <w:r>
        <w:rPr>
          <w:rFonts w:ascii="宋体" w:hAnsi="宋体" w:cs="宋体" w:eastAsia="宋体" w:hint="default"/>
          <w:spacing w:val="74"/>
        </w:rPr>
        <w:t> </w:t>
      </w:r>
      <w:r>
        <w:rPr>
          <w:rFonts w:ascii="宋体" w:hAnsi="宋体" w:cs="宋体" w:eastAsia="宋体" w:hint="default"/>
        </w:rPr>
        <w:t>LIMITED</w:t>
      </w:r>
      <w:r>
        <w:rPr/>
        <w:t>、益盟股份有限公司、深圳市泰捷软件技术有限公司、北京知道创宇信</w:t>
      </w:r>
      <w:r>
        <w:rPr>
          <w:w w:val="100"/>
        </w:rPr>
        <w:t> </w:t>
      </w:r>
      <w:r>
        <w:rPr>
          <w:spacing w:val="-2"/>
        </w:rPr>
        <w:t>息技术有限公司、深圳微众金融科技集团股份有限公司、天津五八金服有限公司、广东腾南网络信息科技</w:t>
      </w:r>
      <w:r>
        <w:rPr>
          <w:spacing w:val="-45"/>
        </w:rPr>
        <w:t> </w:t>
      </w:r>
      <w:r>
        <w:rPr>
          <w:spacing w:val="-45"/>
        </w:rPr>
      </w:r>
      <w:r>
        <w:rPr>
          <w:spacing w:val="-2"/>
        </w:rPr>
        <w:t>有限公司、湖北腾楚网络科技有限责任公司、天津猫眼微影文化传媒有限公司、北京微影时代科技有限公</w:t>
      </w:r>
      <w:r>
        <w:rPr>
          <w:spacing w:val="-43"/>
        </w:rPr>
        <w:t> </w:t>
      </w:r>
      <w:r>
        <w:rPr>
          <w:spacing w:val="-43"/>
        </w:rPr>
      </w:r>
      <w:r>
        <w:rPr/>
        <w:t>司、</w:t>
      </w:r>
      <w:r>
        <w:rPr>
          <w:rFonts w:ascii="宋体" w:hAnsi="宋体" w:cs="宋体" w:eastAsia="宋体" w:hint="default"/>
        </w:rPr>
        <w:t>Infinium</w:t>
      </w:r>
      <w:r>
        <w:rPr>
          <w:rFonts w:ascii="宋体" w:hAnsi="宋体" w:cs="宋体" w:eastAsia="宋体" w:hint="default"/>
          <w:spacing w:val="-28"/>
        </w:rPr>
        <w:t> </w:t>
      </w:r>
      <w:r>
        <w:rPr>
          <w:rFonts w:ascii="宋体" w:hAnsi="宋体" w:cs="宋体" w:eastAsia="宋体" w:hint="default"/>
        </w:rPr>
        <w:t>Limited</w:t>
      </w:r>
      <w:r>
        <w:rPr/>
        <w:t>、</w:t>
      </w:r>
      <w:r>
        <w:rPr>
          <w:rFonts w:ascii="宋体" w:hAnsi="宋体" w:cs="宋体" w:eastAsia="宋体" w:hint="default"/>
        </w:rPr>
        <w:t>Infinium</w:t>
      </w:r>
      <w:r>
        <w:rPr>
          <w:rFonts w:ascii="宋体" w:hAnsi="宋体" w:cs="宋体" w:eastAsia="宋体" w:hint="default"/>
          <w:spacing w:val="-28"/>
        </w:rPr>
        <w:t> </w:t>
      </w:r>
      <w:r>
        <w:rPr>
          <w:rFonts w:ascii="宋体" w:hAnsi="宋体" w:cs="宋体" w:eastAsia="宋体" w:hint="default"/>
        </w:rPr>
        <w:t>Hong</w:t>
      </w:r>
      <w:r>
        <w:rPr>
          <w:rFonts w:ascii="宋体" w:hAnsi="宋体" w:cs="宋体" w:eastAsia="宋体" w:hint="default"/>
          <w:spacing w:val="-28"/>
        </w:rPr>
        <w:t> </w:t>
      </w:r>
      <w:r>
        <w:rPr>
          <w:rFonts w:ascii="宋体" w:hAnsi="宋体" w:cs="宋体" w:eastAsia="宋体" w:hint="default"/>
        </w:rPr>
        <w:t>Kong</w:t>
      </w:r>
      <w:r>
        <w:rPr>
          <w:rFonts w:ascii="宋体" w:hAnsi="宋体" w:cs="宋体" w:eastAsia="宋体" w:hint="default"/>
          <w:spacing w:val="-28"/>
        </w:rPr>
        <w:t> </w:t>
      </w:r>
      <w:r>
        <w:rPr>
          <w:rFonts w:ascii="宋体" w:hAnsi="宋体" w:cs="宋体" w:eastAsia="宋体" w:hint="default"/>
        </w:rPr>
        <w:t>Holdings</w:t>
      </w:r>
      <w:r>
        <w:rPr>
          <w:rFonts w:ascii="宋体" w:hAnsi="宋体" w:cs="宋体" w:eastAsia="宋体" w:hint="default"/>
          <w:spacing w:val="-28"/>
        </w:rPr>
        <w:t> </w:t>
      </w:r>
      <w:r>
        <w:rPr>
          <w:rFonts w:ascii="宋体" w:hAnsi="宋体" w:cs="宋体" w:eastAsia="宋体" w:hint="default"/>
        </w:rPr>
        <w:t>Limited</w:t>
      </w:r>
      <w:r>
        <w:rPr/>
        <w:t>、滨海（天津）金融资产交易中心股份有</w:t>
      </w:r>
      <w:r>
        <w:rPr>
          <w:w w:val="100"/>
        </w:rPr>
        <w:t> </w:t>
      </w:r>
      <w:r>
        <w:rPr/>
        <w:t>限公司、</w:t>
      </w:r>
      <w:r>
        <w:rPr>
          <w:rFonts w:ascii="宋体" w:hAnsi="宋体" w:cs="宋体" w:eastAsia="宋体" w:hint="default"/>
        </w:rPr>
        <w:t>XIMALAYA INC.</w:t>
      </w:r>
      <w:r>
        <w:rPr/>
        <w:t>、</w:t>
      </w:r>
      <w:r>
        <w:rPr>
          <w:rFonts w:ascii="宋体" w:hAnsi="宋体" w:cs="宋体" w:eastAsia="宋体" w:hint="default"/>
        </w:rPr>
        <w:t>Chenqi Technology</w:t>
      </w:r>
      <w:r>
        <w:rPr>
          <w:rFonts w:ascii="宋体" w:hAnsi="宋体" w:cs="宋体" w:eastAsia="宋体" w:hint="default"/>
          <w:spacing w:val="-31"/>
        </w:rPr>
        <w:t> </w:t>
      </w:r>
      <w:r>
        <w:rPr>
          <w:rFonts w:ascii="宋体" w:hAnsi="宋体" w:cs="宋体" w:eastAsia="宋体" w:hint="default"/>
        </w:rPr>
        <w:t>Limited</w:t>
      </w:r>
      <w:r>
        <w:rPr/>
        <w:t>、广州宸祺出行科技有限公司、广州宸祺汽车服务</w:t>
      </w:r>
      <w:r>
        <w:rPr>
          <w:w w:val="100"/>
        </w:rPr>
        <w:t> </w:t>
      </w:r>
      <w:r>
        <w:rPr/>
        <w:t>有限公司、观澜网络（杭州）有限公司董事。</w:t>
      </w:r>
      <w:r>
        <w:rPr>
          <w:rFonts w:ascii="宋体" w:hAnsi="宋体" w:cs="宋体" w:eastAsia="宋体" w:hint="default"/>
        </w:rPr>
        <w:t> </w:t>
      </w:r>
    </w:p>
    <w:p>
      <w:pPr>
        <w:pStyle w:val="Heading5"/>
        <w:spacing w:line="408" w:lineRule="auto"/>
        <w:ind w:right="1126"/>
        <w:jc w:val="both"/>
        <w:rPr>
          <w:rFonts w:ascii="宋体" w:hAnsi="宋体" w:cs="宋体" w:eastAsia="宋体" w:hint="default"/>
        </w:rPr>
      </w:pPr>
      <w:r>
        <w:rPr>
          <w:spacing w:val="-2"/>
        </w:rPr>
        <w:t>钟翔平先生，中国国籍，无境外居留权，</w:t>
      </w:r>
      <w:r>
        <w:rPr>
          <w:rFonts w:ascii="宋体" w:hAnsi="宋体" w:cs="宋体" w:eastAsia="宋体" w:hint="default"/>
          <w:spacing w:val="-2"/>
        </w:rPr>
        <w:t>1976</w:t>
      </w:r>
      <w:r>
        <w:rPr>
          <w:spacing w:val="-2"/>
        </w:rPr>
        <w:t>年出生，南京大学计算机科学与技术系计算机应用技术</w:t>
      </w:r>
      <w:r>
        <w:rPr>
          <w:w w:val="100"/>
        </w:rPr>
        <w:t> </w:t>
      </w:r>
      <w:r>
        <w:rPr>
          <w:spacing w:val="-5"/>
        </w:rPr>
        <w:t>专业硕士毕业。</w:t>
      </w:r>
      <w:r>
        <w:rPr>
          <w:rFonts w:ascii="宋体" w:hAnsi="宋体" w:cs="宋体" w:eastAsia="宋体" w:hint="default"/>
          <w:spacing w:val="-5"/>
        </w:rPr>
        <w:t>2004</w:t>
      </w:r>
      <w:r>
        <w:rPr>
          <w:spacing w:val="-5"/>
        </w:rPr>
        <w:t>年</w:t>
      </w:r>
      <w:r>
        <w:rPr>
          <w:rFonts w:ascii="宋体" w:hAnsi="宋体" w:cs="宋体" w:eastAsia="宋体" w:hint="default"/>
          <w:spacing w:val="-5"/>
        </w:rPr>
        <w:t>7</w:t>
      </w:r>
      <w:r>
        <w:rPr>
          <w:spacing w:val="-5"/>
        </w:rPr>
        <w:t>月加盟腾讯，组织成立腾讯无线研发部，作为负责人牵头启动了浏览器项目，孵化</w:t>
      </w:r>
      <w:r>
        <w:rPr>
          <w:spacing w:val="-3"/>
        </w:rPr>
        <w:t> </w:t>
      </w:r>
      <w:r>
        <w:rPr>
          <w:spacing w:val="-3"/>
        </w:rPr>
      </w:r>
      <w:r>
        <w:rPr>
          <w:spacing w:val="-2"/>
        </w:rPr>
        <w:t>了手机</w:t>
      </w:r>
      <w:r>
        <w:rPr>
          <w:rFonts w:ascii="宋体" w:hAnsi="宋体" w:cs="宋体" w:eastAsia="宋体" w:hint="default"/>
          <w:spacing w:val="-2"/>
        </w:rPr>
        <w:t>QQ</w:t>
      </w:r>
      <w:r>
        <w:rPr>
          <w:spacing w:val="-2"/>
        </w:rPr>
        <w:t>浏览器基础版本，带领</w:t>
      </w:r>
      <w:r>
        <w:rPr>
          <w:rFonts w:ascii="宋体" w:hAnsi="宋体" w:cs="宋体" w:eastAsia="宋体" w:hint="default"/>
          <w:spacing w:val="-2"/>
        </w:rPr>
        <w:t>QQ</w:t>
      </w:r>
      <w:r>
        <w:rPr>
          <w:spacing w:val="-2"/>
        </w:rPr>
        <w:t>浏览器业务从低谷突破，业务从低点起步，最终成为移动浏览行业领跑</w:t>
      </w:r>
      <w:r>
        <w:rPr>
          <w:spacing w:val="-39"/>
        </w:rPr>
        <w:t> </w:t>
      </w:r>
      <w:r>
        <w:rPr>
          <w:spacing w:val="-39"/>
        </w:rPr>
      </w:r>
      <w:r>
        <w:rPr>
          <w:spacing w:val="-7"/>
        </w:rPr>
        <w:t>者。作为腾讯智慧出行业务单元及智能平台业务负责人，全面负责腾讯地图、腾讯车联网、腾讯自动驾驶、</w:t>
      </w:r>
      <w:r>
        <w:rPr>
          <w:spacing w:val="-18"/>
        </w:rPr>
        <w:t> </w:t>
      </w:r>
      <w:r>
        <w:rPr>
          <w:spacing w:val="-18"/>
        </w:rPr>
      </w:r>
      <w:r>
        <w:rPr>
          <w:spacing w:val="-2"/>
        </w:rPr>
        <w:t>腾讯位置服务、腾讯乘车码、腾讯叮当、腾讯智能翻译等业务及团队管理工作，带领团队在智能网联汽车</w:t>
      </w:r>
      <w:r>
        <w:rPr>
          <w:spacing w:val="-47"/>
        </w:rPr>
        <w:t> </w:t>
      </w:r>
      <w:r>
        <w:rPr>
          <w:spacing w:val="-47"/>
        </w:rPr>
      </w:r>
      <w:r>
        <w:rPr>
          <w:spacing w:val="-2"/>
        </w:rPr>
        <w:t>解决方案、自动驾驶技术、高精度地图及仿真平台等技术领域取得领先优势，并在语音、语义、图像识别</w:t>
      </w:r>
      <w:r>
        <w:rPr>
          <w:spacing w:val="-43"/>
        </w:rPr>
        <w:t> </w:t>
      </w:r>
      <w:r>
        <w:rPr>
          <w:spacing w:val="-43"/>
        </w:rPr>
      </w:r>
      <w:r>
        <w:rPr/>
        <w:t>等技术研究领域取得丰厚积累。现任公司董事，腾讯公司副总裁。</w:t>
      </w:r>
      <w:r>
        <w:rPr>
          <w:rFonts w:ascii="宋体" w:hAnsi="宋体" w:cs="宋体" w:eastAsia="宋体" w:hint="default"/>
        </w:rPr>
        <w:t> </w:t>
      </w:r>
    </w:p>
    <w:p>
      <w:pPr>
        <w:pStyle w:val="Heading5"/>
        <w:spacing w:line="408" w:lineRule="auto"/>
        <w:ind w:right="1126"/>
        <w:jc w:val="both"/>
        <w:rPr>
          <w:rFonts w:ascii="宋体" w:hAnsi="宋体" w:cs="宋体" w:eastAsia="宋体" w:hint="default"/>
        </w:rPr>
      </w:pPr>
      <w:r>
        <w:rPr>
          <w:spacing w:val="-4"/>
        </w:rPr>
        <w:t>郑永进先生，中国国籍，无境外居留权，</w:t>
      </w:r>
      <w:r>
        <w:rPr>
          <w:rFonts w:ascii="宋体" w:hAnsi="宋体" w:cs="宋体" w:eastAsia="宋体" w:hint="default"/>
          <w:spacing w:val="-4"/>
        </w:rPr>
        <w:t>1970</w:t>
      </w:r>
      <w:r>
        <w:rPr>
          <w:spacing w:val="-4"/>
        </w:rPr>
        <w:t>年</w:t>
      </w:r>
      <w:r>
        <w:rPr>
          <w:rFonts w:ascii="宋体" w:hAnsi="宋体" w:cs="宋体" w:eastAsia="宋体" w:hint="default"/>
          <w:spacing w:val="-4"/>
        </w:rPr>
        <w:t>4</w:t>
      </w:r>
      <w:r>
        <w:rPr>
          <w:spacing w:val="-4"/>
        </w:rPr>
        <w:t>月出生，高级会计师，</w:t>
      </w:r>
      <w:r>
        <w:rPr>
          <w:rFonts w:ascii="宋体" w:hAnsi="宋体" w:cs="宋体" w:eastAsia="宋体" w:hint="default"/>
          <w:spacing w:val="-4"/>
        </w:rPr>
        <w:t>EMBA</w:t>
      </w:r>
      <w:r>
        <w:rPr>
          <w:spacing w:val="-4"/>
        </w:rPr>
        <w:t>。曾任中国航天科技集团</w:t>
      </w:r>
      <w:r>
        <w:rPr>
          <w:w w:val="100"/>
        </w:rPr>
        <w:t> </w:t>
      </w:r>
      <w:r>
        <w:rPr>
          <w:spacing w:val="-2"/>
        </w:rPr>
        <w:t>公司经营投资部处长、中国四维测绘技术有限公司副总经理、财务总监。现任公司董事，中国四维测绘技</w:t>
      </w:r>
      <w:r>
        <w:rPr>
          <w:spacing w:val="-47"/>
        </w:rPr>
        <w:t> </w:t>
      </w:r>
      <w:r>
        <w:rPr>
          <w:spacing w:val="-47"/>
        </w:rPr>
      </w:r>
      <w:r>
        <w:rPr/>
        <w:t>术有限公司财务总监。</w:t>
      </w:r>
      <w:r>
        <w:rPr>
          <w:rFonts w:ascii="宋体" w:hAnsi="宋体" w:cs="宋体" w:eastAsia="宋体" w:hint="default"/>
        </w:rPr>
        <w:t> </w:t>
      </w:r>
    </w:p>
    <w:p>
      <w:pPr>
        <w:spacing w:line="240" w:lineRule="auto" w:before="7"/>
        <w:rPr>
          <w:rFonts w:ascii="宋体" w:hAnsi="宋体" w:cs="宋体" w:eastAsia="宋体" w:hint="default"/>
          <w:sz w:val="15"/>
          <w:szCs w:val="15"/>
        </w:rPr>
      </w:pPr>
    </w:p>
    <w:p>
      <w:pPr>
        <w:pStyle w:val="Heading5"/>
        <w:spacing w:line="408" w:lineRule="auto" w:before="0"/>
        <w:ind w:left="573" w:right="0" w:firstLine="0"/>
        <w:jc w:val="left"/>
      </w:pPr>
      <w:r>
        <w:rPr/>
        <w:t>（</w:t>
      </w:r>
      <w:r>
        <w:rPr>
          <w:rFonts w:ascii="宋体" w:hAnsi="宋体" w:cs="宋体" w:eastAsia="宋体" w:hint="default"/>
        </w:rPr>
        <w:t>2</w:t>
      </w:r>
      <w:r>
        <w:rPr/>
        <w:t>）公司监事任职情况</w:t>
      </w:r>
      <w:r>
        <w:rPr>
          <w:rFonts w:ascii="宋体" w:hAnsi="宋体" w:cs="宋体" w:eastAsia="宋体" w:hint="default"/>
          <w:w w:val="100"/>
        </w:rPr>
        <w:t> </w:t>
      </w:r>
      <w:r>
        <w:rPr>
          <w:spacing w:val="-5"/>
        </w:rPr>
        <w:t>徐晋晖先生，中国国籍，无境外居留权，</w:t>
      </w:r>
      <w:r>
        <w:rPr>
          <w:rFonts w:ascii="宋体" w:hAnsi="宋体" w:cs="宋体" w:eastAsia="宋体" w:hint="default"/>
          <w:spacing w:val="-5"/>
        </w:rPr>
        <w:t>1966</w:t>
      </w:r>
      <w:r>
        <w:rPr>
          <w:spacing w:val="-5"/>
        </w:rPr>
        <w:t>年</w:t>
      </w:r>
      <w:r>
        <w:rPr>
          <w:rFonts w:ascii="宋体" w:hAnsi="宋体" w:cs="宋体" w:eastAsia="宋体" w:hint="default"/>
          <w:spacing w:val="-5"/>
        </w:rPr>
        <w:t>4</w:t>
      </w:r>
      <w:r>
        <w:rPr>
          <w:spacing w:val="-5"/>
        </w:rPr>
        <w:t>月出生，博士，研究员。曾任烟台大学教师，中讯通</w:t>
      </w:r>
    </w:p>
    <w:p>
      <w:pPr>
        <w:pStyle w:val="Heading5"/>
        <w:spacing w:line="408" w:lineRule="auto"/>
        <w:ind w:right="1129" w:firstLine="0"/>
        <w:jc w:val="both"/>
        <w:rPr>
          <w:rFonts w:ascii="宋体" w:hAnsi="宋体" w:cs="宋体" w:eastAsia="宋体" w:hint="default"/>
        </w:rPr>
      </w:pPr>
      <w:r>
        <w:rPr>
          <w:spacing w:val="-2"/>
        </w:rPr>
        <w:t>信发展有限公司技术经理，北京四维图新科技股份有限公司研发部副经理、经理、技术中心副总监、地图</w:t>
      </w:r>
      <w:r>
        <w:rPr>
          <w:spacing w:val="-47"/>
        </w:rPr>
        <w:t> </w:t>
      </w:r>
      <w:r>
        <w:rPr>
          <w:spacing w:val="-47"/>
        </w:rPr>
      </w:r>
      <w:r>
        <w:rPr>
          <w:spacing w:val="-7"/>
        </w:rPr>
        <w:t>中心总监、工程技术中心主任。现任公司监事会主席，北京世纪高通科技有限公司总工，北京中科劲点（北</w:t>
      </w:r>
      <w:r>
        <w:rPr>
          <w:spacing w:val="-23"/>
        </w:rPr>
        <w:t> </w:t>
      </w:r>
      <w:r>
        <w:rPr>
          <w:spacing w:val="-23"/>
        </w:rPr>
      </w:r>
      <w:r>
        <w:rPr/>
        <w:t>京）科技有限公司董事。</w:t>
      </w:r>
      <w:r>
        <w:rPr>
          <w:rFonts w:ascii="宋体" w:hAnsi="宋体" w:cs="宋体" w:eastAsia="宋体" w:hint="default"/>
        </w:rPr>
        <w:t> </w:t>
      </w:r>
    </w:p>
    <w:p>
      <w:pPr>
        <w:pStyle w:val="Heading5"/>
        <w:spacing w:line="408" w:lineRule="auto"/>
        <w:ind w:right="0"/>
        <w:jc w:val="left"/>
      </w:pPr>
      <w:r>
        <w:rPr>
          <w:spacing w:val="-2"/>
        </w:rPr>
        <w:t>刘铁军先生，中国国籍，无境外居留权，</w:t>
      </w:r>
      <w:r>
        <w:rPr>
          <w:rFonts w:ascii="宋体" w:hAnsi="宋体" w:cs="宋体" w:eastAsia="宋体" w:hint="default"/>
          <w:spacing w:val="-2"/>
        </w:rPr>
        <w:t>1977</w:t>
      </w:r>
      <w:r>
        <w:rPr>
          <w:spacing w:val="-2"/>
        </w:rPr>
        <w:t>年</w:t>
      </w:r>
      <w:r>
        <w:rPr>
          <w:rFonts w:ascii="宋体" w:hAnsi="宋体" w:cs="宋体" w:eastAsia="宋体" w:hint="default"/>
          <w:spacing w:val="-2"/>
        </w:rPr>
        <w:t>10</w:t>
      </w:r>
      <w:r>
        <w:rPr>
          <w:spacing w:val="-2"/>
        </w:rPr>
        <w:t>月出生，研究员，博士。曾任新疆地质矿产勘查开</w:t>
      </w:r>
      <w:r>
        <w:rPr>
          <w:w w:val="100"/>
        </w:rPr>
        <w:t> </w:t>
      </w:r>
      <w:r>
        <w:rPr>
          <w:spacing w:val="-2"/>
        </w:rPr>
        <w:t>发局第一区域地质调查大队遥感中心技术负责、中国城市建设研究院有限公司工程师、中国四维测绘技术</w:t>
      </w:r>
    </w:p>
    <w:p>
      <w:pPr>
        <w:spacing w:after="0" w:line="408"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Heading5"/>
        <w:spacing w:line="408" w:lineRule="auto" w:before="176"/>
        <w:ind w:left="573" w:right="0" w:hanging="421"/>
        <w:jc w:val="left"/>
      </w:pPr>
      <w:r>
        <w:rPr>
          <w:spacing w:val="-2"/>
          <w:w w:val="100"/>
        </w:rPr>
        <w:t>有限公司研究发展部副部长。现任公司监事，中国四维测绘技术有限公司遥感与导航应用事业部副部长。</w:t>
      </w:r>
      <w:r>
        <w:rPr>
          <w:spacing w:val="-102"/>
          <w:w w:val="100"/>
        </w:rPr>
        <w:t> </w:t>
      </w:r>
      <w:r>
        <w:rPr>
          <w:rFonts w:ascii="宋体" w:hAnsi="宋体" w:cs="宋体" w:eastAsia="宋体" w:hint="default"/>
          <w:spacing w:val="-102"/>
          <w:w w:val="100"/>
        </w:rPr>
      </w:r>
      <w:r>
        <w:rPr>
          <w:spacing w:val="-2"/>
        </w:rPr>
        <w:t>张雪娇女士，中国国籍，无境外居留权，</w:t>
      </w:r>
      <w:r>
        <w:rPr>
          <w:rFonts w:ascii="宋体" w:hAnsi="宋体" w:cs="宋体" w:eastAsia="宋体" w:hint="default"/>
          <w:spacing w:val="-2"/>
        </w:rPr>
        <w:t>1983</w:t>
      </w:r>
      <w:r>
        <w:rPr>
          <w:spacing w:val="-2"/>
        </w:rPr>
        <w:t>年</w:t>
      </w:r>
      <w:r>
        <w:rPr>
          <w:rFonts w:ascii="宋体" w:hAnsi="宋体" w:cs="宋体" w:eastAsia="宋体" w:hint="default"/>
          <w:spacing w:val="-2"/>
        </w:rPr>
        <w:t>12</w:t>
      </w:r>
      <w:r>
        <w:rPr>
          <w:spacing w:val="-2"/>
        </w:rPr>
        <w:t>月出生，硕士学位，研究生同等学历，毕业于加拿</w:t>
      </w:r>
    </w:p>
    <w:p>
      <w:pPr>
        <w:pStyle w:val="Heading5"/>
        <w:spacing w:line="408" w:lineRule="auto"/>
        <w:ind w:right="0" w:firstLine="0"/>
        <w:jc w:val="left"/>
        <w:rPr>
          <w:rFonts w:ascii="宋体" w:hAnsi="宋体" w:cs="宋体" w:eastAsia="宋体" w:hint="default"/>
        </w:rPr>
      </w:pPr>
      <w:r>
        <w:rPr/>
        <w:t>大英属哥伦比亚大学。于</w:t>
      </w:r>
      <w:r>
        <w:rPr>
          <w:rFonts w:ascii="宋体" w:hAnsi="宋体" w:cs="宋体" w:eastAsia="宋体" w:hint="default"/>
        </w:rPr>
        <w:t>2014</w:t>
      </w:r>
      <w:r>
        <w:rPr/>
        <w:t>年</w:t>
      </w:r>
      <w:r>
        <w:rPr>
          <w:rFonts w:ascii="宋体" w:hAnsi="宋体" w:cs="宋体" w:eastAsia="宋体" w:hint="default"/>
        </w:rPr>
        <w:t>8</w:t>
      </w:r>
      <w:r>
        <w:rPr/>
        <w:t>月入职北京四维图新科技股份有限公司，担任副总裁助理。现任公司监</w:t>
      </w:r>
      <w:r>
        <w:rPr>
          <w:spacing w:val="-27"/>
        </w:rPr>
        <w:t> </w:t>
      </w:r>
      <w:r>
        <w:rPr>
          <w:spacing w:val="-27"/>
        </w:rPr>
      </w:r>
      <w:r>
        <w:rPr/>
        <w:t>事，总裁助理。</w:t>
      </w:r>
      <w:r>
        <w:rPr>
          <w:rFonts w:ascii="宋体" w:hAnsi="宋体" w:cs="宋体" w:eastAsia="宋体" w:hint="default"/>
        </w:rPr>
        <w:t> </w:t>
      </w:r>
    </w:p>
    <w:p>
      <w:pPr>
        <w:spacing w:line="240" w:lineRule="auto" w:before="6"/>
        <w:rPr>
          <w:rFonts w:ascii="宋体" w:hAnsi="宋体" w:cs="宋体" w:eastAsia="宋体" w:hint="default"/>
          <w:sz w:val="15"/>
          <w:szCs w:val="15"/>
        </w:rPr>
      </w:pPr>
    </w:p>
    <w:p>
      <w:pPr>
        <w:pStyle w:val="Heading5"/>
        <w:spacing w:line="408" w:lineRule="auto" w:before="0"/>
        <w:ind w:left="573" w:right="6474" w:firstLine="0"/>
        <w:jc w:val="left"/>
        <w:rPr>
          <w:rFonts w:ascii="宋体" w:hAnsi="宋体" w:cs="宋体" w:eastAsia="宋体" w:hint="default"/>
        </w:rPr>
      </w:pPr>
      <w:r>
        <w:rPr/>
        <w:t>（</w:t>
      </w:r>
      <w:r>
        <w:rPr>
          <w:rFonts w:ascii="宋体" w:hAnsi="宋体" w:cs="宋体" w:eastAsia="宋体" w:hint="default"/>
        </w:rPr>
        <w:t>3</w:t>
      </w:r>
      <w:r>
        <w:rPr/>
        <w:t>）公司高级管理人员任职情况</w:t>
      </w:r>
      <w:r>
        <w:rPr>
          <w:rFonts w:ascii="宋体" w:hAnsi="宋体" w:cs="宋体" w:eastAsia="宋体" w:hint="default"/>
          <w:w w:val="100"/>
        </w:rPr>
        <w:t> </w:t>
      </w:r>
      <w:r>
        <w:rPr/>
        <w:t>程鹏先生简历同董事简历。</w:t>
      </w:r>
      <w:r>
        <w:rPr>
          <w:rFonts w:ascii="宋体" w:hAnsi="宋体" w:cs="宋体" w:eastAsia="宋体" w:hint="default"/>
        </w:rPr>
        <w:t> </w:t>
      </w:r>
    </w:p>
    <w:p>
      <w:pPr>
        <w:pStyle w:val="Heading5"/>
        <w:spacing w:line="408" w:lineRule="auto"/>
        <w:ind w:right="1126"/>
        <w:jc w:val="both"/>
        <w:rPr>
          <w:rFonts w:ascii="宋体" w:hAnsi="宋体" w:cs="宋体" w:eastAsia="宋体" w:hint="default"/>
        </w:rPr>
      </w:pPr>
      <w:r>
        <w:rPr>
          <w:spacing w:val="-2"/>
        </w:rPr>
        <w:t>毕垒先生，中国国籍，无境外居留权，</w:t>
      </w:r>
      <w:r>
        <w:rPr>
          <w:rFonts w:ascii="宋体" w:hAnsi="宋体" w:cs="宋体" w:eastAsia="宋体" w:hint="default"/>
          <w:spacing w:val="-2"/>
        </w:rPr>
        <w:t>1976</w:t>
      </w:r>
      <w:r>
        <w:rPr>
          <w:spacing w:val="-2"/>
        </w:rPr>
        <w:t>年</w:t>
      </w:r>
      <w:r>
        <w:rPr>
          <w:rFonts w:ascii="宋体" w:hAnsi="宋体" w:cs="宋体" w:eastAsia="宋体" w:hint="default"/>
          <w:spacing w:val="-2"/>
        </w:rPr>
        <w:t>11</w:t>
      </w:r>
      <w:r>
        <w:rPr>
          <w:spacing w:val="-2"/>
        </w:rPr>
        <w:t>月出生，本科学历，高级工程师。曾任中国通信广播</w:t>
      </w:r>
      <w:r>
        <w:rPr>
          <w:w w:val="100"/>
        </w:rPr>
        <w:t> </w:t>
      </w:r>
      <w:r>
        <w:rPr>
          <w:spacing w:val="-2"/>
        </w:rPr>
        <w:t>卫星公司卫星业务监测通信工程师，中国卫星通信集团公司市场营销主办、销售主管，中国东方通信卫星</w:t>
      </w:r>
      <w:r>
        <w:rPr>
          <w:spacing w:val="-44"/>
        </w:rPr>
        <w:t> </w:t>
      </w:r>
      <w:r>
        <w:rPr>
          <w:spacing w:val="-44"/>
        </w:rPr>
      </w:r>
      <w:r>
        <w:rPr>
          <w:spacing w:val="-2"/>
        </w:rPr>
        <w:t>有限责任公司市场营销主管，中国直播卫星有限公司高级项目经理，中国四维测绘技术有限公司战略企划</w:t>
      </w:r>
      <w:r>
        <w:rPr>
          <w:spacing w:val="-44"/>
        </w:rPr>
        <w:t> </w:t>
      </w:r>
      <w:r>
        <w:rPr>
          <w:spacing w:val="-44"/>
        </w:rPr>
      </w:r>
      <w:r>
        <w:rPr>
          <w:spacing w:val="-7"/>
        </w:rPr>
        <w:t>部总经理、业务发展部部长。现任公司副总经理，中寰卫星导航通信有限公司董事、总经理，中交宇科（北</w:t>
      </w:r>
      <w:r>
        <w:rPr>
          <w:spacing w:val="-22"/>
        </w:rPr>
        <w:t> </w:t>
      </w:r>
      <w:r>
        <w:rPr>
          <w:spacing w:val="-22"/>
        </w:rPr>
      </w:r>
      <w:r>
        <w:rPr>
          <w:spacing w:val="-2"/>
        </w:rPr>
        <w:t>京）空间信息技术有限公司董事长，合肥杰发科技有限公司、北京满电出行科技有限公司、北京四维天盛</w:t>
      </w:r>
      <w:r>
        <w:rPr>
          <w:spacing w:val="-50"/>
        </w:rPr>
        <w:t> </w:t>
      </w:r>
      <w:r>
        <w:rPr>
          <w:spacing w:val="-50"/>
        </w:rPr>
      </w:r>
      <w:r>
        <w:rPr>
          <w:spacing w:val="-5"/>
        </w:rPr>
        <w:t>投资管理有限公司、北京图新数聚科技有限公司、国汽（北京</w:t>
      </w:r>
      <w:r>
        <w:rPr>
          <w:rFonts w:ascii="宋体" w:hAnsi="宋体" w:cs="宋体" w:eastAsia="宋体" w:hint="default"/>
          <w:spacing w:val="-5"/>
        </w:rPr>
        <w:t>)</w:t>
      </w:r>
      <w:r>
        <w:rPr>
          <w:spacing w:val="-5"/>
        </w:rPr>
        <w:t>智能网联汽车研究院有限公司董事，上海安</w:t>
      </w:r>
      <w:r>
        <w:rPr>
          <w:spacing w:val="-11"/>
        </w:rPr>
        <w:t> </w:t>
      </w:r>
      <w:r>
        <w:rPr>
          <w:spacing w:val="-11"/>
        </w:rPr>
      </w:r>
      <w:r>
        <w:rPr/>
        <w:t>吉四维信息技术有限公司监事。</w:t>
      </w:r>
      <w:r>
        <w:rPr>
          <w:rFonts w:ascii="宋体" w:hAnsi="宋体" w:cs="宋体" w:eastAsia="宋体" w:hint="default"/>
        </w:rPr>
        <w:t> </w:t>
      </w:r>
    </w:p>
    <w:p>
      <w:pPr>
        <w:pStyle w:val="Heading5"/>
        <w:spacing w:line="408" w:lineRule="auto"/>
        <w:ind w:right="1127"/>
        <w:jc w:val="both"/>
        <w:rPr>
          <w:rFonts w:ascii="宋体" w:hAnsi="宋体" w:cs="宋体" w:eastAsia="宋体" w:hint="default"/>
        </w:rPr>
      </w:pPr>
      <w:r>
        <w:rPr>
          <w:spacing w:val="-5"/>
        </w:rPr>
        <w:t>戴东海先生，中国国籍，有境外居留权，</w:t>
      </w:r>
      <w:r>
        <w:rPr>
          <w:rFonts w:ascii="宋体" w:hAnsi="宋体" w:cs="宋体" w:eastAsia="宋体" w:hint="default"/>
          <w:spacing w:val="-5"/>
        </w:rPr>
        <w:t>1970</w:t>
      </w:r>
      <w:r>
        <w:rPr>
          <w:spacing w:val="-5"/>
        </w:rPr>
        <w:t>年</w:t>
      </w:r>
      <w:r>
        <w:rPr>
          <w:rFonts w:ascii="宋体" w:hAnsi="宋体" w:cs="宋体" w:eastAsia="宋体" w:hint="default"/>
          <w:spacing w:val="-5"/>
        </w:rPr>
        <w:t>8</w:t>
      </w:r>
      <w:r>
        <w:rPr>
          <w:spacing w:val="-5"/>
        </w:rPr>
        <w:t>月出生，博士研究生学历。曾任泰维计算机公司技术</w:t>
      </w:r>
      <w:r>
        <w:rPr>
          <w:w w:val="100"/>
        </w:rPr>
        <w:t> </w:t>
      </w:r>
      <w:r>
        <w:rPr>
          <w:spacing w:val="-2"/>
        </w:rPr>
        <w:t>总监，北京图为先科技有限公司副总经理。现任公司副总经理，武汉四维图新科技有限公司执行董事，北</w:t>
      </w:r>
      <w:r>
        <w:rPr>
          <w:spacing w:val="-47"/>
        </w:rPr>
        <w:t> </w:t>
      </w:r>
      <w:r>
        <w:rPr>
          <w:spacing w:val="-47"/>
        </w:rPr>
      </w:r>
      <w:r>
        <w:rPr>
          <w:spacing w:val="-2"/>
        </w:rPr>
        <w:t>京世纪高通科技有限公司、北京六分科技有限公司、北京未来导航科技有限公司、睿镞科技（北京）有限</w:t>
      </w:r>
      <w:r>
        <w:rPr>
          <w:spacing w:val="-43"/>
        </w:rPr>
        <w:t> </w:t>
      </w:r>
      <w:r>
        <w:rPr>
          <w:spacing w:val="-43"/>
        </w:rPr>
      </w:r>
      <w:r>
        <w:rPr/>
        <w:t>责任公司董事，北京四维智联科技有限公司监事。</w:t>
      </w:r>
      <w:r>
        <w:rPr>
          <w:rFonts w:ascii="宋体" w:hAnsi="宋体" w:cs="宋体" w:eastAsia="宋体" w:hint="default"/>
        </w:rPr>
        <w:t> </w:t>
      </w:r>
    </w:p>
    <w:p>
      <w:pPr>
        <w:pStyle w:val="Heading5"/>
        <w:spacing w:line="408" w:lineRule="auto"/>
        <w:ind w:right="1126"/>
        <w:jc w:val="both"/>
        <w:rPr>
          <w:rFonts w:ascii="宋体" w:hAnsi="宋体" w:cs="宋体" w:eastAsia="宋体" w:hint="default"/>
        </w:rPr>
      </w:pPr>
      <w:r>
        <w:rPr>
          <w:spacing w:val="-2"/>
        </w:rPr>
        <w:t>景慕寒先生，中国国籍，无境外居留权，</w:t>
      </w:r>
      <w:r>
        <w:rPr>
          <w:rFonts w:ascii="宋体" w:hAnsi="宋体" w:cs="宋体" w:eastAsia="宋体" w:hint="default"/>
          <w:spacing w:val="-2"/>
        </w:rPr>
        <w:t>1973</w:t>
      </w:r>
      <w:r>
        <w:rPr>
          <w:spacing w:val="-2"/>
        </w:rPr>
        <w:t>年</w:t>
      </w:r>
      <w:r>
        <w:rPr>
          <w:rFonts w:ascii="宋体" w:hAnsi="宋体" w:cs="宋体" w:eastAsia="宋体" w:hint="default"/>
          <w:spacing w:val="-2"/>
        </w:rPr>
        <w:t>5</w:t>
      </w:r>
      <w:r>
        <w:rPr>
          <w:spacing w:val="-2"/>
        </w:rPr>
        <w:t>月出生，硕士学历，美国旧金山大学</w:t>
      </w:r>
      <w:r>
        <w:rPr>
          <w:rFonts w:ascii="宋体" w:hAnsi="宋体" w:cs="宋体" w:eastAsia="宋体" w:hint="default"/>
          <w:spacing w:val="-2"/>
        </w:rPr>
        <w:t>MBA</w:t>
      </w:r>
      <w:r>
        <w:rPr>
          <w:spacing w:val="-2"/>
        </w:rPr>
        <w:t>。曾任北京</w:t>
      </w:r>
      <w:r>
        <w:rPr>
          <w:w w:val="100"/>
        </w:rPr>
        <w:t> </w:t>
      </w:r>
      <w:r>
        <w:rPr>
          <w:spacing w:val="-2"/>
        </w:rPr>
        <w:t>爱而信科技发展有限公司总经理，北京图为先科技有限公司总经理。现任公司副总经理，北京满电出行科</w:t>
      </w:r>
      <w:r>
        <w:rPr>
          <w:spacing w:val="-43"/>
        </w:rPr>
        <w:t> </w:t>
      </w:r>
      <w:r>
        <w:rPr>
          <w:spacing w:val="-43"/>
        </w:rPr>
      </w:r>
      <w:r>
        <w:rPr>
          <w:spacing w:val="-2"/>
        </w:rPr>
        <w:t>技有限公司董事长，北京四维智联科技有限公司董事、总经理，合肥杰发科技有限公司、北京世纪高通科</w:t>
      </w:r>
      <w:r>
        <w:rPr>
          <w:spacing w:val="-47"/>
        </w:rPr>
        <w:t> </w:t>
      </w:r>
      <w:r>
        <w:rPr>
          <w:spacing w:val="-47"/>
        </w:rPr>
      </w:r>
      <w:r>
        <w:rPr/>
        <w:t>技有限公司、北京六分科技有限公司董事。</w:t>
      </w:r>
      <w:r>
        <w:rPr>
          <w:rFonts w:ascii="宋体" w:hAnsi="宋体" w:cs="宋体" w:eastAsia="宋体" w:hint="default"/>
        </w:rPr>
        <w:t> </w:t>
      </w:r>
    </w:p>
    <w:p>
      <w:pPr>
        <w:pStyle w:val="Heading5"/>
        <w:spacing w:line="408" w:lineRule="auto"/>
        <w:ind w:right="0"/>
        <w:jc w:val="left"/>
        <w:rPr>
          <w:rFonts w:ascii="宋体" w:hAnsi="宋体" w:cs="宋体" w:eastAsia="宋体" w:hint="default"/>
        </w:rPr>
      </w:pPr>
      <w:r>
        <w:rPr>
          <w:spacing w:val="-5"/>
        </w:rPr>
        <w:t>金水祥先生，中国国籍，无境外居留权，</w:t>
      </w:r>
      <w:r>
        <w:rPr>
          <w:rFonts w:ascii="宋体" w:hAnsi="宋体" w:cs="宋体" w:eastAsia="宋体" w:hint="default"/>
          <w:spacing w:val="-5"/>
        </w:rPr>
        <w:t>1969</w:t>
      </w:r>
      <w:r>
        <w:rPr>
          <w:spacing w:val="-5"/>
        </w:rPr>
        <w:t>年</w:t>
      </w:r>
      <w:r>
        <w:rPr>
          <w:rFonts w:ascii="宋体" w:hAnsi="宋体" w:cs="宋体" w:eastAsia="宋体" w:hint="default"/>
          <w:spacing w:val="-5"/>
        </w:rPr>
        <w:t>5</w:t>
      </w:r>
      <w:r>
        <w:rPr>
          <w:spacing w:val="-5"/>
        </w:rPr>
        <w:t>月出生，本科学历。曾任铁道部专业设计院航测处业</w:t>
      </w:r>
      <w:r>
        <w:rPr>
          <w:w w:val="100"/>
        </w:rPr>
        <w:t> </w:t>
      </w:r>
      <w:r>
        <w:rPr>
          <w:spacing w:val="-2"/>
        </w:rPr>
        <w:t>勘测队技术队长、队长、制图科科长、测图科科长，凯普奇软件</w:t>
      </w:r>
      <w:r>
        <w:rPr>
          <w:rFonts w:ascii="宋体" w:hAnsi="宋体" w:cs="宋体" w:eastAsia="宋体" w:hint="default"/>
          <w:spacing w:val="-2"/>
        </w:rPr>
        <w:t>(</w:t>
      </w:r>
      <w:r>
        <w:rPr>
          <w:spacing w:val="-2"/>
        </w:rPr>
        <w:t>北京</w:t>
      </w:r>
      <w:r>
        <w:rPr>
          <w:rFonts w:ascii="宋体" w:hAnsi="宋体" w:cs="宋体" w:eastAsia="宋体" w:hint="default"/>
          <w:spacing w:val="-2"/>
        </w:rPr>
        <w:t>)</w:t>
      </w:r>
      <w:r>
        <w:rPr>
          <w:spacing w:val="-2"/>
        </w:rPr>
        <w:t>有限公司项目经理，北京安彩星通</w:t>
      </w:r>
      <w:r>
        <w:rPr>
          <w:spacing w:val="-41"/>
        </w:rPr>
        <w:t> </w:t>
      </w:r>
      <w:r>
        <w:rPr>
          <w:spacing w:val="-41"/>
        </w:rPr>
      </w:r>
      <w:r>
        <w:rPr>
          <w:spacing w:val="-5"/>
        </w:rPr>
        <w:t>科技股份有限公司</w:t>
      </w:r>
      <w:r>
        <w:rPr>
          <w:rFonts w:ascii="宋体" w:hAnsi="宋体" w:cs="宋体" w:eastAsia="宋体" w:hint="default"/>
          <w:spacing w:val="-5"/>
        </w:rPr>
        <w:t>GIS</w:t>
      </w:r>
      <w:r>
        <w:rPr>
          <w:spacing w:val="-5"/>
        </w:rPr>
        <w:t>系统部分负责人。现任公司副总经理，西安四维图新信息技术有限公司执行董事，中 </w:t>
      </w:r>
      <w:r>
        <w:rPr/>
        <w:t>寰卫星导航通信有限公司、中交宇科（北京）空间信息技术有限公司、北京图新经纬导航系统有限公司、</w:t>
      </w:r>
      <w:r>
        <w:rPr>
          <w:spacing w:val="-20"/>
        </w:rPr>
        <w:t> </w:t>
      </w:r>
      <w:r>
        <w:rPr>
          <w:spacing w:val="-20"/>
        </w:rPr>
      </w:r>
      <w:r>
        <w:rPr/>
        <w:t>合肥四维图新科技有限公司、北京满电出行科技有限公司董事，北京六分科技有限公司总经理。</w:t>
      </w:r>
      <w:r>
        <w:rPr>
          <w:rFonts w:ascii="宋体" w:hAnsi="宋体" w:cs="宋体" w:eastAsia="宋体" w:hint="default"/>
        </w:rPr>
        <w:t> </w:t>
      </w:r>
    </w:p>
    <w:p>
      <w:pPr>
        <w:pStyle w:val="Heading5"/>
        <w:spacing w:line="408" w:lineRule="auto"/>
        <w:ind w:right="1126"/>
        <w:jc w:val="both"/>
      </w:pPr>
      <w:r>
        <w:rPr>
          <w:spacing w:val="-2"/>
        </w:rPr>
        <w:t>梁永杰先生，中国国籍，无境外居留权，</w:t>
      </w:r>
      <w:r>
        <w:rPr>
          <w:rFonts w:ascii="宋体" w:hAnsi="宋体" w:cs="宋体" w:eastAsia="宋体" w:hint="default"/>
          <w:spacing w:val="-2"/>
        </w:rPr>
        <w:t>1977</w:t>
      </w:r>
      <w:r>
        <w:rPr>
          <w:spacing w:val="-2"/>
        </w:rPr>
        <w:t>年</w:t>
      </w:r>
      <w:r>
        <w:rPr>
          <w:rFonts w:ascii="宋体" w:hAnsi="宋体" w:cs="宋体" w:eastAsia="宋体" w:hint="default"/>
          <w:spacing w:val="-2"/>
        </w:rPr>
        <w:t>11</w:t>
      </w:r>
      <w:r>
        <w:rPr>
          <w:spacing w:val="-2"/>
        </w:rPr>
        <w:t>月出生，本科学历。曾任上海纳维信息科技有限公</w:t>
      </w:r>
      <w:r>
        <w:rPr>
          <w:w w:val="100"/>
        </w:rPr>
        <w:t> </w:t>
      </w:r>
      <w:r>
        <w:rPr>
          <w:spacing w:val="-2"/>
        </w:rPr>
        <w:t>司销售总监，上海安吉四维信息技术有限公司总经理、上海趣驾信息科技有限公司总经理。现任本公司副</w:t>
      </w:r>
      <w:r>
        <w:rPr>
          <w:spacing w:val="-43"/>
        </w:rPr>
        <w:t> </w:t>
      </w:r>
      <w:r>
        <w:rPr>
          <w:spacing w:val="-43"/>
        </w:rPr>
      </w:r>
      <w:r>
        <w:rPr>
          <w:spacing w:val="-2"/>
        </w:rPr>
        <w:t>总经理，北京世纪高通科技有限公司董事、总经理，长沙市海图科技有限公司董事长，中再巨灾风险管理</w:t>
      </w:r>
    </w:p>
    <w:p>
      <w:pPr>
        <w:spacing w:after="0" w:line="408" w:lineRule="auto"/>
        <w:jc w:val="both"/>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Heading5"/>
        <w:spacing w:line="408" w:lineRule="auto" w:before="176"/>
        <w:ind w:left="573" w:right="0" w:hanging="421"/>
        <w:jc w:val="left"/>
      </w:pPr>
      <w:r>
        <w:rPr/>
        <w:t>股份有限公司董事。</w:t>
      </w:r>
      <w:r>
        <w:rPr>
          <w:rFonts w:ascii="宋体" w:hAnsi="宋体" w:cs="宋体" w:eastAsia="宋体" w:hint="default"/>
          <w:w w:val="100"/>
        </w:rPr>
        <w:t> </w:t>
      </w:r>
      <w:r>
        <w:rPr>
          <w:spacing w:val="-5"/>
        </w:rPr>
        <w:t>孟庆昕女士，中国国籍，无境外居留权，</w:t>
      </w:r>
      <w:r>
        <w:rPr>
          <w:rFonts w:ascii="宋体" w:hAnsi="宋体" w:cs="宋体" w:eastAsia="宋体" w:hint="default"/>
          <w:spacing w:val="-5"/>
        </w:rPr>
        <w:t>1974</w:t>
      </w:r>
      <w:r>
        <w:rPr>
          <w:spacing w:val="-5"/>
        </w:rPr>
        <w:t>年</w:t>
      </w:r>
      <w:r>
        <w:rPr>
          <w:rFonts w:ascii="宋体" w:hAnsi="宋体" w:cs="宋体" w:eastAsia="宋体" w:hint="default"/>
          <w:spacing w:val="-5"/>
        </w:rPr>
        <w:t>4</w:t>
      </w:r>
      <w:r>
        <w:rPr>
          <w:spacing w:val="-5"/>
        </w:rPr>
        <w:t>月出生，硕士，高级经济师。曾任中交宇科（北京）</w:t>
      </w:r>
    </w:p>
    <w:p>
      <w:pPr>
        <w:pStyle w:val="Heading5"/>
        <w:spacing w:line="408" w:lineRule="auto"/>
        <w:ind w:right="0" w:firstLine="0"/>
        <w:jc w:val="left"/>
        <w:rPr>
          <w:rFonts w:ascii="宋体" w:hAnsi="宋体" w:cs="宋体" w:eastAsia="宋体" w:hint="default"/>
        </w:rPr>
      </w:pPr>
      <w:r>
        <w:rPr>
          <w:spacing w:val="-2"/>
        </w:rPr>
        <w:t>空间信息技术有限公司常务副总经理、总经理。现任公司副总经理、董事会秘书，中交宇科（北京）空间</w:t>
      </w:r>
      <w:r>
        <w:rPr>
          <w:spacing w:val="-42"/>
        </w:rPr>
        <w:t> </w:t>
      </w:r>
      <w:r>
        <w:rPr>
          <w:spacing w:val="-42"/>
        </w:rPr>
      </w:r>
      <w:r>
        <w:rPr/>
        <w:t>信息技术有限公司董事、总经理，合肥四维图新科技有限公司董事长，天地图有限公司副董事长。</w:t>
      </w:r>
      <w:r>
        <w:rPr>
          <w:rFonts w:ascii="宋体" w:hAnsi="宋体" w:cs="宋体" w:eastAsia="宋体" w:hint="default"/>
        </w:rPr>
        <w:t> </w:t>
      </w:r>
    </w:p>
    <w:p>
      <w:pPr>
        <w:pStyle w:val="Heading5"/>
        <w:spacing w:line="408" w:lineRule="auto"/>
        <w:ind w:right="1126"/>
        <w:jc w:val="both"/>
        <w:rPr>
          <w:rFonts w:ascii="宋体" w:hAnsi="宋体" w:cs="宋体" w:eastAsia="宋体" w:hint="default"/>
        </w:rPr>
      </w:pPr>
      <w:r>
        <w:rPr>
          <w:spacing w:val="-2"/>
        </w:rPr>
        <w:t>宋铁辉先生，中国国籍，拥有澳大利亚居留权，</w:t>
      </w:r>
      <w:r>
        <w:rPr>
          <w:rFonts w:ascii="宋体" w:hAnsi="宋体" w:cs="宋体" w:eastAsia="宋体" w:hint="default"/>
          <w:spacing w:val="-2"/>
        </w:rPr>
        <w:t>1968</w:t>
      </w:r>
      <w:r>
        <w:rPr>
          <w:spacing w:val="-2"/>
        </w:rPr>
        <w:t>年</w:t>
      </w:r>
      <w:r>
        <w:rPr>
          <w:rFonts w:ascii="宋体" w:hAnsi="宋体" w:cs="宋体" w:eastAsia="宋体" w:hint="default"/>
          <w:spacing w:val="-2"/>
        </w:rPr>
        <w:t>11</w:t>
      </w:r>
      <w:r>
        <w:rPr>
          <w:spacing w:val="-2"/>
        </w:rPr>
        <w:t>月出生，本科学历。曾任惠州市德赛西威汽</w:t>
      </w:r>
      <w:r>
        <w:rPr>
          <w:w w:val="100"/>
        </w:rPr>
        <w:t> </w:t>
      </w:r>
      <w:r>
        <w:rPr>
          <w:spacing w:val="-2"/>
        </w:rPr>
        <w:t>车电子有限公司中国大众业务线销售经理和上海区销售经理、业务发展部经理、业务发展总监，大客户管</w:t>
      </w:r>
      <w:r>
        <w:rPr>
          <w:spacing w:val="-44"/>
        </w:rPr>
        <w:t> </w:t>
      </w:r>
      <w:r>
        <w:rPr>
          <w:spacing w:val="-44"/>
        </w:rPr>
      </w:r>
      <w:r>
        <w:rPr>
          <w:spacing w:val="-2"/>
        </w:rPr>
        <w:t>理副总经理。现任公司副总经理，合肥四维图新科技有限公司董事、总经理，上海安吉四维信息技术有限</w:t>
      </w:r>
      <w:r>
        <w:rPr>
          <w:spacing w:val="-50"/>
        </w:rPr>
        <w:t> </w:t>
      </w:r>
      <w:r>
        <w:rPr>
          <w:spacing w:val="-50"/>
        </w:rPr>
      </w:r>
      <w:r>
        <w:rPr/>
        <w:t>公司、北京四维智联科技有限公司董事。</w:t>
      </w:r>
      <w:r>
        <w:rPr>
          <w:rFonts w:ascii="宋体" w:hAnsi="宋体" w:cs="宋体" w:eastAsia="宋体" w:hint="default"/>
        </w:rPr>
        <w:t> </w:t>
      </w:r>
    </w:p>
    <w:p>
      <w:pPr>
        <w:pStyle w:val="Heading5"/>
        <w:spacing w:line="408" w:lineRule="auto"/>
        <w:ind w:right="1127"/>
        <w:jc w:val="both"/>
        <w:rPr>
          <w:rFonts w:ascii="宋体" w:hAnsi="宋体" w:cs="宋体" w:eastAsia="宋体" w:hint="default"/>
        </w:rPr>
      </w:pPr>
      <w:r>
        <w:rPr>
          <w:spacing w:val="-5"/>
        </w:rPr>
        <w:t>姜晓明先生，中国国籍，无境外居留权，</w:t>
      </w:r>
      <w:r>
        <w:rPr>
          <w:rFonts w:ascii="宋体" w:hAnsi="宋体" w:cs="宋体" w:eastAsia="宋体" w:hint="default"/>
          <w:spacing w:val="-5"/>
        </w:rPr>
        <w:t>1980</w:t>
      </w:r>
      <w:r>
        <w:rPr>
          <w:spacing w:val="-5"/>
        </w:rPr>
        <w:t>年</w:t>
      </w:r>
      <w:r>
        <w:rPr>
          <w:rFonts w:ascii="宋体" w:hAnsi="宋体" w:cs="宋体" w:eastAsia="宋体" w:hint="default"/>
          <w:spacing w:val="-5"/>
        </w:rPr>
        <w:t>7</w:t>
      </w:r>
      <w:r>
        <w:rPr>
          <w:spacing w:val="-5"/>
        </w:rPr>
        <w:t>月出生，注册会计师，毕业于西安交通大学会计专业</w:t>
      </w:r>
      <w:r>
        <w:rPr>
          <w:w w:val="100"/>
        </w:rPr>
        <w:t> </w:t>
      </w:r>
      <w:r>
        <w:rPr/>
        <w:t>本科学历，中国人民大学企业管理硕士学位。</w:t>
      </w:r>
      <w:r>
        <w:rPr>
          <w:rFonts w:ascii="宋体" w:hAnsi="宋体" w:cs="宋体" w:eastAsia="宋体" w:hint="default"/>
        </w:rPr>
        <w:t>2001</w:t>
      </w:r>
      <w:r>
        <w:rPr/>
        <w:t>年</w:t>
      </w:r>
      <w:r>
        <w:rPr>
          <w:rFonts w:ascii="宋体" w:hAnsi="宋体" w:cs="宋体" w:eastAsia="宋体" w:hint="default"/>
        </w:rPr>
        <w:t>7</w:t>
      </w:r>
      <w:r>
        <w:rPr/>
        <w:t>月至</w:t>
      </w:r>
      <w:r>
        <w:rPr>
          <w:rFonts w:ascii="宋体" w:hAnsi="宋体" w:cs="宋体" w:eastAsia="宋体" w:hint="default"/>
        </w:rPr>
        <w:t>2004</w:t>
      </w:r>
      <w:r>
        <w:rPr/>
        <w:t>年</w:t>
      </w:r>
      <w:r>
        <w:rPr>
          <w:rFonts w:ascii="宋体" w:hAnsi="宋体" w:cs="宋体" w:eastAsia="宋体" w:hint="default"/>
        </w:rPr>
        <w:t>10</w:t>
      </w:r>
      <w:r>
        <w:rPr/>
        <w:t>月就职于北海银河高科技产业股份有</w:t>
      </w:r>
      <w:r>
        <w:rPr>
          <w:spacing w:val="-27"/>
        </w:rPr>
        <w:t> </w:t>
      </w:r>
      <w:r>
        <w:rPr>
          <w:spacing w:val="-27"/>
        </w:rPr>
      </w:r>
      <w:r>
        <w:rPr>
          <w:spacing w:val="-4"/>
        </w:rPr>
        <w:t>限公司任财务部会计职务。于</w:t>
      </w:r>
      <w:r>
        <w:rPr>
          <w:rFonts w:ascii="宋体" w:hAnsi="宋体" w:cs="宋体" w:eastAsia="宋体" w:hint="default"/>
          <w:spacing w:val="-4"/>
        </w:rPr>
        <w:t>2005</w:t>
      </w:r>
      <w:r>
        <w:rPr>
          <w:spacing w:val="-4"/>
        </w:rPr>
        <w:t>年</w:t>
      </w:r>
      <w:r>
        <w:rPr>
          <w:rFonts w:ascii="宋体" w:hAnsi="宋体" w:cs="宋体" w:eastAsia="宋体" w:hint="default"/>
          <w:spacing w:val="-4"/>
        </w:rPr>
        <w:t>5</w:t>
      </w:r>
      <w:r>
        <w:rPr>
          <w:spacing w:val="-4"/>
        </w:rPr>
        <w:t>月入职北京四维图新科技股份有限公司，曾任财务部预算经理、财务</w:t>
      </w:r>
      <w:r>
        <w:rPr>
          <w:spacing w:val="-47"/>
        </w:rPr>
        <w:t> </w:t>
      </w:r>
      <w:r>
        <w:rPr>
          <w:spacing w:val="-47"/>
        </w:rPr>
      </w:r>
      <w:r>
        <w:rPr>
          <w:spacing w:val="-2"/>
        </w:rPr>
        <w:t>部副总经理、财务部总经理。现任公司财务总监，四维图新（香港）有限公司、四维图新日本有限公司董</w:t>
      </w:r>
      <w:r>
        <w:rPr>
          <w:spacing w:val="-42"/>
        </w:rPr>
        <w:t> </w:t>
      </w:r>
      <w:r>
        <w:rPr>
          <w:spacing w:val="-42"/>
        </w:rPr>
      </w:r>
      <w:r>
        <w:rPr>
          <w:spacing w:val="-2"/>
        </w:rPr>
        <w:t>事，北京四维图新科技有限公司、上海纳维信息技术有限公司、长沙市海图科技有限公司、北京四维天和</w:t>
      </w:r>
      <w:r>
        <w:rPr>
          <w:spacing w:val="-50"/>
        </w:rPr>
        <w:t> </w:t>
      </w:r>
      <w:r>
        <w:rPr>
          <w:spacing w:val="-50"/>
        </w:rPr>
      </w:r>
      <w:r>
        <w:rPr/>
        <w:t>科技有限公司、合肥杰发科技有限公司监事。</w:t>
      </w:r>
      <w:r>
        <w:rPr>
          <w:rFonts w:ascii="宋体" w:hAnsi="宋体" w:cs="宋体" w:eastAsia="宋体" w:hint="default"/>
        </w:rPr>
        <w:t> </w:t>
      </w:r>
    </w:p>
    <w:p>
      <w:pPr>
        <w:pStyle w:val="BodyText"/>
        <w:spacing w:line="240" w:lineRule="auto" w:before="28"/>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217"/>
        <w:gridCol w:w="3231"/>
        <w:gridCol w:w="1076"/>
        <w:gridCol w:w="1212"/>
        <w:gridCol w:w="1349"/>
        <w:gridCol w:w="1483"/>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0"/>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 w:right="81"/>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6" w:right="103"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郑永进</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5"/>
              <w:jc w:val="righ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刘铁军</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35"/>
              <w:jc w:val="righ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1"/>
              <w:jc w:val="both"/>
              <w:rPr>
                <w:rFonts w:ascii="宋体" w:hAnsi="宋体" w:cs="宋体" w:eastAsia="宋体" w:hint="default"/>
                <w:sz w:val="18"/>
                <w:szCs w:val="18"/>
              </w:rPr>
            </w:pPr>
            <w:r>
              <w:rPr>
                <w:rFonts w:ascii="宋体" w:hAnsi="宋体" w:cs="宋体" w:eastAsia="宋体" w:hint="default"/>
                <w:sz w:val="18"/>
                <w:szCs w:val="18"/>
              </w:rPr>
              <w:t>遥感与导航 应用事业部 副部长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01"/>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在其他单位任职情况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3"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4" w:right="0"/>
              <w:jc w:val="left"/>
              <w:rPr>
                <w:rFonts w:ascii="宋体" w:hAnsi="宋体" w:cs="宋体" w:eastAsia="宋体" w:hint="default"/>
                <w:sz w:val="18"/>
                <w:szCs w:val="18"/>
              </w:rPr>
            </w:pPr>
            <w:r>
              <w:rPr>
                <w:rFonts w:ascii="宋体" w:hAnsi="宋体" w:cs="宋体" w:eastAsia="宋体" w:hint="default"/>
                <w:sz w:val="18"/>
                <w:szCs w:val="18"/>
              </w:rPr>
              <w:t>吴劲风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中国航天科技集团公司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科技委副主 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vMerge/>
            <w:tcBorders>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中国卫通集团股份有限公司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工业和信息化部通信科技委员会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常委</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中国地理信息产业协会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北京万兔思睿科技有限公司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禾多科技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vMerge/>
            <w:tcBorders>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成都返空汇网络技术有限公司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北京六分科技有限公司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北京四维智联科技有限公司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上海安吉四维信息技术有限公司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禾多科技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vMerge/>
            <w:tcBorders>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北京万兔思睿科技有限公司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李克强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both"/>
              <w:rPr>
                <w:rFonts w:ascii="宋体" w:hAnsi="宋体" w:cs="宋体" w:eastAsia="宋体" w:hint="default"/>
                <w:sz w:val="18"/>
                <w:szCs w:val="18"/>
              </w:rPr>
            </w:pPr>
            <w:r>
              <w:rPr>
                <w:rFonts w:ascii="宋体" w:hAnsi="宋体" w:cs="宋体" w:eastAsia="宋体" w:hint="default"/>
                <w:sz w:val="18"/>
                <w:szCs w:val="18"/>
              </w:rPr>
              <w:t>汽车工程系 教授，清华 大学智能网 联车辆研究 中心主任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东风汽车股份有限公司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vMerge/>
            <w:tcBorders>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郑州宇通客车股份有限公司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北京车和家信息技术有限公司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6"/>
              <w:jc w:val="left"/>
              <w:rPr>
                <w:rFonts w:ascii="宋体" w:hAnsi="宋体" w:cs="宋体" w:eastAsia="宋体" w:hint="default"/>
                <w:sz w:val="18"/>
                <w:szCs w:val="18"/>
              </w:rPr>
            </w:pPr>
            <w:r>
              <w:rPr>
                <w:rFonts w:ascii="宋体" w:hAnsi="宋体" w:cs="宋体" w:eastAsia="宋体" w:hint="default"/>
                <w:sz w:val="18"/>
                <w:szCs w:val="18"/>
              </w:rPr>
              <w:t>董事长、总 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空气管家（北京）科技有限公司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江苏车宜家新能源科技有限公司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北京易航远智科技有限公司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vMerge/>
            <w:tcBorders>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新石器慧通（北京）科技有限公司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吴艾今</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北京天润坤泽财务管理咨询公司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总经理、合 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湛炜标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腾讯公司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6"/>
              <w:jc w:val="both"/>
              <w:rPr>
                <w:rFonts w:ascii="宋体" w:hAnsi="宋体" w:cs="宋体" w:eastAsia="宋体" w:hint="default"/>
                <w:sz w:val="18"/>
                <w:szCs w:val="18"/>
              </w:rPr>
            </w:pPr>
            <w:r>
              <w:rPr>
                <w:rFonts w:ascii="宋体" w:hAnsi="宋体" w:cs="宋体" w:eastAsia="宋体" w:hint="default"/>
                <w:sz w:val="18"/>
                <w:szCs w:val="18"/>
              </w:rPr>
              <w:t>腾讯投资合 伙人，腾讯 金融科技副 总裁</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天津五八金服有限公司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广东腾南网络信息科技有限公司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深圳市泰捷软件技术有限公司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湖北腾楚网络科技有限责任公司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天津猫眼微影文化传媒有限公司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北京微影时代科技有限公司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北京知道创宇信息技术有限公司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北京转转精神科技有限责任公司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天津转转世界科技有限责任公司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ZHUAN SPIRIT HOLDINGS</w:t>
            </w:r>
            <w:r>
              <w:rPr>
                <w:rFonts w:ascii="Times New Roman"/>
                <w:spacing w:val="-11"/>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深圳微众金融科技集团股份有限公司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Infinium Hong Kong Holdings</w:t>
            </w:r>
            <w:r>
              <w:rPr>
                <w:rFonts w:ascii="Times New Roman"/>
                <w:spacing w:val="-12"/>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Infinium</w:t>
            </w:r>
            <w:r>
              <w:rPr>
                <w:rFonts w:ascii="Times New Roman"/>
                <w:spacing w:val="-8"/>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pacing w:val="-5"/>
                <w:sz w:val="18"/>
              </w:rPr>
              <w:t>XIMALAYA</w:t>
            </w:r>
            <w:r>
              <w:rPr>
                <w:rFonts w:ascii="Times New Roman"/>
                <w:spacing w:val="-14"/>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益盟股份有限公司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82"/>
              <w:jc w:val="left"/>
              <w:rPr>
                <w:rFonts w:ascii="宋体" w:hAnsi="宋体" w:cs="宋体" w:eastAsia="宋体" w:hint="default"/>
                <w:sz w:val="18"/>
                <w:szCs w:val="18"/>
              </w:rPr>
            </w:pPr>
            <w:r>
              <w:rPr>
                <w:rFonts w:ascii="宋体" w:hAnsi="宋体" w:cs="宋体" w:eastAsia="宋体" w:hint="default"/>
                <w:sz w:val="18"/>
                <w:szCs w:val="18"/>
              </w:rPr>
              <w:t>滨海（天津）金融资产交易中心股份有 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Chenqi Technology</w:t>
            </w:r>
            <w:r>
              <w:rPr>
                <w:rFonts w:ascii="Times New Roman"/>
                <w:spacing w:val="-26"/>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广州宸祺出行科技有限公司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广州宸祺汽车服务有限公司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vMerge/>
            <w:tcBorders>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观澜网络（杭州）有限公司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钟翔平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腾讯公司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徐晋晖</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中科劲点（北京）科技有限公司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毕垒</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北京四维天盛投资管理有限公司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vMerge w:val="restart"/>
            <w:tcBorders>
              <w:top w:val="single" w:sz="4" w:space="0" w:color="000000"/>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北京图新数聚科技有限公司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上海安吉四维信息技术有限公司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vMerge/>
            <w:tcBorders>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国汽（北京</w:t>
            </w:r>
            <w:r>
              <w:rPr>
                <w:rFonts w:ascii="Times New Roman" w:hAnsi="Times New Roman" w:cs="Times New Roman" w:eastAsia="Times New Roman" w:hint="default"/>
                <w:sz w:val="18"/>
                <w:szCs w:val="18"/>
              </w:rPr>
              <w:t>)</w:t>
            </w:r>
            <w:r>
              <w:rPr>
                <w:rFonts w:ascii="宋体" w:hAnsi="宋体" w:cs="宋体" w:eastAsia="宋体" w:hint="default"/>
                <w:sz w:val="18"/>
                <w:szCs w:val="18"/>
              </w:rPr>
              <w:t>智能网联汽车研究院有限公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戴东海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北京未来导航科技有限公司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北京六分科技有限公司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vMerge/>
            <w:tcBorders>
              <w:left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北京四维智联科技有限公司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vMerge/>
            <w:tcBorders>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睿镞科技（北京）有限责任公司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4" w:right="0"/>
              <w:jc w:val="left"/>
              <w:rPr>
                <w:rFonts w:ascii="宋体" w:hAnsi="宋体" w:cs="宋体" w:eastAsia="宋体" w:hint="default"/>
                <w:sz w:val="18"/>
                <w:szCs w:val="18"/>
              </w:rPr>
            </w:pPr>
            <w:r>
              <w:rPr>
                <w:rFonts w:ascii="宋体" w:hAnsi="宋体" w:cs="宋体" w:eastAsia="宋体" w:hint="default"/>
                <w:sz w:val="18"/>
                <w:szCs w:val="18"/>
              </w:rPr>
              <w:t>景慕寒</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北京六分科技有限公司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vMerge/>
            <w:tcBorders>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北京四维智联科技有限公司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金水祥</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北京六分科技有限公司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梁永杰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中再巨灾风险管理股份有限公司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孟庆昕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天地图有限公司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4" w:right="0"/>
              <w:jc w:val="left"/>
              <w:rPr>
                <w:rFonts w:ascii="宋体" w:hAnsi="宋体" w:cs="宋体" w:eastAsia="宋体" w:hint="default"/>
                <w:sz w:val="18"/>
                <w:szCs w:val="18"/>
              </w:rPr>
            </w:pPr>
            <w:r>
              <w:rPr>
                <w:rFonts w:ascii="宋体" w:hAnsi="宋体" w:cs="宋体" w:eastAsia="宋体" w:hint="default"/>
                <w:sz w:val="18"/>
                <w:szCs w:val="18"/>
              </w:rPr>
              <w:t>宋铁辉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上海安吉四维信息技术有限公司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vMerge/>
            <w:tcBorders>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北京四维智联科技有限公司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姜晓明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北京四维天和科技有限公司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18"/>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60" w:lineRule="auto"/>
        <w:ind w:left="513" w:right="1118" w:hanging="361"/>
        <w:jc w:val="left"/>
      </w:pPr>
      <w:r>
        <w:rPr/>
        <w:t>董事、监事、高级管理人员报酬的决策程序、确定依据、实际支付情况 </w:t>
      </w:r>
      <w:r>
        <w:rPr>
          <w:spacing w:val="-5"/>
        </w:rPr>
        <w:t>公司按照《公司章程》的规定，确定董事、监事和高级管理人员的报酬。不在公司任职的董事、监事不在公司领取报酬，</w:t>
      </w:r>
    </w:p>
    <w:p>
      <w:pPr>
        <w:spacing w:after="0" w:line="36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t>独立董事的报酬与支付由股东大会确定。董事会薪酬与考核委员会根据年度绩效进行考核并报董事会批准高级管理人员的</w:t>
      </w:r>
      <w:r>
        <w:rPr>
          <w:spacing w:val="-11"/>
        </w:rPr>
        <w:t> </w:t>
      </w:r>
      <w:r>
        <w:rPr>
          <w:spacing w:val="-11"/>
        </w:rPr>
      </w:r>
      <w:r>
        <w:rPr/>
        <w:t>年度薪金与绩效。</w:t>
      </w:r>
    </w:p>
    <w:p>
      <w:pPr>
        <w:pStyle w:val="BodyText"/>
        <w:spacing w:line="240" w:lineRule="auto" w:before="57"/>
        <w:ind w:right="0"/>
        <w:jc w:val="left"/>
      </w:pPr>
      <w:r>
        <w:rPr/>
        <w:t>公司报告期内董事、监事和高级管理人员报酬情况</w:t>
      </w:r>
    </w:p>
    <w:p>
      <w:pPr>
        <w:pStyle w:val="BodyText"/>
        <w:spacing w:line="240" w:lineRule="auto" w:before="117"/>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8"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吴劲风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孙玉国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程 </w:t>
            </w:r>
            <w:r>
              <w:rPr>
                <w:rFonts w:ascii="宋体" w:hAnsi="宋体" w:cs="宋体" w:eastAsia="宋体" w:hint="default"/>
                <w:spacing w:val="2"/>
                <w:sz w:val="18"/>
                <w:szCs w:val="18"/>
              </w:rPr>
              <w:t> </w:t>
            </w:r>
            <w:r>
              <w:rPr>
                <w:rFonts w:ascii="宋体" w:hAnsi="宋体" w:cs="宋体" w:eastAsia="宋体" w:hint="default"/>
                <w:sz w:val="18"/>
                <w:szCs w:val="18"/>
              </w:rPr>
              <w:t>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38"/>
              <w:jc w:val="right"/>
              <w:rPr>
                <w:rFonts w:ascii="Times New Roman" w:hAnsi="Times New Roman" w:cs="Times New Roman" w:eastAsia="Times New Roman" w:hint="default"/>
                <w:sz w:val="18"/>
                <w:szCs w:val="18"/>
              </w:rPr>
            </w:pPr>
            <w:r>
              <w:rPr>
                <w:rFonts w:ascii="Times New Roman"/>
                <w:sz w:val="18"/>
              </w:rPr>
              <w:t>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李克强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84"/>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吴艾今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4"/>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湛炜标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钟翔平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郑永进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徐晋晖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4"/>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刘铁军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张雪娇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4"/>
              <w:jc w:val="right"/>
              <w:rPr>
                <w:rFonts w:ascii="Times New Roman" w:hAnsi="Times New Roman" w:cs="Times New Roman" w:eastAsia="Times New Roman" w:hint="default"/>
                <w:sz w:val="18"/>
                <w:szCs w:val="18"/>
              </w:rPr>
            </w:pPr>
            <w:r>
              <w:rPr>
                <w:rFonts w:ascii="Times New Roman"/>
                <w:sz w:val="18"/>
              </w:rPr>
              <w:t>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毕 </w:t>
            </w:r>
            <w:r>
              <w:rPr>
                <w:rFonts w:ascii="宋体" w:hAnsi="宋体" w:cs="宋体" w:eastAsia="宋体" w:hint="default"/>
                <w:spacing w:val="2"/>
                <w:sz w:val="18"/>
                <w:szCs w:val="18"/>
              </w:rPr>
              <w:t> </w:t>
            </w:r>
            <w:r>
              <w:rPr>
                <w:rFonts w:ascii="宋体" w:hAnsi="宋体" w:cs="宋体" w:eastAsia="宋体" w:hint="default"/>
                <w:sz w:val="18"/>
                <w:szCs w:val="18"/>
              </w:rPr>
              <w:t>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538"/>
              <w:jc w:val="right"/>
              <w:rPr>
                <w:rFonts w:ascii="Times New Roman" w:hAnsi="Times New Roman" w:cs="Times New Roman" w:eastAsia="Times New Roman" w:hint="default"/>
                <w:sz w:val="18"/>
                <w:szCs w:val="18"/>
              </w:rPr>
            </w:pPr>
            <w:r>
              <w:rPr>
                <w:rFonts w:ascii="Times New Roman"/>
                <w:sz w:val="18"/>
              </w:rPr>
              <w:t>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戴东海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8"/>
              <w:jc w:val="right"/>
              <w:rPr>
                <w:rFonts w:ascii="Times New Roman" w:hAnsi="Times New Roman" w:cs="Times New Roman" w:eastAsia="Times New Roman" w:hint="default"/>
                <w:sz w:val="18"/>
                <w:szCs w:val="18"/>
              </w:rPr>
            </w:pPr>
            <w:r>
              <w:rPr>
                <w:rFonts w:ascii="Times New Roman"/>
                <w:sz w:val="18"/>
              </w:rPr>
              <w:t>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景慕寒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84"/>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金水祥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8"/>
              <w:jc w:val="right"/>
              <w:rPr>
                <w:rFonts w:ascii="Times New Roman" w:hAnsi="Times New Roman" w:cs="Times New Roman" w:eastAsia="Times New Roman" w:hint="default"/>
                <w:sz w:val="18"/>
                <w:szCs w:val="18"/>
              </w:rPr>
            </w:pPr>
            <w:r>
              <w:rPr>
                <w:rFonts w:ascii="Times New Roman"/>
                <w:sz w:val="18"/>
              </w:rPr>
              <w:t>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梁永杰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38"/>
              <w:jc w:val="right"/>
              <w:rPr>
                <w:rFonts w:ascii="Times New Roman" w:hAnsi="Times New Roman" w:cs="Times New Roman" w:eastAsia="Times New Roman" w:hint="default"/>
                <w:sz w:val="18"/>
                <w:szCs w:val="18"/>
              </w:rPr>
            </w:pPr>
            <w:r>
              <w:rPr>
                <w:rFonts w:ascii="Times New Roman"/>
                <w:sz w:val="18"/>
              </w:rPr>
              <w:t>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孟庆昕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38"/>
              <w:jc w:val="right"/>
              <w:rPr>
                <w:rFonts w:ascii="Times New Roman" w:hAnsi="Times New Roman" w:cs="Times New Roman" w:eastAsia="Times New Roman" w:hint="default"/>
                <w:sz w:val="18"/>
                <w:szCs w:val="18"/>
              </w:rPr>
            </w:pPr>
            <w:r>
              <w:rPr>
                <w:rFonts w:ascii="Times New Roman"/>
                <w:sz w:val="18"/>
              </w:rPr>
              <w:t>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宋铁辉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38"/>
              <w:jc w:val="right"/>
              <w:rPr>
                <w:rFonts w:ascii="Times New Roman" w:hAnsi="Times New Roman" w:cs="Times New Roman" w:eastAsia="Times New Roman" w:hint="default"/>
                <w:sz w:val="18"/>
                <w:szCs w:val="18"/>
              </w:rPr>
            </w:pPr>
            <w:r>
              <w:rPr>
                <w:rFonts w:ascii="Times New Roman"/>
                <w:sz w:val="18"/>
              </w:rPr>
              <w:t>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姜晓明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4"/>
              <w:jc w:val="right"/>
              <w:rPr>
                <w:rFonts w:ascii="Times New Roman" w:hAnsi="Times New Roman" w:cs="Times New Roman" w:eastAsia="Times New Roman" w:hint="default"/>
                <w:sz w:val="18"/>
                <w:szCs w:val="18"/>
              </w:rPr>
            </w:pPr>
            <w:r>
              <w:rPr>
                <w:rFonts w:ascii="Times New Roman"/>
                <w:sz w:val="18"/>
              </w:rPr>
              <w:t>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任光明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584"/>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500"/>
              <w:jc w:val="right"/>
              <w:rPr>
                <w:rFonts w:ascii="Times New Roman" w:hAnsi="Times New Roman" w:cs="Times New Roman" w:eastAsia="Times New Roman" w:hint="default"/>
                <w:sz w:val="18"/>
                <w:szCs w:val="18"/>
              </w:rPr>
            </w:pPr>
            <w:r>
              <w:rPr>
                <w:rFonts w:ascii="Times New Roman"/>
                <w:spacing w:val="-2"/>
                <w:sz w:val="18"/>
              </w:rPr>
              <w:t>1178</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注：</w:t>
      </w:r>
      <w:r>
        <w:rPr>
          <w:rFonts w:ascii="Times New Roman" w:hAnsi="Times New Roman" w:cs="Times New Roman" w:eastAsia="Times New Roman" w:hint="default"/>
        </w:rPr>
        <w:t>1</w:t>
      </w:r>
      <w:r>
        <w:rPr/>
        <w:t>、公司于</w:t>
      </w:r>
      <w:r>
        <w:rPr>
          <w:spacing w:val="-47"/>
        </w:rPr>
        <w:t> </w:t>
      </w:r>
      <w:r>
        <w:rPr>
          <w:rFonts w:ascii="Times New Roman" w:hAnsi="Times New Roman" w:cs="Times New Roman" w:eastAsia="Times New Roman" w:hint="default"/>
        </w:rPr>
        <w:t>2019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日召开</w:t>
      </w:r>
      <w:r>
        <w:rPr>
          <w:spacing w:val="-46"/>
        </w:rPr>
        <w:t> </w:t>
      </w:r>
      <w:r>
        <w:rPr>
          <w:rFonts w:ascii="Times New Roman" w:hAnsi="Times New Roman" w:cs="Times New Roman" w:eastAsia="Times New Roman" w:hint="default"/>
        </w:rPr>
        <w:t>2019 </w:t>
      </w:r>
      <w:r>
        <w:rPr/>
        <w:t>年第二次临时股东大会，选举李克强先生为公司第四届董事会独立董事，任期</w:t>
      </w:r>
    </w:p>
    <w:p>
      <w:pPr>
        <w:pStyle w:val="BodyText"/>
        <w:spacing w:line="319" w:lineRule="auto" w:before="60"/>
        <w:ind w:right="1124"/>
        <w:jc w:val="left"/>
      </w:pPr>
      <w:r>
        <w:rPr/>
        <w:t>自公司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年第二次临时股东大会审议通过之日起至第四届董事会任期届满之日止。 </w:t>
      </w:r>
      <w:r>
        <w:rPr>
          <w:rFonts w:ascii="Times New Roman" w:hAnsi="Times New Roman" w:cs="Times New Roman" w:eastAsia="Times New Roman" w:hint="default"/>
        </w:rPr>
        <w:t>2</w:t>
      </w:r>
      <w:r>
        <w:rPr/>
        <w:t>、公司副总经理景慕寒先生，同时在公司参股子公司北京四维智联科技有限公司担任董事、总经理，其报酬由公司和北京 四维智联科技有限公司各承担一半。</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right="0"/>
        <w:jc w:val="left"/>
      </w:pPr>
      <w:r>
        <w:rPr/>
        <w:t>公司董事、高级管理人员报告期内被授予的股权激励情况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五、公司员工情况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2821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1875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4696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4696</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1228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2718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421</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4696</w:t>
            </w:r>
          </w:p>
        </w:tc>
      </w:tr>
      <w:tr>
        <w:trPr>
          <w:trHeight w:val="396"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大学本科以上学历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2346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大学本科以下学历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1389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4696</w:t>
            </w:r>
          </w:p>
        </w:tc>
      </w:tr>
    </w:tbl>
    <w:p>
      <w:pPr>
        <w:spacing w:line="240" w:lineRule="auto" w:before="10"/>
        <w:rPr>
          <w:rFonts w:ascii="Microsoft JhengHei" w:hAnsi="Microsoft JhengHei" w:cs="Microsoft JhengHei" w:eastAsia="Microsoft JhengHei" w:hint="default"/>
          <w:b/>
          <w:bCs/>
          <w:sz w:val="14"/>
          <w:szCs w:val="14"/>
        </w:rPr>
      </w:pPr>
    </w:p>
    <w:p>
      <w:pPr>
        <w:pStyle w:val="Heading4"/>
        <w:spacing w:line="335" w:lineRule="exact"/>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13"/>
        <w:rPr>
          <w:rFonts w:ascii="Microsoft JhengHei" w:hAnsi="Microsoft JhengHei" w:cs="Microsoft JhengHei" w:eastAsia="Microsoft JhengHei" w:hint="default"/>
          <w:b/>
          <w:bCs/>
          <w:sz w:val="23"/>
          <w:szCs w:val="23"/>
        </w:rPr>
      </w:pPr>
    </w:p>
    <w:p>
      <w:pPr>
        <w:pStyle w:val="BodyText"/>
        <w:spacing w:line="477" w:lineRule="auto"/>
        <w:ind w:right="1394" w:firstLine="360"/>
        <w:jc w:val="left"/>
      </w:pPr>
      <w:r>
        <w:rPr/>
        <w:t>根据国家法律法规、公司战略目标和年度经营计划，依据员工所在岗位和级别不同，参考市场薪酬确定公司薪酬标 准，遵循合理合法的薪酬支付理念，在成本预算合理的前提下，保证薪酬水平对外竞争性、对内公平性。</w:t>
      </w:r>
    </w:p>
    <w:p>
      <w:pPr>
        <w:pStyle w:val="BodyText"/>
        <w:spacing w:line="477" w:lineRule="auto" w:before="95"/>
        <w:ind w:right="1214" w:firstLine="360"/>
        <w:jc w:val="left"/>
      </w:pPr>
      <w:r>
        <w:rPr/>
        <w:t>薪酬分配体现个人利益与公司总体效益之间的紧密联系，为了更好地吸引和保留人才，公司面向核心管理人员、核心 业务骨干实施股权激励计划，短期、长期激励相结合，丰富薪酬给付形式。</w:t>
      </w:r>
    </w:p>
    <w:p>
      <w:pPr>
        <w:spacing w:line="240" w:lineRule="auto" w:before="4"/>
        <w:rPr>
          <w:rFonts w:ascii="宋体" w:hAnsi="宋体" w:cs="宋体" w:eastAsia="宋体" w:hint="default"/>
          <w:sz w:val="13"/>
          <w:szCs w:val="13"/>
        </w:rPr>
      </w:pPr>
    </w:p>
    <w:p>
      <w:pPr>
        <w:pStyle w:val="BodyText"/>
        <w:spacing w:line="240" w:lineRule="auto"/>
        <w:ind w:left="513" w:right="0"/>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1"/>
        <w:rPr>
          <w:rFonts w:ascii="宋体" w:hAnsi="宋体" w:cs="宋体" w:eastAsia="宋体" w:hint="default"/>
          <w:sz w:val="19"/>
          <w:szCs w:val="19"/>
        </w:rPr>
      </w:pPr>
    </w:p>
    <w:p>
      <w:pPr>
        <w:pStyle w:val="BodyText"/>
        <w:spacing w:line="451" w:lineRule="auto"/>
        <w:ind w:right="1300" w:firstLine="36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年报告期内职工薪酬总额（计入成本部分）为</w:t>
      </w:r>
      <w:r>
        <w:rPr>
          <w:spacing w:val="-48"/>
        </w:rPr>
        <w:t> </w:t>
      </w:r>
      <w:r>
        <w:rPr>
          <w:rFonts w:ascii="Times New Roman" w:hAnsi="Times New Roman" w:cs="Times New Roman" w:eastAsia="Times New Roman" w:hint="default"/>
        </w:rPr>
        <w:t>116,329.83</w:t>
      </w:r>
      <w:r>
        <w:rPr>
          <w:rFonts w:ascii="Times New Roman" w:hAnsi="Times New Roman" w:cs="Times New Roman" w:eastAsia="Times New Roman" w:hint="default"/>
          <w:spacing w:val="-3"/>
        </w:rPr>
        <w:t> </w:t>
      </w:r>
      <w:r>
        <w:rPr/>
        <w:t>万元，占公司成本总额的</w:t>
      </w:r>
      <w:r>
        <w:rPr>
          <w:spacing w:val="-48"/>
        </w:rPr>
        <w:t> </w:t>
      </w:r>
      <w:r>
        <w:rPr>
          <w:rFonts w:ascii="Times New Roman" w:hAnsi="Times New Roman" w:cs="Times New Roman" w:eastAsia="Times New Roman" w:hint="default"/>
        </w:rPr>
        <w:t>47.51%</w:t>
      </w:r>
      <w:r>
        <w:rPr/>
        <w:t>。核心技术人员数量 占比</w:t>
      </w:r>
      <w:r>
        <w:rPr>
          <w:spacing w:val="-46"/>
        </w:rPr>
        <w:t> </w:t>
      </w:r>
      <w:r>
        <w:rPr>
          <w:rFonts w:ascii="Times New Roman" w:hAnsi="Times New Roman" w:cs="Times New Roman" w:eastAsia="Times New Roman" w:hint="default"/>
        </w:rPr>
        <w:t>26.34%</w:t>
      </w:r>
      <w:r>
        <w:rPr/>
        <w:t>，核心技术人员薪酬占比</w:t>
      </w:r>
      <w:r>
        <w:rPr>
          <w:spacing w:val="-46"/>
        </w:rPr>
        <w:t> </w:t>
      </w:r>
      <w:r>
        <w:rPr>
          <w:rFonts w:ascii="Times New Roman" w:hAnsi="Times New Roman" w:cs="Times New Roman" w:eastAsia="Times New Roman" w:hint="default"/>
        </w:rPr>
        <w:t>38.36%</w:t>
      </w:r>
      <w:r>
        <w:rPr/>
        <w:t>，与上年同期占比基本持平。</w:t>
      </w:r>
    </w:p>
    <w:p>
      <w:pPr>
        <w:spacing w:after="0" w:line="451"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5"/>
        <w:rPr>
          <w:rFonts w:ascii="Microsoft JhengHei" w:hAnsi="Microsoft JhengHei" w:cs="Microsoft JhengHei" w:eastAsia="Microsoft JhengHei" w:hint="default"/>
          <w:b/>
          <w:bCs/>
          <w:sz w:val="23"/>
          <w:szCs w:val="23"/>
        </w:rPr>
      </w:pPr>
    </w:p>
    <w:p>
      <w:pPr>
        <w:pStyle w:val="BodyText"/>
        <w:spacing w:line="451" w:lineRule="auto"/>
        <w:ind w:right="1141" w:firstLine="360"/>
        <w:jc w:val="both"/>
      </w:pPr>
      <w:r>
        <w:rPr/>
        <w:t>公司的培训体系始终致力于公司业务问题解决和员工能力发展。基于战略</w:t>
      </w:r>
      <w:r>
        <w:rPr>
          <w:rFonts w:ascii="Times New Roman" w:hAnsi="Times New Roman" w:cs="Times New Roman" w:eastAsia="Times New Roman" w:hint="default"/>
        </w:rPr>
        <w:t>/</w:t>
      </w:r>
      <w:r>
        <w:rPr/>
        <w:t>业务问题分析，管理干部和基层员工访谈的 结果，公司设计了</w:t>
      </w:r>
      <w:r>
        <w:rPr>
          <w:spacing w:val="-3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spacing w:val="-16"/>
        </w:rPr>
        <w:t>年培训计划。公司培训体系已趋于成熟，即“领导力”、“专业力”、“通用力”、“新员工”、“特色课</w:t>
      </w:r>
      <w:r>
        <w:rPr>
          <w:spacing w:val="-88"/>
        </w:rPr>
        <w:t> </w:t>
      </w:r>
      <w:r>
        <w:rPr>
          <w:spacing w:val="-88"/>
        </w:rPr>
      </w:r>
      <w:r>
        <w:rPr/>
        <w:t>程”五大板块。</w:t>
      </w:r>
    </w:p>
    <w:p>
      <w:pPr>
        <w:pStyle w:val="BodyText"/>
        <w:spacing w:line="451" w:lineRule="auto" w:before="112"/>
        <w:ind w:right="1231" w:firstLine="451"/>
        <w:jc w:val="both"/>
      </w:pPr>
      <w:r>
        <w:rPr/>
        <w:t>“领导力”项目在</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年取得了里程碑式的进步。今年针对各层级的领导力培养项目落地，课程内容理论丰富，同 时结合了公司内部实际案例，做到理论和实际相结合。</w:t>
      </w:r>
    </w:p>
    <w:p>
      <w:pPr>
        <w:pStyle w:val="BodyText"/>
        <w:spacing w:line="477" w:lineRule="auto" w:before="115"/>
        <w:ind w:right="1394" w:firstLine="360"/>
        <w:jc w:val="left"/>
      </w:pPr>
      <w:r>
        <w:rPr/>
        <w:t>“专业力”项目为公司四大职系、五大职级员工搭建了完整的课程体系，对不同工作性质的员工开展有针对性的培 养，满足了员工能力发展和职业发展的需求。</w:t>
      </w:r>
    </w:p>
    <w:p>
      <w:pPr>
        <w:pStyle w:val="BodyText"/>
        <w:spacing w:line="477" w:lineRule="auto" w:before="95"/>
        <w:ind w:right="1231" w:firstLine="360"/>
        <w:jc w:val="both"/>
      </w:pPr>
      <w:r>
        <w:rPr/>
        <w:t>“通用力”项目，为公司基层员工及核心员工提供了通用素质能力的培训，提升员工在沟通协作、执行力及目标管理 等方面的能力，全面提升员工的综合素质。</w:t>
      </w:r>
    </w:p>
    <w:p>
      <w:pPr>
        <w:pStyle w:val="BodyText"/>
        <w:spacing w:line="477" w:lineRule="auto" w:before="92"/>
        <w:ind w:right="1231" w:firstLine="360"/>
        <w:jc w:val="both"/>
      </w:pPr>
      <w:r>
        <w:rPr/>
        <w:t>“新员工”项目，区别社招和校招新员工的不同特点，分别开展不同课程。旨在帮助新员工在文化融入、公司业务了 解和能力提升方面有所提高。</w:t>
      </w:r>
    </w:p>
    <w:p>
      <w:pPr>
        <w:pStyle w:val="BodyText"/>
        <w:spacing w:line="477" w:lineRule="auto" w:before="95"/>
        <w:ind w:right="1231" w:firstLine="360"/>
        <w:jc w:val="both"/>
      </w:pPr>
      <w:r>
        <w:rPr/>
        <w:t>“特色课程”项目，根据公司所处行业以及业务的特点，在公司内部大力开展业务相关特色培训，形成自有知识沉淀 和管理。公司还与多所国内一流大学合作，开设了多个专业的在职研究生班，并鼓励支持员工报考，满足在岗员工接受学 历教育的需求，丰富了公司员工的知识与学历结构。</w:t>
      </w:r>
    </w:p>
    <w:p>
      <w:pPr>
        <w:pStyle w:val="BodyText"/>
        <w:spacing w:line="475" w:lineRule="auto" w:before="95"/>
        <w:ind w:right="1231" w:firstLine="360"/>
        <w:jc w:val="both"/>
      </w:pPr>
      <w:r>
        <w:rPr>
          <w:spacing w:val="-7"/>
        </w:rPr>
        <w:t>除线下学习，在线学习系统也得到了很好的应用。线上课程不断丰富，涵盖“公司特色课”、“管理与领导力”、“职业</w:t>
      </w:r>
      <w:r>
        <w:rPr/>
        <w:t> </w:t>
      </w:r>
      <w:r>
        <w:rPr>
          <w:spacing w:val="-7"/>
        </w:rPr>
        <w:t>素养”、“制度流程”、“品质管理”等等系列。同时公司还开展了部分运营活动，员工学习热情不断提升。通过内部学习生</w:t>
      </w:r>
      <w:r>
        <w:rPr>
          <w:spacing w:val="-69"/>
        </w:rPr>
        <w:t> </w:t>
      </w:r>
      <w:r>
        <w:rPr>
          <w:spacing w:val="-69"/>
        </w:rPr>
      </w:r>
      <w:r>
        <w:rPr/>
        <w:t>态的搭建，也沉淀和传承了企业优秀知识经验。</w:t>
      </w:r>
    </w:p>
    <w:p>
      <w:pPr>
        <w:pStyle w:val="BodyText"/>
        <w:spacing w:line="477" w:lineRule="auto" w:before="97"/>
        <w:ind w:right="1231" w:firstLine="360"/>
        <w:jc w:val="both"/>
        <w:rPr>
          <w:rFonts w:ascii="宋体" w:hAnsi="宋体" w:cs="宋体" w:eastAsia="宋体" w:hint="default"/>
          <w:sz w:val="21"/>
          <w:szCs w:val="21"/>
        </w:rPr>
      </w:pPr>
      <w:r>
        <w:rPr/>
        <w:t>各项数据显示，培训工作在公司的人才培养与发展工作中起到了良好的效果，对于公司人才队伍的稳定及发展起到积 极的促进作用。</w:t>
      </w:r>
      <w:r>
        <w:rPr>
          <w:rFonts w:ascii="宋体" w:hAnsi="宋体" w:cs="宋体" w:eastAsia="宋体" w:hint="default"/>
          <w:w w:val="100"/>
          <w:sz w:val="21"/>
          <w:szCs w:val="21"/>
        </w:rPr>
        <w:t> </w:t>
      </w:r>
    </w:p>
    <w:p>
      <w:pPr>
        <w:spacing w:line="240" w:lineRule="auto" w:before="4"/>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1472"/>
        <w:jc w:val="center"/>
        <w:rPr>
          <w:b w:val="0"/>
          <w:bCs w:val="0"/>
        </w:rPr>
      </w:pPr>
      <w:bookmarkStart w:name="_bookmark9" w:id="10"/>
      <w:bookmarkEnd w:id="10"/>
      <w:r>
        <w:rPr>
          <w:b w:val="0"/>
          <w:bCs w:val="0"/>
        </w:rPr>
      </w:r>
      <w:r>
        <w:rPr/>
        <w:t>第十节公司治理</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一、公司治理的基本状况</w:t>
      </w:r>
      <w:r>
        <w:rPr>
          <w:b w:val="0"/>
          <w:bCs w:val="0"/>
        </w:rPr>
      </w:r>
    </w:p>
    <w:p>
      <w:pPr>
        <w:spacing w:line="240" w:lineRule="auto" w:before="7"/>
        <w:rPr>
          <w:rFonts w:ascii="Microsoft JhengHei" w:hAnsi="Microsoft JhengHei" w:cs="Microsoft JhengHei" w:eastAsia="Microsoft JhengHei" w:hint="default"/>
          <w:b/>
          <w:bCs/>
          <w:sz w:val="21"/>
          <w:szCs w:val="21"/>
        </w:rPr>
      </w:pPr>
    </w:p>
    <w:p>
      <w:pPr>
        <w:pStyle w:val="Heading5"/>
        <w:spacing w:line="408" w:lineRule="auto" w:before="0"/>
        <w:ind w:right="1126"/>
        <w:jc w:val="both"/>
        <w:rPr>
          <w:rFonts w:ascii="宋体" w:hAnsi="宋体" w:cs="宋体" w:eastAsia="宋体" w:hint="default"/>
        </w:rPr>
      </w:pPr>
      <w:r>
        <w:rPr>
          <w:spacing w:val="-7"/>
        </w:rPr>
        <w:t>报告期内，公司始终坚持规范运作，严格按照《公司法》、《证券法》、《上市公司治理准则》、《深</w:t>
      </w:r>
      <w:r>
        <w:rPr>
          <w:w w:val="100"/>
        </w:rPr>
        <w:t> </w:t>
      </w:r>
      <w:r>
        <w:rPr>
          <w:spacing w:val="-7"/>
          <w:w w:val="100"/>
        </w:rPr>
        <w:t>圳证券交易所股票上市规则》、《深圳证券交易所中小企业板上市公司规范运作指引》等法律法规以及《公</w:t>
      </w:r>
      <w:r>
        <w:rPr>
          <w:spacing w:val="-75"/>
          <w:w w:val="100"/>
        </w:rPr>
        <w:t> </w:t>
      </w:r>
      <w:r>
        <w:rPr>
          <w:spacing w:val="-75"/>
          <w:w w:val="100"/>
        </w:rPr>
      </w:r>
      <w:r>
        <w:rPr>
          <w:spacing w:val="-2"/>
        </w:rPr>
        <w:t>司章程》的要求，不断完善公司法人治理结构，建立、健全内部控制制度，提升公司治理水平。截至</w:t>
      </w:r>
      <w:r>
        <w:rPr>
          <w:rFonts w:ascii="宋体" w:hAnsi="宋体" w:cs="宋体" w:eastAsia="宋体" w:hint="default"/>
          <w:spacing w:val="-2"/>
        </w:rPr>
        <w:t>2019</w:t>
      </w:r>
      <w:r>
        <w:rPr>
          <w:rFonts w:ascii="宋体" w:hAnsi="宋体" w:cs="宋体" w:eastAsia="宋体" w:hint="default"/>
          <w:spacing w:val="-37"/>
        </w:rPr>
        <w:t> </w:t>
      </w:r>
      <w:r>
        <w:rPr>
          <w:rFonts w:ascii="宋体" w:hAnsi="宋体" w:cs="宋体" w:eastAsia="宋体" w:hint="default"/>
          <w:spacing w:val="-37"/>
        </w:rPr>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日，公司治理与《公司法》和中国证监会相关规定的要求不存在差异，也未收到监管部门行政监</w:t>
      </w:r>
      <w:r>
        <w:rPr>
          <w:spacing w:val="-43"/>
        </w:rPr>
        <w:t> </w:t>
      </w:r>
      <w:r>
        <w:rPr>
          <w:spacing w:val="-43"/>
        </w:rPr>
      </w:r>
      <w:r>
        <w:rPr/>
        <w:t>管措施需限期整改的有关文件。</w:t>
      </w:r>
      <w:r>
        <w:rPr>
          <w:rFonts w:ascii="宋体" w:hAnsi="宋体" w:cs="宋体" w:eastAsia="宋体" w:hint="default"/>
        </w:rPr>
        <w:t> </w:t>
      </w:r>
    </w:p>
    <w:p>
      <w:pPr>
        <w:spacing w:line="400" w:lineRule="auto" w:before="46"/>
        <w:ind w:left="152" w:right="0" w:firstLine="420"/>
        <w:jc w:val="left"/>
        <w:rPr>
          <w:rFonts w:ascii="宋体" w:hAnsi="宋体" w:cs="宋体" w:eastAsia="宋体" w:hint="default"/>
          <w:sz w:val="18"/>
          <w:szCs w:val="18"/>
        </w:rPr>
      </w:pPr>
      <w:r>
        <w:rPr>
          <w:rFonts w:ascii="宋体" w:hAnsi="宋体" w:cs="宋体" w:eastAsia="宋体" w:hint="default"/>
          <w:spacing w:val="-2"/>
          <w:sz w:val="21"/>
          <w:szCs w:val="21"/>
        </w:rPr>
        <w:t>报告期内，因业务需要、权益分派及股权激励计划的实施，分别经公司</w:t>
      </w:r>
      <w:r>
        <w:rPr>
          <w:rFonts w:ascii="宋体" w:hAnsi="宋体" w:cs="宋体" w:eastAsia="宋体" w:hint="default"/>
          <w:spacing w:val="-2"/>
          <w:sz w:val="21"/>
          <w:szCs w:val="21"/>
        </w:rPr>
        <w:t>2018</w:t>
      </w:r>
      <w:r>
        <w:rPr>
          <w:rFonts w:ascii="宋体" w:hAnsi="宋体" w:cs="宋体" w:eastAsia="宋体" w:hint="default"/>
          <w:spacing w:val="-2"/>
          <w:sz w:val="21"/>
          <w:szCs w:val="21"/>
        </w:rPr>
        <w:t>年度股东大会和</w:t>
      </w:r>
      <w:r>
        <w:rPr>
          <w:rFonts w:ascii="宋体" w:hAnsi="宋体" w:cs="宋体" w:eastAsia="宋体" w:hint="default"/>
          <w:spacing w:val="-2"/>
          <w:sz w:val="21"/>
          <w:szCs w:val="21"/>
        </w:rPr>
        <w:t>2019</w:t>
      </w:r>
      <w:r>
        <w:rPr>
          <w:rFonts w:ascii="宋体" w:hAnsi="宋体" w:cs="宋体" w:eastAsia="宋体" w:hint="default"/>
          <w:spacing w:val="-2"/>
          <w:sz w:val="21"/>
          <w:szCs w:val="21"/>
        </w:rPr>
        <w:t>年第</w:t>
      </w:r>
      <w:r>
        <w:rPr>
          <w:rFonts w:ascii="宋体" w:hAnsi="宋体" w:cs="宋体" w:eastAsia="宋体" w:hint="default"/>
          <w:w w:val="100"/>
          <w:sz w:val="21"/>
          <w:szCs w:val="21"/>
        </w:rPr>
        <w:t> </w:t>
      </w:r>
      <w:r>
        <w:rPr>
          <w:rFonts w:ascii="宋体" w:hAnsi="宋体" w:cs="宋体" w:eastAsia="宋体" w:hint="default"/>
          <w:sz w:val="21"/>
          <w:szCs w:val="21"/>
        </w:rPr>
        <w:t>一次临时股东大会审议，修订了《公司章程》部分条款。</w:t>
      </w:r>
      <w:r>
        <w:rPr>
          <w:rFonts w:ascii="宋体" w:hAnsi="宋体" w:cs="宋体" w:eastAsia="宋体" w:hint="default"/>
          <w:w w:val="100"/>
          <w:sz w:val="21"/>
          <w:szCs w:val="21"/>
        </w:rPr>
        <w:t> </w:t>
      </w:r>
      <w:r>
        <w:rPr>
          <w:rFonts w:ascii="宋体" w:hAnsi="宋体" w:cs="宋体" w:eastAsia="宋体" w:hint="default"/>
          <w:sz w:val="18"/>
          <w:szCs w:val="18"/>
        </w:rPr>
        <w:t>公司治理的实际状况与中国证监会发布的有关上市公司治理的规范性文件是否存在重大差异</w:t>
      </w:r>
    </w:p>
    <w:p>
      <w:pPr>
        <w:pStyle w:val="BodyText"/>
        <w:spacing w:line="340" w:lineRule="auto"/>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Heading5"/>
        <w:spacing w:line="408" w:lineRule="auto" w:before="0"/>
        <w:ind w:right="0"/>
        <w:jc w:val="left"/>
        <w:rPr>
          <w:rFonts w:ascii="宋体" w:hAnsi="宋体" w:cs="宋体" w:eastAsia="宋体" w:hint="default"/>
        </w:rPr>
      </w:pPr>
      <w:r>
        <w:rPr/>
        <w:t>公司为无实际控制人、无控股股东的上市公司。公司与持股</w:t>
      </w:r>
      <w:r>
        <w:rPr>
          <w:rFonts w:ascii="宋体" w:hAnsi="宋体" w:cs="宋体" w:eastAsia="宋体" w:hint="default"/>
        </w:rPr>
        <w:t>5%</w:t>
      </w:r>
      <w:r>
        <w:rPr/>
        <w:t>以上股东在业务、人员、资产、机构、</w:t>
      </w:r>
      <w:r>
        <w:rPr>
          <w:w w:val="100"/>
        </w:rPr>
        <w:t> </w:t>
      </w:r>
      <w:r>
        <w:rPr/>
        <w:t>财务等方面的独立情况如下：</w:t>
      </w:r>
      <w:r>
        <w:rPr>
          <w:rFonts w:ascii="宋体" w:hAnsi="宋体" w:cs="宋体" w:eastAsia="宋体" w:hint="default"/>
        </w:rPr>
        <w:t> </w:t>
      </w:r>
    </w:p>
    <w:p>
      <w:pPr>
        <w:pStyle w:val="Heading5"/>
        <w:spacing w:line="240" w:lineRule="auto"/>
        <w:ind w:left="573" w:right="0" w:firstLine="0"/>
        <w:jc w:val="left"/>
        <w:rPr>
          <w:rFonts w:ascii="宋体" w:hAnsi="宋体" w:cs="宋体" w:eastAsia="宋体" w:hint="default"/>
        </w:rPr>
      </w:pPr>
      <w:r>
        <w:rPr/>
        <w:t>（一）业务方面：公司业务独立于公司持股</w:t>
      </w:r>
      <w:r>
        <w:rPr>
          <w:rFonts w:ascii="宋体" w:hAnsi="宋体" w:cs="宋体" w:eastAsia="宋体" w:hint="default"/>
        </w:rPr>
        <w:t>5%</w:t>
      </w:r>
      <w:r>
        <w:rPr/>
        <w:t>以上股东，自主经营，业务结构完整。</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5"/>
        <w:spacing w:line="240" w:lineRule="auto" w:before="0"/>
        <w:ind w:left="573" w:right="0" w:firstLine="0"/>
        <w:jc w:val="left"/>
        <w:rPr>
          <w:rFonts w:ascii="宋体" w:hAnsi="宋体" w:cs="宋体" w:eastAsia="宋体" w:hint="default"/>
        </w:rPr>
      </w:pPr>
      <w:r>
        <w:rPr/>
        <w:t>（二）人员方面：公司在人事及薪酬福利管理方面独立运作。</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5"/>
        <w:spacing w:line="240" w:lineRule="auto" w:before="0"/>
        <w:ind w:left="573" w:right="0" w:firstLine="0"/>
        <w:jc w:val="left"/>
        <w:rPr>
          <w:rFonts w:ascii="宋体" w:hAnsi="宋体" w:cs="宋体" w:eastAsia="宋体" w:hint="default"/>
        </w:rPr>
      </w:pPr>
      <w:r>
        <w:rPr/>
        <w:t>（三）资产方面：公司拥有独立的经营场所以及配套设施。</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5"/>
        <w:spacing w:line="408" w:lineRule="auto" w:before="0"/>
        <w:ind w:right="0"/>
        <w:jc w:val="left"/>
        <w:rPr>
          <w:rFonts w:ascii="宋体" w:hAnsi="宋体" w:cs="宋体" w:eastAsia="宋体" w:hint="default"/>
        </w:rPr>
      </w:pPr>
      <w:r>
        <w:rPr>
          <w:spacing w:val="-7"/>
        </w:rPr>
        <w:t>（四）机构方面：公司设立了健全的组织机构体系，董事会、监事会及公司职能部门等机构独立运作，</w:t>
      </w:r>
      <w:r>
        <w:rPr>
          <w:w w:val="100"/>
        </w:rPr>
        <w:t> </w:t>
      </w:r>
      <w:r>
        <w:rPr/>
        <w:t>职能明确，不与公司持股</w:t>
      </w:r>
      <w:r>
        <w:rPr>
          <w:rFonts w:ascii="宋体" w:hAnsi="宋体" w:cs="宋体" w:eastAsia="宋体" w:hint="default"/>
        </w:rPr>
        <w:t>5%</w:t>
      </w:r>
      <w:r>
        <w:rPr/>
        <w:t>以上股东单位职能部门存在从属关系。</w:t>
      </w:r>
      <w:r>
        <w:rPr>
          <w:rFonts w:ascii="宋体" w:hAnsi="宋体" w:cs="宋体" w:eastAsia="宋体" w:hint="default"/>
          <w:spacing w:val="-3"/>
        </w:rPr>
        <w:t> </w:t>
      </w:r>
      <w:r>
        <w:rPr>
          <w:rFonts w:ascii="宋体" w:hAnsi="宋体" w:cs="宋体" w:eastAsia="宋体" w:hint="default"/>
        </w:rPr>
        <w:t> </w:t>
      </w:r>
    </w:p>
    <w:p>
      <w:pPr>
        <w:pStyle w:val="Heading5"/>
        <w:spacing w:line="408" w:lineRule="auto"/>
        <w:ind w:right="0"/>
        <w:jc w:val="left"/>
        <w:rPr>
          <w:rFonts w:ascii="宋体" w:hAnsi="宋体" w:cs="宋体" w:eastAsia="宋体" w:hint="default"/>
        </w:rPr>
      </w:pPr>
      <w:r>
        <w:rPr/>
        <w:t>（五）财务方面：公司设立了独立的的财务部门以及审计部门，配备了专门的财务人员和审计人员，</w:t>
      </w:r>
      <w:r>
        <w:rPr>
          <w:w w:val="100"/>
        </w:rPr>
        <w:t> </w:t>
      </w:r>
      <w:r>
        <w:rPr/>
        <w:t>并建立了独立的会计核算体系和财务管理制度。</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167"/>
        <w:ind w:right="0"/>
        <w:jc w:val="left"/>
        <w:rPr>
          <w:b w:val="0"/>
          <w:bCs w:val="0"/>
        </w:rPr>
      </w:pPr>
      <w:r>
        <w:rPr/>
        <w:t>三、同业竞争情况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四、报告期内召开的年度股东大会和临时股东大会的有关情况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596"/>
        <w:gridCol w:w="1381"/>
        <w:gridCol w:w="1560"/>
        <w:gridCol w:w="1419"/>
        <w:gridCol w:w="1416"/>
        <w:gridCol w:w="2197"/>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22"/>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4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32"/>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2019-044 </w:t>
            </w:r>
            <w:r>
              <w:rPr>
                <w:rFonts w:ascii="宋体" w:hAnsi="宋体" w:cs="宋体" w:eastAsia="宋体" w:hint="default"/>
                <w:sz w:val="18"/>
                <w:szCs w:val="18"/>
              </w:rPr>
              <w:t>公告名称：</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 大会决议公告 公司披露网站：巨潮资讯 网</w:t>
            </w:r>
          </w:p>
        </w:tc>
      </w:tr>
      <w:tr>
        <w:trPr>
          <w:trHeight w:val="165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32"/>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2019-099 </w:t>
            </w:r>
            <w:r>
              <w:rPr>
                <w:rFonts w:ascii="宋体" w:hAnsi="宋体" w:cs="宋体" w:eastAsia="宋体" w:hint="default"/>
                <w:sz w:val="18"/>
                <w:szCs w:val="18"/>
              </w:rPr>
              <w:t>公告名称：</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 临时股东大会决议公告 公司披露网站：巨潮资讯 网</w:t>
            </w:r>
          </w:p>
        </w:tc>
      </w:tr>
      <w:tr>
        <w:trPr>
          <w:trHeight w:val="164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22.16%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32"/>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2019-115 </w:t>
            </w:r>
            <w:r>
              <w:rPr>
                <w:rFonts w:ascii="宋体" w:hAnsi="宋体" w:cs="宋体" w:eastAsia="宋体" w:hint="default"/>
                <w:sz w:val="18"/>
                <w:szCs w:val="18"/>
              </w:rPr>
              <w:t>公告名称：</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 临时股东大会决议公告 公司披露网站：巨潮资讯 网</w:t>
            </w:r>
          </w:p>
        </w:tc>
      </w:tr>
    </w:tbl>
    <w:p>
      <w:pPr>
        <w:spacing w:line="240" w:lineRule="auto" w:before="10"/>
        <w:rPr>
          <w:rFonts w:ascii="Microsoft JhengHei" w:hAnsi="Microsoft JhengHei" w:cs="Microsoft JhengHei" w:eastAsia="Microsoft JhengHei" w:hint="default"/>
          <w:b/>
          <w:bCs/>
          <w:sz w:val="14"/>
          <w:szCs w:val="14"/>
        </w:rPr>
      </w:pPr>
    </w:p>
    <w:p>
      <w:pPr>
        <w:pStyle w:val="Heading4"/>
        <w:spacing w:line="335" w:lineRule="exact"/>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426"/>
        <w:gridCol w:w="1164"/>
        <w:gridCol w:w="1165"/>
        <w:gridCol w:w="1164"/>
        <w:gridCol w:w="1164"/>
        <w:gridCol w:w="1162"/>
        <w:gridCol w:w="1165"/>
        <w:gridCol w:w="1162"/>
      </w:tblGrid>
      <w:tr>
        <w:trPr>
          <w:trHeight w:val="40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8"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314" w:lineRule="auto"/>
              <w:ind w:left="35" w:right="36"/>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6"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314"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李克强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吴艾今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任光明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60" w:lineRule="auto" w:before="49"/>
        <w:ind w:right="6614"/>
        <w:jc w:val="left"/>
      </w:pPr>
      <w:r>
        <w:rPr/>
        <w:t>连续两次未亲自出席董事会的说明 独立董事不存在连续两次未亲自出席董事会的情况。</w:t>
      </w:r>
    </w:p>
    <w:p>
      <w:pPr>
        <w:pStyle w:val="BodyText"/>
        <w:spacing w:line="240" w:lineRule="auto" w:before="27"/>
        <w:ind w:right="0"/>
        <w:jc w:val="left"/>
      </w:pPr>
      <w:r>
        <w:rPr/>
        <w:t>注：鉴于任光明先生连续担任公司独立董事届满六年，公司分别于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9 </w:t>
      </w:r>
      <w:r>
        <w:rPr/>
        <w:t>日召开第四届董事会第二十次会议、</w:t>
      </w:r>
    </w:p>
    <w:p>
      <w:pPr>
        <w:pStyle w:val="BodyText"/>
        <w:spacing w:line="240" w:lineRule="auto" w:before="62"/>
        <w:ind w:right="0"/>
        <w:jc w:val="left"/>
      </w:pPr>
      <w:r>
        <w:rPr>
          <w:rFonts w:ascii="Times New Roman" w:hAnsi="Times New Roman" w:cs="Times New Roman" w:eastAsia="Times New Roman" w:hint="default"/>
        </w:rPr>
        <w:t>2019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日召开</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年第二次临时股东大会，选举李克强先生为公司第四届董事会独立董事。</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4"/>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独立董事对公司有关建议是否被采纳</w:t>
      </w:r>
    </w:p>
    <w:p>
      <w:pPr>
        <w:pStyle w:val="BodyText"/>
        <w:spacing w:line="348" w:lineRule="auto" w:before="117"/>
        <w:ind w:right="670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 </w:t>
      </w:r>
      <w:r>
        <w:rPr>
          <w:rFonts w:ascii="Times New Roman" w:hAnsi="Times New Roman" w:cs="Times New Roman" w:eastAsia="Times New Roman" w:hint="default"/>
        </w:rPr>
        <w:t>1</w:t>
      </w:r>
      <w:r>
        <w:rPr/>
        <w:t>、独立董事对公司对外投资管理工作提出了建议；</w:t>
      </w:r>
    </w:p>
    <w:p>
      <w:pPr>
        <w:pStyle w:val="BodyText"/>
        <w:spacing w:line="222" w:lineRule="exact"/>
        <w:ind w:right="0"/>
        <w:jc w:val="left"/>
      </w:pPr>
      <w:r>
        <w:rPr>
          <w:rFonts w:ascii="Times New Roman" w:hAnsi="Times New Roman" w:cs="Times New Roman" w:eastAsia="Times New Roman" w:hint="default"/>
        </w:rPr>
        <w:t>2</w:t>
      </w:r>
      <w:r>
        <w:rPr/>
        <w:t>、独立董事对于公司经营战略等方面提出了建议。</w:t>
      </w:r>
    </w:p>
    <w:p>
      <w:pPr>
        <w:pStyle w:val="BodyText"/>
        <w:spacing w:line="240" w:lineRule="auto" w:before="63"/>
        <w:ind w:right="0"/>
        <w:jc w:val="left"/>
      </w:pPr>
      <w:r>
        <w:rPr/>
        <w:t>上述建议得到公司的重视和采纳，促进了公司对外投资管理及经营战略制定等方面工作的提高。</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Heading5"/>
        <w:spacing w:line="408" w:lineRule="auto" w:before="0"/>
        <w:ind w:right="1126"/>
        <w:jc w:val="both"/>
        <w:rPr>
          <w:rFonts w:ascii="宋体" w:hAnsi="宋体" w:cs="宋体" w:eastAsia="宋体" w:hint="default"/>
        </w:rPr>
      </w:pPr>
      <w:r>
        <w:rPr>
          <w:spacing w:val="-2"/>
        </w:rPr>
        <w:t>董事会下设专门委员会各委员在报告期内恪尽职守、诚实守信地履行职责。积极参加董事会和股东大</w:t>
      </w:r>
      <w:r>
        <w:rPr>
          <w:w w:val="100"/>
        </w:rPr>
        <w:t> </w:t>
      </w:r>
      <w:r>
        <w:rPr>
          <w:spacing w:val="-2"/>
        </w:rPr>
        <w:t>会会议，发挥各自的专业特长、技能和经验，积极地履行职责，切实维护公司及股东特别是社会公众股股</w:t>
      </w:r>
      <w:r>
        <w:rPr>
          <w:spacing w:val="-47"/>
        </w:rPr>
        <w:t> </w:t>
      </w:r>
      <w:r>
        <w:rPr>
          <w:spacing w:val="-47"/>
        </w:rPr>
      </w:r>
      <w:r>
        <w:rPr/>
        <w:t>东的权益。</w:t>
      </w:r>
      <w:r>
        <w:rPr>
          <w:rFonts w:ascii="宋体" w:hAnsi="宋体" w:cs="宋体" w:eastAsia="宋体" w:hint="default"/>
        </w:rPr>
        <w:t> </w:t>
      </w:r>
    </w:p>
    <w:p>
      <w:pPr>
        <w:pStyle w:val="Heading5"/>
        <w:spacing w:line="408" w:lineRule="auto"/>
        <w:ind w:left="573" w:right="0" w:firstLine="0"/>
        <w:jc w:val="left"/>
      </w:pPr>
      <w:r>
        <w:rPr>
          <w:rFonts w:ascii="宋体" w:hAnsi="宋体" w:cs="宋体" w:eastAsia="宋体" w:hint="default"/>
        </w:rPr>
        <w:t>1</w:t>
      </w:r>
      <w:r>
        <w:rPr/>
        <w:t>、董事会战略委员会履职情况</w:t>
      </w:r>
      <w:r>
        <w:rPr>
          <w:rFonts w:ascii="宋体" w:hAnsi="宋体" w:cs="宋体" w:eastAsia="宋体" w:hint="default"/>
          <w:w w:val="100"/>
        </w:rPr>
        <w:t> </w:t>
      </w:r>
      <w:r>
        <w:rPr>
          <w:spacing w:val="-7"/>
        </w:rPr>
        <w:t>战略委员会根据《公司法》、《上市公司治理准则》、《公司章程》、《董事会战略委员会工作细则》</w:t>
      </w:r>
    </w:p>
    <w:p>
      <w:pPr>
        <w:pStyle w:val="Heading5"/>
        <w:spacing w:line="408" w:lineRule="auto"/>
        <w:ind w:left="573" w:right="4454" w:hanging="421"/>
        <w:jc w:val="left"/>
        <w:rPr>
          <w:rFonts w:ascii="宋体" w:hAnsi="宋体" w:cs="宋体" w:eastAsia="宋体" w:hint="default"/>
        </w:rPr>
      </w:pPr>
      <w:r>
        <w:rPr/>
        <w:t>及其他有关法律法规的规定，积极履行了职责。</w:t>
      </w:r>
      <w:r>
        <w:rPr>
          <w:rFonts w:ascii="宋体" w:hAnsi="宋体" w:cs="宋体" w:eastAsia="宋体" w:hint="default"/>
          <w:w w:val="100"/>
        </w:rPr>
        <w:t> </w:t>
      </w:r>
      <w:r>
        <w:rPr>
          <w:rFonts w:ascii="宋体" w:hAnsi="宋体" w:cs="宋体" w:eastAsia="宋体" w:hint="default"/>
        </w:rPr>
        <w:t>2</w:t>
      </w:r>
      <w:r>
        <w:rPr/>
        <w:t>、董事会薪酬与考核委员会履职情况</w:t>
      </w:r>
      <w:r>
        <w:rPr>
          <w:rFonts w:ascii="宋体" w:hAnsi="宋体" w:cs="宋体" w:eastAsia="宋体" w:hint="default"/>
        </w:rPr>
        <w:t> </w:t>
      </w:r>
    </w:p>
    <w:p>
      <w:pPr>
        <w:pStyle w:val="Heading5"/>
        <w:spacing w:line="408" w:lineRule="auto"/>
        <w:ind w:right="1126"/>
        <w:jc w:val="both"/>
        <w:rPr>
          <w:rFonts w:ascii="宋体" w:hAnsi="宋体" w:cs="宋体" w:eastAsia="宋体" w:hint="default"/>
        </w:rPr>
      </w:pPr>
      <w:r>
        <w:rPr>
          <w:spacing w:val="-2"/>
        </w:rPr>
        <w:t>薪酬与考核委员会根据《公司法》、《上市公司治理准则》、《公司章程》、《董事会薪酬与考核委</w:t>
      </w:r>
      <w:r>
        <w:rPr>
          <w:w w:val="100"/>
        </w:rPr>
        <w:t> </w:t>
      </w:r>
      <w:r>
        <w:rPr>
          <w:spacing w:val="-2"/>
        </w:rPr>
        <w:t>员会工作细则》及其他有关法律法规的规定，积极参与薪酬与考核委员会的日常工作。报告期内，薪酬与</w:t>
      </w:r>
      <w:r>
        <w:rPr>
          <w:spacing w:val="-47"/>
        </w:rPr>
        <w:t> </w:t>
      </w:r>
      <w:r>
        <w:rPr>
          <w:spacing w:val="-47"/>
        </w:rPr>
      </w:r>
      <w:r>
        <w:rPr>
          <w:spacing w:val="-2"/>
        </w:rPr>
        <w:t>考核委员会认真审核了公司</w:t>
      </w:r>
      <w:r>
        <w:rPr>
          <w:rFonts w:ascii="宋体" w:hAnsi="宋体" w:cs="宋体" w:eastAsia="宋体" w:hint="default"/>
          <w:spacing w:val="-2"/>
        </w:rPr>
        <w:t>2018</w:t>
      </w:r>
      <w:r>
        <w:rPr>
          <w:spacing w:val="-2"/>
        </w:rPr>
        <w:t>年度限制性股票解锁事项，并对公司薪酬制度执行情况进行监督，结合公</w:t>
      </w:r>
      <w:r>
        <w:rPr>
          <w:spacing w:val="-39"/>
        </w:rPr>
        <w:t> </w:t>
      </w:r>
      <w:r>
        <w:rPr>
          <w:spacing w:val="-39"/>
        </w:rPr>
      </w:r>
      <w:r>
        <w:rPr/>
        <w:t>司经营目标完成情况，对公司薪酬计划的调整进行了讨论，并提出合理性建议。</w:t>
      </w:r>
      <w:r>
        <w:rPr>
          <w:rFonts w:ascii="宋体" w:hAnsi="宋体" w:cs="宋体" w:eastAsia="宋体" w:hint="default"/>
        </w:rPr>
        <w:t> </w:t>
      </w:r>
    </w:p>
    <w:p>
      <w:pPr>
        <w:pStyle w:val="Heading5"/>
        <w:spacing w:line="408" w:lineRule="auto"/>
        <w:ind w:left="573" w:right="0" w:firstLine="0"/>
        <w:jc w:val="left"/>
      </w:pPr>
      <w:r>
        <w:rPr>
          <w:rFonts w:ascii="宋体" w:hAnsi="宋体" w:cs="宋体" w:eastAsia="宋体" w:hint="default"/>
        </w:rPr>
        <w:t>3</w:t>
      </w:r>
      <w:r>
        <w:rPr/>
        <w:t>、董事会审计委员会履职情况</w:t>
      </w:r>
      <w:r>
        <w:rPr>
          <w:rFonts w:ascii="宋体" w:hAnsi="宋体" w:cs="宋体" w:eastAsia="宋体" w:hint="default"/>
          <w:w w:val="100"/>
        </w:rPr>
        <w:t> </w:t>
      </w:r>
      <w:r>
        <w:rPr>
          <w:spacing w:val="-7"/>
        </w:rPr>
        <w:t>审计委员会根据《公司法》、《上市公司治理准则》、《公司章程》、《董事会审计委员会工作细则》</w:t>
      </w:r>
    </w:p>
    <w:p>
      <w:pPr>
        <w:pStyle w:val="Heading5"/>
        <w:spacing w:line="408" w:lineRule="auto"/>
        <w:ind w:right="1126" w:firstLine="0"/>
        <w:jc w:val="both"/>
        <w:rPr>
          <w:rFonts w:ascii="宋体" w:hAnsi="宋体" w:cs="宋体" w:eastAsia="宋体" w:hint="default"/>
        </w:rPr>
      </w:pPr>
      <w:r>
        <w:rPr>
          <w:spacing w:val="-2"/>
        </w:rPr>
        <w:t>及其他有关法律法规的规定，积极履行职责。报告期内，审计委员会监督和评估外部审计机构工作，审阅</w:t>
      </w:r>
      <w:r>
        <w:rPr>
          <w:spacing w:val="-47"/>
        </w:rPr>
        <w:t> </w:t>
      </w:r>
      <w:r>
        <w:rPr>
          <w:spacing w:val="-47"/>
        </w:rPr>
      </w:r>
      <w:r>
        <w:rPr>
          <w:spacing w:val="-2"/>
        </w:rPr>
        <w:t>公司的财务报告并对其发表意见，继续积极深入完善内控体系建设、全面开展推广内部控制评价工作，以</w:t>
      </w:r>
      <w:r>
        <w:rPr>
          <w:spacing w:val="-43"/>
        </w:rPr>
        <w:t> </w:t>
      </w:r>
      <w:r>
        <w:rPr>
          <w:spacing w:val="-43"/>
        </w:rPr>
      </w:r>
      <w:r>
        <w:rPr/>
        <w:t>及协调管理层及相关部门与外部审计机构的沟通，确保审计的独立性并保质保量如期完成审计工作等。</w:t>
      </w:r>
      <w:r>
        <w:rPr>
          <w:rFonts w:ascii="宋体" w:hAnsi="宋体" w:cs="宋体" w:eastAsia="宋体" w:hint="default"/>
        </w:rPr>
        <w:t> </w:t>
      </w:r>
    </w:p>
    <w:p>
      <w:pPr>
        <w:pStyle w:val="Heading5"/>
        <w:spacing w:line="408" w:lineRule="auto"/>
        <w:ind w:left="573" w:right="0" w:firstLine="0"/>
        <w:jc w:val="left"/>
      </w:pPr>
      <w:r>
        <w:rPr>
          <w:rFonts w:ascii="宋体" w:hAnsi="宋体" w:cs="宋体" w:eastAsia="宋体" w:hint="default"/>
        </w:rPr>
        <w:t>4</w:t>
      </w:r>
      <w:r>
        <w:rPr/>
        <w:t>、董事会提名委员会履职情况</w:t>
      </w:r>
      <w:r>
        <w:rPr>
          <w:rFonts w:ascii="宋体" w:hAnsi="宋体" w:cs="宋体" w:eastAsia="宋体" w:hint="default"/>
          <w:w w:val="100"/>
        </w:rPr>
        <w:t> </w:t>
      </w:r>
      <w:r>
        <w:rPr>
          <w:spacing w:val="-7"/>
        </w:rPr>
        <w:t>提名委员会根据《公司法》、《上市公司治理准则》、《公司章程》、《董事会提名委员会工作细则》</w:t>
      </w:r>
    </w:p>
    <w:p>
      <w:pPr>
        <w:spacing w:after="0" w:line="408"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Heading5"/>
        <w:spacing w:line="408" w:lineRule="auto" w:before="176"/>
        <w:ind w:right="0" w:firstLine="0"/>
        <w:jc w:val="left"/>
        <w:rPr>
          <w:rFonts w:ascii="宋体" w:hAnsi="宋体" w:cs="宋体" w:eastAsia="宋体" w:hint="default"/>
        </w:rPr>
      </w:pPr>
      <w:r>
        <w:rPr>
          <w:spacing w:val="-2"/>
        </w:rPr>
        <w:t>及其他有关法律法规的规定，积极参与提名委员会的日常工作。报告期内，提名委员会认真履行了相关职</w:t>
      </w:r>
      <w:r>
        <w:rPr>
          <w:spacing w:val="-42"/>
        </w:rPr>
        <w:t> </w:t>
      </w:r>
      <w:r>
        <w:rPr>
          <w:spacing w:val="-42"/>
        </w:rPr>
      </w:r>
      <w:r>
        <w:rPr/>
        <w:t>责，对独立董事的人选、选择标准和程序进行审核并提出建议。</w:t>
      </w:r>
      <w:r>
        <w:rPr>
          <w:rFonts w:ascii="宋体" w:hAnsi="宋体" w:cs="宋体" w:eastAsia="宋体" w:hint="default"/>
        </w:rPr>
        <w:t> </w:t>
      </w:r>
    </w:p>
    <w:p>
      <w:pPr>
        <w:pStyle w:val="Heading2"/>
        <w:spacing w:line="240" w:lineRule="auto" w:before="167"/>
        <w:ind w:right="0"/>
        <w:jc w:val="left"/>
        <w:rPr>
          <w:b w:val="0"/>
          <w:bCs w:val="0"/>
        </w:rPr>
      </w:pPr>
      <w:r>
        <w:rPr/>
        <w:t>七、监事会工作情况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监事会在报告期内的监督活动中发现公司是否存在风险</w:t>
      </w:r>
    </w:p>
    <w:p>
      <w:pPr>
        <w:pStyle w:val="BodyText"/>
        <w:spacing w:line="340" w:lineRule="auto" w:before="115"/>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8"/>
        <w:rPr>
          <w:rFonts w:ascii="Microsoft JhengHei" w:hAnsi="Microsoft JhengHei" w:cs="Microsoft JhengHei" w:eastAsia="Microsoft JhengHei" w:hint="default"/>
          <w:b/>
          <w:bCs/>
          <w:sz w:val="21"/>
          <w:szCs w:val="21"/>
        </w:rPr>
      </w:pPr>
    </w:p>
    <w:p>
      <w:pPr>
        <w:pStyle w:val="Heading5"/>
        <w:spacing w:line="408" w:lineRule="auto" w:before="0"/>
        <w:ind w:right="0"/>
        <w:jc w:val="left"/>
        <w:rPr>
          <w:rFonts w:ascii="宋体" w:hAnsi="宋体" w:cs="宋体" w:eastAsia="宋体" w:hint="default"/>
        </w:rPr>
      </w:pPr>
      <w:r>
        <w:rPr>
          <w:spacing w:val="-7"/>
        </w:rPr>
        <w:t>公司高级管理人员均依据《公司章程》，履行本岗位职责。公司董事会、薪酬与考核委员会根据董事、</w:t>
      </w:r>
      <w:r>
        <w:rPr>
          <w:w w:val="100"/>
        </w:rPr>
        <w:t> </w:t>
      </w:r>
      <w:r>
        <w:rPr/>
        <w:t>监事及高级管理人员职责履行情况及绩效情况，开展个人考核评测，并依据考评结果提出薪酬调整方案，</w:t>
      </w:r>
      <w:r>
        <w:rPr>
          <w:spacing w:val="-24"/>
        </w:rPr>
        <w:t> </w:t>
      </w:r>
      <w:r>
        <w:rPr>
          <w:spacing w:val="-24"/>
        </w:rPr>
      </w:r>
      <w:r>
        <w:rPr/>
        <w:t>提交董事会、股东大会审议及实施。</w:t>
      </w:r>
      <w:r>
        <w:rPr>
          <w:rFonts w:ascii="宋体" w:hAnsi="宋体" w:cs="宋体" w:eastAsia="宋体" w:hint="default"/>
        </w:rPr>
        <w:t> </w:t>
      </w:r>
    </w:p>
    <w:p>
      <w:pPr>
        <w:pStyle w:val="Heading2"/>
        <w:spacing w:line="240" w:lineRule="auto" w:before="167"/>
        <w:ind w:right="0"/>
        <w:jc w:val="left"/>
        <w:rPr>
          <w:b w:val="0"/>
          <w:bCs w:val="0"/>
        </w:rPr>
      </w:pPr>
      <w:r>
        <w:rPr/>
        <w:t>九、内部控制评价报告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3195"/>
        <w:gridCol w:w="3322"/>
        <w:gridCol w:w="3051"/>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16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3" w:type="dxa"/>
            <w:gridSpan w:val="2"/>
            <w:vMerge w:val="restart"/>
            <w:tcBorders>
              <w:top w:val="single" w:sz="4" w:space="0" w:color="000000"/>
              <w:left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日刊登在巨潮资讯网（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）上的《北京四维</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图新科技股份有限公司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度内部控制自我评价报告</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3" w:type="dxa"/>
            <w:gridSpan w:val="2"/>
            <w:vMerge/>
            <w:tcBorders>
              <w:left w:val="single" w:sz="4" w:space="0" w:color="000000"/>
              <w:right w:val="single" w:sz="4" w:space="0" w:color="000000"/>
            </w:tcBorders>
          </w:tcPr>
          <w:p>
            <w:pPr/>
          </w:p>
        </w:tc>
      </w:tr>
      <w:tr>
        <w:trPr>
          <w:trHeight w:val="16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3" w:type="dxa"/>
            <w:gridSpan w:val="2"/>
            <w:vMerge/>
            <w:tcBorders>
              <w:left w:val="single" w:sz="4" w:space="0" w:color="000000"/>
              <w:bottom w:val="single" w:sz="4" w:space="0" w:color="000000"/>
              <w:right w:val="single" w:sz="4" w:space="0" w:color="000000"/>
            </w:tcBorders>
          </w:tcPr>
          <w:p>
            <w:pP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3"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3"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5"/>
        <w:rPr>
          <w:rFonts w:ascii="Microsoft JhengHei" w:hAnsi="Microsoft JhengHei" w:cs="Microsoft JhengHei" w:eastAsia="Microsoft JhengHei" w:hint="default"/>
          <w:b/>
          <w:bCs/>
          <w:sz w:val="21"/>
          <w:szCs w:val="21"/>
        </w:rPr>
      </w:pPr>
    </w:p>
    <w:tbl>
      <w:tblPr>
        <w:tblW w:w="0" w:type="auto"/>
        <w:jc w:val="left"/>
        <w:tblInd w:w="181" w:type="dxa"/>
        <w:tblLayout w:type="fixed"/>
        <w:tblCellMar>
          <w:top w:w="0" w:type="dxa"/>
          <w:left w:w="0" w:type="dxa"/>
          <w:bottom w:w="0" w:type="dxa"/>
          <w:right w:w="0" w:type="dxa"/>
        </w:tblCellMar>
        <w:tblLook w:val="01E0"/>
      </w:tblPr>
      <w:tblGrid>
        <w:gridCol w:w="3195"/>
        <w:gridCol w:w="3322"/>
        <w:gridCol w:w="3051"/>
      </w:tblGrid>
      <w:tr>
        <w:trPr>
          <w:trHeight w:val="6018"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6"/>
              <w:jc w:val="both"/>
              <w:rPr>
                <w:rFonts w:ascii="宋体" w:hAnsi="宋体" w:cs="宋体" w:eastAsia="宋体" w:hint="default"/>
                <w:sz w:val="18"/>
                <w:szCs w:val="18"/>
              </w:rPr>
            </w:pPr>
            <w:r>
              <w:rPr>
                <w:rFonts w:ascii="宋体" w:hAnsi="宋体" w:cs="宋体" w:eastAsia="宋体" w:hint="default"/>
                <w:sz w:val="18"/>
                <w:szCs w:val="18"/>
              </w:rPr>
              <w:t>重大缺陷：一项内部控制缺陷单独或连同 其他缺陷具备合理可能性导致不能及时防 止或发现并纠正财务报告中的重大错报。 出现下列情形的，认定为存在财务报告内 </w:t>
            </w:r>
            <w:r>
              <w:rPr>
                <w:rFonts w:ascii="宋体" w:hAnsi="宋体" w:cs="宋体" w:eastAsia="宋体" w:hint="default"/>
                <w:spacing w:val="-5"/>
                <w:sz w:val="18"/>
                <w:szCs w:val="18"/>
              </w:rPr>
              <w:t>部控制重大缺陷：（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）董事、监事和高级</w:t>
            </w:r>
            <w:r>
              <w:rPr>
                <w:rFonts w:ascii="宋体" w:hAnsi="宋体" w:cs="宋体" w:eastAsia="宋体" w:hint="default"/>
                <w:spacing w:val="-86"/>
                <w:sz w:val="18"/>
                <w:szCs w:val="18"/>
              </w:rPr>
              <w:t> </w:t>
            </w:r>
            <w:r>
              <w:rPr>
                <w:rFonts w:ascii="宋体" w:hAnsi="宋体" w:cs="宋体" w:eastAsia="宋体" w:hint="default"/>
                <w:sz w:val="18"/>
                <w:szCs w:val="18"/>
              </w:rPr>
              <w:t>管理人员舞弊；</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）公司更正已公布的财务报告；</w:t>
            </w:r>
          </w:p>
          <w:p>
            <w:pPr>
              <w:pStyle w:val="TableParagraph"/>
              <w:spacing w:line="309" w:lineRule="auto" w:before="63"/>
              <w:ind w:left="24"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）注册会计师发现当期财务报告存在 重大错报，而内部控制在运行过程中未能 发现该错报；</w:t>
            </w:r>
          </w:p>
          <w:p>
            <w:pPr>
              <w:pStyle w:val="TableParagraph"/>
              <w:spacing w:line="300" w:lineRule="auto" w:before="24"/>
              <w:ind w:left="24" w:right="13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）公司审计委员会和内部审计机构对 内部控制的监督无效；</w:t>
            </w:r>
          </w:p>
          <w:p>
            <w:pPr>
              <w:pStyle w:val="TableParagraph"/>
              <w:spacing w:line="314" w:lineRule="auto" w:before="31"/>
              <w:ind w:left="24"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）其他可能影响报表使用者正确判断 的缺陷。 重要缺陷：内部控制缺陷单独或连同其他 缺陷具备合理可能性导致不能及时防止或 发现并纠正财务报告中虽然未达到和超过 重要性水平、但仍应引起董事会和管理层 重视的错报。</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重大缺陷：缺陷发生的可能性高，会 严重降低工作效率或效果、或严重加 大效果的不确定性、或使之严重偏离 预期目标。 出现下列情形的，认定为存在非财务 报告内部控制重大缺陷：</w:t>
            </w:r>
          </w:p>
          <w:p>
            <w:pPr>
              <w:pStyle w:val="TableParagraph"/>
              <w:spacing w:line="300" w:lineRule="auto" w:before="19"/>
              <w:ind w:left="23"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）违反国家法律、法规或规范性文 件；</w:t>
            </w:r>
          </w:p>
          <w:p>
            <w:pPr>
              <w:pStyle w:val="TableParagraph"/>
              <w:spacing w:line="300" w:lineRule="auto" w:before="31"/>
              <w:ind w:left="23" w:right="2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）缺乏决策程序或决策程序不科 学，导致重大失误；</w:t>
            </w:r>
          </w:p>
          <w:p>
            <w:pPr>
              <w:pStyle w:val="TableParagraph"/>
              <w:spacing w:line="312" w:lineRule="auto" w:before="31"/>
              <w:ind w:left="23"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）重要业务缺乏制度控制或制度系 </w:t>
            </w:r>
            <w:r>
              <w:rPr>
                <w:rFonts w:ascii="宋体" w:hAnsi="宋体" w:cs="宋体" w:eastAsia="宋体" w:hint="default"/>
                <w:spacing w:val="-6"/>
                <w:sz w:val="18"/>
                <w:szCs w:val="18"/>
              </w:rPr>
              <w:t>统性失败；（</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）在中央媒体或全国性</w:t>
            </w:r>
            <w:r>
              <w:rPr>
                <w:rFonts w:ascii="宋体" w:hAnsi="宋体" w:cs="宋体" w:eastAsia="宋体" w:hint="default"/>
                <w:spacing w:val="-79"/>
                <w:sz w:val="18"/>
                <w:szCs w:val="18"/>
              </w:rPr>
              <w:t> </w:t>
            </w:r>
            <w:r>
              <w:rPr>
                <w:rFonts w:ascii="宋体" w:hAnsi="宋体" w:cs="宋体" w:eastAsia="宋体" w:hint="default"/>
                <w:spacing w:val="-6"/>
                <w:sz w:val="18"/>
                <w:szCs w:val="18"/>
              </w:rPr>
              <w:t>媒体上负面新闻频现；（</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）其他对公</w:t>
            </w:r>
            <w:r>
              <w:rPr>
                <w:rFonts w:ascii="宋体" w:hAnsi="宋体" w:cs="宋体" w:eastAsia="宋体" w:hint="default"/>
                <w:spacing w:val="-79"/>
                <w:sz w:val="18"/>
                <w:szCs w:val="18"/>
              </w:rPr>
              <w:t> </w:t>
            </w:r>
            <w:r>
              <w:rPr>
                <w:rFonts w:ascii="宋体" w:hAnsi="宋体" w:cs="宋体" w:eastAsia="宋体" w:hint="default"/>
                <w:sz w:val="18"/>
                <w:szCs w:val="18"/>
              </w:rPr>
              <w:t>司影响重大的情形。 重要缺陷：单独缺陷或连同其他缺陷 组合，其严重程度低于重大缺陷，但 仍有可能导致公司偏离控制目标。一 般缺陷：不构成重大缺陷和重要缺陷 的内部控制缺陷。</w:t>
            </w:r>
          </w:p>
        </w:tc>
      </w:tr>
      <w:tr>
        <w:trPr>
          <w:trHeight w:val="4148"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tabs>
                <w:tab w:pos="2923" w:val="left" w:leader="none"/>
              </w:tabs>
              <w:spacing w:line="309" w:lineRule="auto" w:before="53"/>
              <w:ind w:left="24" w:right="26"/>
              <w:jc w:val="left"/>
              <w:rPr>
                <w:rFonts w:ascii="宋体" w:hAnsi="宋体" w:cs="宋体" w:eastAsia="宋体" w:hint="default"/>
                <w:sz w:val="18"/>
                <w:szCs w:val="18"/>
              </w:rPr>
            </w:pPr>
            <w:r>
              <w:rPr>
                <w:rFonts w:ascii="宋体" w:hAnsi="宋体" w:cs="宋体" w:eastAsia="宋体" w:hint="default"/>
                <w:sz w:val="18"/>
                <w:szCs w:val="18"/>
              </w:rPr>
              <w:t>重大缺陷：该缺陷造成财务报告错报金额 与利润表相关大于或等于合并财务报表营 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；其他金额大于或等于合并 财务报表资产总额的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重要缺陷：该缺陷造成财务报告错报金额 与利润表相关大于或等于合并财务报表营 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；其他金额大 于或等于合并财务报表资产总额的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tab/>
              <w:t>一般</w:t>
            </w:r>
          </w:p>
          <w:p>
            <w:pPr>
              <w:pStyle w:val="TableParagraph"/>
              <w:spacing w:line="312" w:lineRule="auto" w:before="5"/>
              <w:ind w:left="24" w:right="46"/>
              <w:jc w:val="left"/>
              <w:rPr>
                <w:rFonts w:ascii="宋体" w:hAnsi="宋体" w:cs="宋体" w:eastAsia="宋体" w:hint="default"/>
                <w:sz w:val="18"/>
                <w:szCs w:val="18"/>
              </w:rPr>
            </w:pPr>
            <w:r>
              <w:rPr>
                <w:rFonts w:ascii="宋体" w:hAnsi="宋体" w:cs="宋体" w:eastAsia="宋体" w:hint="default"/>
                <w:sz w:val="18"/>
                <w:szCs w:val="18"/>
              </w:rPr>
              <w:t>缺陷：该缺陷造成财务报告错报金额与利 润表相关小于合并财务报表营业收入的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；其他金额小于合并财务报表资产总 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309" w:lineRule="auto"/>
              <w:ind w:left="23" w:right="29"/>
              <w:jc w:val="left"/>
              <w:rPr>
                <w:rFonts w:ascii="宋体" w:hAnsi="宋体" w:cs="宋体" w:eastAsia="宋体" w:hint="default"/>
                <w:sz w:val="18"/>
                <w:szCs w:val="18"/>
              </w:rPr>
            </w:pPr>
            <w:r>
              <w:rPr>
                <w:rFonts w:ascii="宋体" w:hAnsi="宋体" w:cs="宋体" w:eastAsia="宋体" w:hint="default"/>
                <w:sz w:val="18"/>
                <w:szCs w:val="18"/>
              </w:rPr>
              <w:t>重大缺陷：该缺陷造成财产损失大于 或等于合并财务报表营业收入的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重要缺陷：该缺陷造成财产损失大于 或等于合并财务报表营业收入的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一般缺陷：该缺陷造成财产损失小于 合并财务报表营业收入的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2"/>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十、内部控制审计报告或鉴证报告</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不适用</w:t>
      </w:r>
    </w:p>
    <w:p>
      <w:pPr>
        <w:spacing w:after="0" w:line="24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045" w:right="0"/>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357" w:lineRule="auto"/>
        <w:ind w:right="2114"/>
        <w:jc w:val="left"/>
      </w:pPr>
      <w:r>
        <w:rPr/>
        <w:t>公司是否存在公开发行并在证券交易所上市，且在年度报告批准报出日未到期或到期未能全额兑付的公司债券 是</w:t>
      </w:r>
    </w:p>
    <w:p>
      <w:pPr>
        <w:spacing w:line="240" w:lineRule="auto" w:before="9"/>
        <w:rPr>
          <w:rFonts w:ascii="宋体" w:hAnsi="宋体" w:cs="宋体" w:eastAsia="宋体" w:hint="default"/>
          <w:sz w:val="12"/>
          <w:szCs w:val="12"/>
        </w:rPr>
      </w:pPr>
    </w:p>
    <w:p>
      <w:pPr>
        <w:pStyle w:val="Heading2"/>
        <w:spacing w:line="240" w:lineRule="auto"/>
        <w:ind w:right="0"/>
        <w:jc w:val="left"/>
        <w:rPr>
          <w:b w:val="0"/>
          <w:bCs w:val="0"/>
        </w:rPr>
      </w:pPr>
      <w:r>
        <w:rPr/>
        <w:t>一、公司债券基本信息</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1198"/>
        <w:gridCol w:w="1193"/>
        <w:gridCol w:w="1198"/>
        <w:gridCol w:w="1195"/>
        <w:gridCol w:w="1196"/>
        <w:gridCol w:w="1198"/>
        <w:gridCol w:w="1196"/>
        <w:gridCol w:w="1195"/>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5" w:right="50"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258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24" w:right="82"/>
              <w:jc w:val="left"/>
              <w:rPr>
                <w:rFonts w:ascii="宋体" w:hAnsi="宋体" w:cs="宋体" w:eastAsia="宋体" w:hint="default"/>
                <w:sz w:val="18"/>
                <w:szCs w:val="18"/>
              </w:rPr>
            </w:pPr>
            <w:r>
              <w:rPr>
                <w:rFonts w:ascii="宋体" w:hAnsi="宋体" w:cs="宋体" w:eastAsia="宋体" w:hint="default"/>
                <w:sz w:val="18"/>
                <w:szCs w:val="18"/>
              </w:rPr>
              <w:t>北京四维图新 科技股份有限 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面向合格投资 者公开发行公 司债券（第一 期）</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四维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112618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left="683" w:right="0"/>
              <w:jc w:val="left"/>
              <w:rPr>
                <w:rFonts w:ascii="Times New Roman" w:hAnsi="Times New Roman" w:cs="Times New Roman" w:eastAsia="Times New Roman" w:hint="default"/>
                <w:sz w:val="18"/>
                <w:szCs w:val="18"/>
              </w:rPr>
            </w:pPr>
            <w:r>
              <w:rPr>
                <w:rFonts w:ascii="Times New Roman"/>
                <w:spacing w:val="-3"/>
                <w:sz w:val="18"/>
              </w:rPr>
              <w:t>119.11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4.00%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单利按年计 息，不计复 利。利息每年 支付一次，到 期一次还本， 最后一期利息 随本金的兑付 一起支付。</w:t>
            </w:r>
          </w:p>
        </w:tc>
      </w:tr>
      <w:tr>
        <w:trPr>
          <w:trHeight w:val="713" w:hRule="exact"/>
        </w:trPr>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4" w:hRule="exact"/>
        </w:trPr>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仅面向合格机构投资者公开发行</w:t>
            </w:r>
          </w:p>
        </w:tc>
      </w:tr>
      <w:tr>
        <w:trPr>
          <w:trHeight w:val="1961" w:hRule="exact"/>
        </w:trPr>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316" w:lineRule="auto"/>
              <w:ind w:left="24" w:right="195"/>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日，公司披露《</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年面向合格投资者公开发行公司债券（第一期）</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年付息公告</w:t>
            </w:r>
            <w:r>
              <w:rPr>
                <w:rFonts w:ascii="宋体" w:hAnsi="宋体" w:cs="宋体" w:eastAsia="宋体" w:hint="default"/>
                <w:spacing w:val="-92"/>
                <w:sz w:val="18"/>
                <w:szCs w:val="18"/>
              </w:rPr>
              <w:t>》</w:t>
            </w:r>
            <w:r>
              <w:rPr>
                <w:rFonts w:ascii="宋体" w:hAnsi="宋体" w:cs="宋体" w:eastAsia="宋体" w:hint="default"/>
                <w:sz w:val="18"/>
                <w:szCs w:val="18"/>
              </w:rPr>
              <w:t>，本次付</w:t>
            </w:r>
            <w:r>
              <w:rPr>
                <w:rFonts w:ascii="宋体" w:hAnsi="宋体" w:cs="宋体" w:eastAsia="宋体" w:hint="default"/>
                <w:spacing w:val="-3"/>
                <w:sz w:val="18"/>
                <w:szCs w:val="18"/>
              </w:rPr>
              <w:t>息</w:t>
            </w:r>
            <w:r>
              <w:rPr>
                <w:rFonts w:ascii="宋体" w:hAnsi="宋体" w:cs="宋体" w:eastAsia="宋体" w:hint="default"/>
                <w:sz w:val="18"/>
                <w:szCs w:val="18"/>
              </w:rPr>
              <w:t>的债权登记日为</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  </w:t>
            </w:r>
            <w:r>
              <w:rPr>
                <w:rFonts w:ascii="宋体" w:hAnsi="宋体" w:cs="宋体" w:eastAsia="宋体" w:hint="default"/>
                <w:sz w:val="18"/>
                <w:szCs w:val="18"/>
              </w:rPr>
              <w:t>日，付息日为</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  </w:t>
            </w:r>
            <w:r>
              <w:rPr>
                <w:rFonts w:ascii="宋体" w:hAnsi="宋体" w:cs="宋体" w:eastAsia="宋体" w:hint="default"/>
                <w:sz w:val="18"/>
                <w:szCs w:val="18"/>
              </w:rPr>
              <w:t>年</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z w:val="18"/>
                <w:szCs w:val="18"/>
              </w:rPr>
              <w:t>日。本期债券票面利率为 </w:t>
            </w:r>
            <w:r>
              <w:rPr>
                <w:rFonts w:ascii="Times New Roman" w:hAnsi="Times New Roman" w:cs="Times New Roman" w:eastAsia="Times New Roman" w:hint="default"/>
                <w:sz w:val="18"/>
                <w:szCs w:val="18"/>
              </w:rPr>
              <w:t>6.00%</w:t>
            </w:r>
            <w:r>
              <w:rPr>
                <w:rFonts w:ascii="宋体" w:hAnsi="宋体" w:cs="宋体" w:eastAsia="宋体" w:hint="default"/>
                <w:sz w:val="18"/>
                <w:szCs w:val="18"/>
              </w:rPr>
              <w:t>，每 </w:t>
            </w:r>
            <w:r>
              <w:rPr>
                <w:rFonts w:ascii="Times New Roman" w:hAnsi="Times New Roman" w:cs="Times New Roman" w:eastAsia="Times New Roman" w:hint="default"/>
                <w:sz w:val="18"/>
                <w:szCs w:val="18"/>
              </w:rPr>
              <w:t>10  </w:t>
            </w:r>
            <w:r>
              <w:rPr>
                <w:rFonts w:ascii="宋体" w:hAnsi="宋体" w:cs="宋体" w:eastAsia="宋体" w:hint="default"/>
                <w:sz w:val="18"/>
                <w:szCs w:val="18"/>
              </w:rPr>
              <w:t>张</w:t>
            </w:r>
            <w:r>
              <w:rPr>
                <w:rFonts w:ascii="Times New Roman" w:hAnsi="Times New Roman" w:cs="Times New Roman" w:eastAsia="Times New Roman" w:hint="default"/>
                <w:sz w:val="18"/>
                <w:szCs w:val="18"/>
              </w:rPr>
              <w:t>“17  </w:t>
            </w:r>
            <w:r>
              <w:rPr>
                <w:rFonts w:ascii="宋体" w:hAnsi="宋体" w:cs="宋体" w:eastAsia="宋体" w:hint="default"/>
                <w:sz w:val="18"/>
                <w:szCs w:val="18"/>
              </w:rPr>
              <w:t>四维 </w:t>
            </w:r>
            <w:r>
              <w:rPr>
                <w:rFonts w:ascii="Times New Roman" w:hAnsi="Times New Roman" w:cs="Times New Roman" w:eastAsia="Times New Roman" w:hint="default"/>
                <w:sz w:val="18"/>
                <w:szCs w:val="18"/>
              </w:rPr>
              <w:t>01”</w:t>
            </w:r>
            <w:r>
              <w:rPr>
                <w:rFonts w:ascii="宋体" w:hAnsi="宋体" w:cs="宋体" w:eastAsia="宋体" w:hint="default"/>
                <w:sz w:val="18"/>
                <w:szCs w:val="18"/>
              </w:rPr>
              <w:t>面值人民币 </w:t>
            </w:r>
            <w:r>
              <w:rPr>
                <w:rFonts w:ascii="Times New Roman" w:hAnsi="Times New Roman" w:cs="Times New Roman" w:eastAsia="Times New Roman" w:hint="default"/>
                <w:sz w:val="18"/>
                <w:szCs w:val="18"/>
              </w:rPr>
              <w:t>1,000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派发利息人民币</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含</w:t>
            </w:r>
            <w:r>
              <w:rPr>
                <w:rFonts w:ascii="宋体" w:hAnsi="宋体" w:cs="宋体" w:eastAsia="宋体" w:hint="default"/>
                <w:sz w:val="18"/>
                <w:szCs w:val="18"/>
              </w:rPr>
              <w:t>税</w:t>
            </w:r>
            <w:r>
              <w:rPr>
                <w:rFonts w:ascii="宋体" w:hAnsi="宋体" w:cs="宋体" w:eastAsia="宋体" w:hint="default"/>
                <w:spacing w:val="-92"/>
                <w:sz w:val="18"/>
                <w:szCs w:val="18"/>
              </w:rPr>
              <w:t>）</w:t>
            </w:r>
            <w:r>
              <w:rPr>
                <w:rFonts w:ascii="宋体" w:hAnsi="宋体" w:cs="宋体" w:eastAsia="宋体" w:hint="default"/>
                <w:sz w:val="18"/>
                <w:szCs w:val="18"/>
              </w:rPr>
              <w:t>，扣税后个人、证券投资</w:t>
            </w:r>
            <w:r>
              <w:rPr>
                <w:rFonts w:ascii="宋体" w:hAnsi="宋体" w:cs="宋体" w:eastAsia="宋体" w:hint="default"/>
                <w:spacing w:val="2"/>
                <w:sz w:val="18"/>
                <w:szCs w:val="18"/>
              </w:rPr>
              <w:t>基</w:t>
            </w:r>
            <w:r>
              <w:rPr>
                <w:rFonts w:ascii="宋体" w:hAnsi="宋体" w:cs="宋体" w:eastAsia="宋体" w:hint="default"/>
                <w:sz w:val="18"/>
                <w:szCs w:val="18"/>
              </w:rPr>
              <w:t>金债券持有人取得的实际每</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张派发利息为人民币 </w:t>
            </w:r>
            <w:r>
              <w:rPr>
                <w:rFonts w:ascii="Times New Roman" w:hAnsi="Times New Roman" w:cs="Times New Roman" w:eastAsia="Times New Roman" w:hint="default"/>
                <w:sz w:val="18"/>
                <w:szCs w:val="18"/>
              </w:rPr>
              <w:t>48.00  </w:t>
            </w:r>
            <w:r>
              <w:rPr>
                <w:rFonts w:ascii="宋体" w:hAnsi="宋体" w:cs="宋体" w:eastAsia="宋体" w:hint="default"/>
                <w:sz w:val="18"/>
                <w:szCs w:val="18"/>
              </w:rPr>
              <w:t>元，扣税后非居民企业（包含</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QFII</w:t>
            </w:r>
            <w:r>
              <w:rPr>
                <w:rFonts w:ascii="宋体" w:hAnsi="宋体" w:cs="宋体" w:eastAsia="宋体" w:hint="default"/>
                <w:sz w:val="18"/>
                <w:szCs w:val="18"/>
              </w:rPr>
              <w:t>、</w:t>
            </w:r>
            <w:r>
              <w:rPr>
                <w:rFonts w:ascii="Times New Roman" w:hAnsi="Times New Roman" w:cs="Times New Roman" w:eastAsia="Times New Roman" w:hint="default"/>
                <w:sz w:val="18"/>
                <w:szCs w:val="18"/>
              </w:rPr>
              <w:t>RQFII</w:t>
            </w:r>
            <w:r>
              <w:rPr>
                <w:rFonts w:ascii="宋体" w:hAnsi="宋体" w:cs="宋体" w:eastAsia="宋体" w:hint="default"/>
                <w:sz w:val="18"/>
                <w:szCs w:val="18"/>
              </w:rPr>
              <w:t>）取得的实际</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  </w:t>
            </w:r>
            <w:r>
              <w:rPr>
                <w:rFonts w:ascii="宋体" w:hAnsi="宋体" w:cs="宋体" w:eastAsia="宋体" w:hint="default"/>
                <w:sz w:val="18"/>
                <w:szCs w:val="18"/>
              </w:rPr>
              <w:t>张派发利息为人民币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元。</w:t>
            </w:r>
          </w:p>
        </w:tc>
      </w:tr>
      <w:tr>
        <w:trPr>
          <w:trHeight w:val="2276" w:hRule="exact"/>
        </w:trPr>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319" w:lineRule="auto"/>
              <w:ind w:left="24" w:right="105"/>
              <w:jc w:val="both"/>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 特殊条款的，报告期内相关 </w:t>
            </w:r>
            <w:r>
              <w:rPr>
                <w:rFonts w:ascii="宋体" w:hAnsi="宋体" w:cs="宋体" w:eastAsia="宋体" w:hint="default"/>
                <w:spacing w:val="-8"/>
                <w:sz w:val="18"/>
                <w:szCs w:val="18"/>
              </w:rPr>
              <w:t>条款的执行情况（如适用）。</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本次债券的期限为 </w:t>
            </w:r>
            <w:r>
              <w:rPr>
                <w:rFonts w:ascii="Times New Roman" w:hAnsi="Times New Roman" w:cs="Times New Roman" w:eastAsia="Times New Roman" w:hint="default"/>
                <w:sz w:val="18"/>
                <w:szCs w:val="18"/>
              </w:rPr>
              <w:t>3 </w:t>
            </w:r>
            <w:r>
              <w:rPr>
                <w:rFonts w:ascii="宋体" w:hAnsi="宋体" w:cs="宋体" w:eastAsia="宋体" w:hint="default"/>
                <w:sz w:val="18"/>
                <w:szCs w:val="18"/>
              </w:rPr>
              <w:t>年，附第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年末发行人调整票面利率选择权及投资者回售选择权。公</w:t>
            </w:r>
          </w:p>
          <w:p>
            <w:pPr>
              <w:pStyle w:val="TableParagraph"/>
              <w:spacing w:line="300" w:lineRule="auto" w:before="63"/>
              <w:ind w:left="26"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司分别于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30 </w:t>
            </w:r>
            <w:r>
              <w:rPr>
                <w:rFonts w:ascii="宋体" w:hAnsi="宋体" w:cs="宋体" w:eastAsia="宋体" w:hint="default"/>
                <w:sz w:val="18"/>
                <w:szCs w:val="18"/>
              </w:rPr>
              <w:t>日披露关于</w:t>
            </w:r>
            <w:r>
              <w:rPr>
                <w:rFonts w:ascii="Times New Roman" w:hAnsi="Times New Roman" w:cs="Times New Roman" w:eastAsia="Times New Roman" w:hint="default"/>
                <w:sz w:val="18"/>
                <w:szCs w:val="18"/>
              </w:rPr>
              <w:t>“17 </w:t>
            </w:r>
            <w:r>
              <w:rPr>
                <w:rFonts w:ascii="宋体" w:hAnsi="宋体" w:cs="宋体" w:eastAsia="宋体" w:hint="default"/>
                <w:sz w:val="18"/>
                <w:szCs w:val="18"/>
              </w:rPr>
              <w:t>四维</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票面 利率调整及投资者回售实施办法的三次提示性公告，</w:t>
            </w:r>
            <w:r>
              <w:rPr>
                <w:rFonts w:ascii="Times New Roman" w:hAnsi="Times New Roman" w:cs="Times New Roman" w:eastAsia="Times New Roman" w:hint="default"/>
                <w:sz w:val="18"/>
                <w:szCs w:val="18"/>
              </w:rPr>
              <w:t>“17 </w:t>
            </w:r>
            <w:r>
              <w:rPr>
                <w:rFonts w:ascii="宋体" w:hAnsi="宋体" w:cs="宋体" w:eastAsia="宋体" w:hint="default"/>
                <w:sz w:val="18"/>
                <w:szCs w:val="18"/>
              </w:rPr>
              <w:t>四维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发行人选择调整票面利</w:t>
            </w:r>
            <w:r>
              <w:rPr>
                <w:rFonts w:ascii="宋体" w:hAnsi="宋体" w:cs="宋体" w:eastAsia="宋体" w:hint="default"/>
                <w:w w:val="100"/>
                <w:sz w:val="18"/>
                <w:szCs w:val="18"/>
              </w:rPr>
              <w:t> </w:t>
            </w:r>
            <w:r>
              <w:rPr>
                <w:rFonts w:ascii="宋体" w:hAnsi="宋体" w:cs="宋体" w:eastAsia="宋体" w:hint="default"/>
                <w:sz w:val="18"/>
                <w:szCs w:val="18"/>
              </w:rPr>
              <w:t>率，本期债券存续期第 </w:t>
            </w:r>
            <w:r>
              <w:rPr>
                <w:rFonts w:ascii="Times New Roman" w:hAnsi="Times New Roman" w:cs="Times New Roman" w:eastAsia="Times New Roman" w:hint="default"/>
                <w:sz w:val="18"/>
                <w:szCs w:val="18"/>
              </w:rPr>
              <w:t>1 </w:t>
            </w:r>
            <w:r>
              <w:rPr>
                <w:rFonts w:ascii="宋体" w:hAnsi="宋体" w:cs="宋体" w:eastAsia="宋体" w:hint="default"/>
                <w:sz w:val="18"/>
                <w:szCs w:val="18"/>
              </w:rPr>
              <w:t>年和第 </w:t>
            </w:r>
            <w:r>
              <w:rPr>
                <w:rFonts w:ascii="Times New Roman" w:hAnsi="Times New Roman" w:cs="Times New Roman" w:eastAsia="Times New Roman" w:hint="default"/>
                <w:sz w:val="18"/>
                <w:szCs w:val="18"/>
              </w:rPr>
              <w:t>2 </w:t>
            </w:r>
            <w:r>
              <w:rPr>
                <w:rFonts w:ascii="宋体" w:hAnsi="宋体" w:cs="宋体" w:eastAsia="宋体" w:hint="default"/>
                <w:sz w:val="18"/>
                <w:szCs w:val="18"/>
              </w:rPr>
              <w:t>年票面利率为 </w:t>
            </w:r>
            <w:r>
              <w:rPr>
                <w:rFonts w:ascii="Times New Roman" w:hAnsi="Times New Roman" w:cs="Times New Roman" w:eastAsia="Times New Roman" w:hint="default"/>
                <w:sz w:val="18"/>
                <w:szCs w:val="18"/>
              </w:rPr>
              <w:t>6.00%</w:t>
            </w:r>
            <w:r>
              <w:rPr>
                <w:rFonts w:ascii="宋体" w:hAnsi="宋体" w:cs="宋体" w:eastAsia="宋体" w:hint="default"/>
                <w:sz w:val="18"/>
                <w:szCs w:val="18"/>
              </w:rPr>
              <w:t>，第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年票面利率调整为</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4.00%</w:t>
            </w:r>
            <w:r>
              <w:rPr>
                <w:rFonts w:ascii="宋体" w:hAnsi="宋体" w:cs="宋体" w:eastAsia="宋体" w:hint="default"/>
                <w:sz w:val="18"/>
                <w:szCs w:val="18"/>
              </w:rPr>
              <w:t>。同时根据中国证券登记结算有限责任公司深圳分公司提供的数据，</w:t>
            </w:r>
            <w:r>
              <w:rPr>
                <w:rFonts w:ascii="Times New Roman" w:hAnsi="Times New Roman" w:cs="Times New Roman" w:eastAsia="Times New Roman" w:hint="default"/>
                <w:sz w:val="18"/>
                <w:szCs w:val="18"/>
              </w:rPr>
              <w:t>“17 </w:t>
            </w:r>
            <w:r>
              <w:rPr>
                <w:rFonts w:ascii="宋体" w:hAnsi="宋体" w:cs="宋体" w:eastAsia="宋体" w:hint="default"/>
                <w:sz w:val="18"/>
                <w:szCs w:val="18"/>
              </w:rPr>
              <w:t>四维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的 回售数量为 </w:t>
            </w:r>
            <w:r>
              <w:rPr>
                <w:rFonts w:ascii="Times New Roman" w:hAnsi="Times New Roman" w:cs="Times New Roman" w:eastAsia="Times New Roman" w:hint="default"/>
                <w:spacing w:val="-1"/>
                <w:sz w:val="18"/>
                <w:szCs w:val="18"/>
              </w:rPr>
              <w:t>488,089</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张，回售金额为</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48,808,900</w:t>
            </w:r>
            <w:r>
              <w:rPr>
                <w:rFonts w:ascii="Times New Roman" w:hAnsi="Times New Roman" w:cs="Times New Roman" w:eastAsia="Times New Roman" w:hint="default"/>
                <w:sz w:val="18"/>
                <w:szCs w:val="18"/>
              </w:rPr>
              <w:t>  </w:t>
            </w:r>
            <w:r>
              <w:rPr>
                <w:rFonts w:ascii="宋体" w:hAnsi="宋体" w:cs="宋体" w:eastAsia="宋体" w:hint="default"/>
                <w:spacing w:val="-7"/>
                <w:sz w:val="18"/>
                <w:szCs w:val="18"/>
              </w:rPr>
              <w:t>元（不含利息），剩余托管量为</w:t>
            </w:r>
            <w:r>
              <w:rPr>
                <w:rFonts w:ascii="宋体" w:hAnsi="宋体" w:cs="宋体" w:eastAsia="宋体" w:hint="default"/>
                <w:spacing w:val="-60"/>
                <w:sz w:val="18"/>
                <w:szCs w:val="18"/>
              </w:rPr>
              <w:t> </w:t>
            </w:r>
            <w:r>
              <w:rPr>
                <w:rFonts w:ascii="Times New Roman" w:hAnsi="Times New Roman" w:cs="Times New Roman" w:eastAsia="Times New Roman" w:hint="default"/>
                <w:spacing w:val="-3"/>
                <w:sz w:val="18"/>
                <w:szCs w:val="18"/>
              </w:rPr>
              <w:t>11,911</w:t>
            </w:r>
          </w:p>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sz w:val="18"/>
                <w:szCs w:val="18"/>
              </w:rPr>
              <w:t>张，回售资金到账日为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bl>
    <w:p>
      <w:pPr>
        <w:spacing w:line="240" w:lineRule="auto" w:before="12"/>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二、债券受托管理人和资信评级机构信息</w:t>
      </w:r>
      <w:r>
        <w:rPr>
          <w:b w:val="0"/>
          <w:bCs w:val="0"/>
        </w:rPr>
      </w:r>
    </w:p>
    <w:p>
      <w:pPr>
        <w:spacing w:line="240" w:lineRule="auto" w:before="16"/>
        <w:rPr>
          <w:rFonts w:ascii="Microsoft JhengHei" w:hAnsi="Microsoft JhengHei" w:cs="Microsoft JhengHei" w:eastAsia="Microsoft JhengHei" w:hint="default"/>
          <w:b/>
          <w:bCs/>
          <w:sz w:val="17"/>
          <w:szCs w:val="17"/>
        </w:rPr>
      </w:pPr>
    </w:p>
    <w:p>
      <w:pPr>
        <w:spacing w:line="402" w:lineRule="exact"/>
        <w:ind w:left="186"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7"/>
          <w:sz w:val="20"/>
          <w:szCs w:val="20"/>
        </w:rPr>
        <w:pict>
          <v:shape style="width:478.8pt;height:20.1pt;mso-position-horizontal-relative:char;mso-position-vertical-relative:line" type="#_x0000_t202" filled="true" fillcolor="#d2d2d2" stroked="true" strokeweight=".47998pt" strokecolor="#000000">
            <w10:anchorlock/>
            <v:textbox inset="0,0,0,0">
              <w:txbxContent>
                <w:p>
                  <w:pPr>
                    <w:pStyle w:val="BodyText"/>
                    <w:spacing w:line="240" w:lineRule="auto" w:before="50"/>
                    <w:ind w:left="24" w:right="0"/>
                    <w:jc w:val="left"/>
                  </w:pPr>
                  <w:r>
                    <w:rPr/>
                    <w:t>债券受托管理人：</w:t>
                  </w:r>
                </w:p>
              </w:txbxContent>
            </v:textbox>
            <v:fill type="solid"/>
          </v:shape>
        </w:pict>
      </w:r>
      <w:r>
        <w:rPr>
          <w:rFonts w:ascii="Microsoft JhengHei" w:hAnsi="Microsoft JhengHei" w:cs="Microsoft JhengHei" w:eastAsia="Microsoft JhengHei" w:hint="default"/>
          <w:position w:val="-7"/>
          <w:sz w:val="20"/>
          <w:szCs w:val="20"/>
        </w:rPr>
      </w:r>
    </w:p>
    <w:p>
      <w:pPr>
        <w:spacing w:after="0" w:line="402" w:lineRule="exact"/>
        <w:rPr>
          <w:rFonts w:ascii="Microsoft JhengHei" w:hAnsi="Microsoft JhengHei" w:cs="Microsoft JhengHei" w:eastAsia="Microsoft JhengHei" w:hint="default"/>
          <w:sz w:val="20"/>
          <w:szCs w:val="20"/>
        </w:rPr>
        <w:sectPr>
          <w:pgSz w:w="11910" w:h="16840"/>
          <w:pgMar w:header="748" w:footer="979" w:top="1060" w:bottom="1160" w:left="980" w:right="0"/>
        </w:sectPr>
      </w:pPr>
    </w:p>
    <w:p>
      <w:pPr>
        <w:spacing w:line="240" w:lineRule="auto" w:before="5"/>
        <w:rPr>
          <w:rFonts w:ascii="Microsoft JhengHei" w:hAnsi="Microsoft JhengHei" w:cs="Microsoft JhengHei" w:eastAsia="Microsoft JhengHei" w:hint="default"/>
          <w:b/>
          <w:bCs/>
          <w:sz w:val="21"/>
          <w:szCs w:val="21"/>
        </w:rPr>
      </w:pPr>
    </w:p>
    <w:tbl>
      <w:tblPr>
        <w:tblW w:w="0" w:type="auto"/>
        <w:jc w:val="left"/>
        <w:tblInd w:w="181" w:type="dxa"/>
        <w:tblLayout w:type="fixed"/>
        <w:tblCellMar>
          <w:top w:w="0" w:type="dxa"/>
          <w:left w:w="0" w:type="dxa"/>
          <w:bottom w:w="0" w:type="dxa"/>
          <w:right w:w="0" w:type="dxa"/>
        </w:tblCellMar>
        <w:tblLook w:val="01E0"/>
      </w:tblPr>
      <w:tblGrid>
        <w:gridCol w:w="1203"/>
        <w:gridCol w:w="1196"/>
        <w:gridCol w:w="784"/>
        <w:gridCol w:w="410"/>
        <w:gridCol w:w="1198"/>
        <w:gridCol w:w="1196"/>
        <w:gridCol w:w="1195"/>
        <w:gridCol w:w="1196"/>
        <w:gridCol w:w="1198"/>
      </w:tblGrid>
      <w:tr>
        <w:trPr>
          <w:trHeight w:val="1032"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80"/>
              <w:jc w:val="left"/>
              <w:rPr>
                <w:rFonts w:ascii="宋体" w:hAnsi="宋体" w:cs="宋体" w:eastAsia="宋体" w:hint="default"/>
                <w:sz w:val="18"/>
                <w:szCs w:val="18"/>
              </w:rPr>
            </w:pPr>
            <w:r>
              <w:rPr>
                <w:rFonts w:ascii="宋体" w:hAnsi="宋体" w:cs="宋体" w:eastAsia="宋体" w:hint="default"/>
                <w:sz w:val="18"/>
                <w:szCs w:val="18"/>
              </w:rPr>
              <w:t>中信建投证券 股份有限公司</w:t>
            </w:r>
          </w:p>
        </w:tc>
        <w:tc>
          <w:tcPr>
            <w:tcW w:w="11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35"/>
              <w:jc w:val="both"/>
              <w:rPr>
                <w:rFonts w:ascii="宋体" w:hAnsi="宋体" w:cs="宋体" w:eastAsia="宋体" w:hint="default"/>
                <w:sz w:val="18"/>
                <w:szCs w:val="18"/>
              </w:rPr>
            </w:pPr>
            <w:r>
              <w:rPr>
                <w:rFonts w:ascii="宋体" w:hAnsi="宋体" w:cs="宋体" w:eastAsia="宋体" w:hint="default"/>
                <w:sz w:val="18"/>
                <w:szCs w:val="18"/>
              </w:rPr>
              <w:t>北京市朝阳区 安立路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号楼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朱林、顾中杰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021-68801573</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6"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北京市朝阳区建外大街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PICC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层</w:t>
            </w:r>
          </w:p>
        </w:tc>
      </w:tr>
      <w:tr>
        <w:trPr>
          <w:trHeight w:val="1339" w:hRule="exact"/>
        </w:trPr>
        <w:tc>
          <w:tcPr>
            <w:tcW w:w="31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7"/>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 因、履行的程序、对投资者利益的影响 等（如适用）</w:t>
            </w:r>
          </w:p>
        </w:tc>
        <w:tc>
          <w:tcPr>
            <w:tcW w:w="6392" w:type="dxa"/>
            <w:gridSpan w:val="6"/>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3"/>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三、公司债券募集资金使用情况</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3191"/>
        <w:gridCol w:w="6378"/>
      </w:tblGrid>
      <w:tr>
        <w:trPr>
          <w:trHeight w:val="352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[2016]3158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号文核</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准，公司获准面向合格投资者公开发行面值不超过 </w:t>
            </w:r>
            <w:r>
              <w:rPr>
                <w:rFonts w:ascii="Times New Roman" w:hAnsi="Times New Roman" w:cs="Times New Roman" w:eastAsia="Times New Roman" w:hint="default"/>
                <w:sz w:val="18"/>
                <w:szCs w:val="18"/>
              </w:rPr>
              <w:t>12 </w:t>
            </w:r>
            <w:r>
              <w:rPr>
                <w:rFonts w:ascii="宋体" w:hAnsi="宋体" w:cs="宋体" w:eastAsia="宋体" w:hint="default"/>
                <w:sz w:val="18"/>
                <w:szCs w:val="18"/>
              </w:rPr>
              <w:t>亿元（含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亿元）的公</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司债券。本次债券采取分期发行的方式，其中首期发行债券发行规模为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万元，首期自中国证监会核准发行之日起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个月内完成，其余各期债券发行，</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自中国证监会核准发行之日起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个月内完成。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24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日，公司公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开发行公司债券（第一期</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募</w:t>
            </w:r>
            <w:r>
              <w:rPr>
                <w:rFonts w:ascii="宋体" w:hAnsi="宋体" w:cs="宋体" w:eastAsia="宋体" w:hint="default"/>
                <w:sz w:val="18"/>
                <w:szCs w:val="18"/>
              </w:rPr>
              <w:t>集资金总额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扣</w:t>
            </w:r>
            <w:r>
              <w:rPr>
                <w:rFonts w:ascii="宋体" w:hAnsi="宋体" w:cs="宋体" w:eastAsia="宋体" w:hint="default"/>
                <w:sz w:val="18"/>
                <w:szCs w:val="18"/>
              </w:rPr>
              <w:t>除发行费用后，募</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集资金净额</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5,000.00 </w:t>
            </w:r>
            <w:r>
              <w:rPr>
                <w:rFonts w:ascii="宋体" w:hAnsi="宋体" w:cs="宋体" w:eastAsia="宋体" w:hint="default"/>
                <w:sz w:val="18"/>
                <w:szCs w:val="18"/>
              </w:rPr>
              <w:t>万元，已于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日汇入本公司在相关银行开设</w:t>
            </w:r>
          </w:p>
          <w:p>
            <w:pPr>
              <w:pStyle w:val="TableParagraph"/>
              <w:spacing w:line="300" w:lineRule="auto" w:before="63"/>
              <w:ind w:left="23" w:right="83"/>
              <w:jc w:val="left"/>
              <w:rPr>
                <w:rFonts w:ascii="宋体" w:hAnsi="宋体" w:cs="宋体" w:eastAsia="宋体" w:hint="default"/>
                <w:sz w:val="18"/>
                <w:szCs w:val="18"/>
              </w:rPr>
            </w:pPr>
            <w:r>
              <w:rPr>
                <w:rFonts w:ascii="宋体" w:hAnsi="宋体" w:cs="宋体" w:eastAsia="宋体" w:hint="default"/>
                <w:sz w:val="18"/>
                <w:szCs w:val="18"/>
              </w:rPr>
              <w:t>的募集资金账户中。</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年度公司以债券募集资金补充公司流动资金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2,985.10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年度公司以债券募集资金补充公司流动资金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 金累计投入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5,000.00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日，募集资金净额结余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万 元。</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2"/>
              <w:jc w:val="left"/>
              <w:rPr>
                <w:rFonts w:ascii="宋体" w:hAnsi="宋体" w:cs="宋体" w:eastAsia="宋体" w:hint="default"/>
                <w:sz w:val="18"/>
                <w:szCs w:val="18"/>
              </w:rPr>
            </w:pPr>
            <w:r>
              <w:rPr>
                <w:rFonts w:ascii="宋体" w:hAnsi="宋体" w:cs="宋体" w:eastAsia="宋体" w:hint="default"/>
                <w:sz w:val="18"/>
                <w:szCs w:val="18"/>
              </w:rPr>
              <w:t>报告期内，募集资金专项账户运作良好。</w:t>
            </w:r>
            <w:r>
              <w:rPr>
                <w:rFonts w:ascii="宋体" w:hAnsi="宋体" w:cs="宋体" w:eastAsia="宋体" w:hint="default"/>
                <w:spacing w:val="1"/>
                <w:sz w:val="18"/>
                <w:szCs w:val="18"/>
              </w:rPr>
              <w:t> </w:t>
            </w:r>
            <w:r>
              <w:rPr>
                <w:rFonts w:ascii="宋体" w:hAnsi="宋体" w:cs="宋体" w:eastAsia="宋体" w:hint="default"/>
                <w:sz w:val="18"/>
                <w:szCs w:val="18"/>
              </w:rPr>
              <w:t>公司将严格遵循公司的资金管理制度</w:t>
            </w:r>
            <w:r>
              <w:rPr>
                <w:rFonts w:ascii="宋体" w:hAnsi="宋体" w:cs="宋体" w:eastAsia="宋体" w:hint="default"/>
                <w:sz w:val="18"/>
                <w:szCs w:val="18"/>
              </w:rPr>
              <w:t> 及相关法律法规，履行募集资金使用的相关程序，遵照募集说明书承诺的用途、 使用计划及其他约定。</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2"/>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四、公司债券信息评级情况</w:t>
      </w:r>
      <w:r>
        <w:rPr>
          <w:b w:val="0"/>
          <w:bCs w:val="0"/>
        </w:rPr>
      </w:r>
    </w:p>
    <w:p>
      <w:pPr>
        <w:spacing w:line="240" w:lineRule="auto" w:before="4"/>
        <w:rPr>
          <w:rFonts w:ascii="Microsoft JhengHei" w:hAnsi="Microsoft JhengHei" w:cs="Microsoft JhengHei" w:eastAsia="Microsoft JhengHei" w:hint="default"/>
          <w:b/>
          <w:bCs/>
          <w:sz w:val="18"/>
          <w:szCs w:val="18"/>
        </w:rPr>
      </w:pPr>
    </w:p>
    <w:p>
      <w:pPr>
        <w:pStyle w:val="BodyText"/>
        <w:spacing w:line="300" w:lineRule="auto"/>
        <w:ind w:right="1131" w:firstLine="288"/>
        <w:jc w:val="righ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11</w:t>
      </w:r>
      <w:r>
        <w:rPr>
          <w:rFonts w:ascii="Times New Roman" w:hAnsi="Times New Roman" w:cs="Times New Roman" w:eastAsia="Times New Roman" w:hint="default"/>
          <w:spacing w:val="-15"/>
        </w:rPr>
        <w:t> </w:t>
      </w:r>
      <w:r>
        <w:rPr/>
        <w:t>月</w:t>
      </w:r>
      <w:r>
        <w:rPr>
          <w:rFonts w:ascii="Times New Roman" w:hAnsi="Times New Roman" w:cs="Times New Roman" w:eastAsia="Times New Roman" w:hint="default"/>
        </w:rPr>
        <w:t>14</w:t>
      </w:r>
      <w:r>
        <w:rPr/>
        <w:t>日，公司披露联合信用评级有限公司出具的《北京四维图新科技股份有限公司</w:t>
      </w:r>
      <w:r>
        <w:rPr>
          <w:rFonts w:ascii="Times New Roman" w:hAnsi="Times New Roman" w:cs="Times New Roman" w:eastAsia="Times New Roman" w:hint="default"/>
        </w:rPr>
        <w:t>2017</w:t>
      </w:r>
      <w:r>
        <w:rPr/>
        <w:t>年面向合格投资者公 </w:t>
      </w:r>
      <w:r>
        <w:rPr>
          <w:spacing w:val="-4"/>
        </w:rPr>
        <w:t>开发行公司债券（第一期）信用评级报告》，公司的主体信用等级为 </w:t>
      </w:r>
      <w:r>
        <w:rPr>
          <w:rFonts w:ascii="Times New Roman" w:hAnsi="Times New Roman" w:cs="Times New Roman" w:eastAsia="Times New Roman" w:hint="default"/>
          <w:spacing w:val="-3"/>
        </w:rPr>
        <w:t>AA</w:t>
      </w:r>
      <w:r>
        <w:rPr>
          <w:spacing w:val="-3"/>
        </w:rPr>
        <w:t>，评级展望为</w:t>
      </w:r>
      <w:r>
        <w:rPr>
          <w:rFonts w:ascii="Times New Roman" w:hAnsi="Times New Roman" w:cs="Times New Roman" w:eastAsia="Times New Roman" w:hint="default"/>
          <w:spacing w:val="-3"/>
        </w:rPr>
        <w:t>“</w:t>
      </w:r>
      <w:r>
        <w:rPr>
          <w:spacing w:val="-3"/>
        </w:rPr>
        <w:t>稳定</w:t>
      </w:r>
      <w:r>
        <w:rPr>
          <w:rFonts w:ascii="Times New Roman" w:hAnsi="Times New Roman" w:cs="Times New Roman" w:eastAsia="Times New Roman" w:hint="default"/>
          <w:spacing w:val="-3"/>
        </w:rPr>
        <w:t>”</w:t>
      </w:r>
      <w:r>
        <w:rPr>
          <w:spacing w:val="-3"/>
        </w:rPr>
        <w:t>，本期债券信用等级为</w:t>
      </w:r>
      <w:r>
        <w:rPr>
          <w:spacing w:val="8"/>
        </w:rPr>
        <w:t> </w:t>
      </w:r>
      <w:r>
        <w:rPr>
          <w:rFonts w:ascii="Times New Roman" w:hAnsi="Times New Roman" w:cs="Times New Roman" w:eastAsia="Times New Roman" w:hint="default"/>
        </w:rPr>
        <w:t>AAA</w:t>
      </w:r>
      <w:r>
        <w:rPr/>
        <w:t>。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20</w:t>
      </w:r>
      <w:r>
        <w:rPr>
          <w:spacing w:val="-2"/>
        </w:rPr>
        <w:t>日，公司披露联合信用评级有限公司出具的《北京四维图新科技股份有限公司债券</w:t>
      </w:r>
      <w:r>
        <w:rPr>
          <w:rFonts w:ascii="Times New Roman" w:hAnsi="Times New Roman" w:cs="Times New Roman" w:eastAsia="Times New Roman" w:hint="default"/>
          <w:spacing w:val="-2"/>
        </w:rPr>
        <w:t>2018</w:t>
      </w:r>
      <w:r>
        <w:rPr>
          <w:spacing w:val="-2"/>
        </w:rPr>
        <w:t>年跟踪评级报告》，</w:t>
      </w:r>
    </w:p>
    <w:p>
      <w:pPr>
        <w:pStyle w:val="BodyText"/>
        <w:spacing w:line="300" w:lineRule="auto" w:before="13"/>
        <w:ind w:left="441" w:right="0" w:hanging="289"/>
        <w:jc w:val="left"/>
      </w:pPr>
      <w:r>
        <w:rPr/>
        <w:t>公司的主体信用等级为 </w:t>
      </w:r>
      <w:r>
        <w:rPr>
          <w:rFonts w:ascii="Times New Roman" w:hAnsi="Times New Roman" w:cs="Times New Roman" w:eastAsia="Times New Roman" w:hint="default"/>
        </w:rPr>
        <w:t>AA</w:t>
      </w:r>
      <w:r>
        <w:rPr/>
        <w:t>，评级展望为</w:t>
      </w:r>
      <w:r>
        <w:rPr>
          <w:rFonts w:ascii="Times New Roman" w:hAnsi="Times New Roman" w:cs="Times New Roman" w:eastAsia="Times New Roman" w:hint="default"/>
        </w:rPr>
        <w:t>“</w:t>
      </w:r>
      <w:r>
        <w:rPr/>
        <w:t>稳定</w:t>
      </w:r>
      <w:r>
        <w:rPr>
          <w:rFonts w:ascii="Times New Roman" w:hAnsi="Times New Roman" w:cs="Times New Roman" w:eastAsia="Times New Roman" w:hint="default"/>
        </w:rPr>
        <w:t>”</w:t>
      </w:r>
      <w:r>
        <w:rPr/>
        <w:t>，本期债券信用等级为</w:t>
      </w:r>
      <w:r>
        <w:rPr>
          <w:spacing w:val="-37"/>
        </w:rPr>
        <w:t> </w:t>
      </w:r>
      <w:r>
        <w:rPr>
          <w:rFonts w:ascii="Times New Roman" w:hAnsi="Times New Roman" w:cs="Times New Roman" w:eastAsia="Times New Roman" w:hint="default"/>
        </w:rPr>
        <w:t>AAA</w:t>
      </w:r>
      <w:r>
        <w:rPr/>
        <w:t>。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spacing w:val="-2"/>
        </w:rPr>
        <w:t>日，公司披露联合信用评级有限公司出具的《北京四维图新科技股份有限公司债券</w:t>
      </w:r>
      <w:r>
        <w:rPr>
          <w:rFonts w:ascii="Times New Roman" w:hAnsi="Times New Roman" w:cs="Times New Roman" w:eastAsia="Times New Roman" w:hint="default"/>
          <w:spacing w:val="-2"/>
        </w:rPr>
        <w:t>2019</w:t>
      </w:r>
      <w:r>
        <w:rPr>
          <w:spacing w:val="-2"/>
        </w:rPr>
        <w:t>年跟踪评级报告》，</w:t>
      </w:r>
    </w:p>
    <w:p>
      <w:pPr>
        <w:pStyle w:val="BodyText"/>
        <w:spacing w:line="240" w:lineRule="auto" w:before="13"/>
        <w:ind w:right="0"/>
        <w:jc w:val="left"/>
      </w:pPr>
      <w:r>
        <w:rPr/>
        <w:t>公司的主体信用等级为 </w:t>
      </w:r>
      <w:r>
        <w:rPr>
          <w:rFonts w:ascii="Times New Roman" w:hAnsi="Times New Roman" w:cs="Times New Roman" w:eastAsia="Times New Roman" w:hint="default"/>
        </w:rPr>
        <w:t>AA</w:t>
      </w:r>
      <w:r>
        <w:rPr/>
        <w:t>，评级展望为</w:t>
      </w:r>
      <w:r>
        <w:rPr>
          <w:rFonts w:ascii="Times New Roman" w:hAnsi="Times New Roman" w:cs="Times New Roman" w:eastAsia="Times New Roman" w:hint="default"/>
        </w:rPr>
        <w:t>“</w:t>
      </w:r>
      <w:r>
        <w:rPr/>
        <w:t>稳定</w:t>
      </w:r>
      <w:r>
        <w:rPr>
          <w:rFonts w:ascii="Times New Roman" w:hAnsi="Times New Roman" w:cs="Times New Roman" w:eastAsia="Times New Roman" w:hint="default"/>
        </w:rPr>
        <w:t>”</w:t>
      </w:r>
      <w:r>
        <w:rPr/>
        <w:t>，本期债券信用等级为</w:t>
      </w:r>
      <w:r>
        <w:rPr>
          <w:spacing w:val="-40"/>
        </w:rPr>
        <w:t> </w:t>
      </w:r>
      <w:r>
        <w:rPr>
          <w:rFonts w:ascii="Times New Roman" w:hAnsi="Times New Roman" w:cs="Times New Roman" w:eastAsia="Times New Roman" w:hint="default"/>
        </w:rPr>
        <w:t>AAA</w:t>
      </w:r>
      <w:r>
        <w:rPr/>
        <w:t>，与上一次评级相比评级结果未发生变化。</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五、公司债券增信机制、偿债计划及其他偿债保障措施</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513" w:right="0"/>
        <w:jc w:val="left"/>
      </w:pPr>
      <w:r>
        <w:rPr/>
        <w:t>报告期内债券增信机制、偿债计划及其他偿债保障措施未发生变更。</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0" w:firstLine="360"/>
        <w:jc w:val="left"/>
      </w:pPr>
      <w:r>
        <w:rPr>
          <w:spacing w:val="-2"/>
        </w:rPr>
        <w:t>增信机制：本期公司债券采用担保方式发行，由深圳高新投提供无条件的不可撤销的连带责任保证，担保范围包括本期</w:t>
      </w:r>
      <w:r>
        <w:rPr/>
        <w:t> 债券的全部本金及利息、违约金、损害赔偿金和实现债权的全部费用。</w:t>
      </w:r>
    </w:p>
    <w:p>
      <w:pPr>
        <w:pStyle w:val="BodyText"/>
        <w:spacing w:line="300" w:lineRule="auto" w:before="59"/>
        <w:ind w:right="1126" w:firstLine="360"/>
        <w:jc w:val="both"/>
      </w:pPr>
      <w:r>
        <w:rPr/>
        <w:t>偿债计划：本期公司债券的起息日为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日，债券利息将于起息日之后在存续期内每年支付一次，</w:t>
      </w:r>
      <w:r>
        <w:rPr>
          <w:rFonts w:ascii="Times New Roman" w:hAnsi="Times New Roman" w:cs="Times New Roman" w:eastAsia="Times New Roman" w:hint="default"/>
        </w:rPr>
        <w:t>2018</w:t>
      </w:r>
      <w:r>
        <w:rPr/>
        <w:t>年至</w:t>
      </w:r>
      <w:r>
        <w:rPr>
          <w:spacing w:val="2"/>
        </w:rPr>
        <w:t> </w:t>
      </w:r>
      <w:r>
        <w:rPr>
          <w:rFonts w:ascii="Times New Roman" w:hAnsi="Times New Roman" w:cs="Times New Roman" w:eastAsia="Times New Roman" w:hint="default"/>
          <w:spacing w:val="-6"/>
        </w:rPr>
        <w:t>2020</w:t>
      </w:r>
      <w:r>
        <w:rPr>
          <w:spacing w:val="-6"/>
        </w:rPr>
        <w:t>年间每年的</w:t>
      </w:r>
      <w:r>
        <w:rPr>
          <w:rFonts w:ascii="Times New Roman" w:hAnsi="Times New Roman" w:cs="Times New Roman" w:eastAsia="Times New Roman" w:hint="default"/>
          <w:spacing w:val="-6"/>
        </w:rPr>
        <w:t>11</w:t>
      </w:r>
      <w:r>
        <w:rPr>
          <w:spacing w:val="-6"/>
        </w:rPr>
        <w:t>月</w:t>
      </w:r>
      <w:r>
        <w:rPr>
          <w:rFonts w:ascii="Times New Roman" w:hAnsi="Times New Roman" w:cs="Times New Roman" w:eastAsia="Times New Roman" w:hint="default"/>
          <w:spacing w:val="-6"/>
        </w:rPr>
        <w:t>23</w:t>
      </w:r>
      <w:r>
        <w:rPr>
          <w:spacing w:val="-6"/>
        </w:rPr>
        <w:t>日为本期债券上一计息年度的付息日（遇法定节假日或休息日，则顺延至其后的第</w:t>
      </w:r>
      <w:r>
        <w:rPr>
          <w:rFonts w:ascii="Times New Roman" w:hAnsi="Times New Roman" w:cs="Times New Roman" w:eastAsia="Times New Roman" w:hint="default"/>
          <w:spacing w:val="-6"/>
        </w:rPr>
        <w:t>1</w:t>
      </w:r>
      <w:r>
        <w:rPr>
          <w:spacing w:val="-6"/>
        </w:rPr>
        <w:t>个工作日，下同）。</w:t>
      </w:r>
      <w:r>
        <w:rPr/>
        <w:t> 本期债券到期日为</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日，到期支付本金及最后一期利息。</w:t>
      </w:r>
    </w:p>
    <w:p>
      <w:pPr>
        <w:pStyle w:val="BodyText"/>
        <w:spacing w:line="309" w:lineRule="auto" w:before="51"/>
        <w:ind w:right="1034" w:firstLine="360"/>
        <w:jc w:val="left"/>
      </w:pPr>
      <w:r>
        <w:rPr/>
        <w:t>偿债保障措施：为了充分、有效地维护债券持有人的利益，公司为本期债券的按时、足额偿付制定了一系列工作计划， 包括制定《债券持有人会议规则》、充分发挥债券受托管理人的作用、设立专门的偿付工作小组、严格履行信息披露义务。</w:t>
      </w:r>
      <w:r>
        <w:rPr>
          <w:spacing w:val="-83"/>
        </w:rPr>
        <w:t> </w:t>
      </w:r>
      <w:r>
        <w:rPr>
          <w:spacing w:val="-83"/>
        </w:rPr>
      </w:r>
      <w:r>
        <w:rPr/>
        <w:t>此外，在出现预计不能按期偿还债券本息或者到期未能按期偿付债券本息时，发行人将至少采取如下措施：（</w:t>
      </w:r>
      <w:r>
        <w:rPr>
          <w:rFonts w:ascii="Times New Roman" w:hAnsi="Times New Roman" w:cs="Times New Roman" w:eastAsia="Times New Roman" w:hint="default"/>
        </w:rPr>
        <w:t>1</w:t>
      </w:r>
      <w:r>
        <w:rPr/>
        <w:t>）不向股东</w:t>
      </w:r>
      <w:r>
        <w:rPr>
          <w:spacing w:val="-82"/>
        </w:rPr>
        <w:t> </w:t>
      </w:r>
      <w:r>
        <w:rPr>
          <w:spacing w:val="-3"/>
        </w:rPr>
        <w:t>分配利润；（</w:t>
      </w:r>
      <w:r>
        <w:rPr>
          <w:rFonts w:ascii="Times New Roman" w:hAnsi="Times New Roman" w:cs="Times New Roman" w:eastAsia="Times New Roman" w:hint="default"/>
          <w:spacing w:val="-3"/>
        </w:rPr>
        <w:t>2</w:t>
      </w:r>
      <w:r>
        <w:rPr>
          <w:spacing w:val="-3"/>
        </w:rPr>
        <w:t>）暂缓重大对外投资、收购兼并等资本性支出项目的实施；（</w:t>
      </w:r>
      <w:r>
        <w:rPr>
          <w:rFonts w:ascii="Times New Roman" w:hAnsi="Times New Roman" w:cs="Times New Roman" w:eastAsia="Times New Roman" w:hint="default"/>
          <w:spacing w:val="-3"/>
        </w:rPr>
        <w:t>3</w:t>
      </w:r>
      <w:r>
        <w:rPr>
          <w:spacing w:val="-3"/>
        </w:rPr>
        <w:t>）调减或停发董事和高级管理人员的薪酬</w:t>
      </w:r>
      <w:r>
        <w:rPr>
          <w:rFonts w:ascii="Times New Roman" w:hAnsi="Times New Roman" w:cs="Times New Roman" w:eastAsia="Times New Roman" w:hint="default"/>
          <w:spacing w:val="-3"/>
        </w:rPr>
        <w:t>/</w:t>
      </w:r>
      <w:r>
        <w:rPr>
          <w:spacing w:val="-3"/>
        </w:rPr>
        <w:t>工资</w:t>
      </w:r>
      <w:r>
        <w:rPr>
          <w:spacing w:val="-58"/>
        </w:rPr>
        <w:t> </w:t>
      </w:r>
      <w:r>
        <w:rPr/>
        <w:t>和奖金；（</w:t>
      </w:r>
      <w:r>
        <w:rPr>
          <w:rFonts w:ascii="Times New Roman" w:hAnsi="Times New Roman" w:cs="Times New Roman" w:eastAsia="Times New Roman" w:hint="default"/>
        </w:rPr>
        <w:t>4</w:t>
      </w:r>
      <w:r>
        <w:rPr/>
        <w:t>）主要责任人不得调离。</w:t>
      </w:r>
    </w:p>
    <w:p>
      <w:pPr>
        <w:spacing w:line="240" w:lineRule="auto" w:before="13"/>
        <w:rPr>
          <w:rFonts w:ascii="宋体" w:hAnsi="宋体" w:cs="宋体" w:eastAsia="宋体" w:hint="default"/>
          <w:sz w:val="13"/>
          <w:szCs w:val="13"/>
        </w:rPr>
      </w:pPr>
    </w:p>
    <w:p>
      <w:pPr>
        <w:pStyle w:val="Heading2"/>
        <w:spacing w:line="240" w:lineRule="auto"/>
        <w:ind w:right="0"/>
        <w:jc w:val="left"/>
        <w:rPr>
          <w:b w:val="0"/>
          <w:bCs w:val="0"/>
        </w:rPr>
      </w:pPr>
      <w:r>
        <w:rPr/>
        <w:t>六、报告期内债券持有人会议的召开情况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报告期内，公司未召开债券持有人会议。</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七、报告期内债券受托管理人履行职责的情况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6" w:lineRule="auto"/>
        <w:ind w:right="1214" w:firstLine="360"/>
        <w:jc w:val="left"/>
      </w:pPr>
      <w:r>
        <w:rPr/>
        <w:t>本期债券受托管理人为中信建投证券股份有限公司，在本期债券存续期内，中信建投证券对公司和保证人的资信状 况、偿债能力等进行了持续关注。同时严格按照相关法律、法规的规定以及《债券受托管理协议》的约定积极履行受托管 理人相关职责，在履行受托管理人相关职责时，与公司不存在利益冲突情形。</w:t>
      </w:r>
    </w:p>
    <w:p>
      <w:pPr>
        <w:pStyle w:val="BodyText"/>
        <w:spacing w:line="300" w:lineRule="auto" w:before="59"/>
        <w:ind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日，公司披露中信建投证券股份有限公司编制的《公司债券受托管理事务报告（</w:t>
      </w:r>
      <w:r>
        <w:rPr>
          <w:rFonts w:ascii="Times New Roman" w:hAnsi="Times New Roman" w:cs="Times New Roman" w:eastAsia="Times New Roman" w:hint="default"/>
        </w:rPr>
        <w:t>2018</w:t>
      </w:r>
      <w:r>
        <w:rPr/>
        <w:t>年度）》，详见巨潮 资讯网</w:t>
      </w:r>
      <w:hyperlink r:id="rId13">
        <w:r>
          <w:rPr>
            <w:rFonts w:ascii="Times New Roman" w:hAnsi="Times New Roman" w:cs="Times New Roman" w:eastAsia="Times New Roman" w:hint="default"/>
          </w:rPr>
          <w:t>www.cninfo.com.cn</w:t>
        </w:r>
      </w:hyperlink>
      <w:r>
        <w:rPr/>
        <w:t>。</w:t>
      </w:r>
    </w:p>
    <w:p>
      <w:pPr>
        <w:spacing w:line="240" w:lineRule="auto" w:before="8"/>
        <w:rPr>
          <w:rFonts w:ascii="宋体" w:hAnsi="宋体" w:cs="宋体" w:eastAsia="宋体" w:hint="default"/>
          <w:sz w:val="14"/>
          <w:szCs w:val="14"/>
        </w:rPr>
      </w:pPr>
    </w:p>
    <w:p>
      <w:pPr>
        <w:pStyle w:val="Heading2"/>
        <w:spacing w:line="240" w:lineRule="auto"/>
        <w:ind w:right="0"/>
        <w:jc w:val="left"/>
        <w:rPr>
          <w:b w:val="0"/>
          <w:bCs w:val="0"/>
        </w:rPr>
      </w:pPr>
      <w:r>
        <w:rPr/>
        <w:t>八、截至报告期末公司近 </w:t>
      </w: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年的主要会计数据和财务指标</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51,017.23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90,145.56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-43.41%</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62.56%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58.62%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全部债务比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-357.87%</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-47.94%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-80.01%</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-45.36%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上述会计数据和财务指标同比变动超过</w:t>
      </w:r>
      <w:r>
        <w:rPr>
          <w:spacing w:val="-44"/>
        </w:rPr>
        <w:t> </w:t>
      </w:r>
      <w:r>
        <w:rPr>
          <w:rFonts w:ascii="Times New Roman" w:hAnsi="Times New Roman" w:cs="Times New Roman" w:eastAsia="Times New Roman" w:hint="default"/>
        </w:rPr>
        <w:t>30%</w:t>
      </w:r>
      <w:r>
        <w:rPr/>
        <w:t>的主要原因</w:t>
      </w:r>
    </w:p>
    <w:p>
      <w:pPr>
        <w:pStyle w:val="BodyText"/>
        <w:spacing w:line="240" w:lineRule="auto" w:before="10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0"/>
        <w:jc w:val="left"/>
        <w:rPr>
          <w:rFonts w:ascii="宋体" w:hAnsi="宋体" w:cs="宋体" w:eastAsia="宋体" w:hint="default"/>
        </w:rPr>
      </w:pPr>
      <w:r>
        <w:rPr>
          <w:rFonts w:ascii="宋体" w:hAnsi="宋体" w:cs="宋体" w:eastAsia="宋体" w:hint="default"/>
        </w:rPr>
        <w:t>1</w:t>
      </w:r>
      <w:r>
        <w:rPr/>
        <w:t>、息税折旧摊销前利润较上期减少</w:t>
      </w:r>
      <w:r>
        <w:rPr>
          <w:spacing w:val="-46"/>
        </w:rPr>
        <w:t> </w:t>
      </w:r>
      <w:r>
        <w:rPr>
          <w:rFonts w:ascii="宋体" w:hAnsi="宋体" w:cs="宋体" w:eastAsia="宋体" w:hint="default"/>
        </w:rPr>
        <w:t>43.41%</w:t>
      </w:r>
      <w:r>
        <w:rPr/>
        <w:t>，主要是由于本期利润总额减少所致；</w:t>
      </w:r>
      <w:r>
        <w:rPr>
          <w:rFonts w:ascii="宋体" w:hAnsi="宋体" w:cs="宋体" w:eastAsia="宋体" w:hint="default"/>
        </w:rPr>
        <w:t> </w:t>
      </w:r>
    </w:p>
    <w:p>
      <w:pPr>
        <w:pStyle w:val="BodyText"/>
        <w:spacing w:line="240" w:lineRule="auto" w:before="117"/>
        <w:ind w:right="0"/>
        <w:jc w:val="left"/>
        <w:rPr>
          <w:rFonts w:ascii="宋体" w:hAnsi="宋体" w:cs="宋体" w:eastAsia="宋体" w:hint="default"/>
        </w:rPr>
      </w:pPr>
      <w:r>
        <w:rPr>
          <w:rFonts w:ascii="宋体" w:hAnsi="宋体" w:cs="宋体" w:eastAsia="宋体" w:hint="default"/>
        </w:rPr>
        <w:t>2</w:t>
      </w:r>
      <w:r>
        <w:rPr/>
        <w:t>、流动比率较上期增加</w:t>
      </w:r>
      <w:r>
        <w:rPr>
          <w:spacing w:val="-45"/>
        </w:rPr>
        <w:t> </w:t>
      </w:r>
      <w:r>
        <w:rPr>
          <w:rFonts w:ascii="宋体" w:hAnsi="宋体" w:cs="宋体" w:eastAsia="宋体" w:hint="default"/>
        </w:rPr>
        <w:t>62.56%</w:t>
      </w:r>
      <w:r>
        <w:rPr/>
        <w:t>，主要是由于本期应收账款增加及应付土地及工程款减少双重影响所致；</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rPr>
          <w:rFonts w:ascii="宋体" w:hAnsi="宋体" w:cs="宋体" w:eastAsia="宋体" w:hint="default"/>
        </w:rPr>
      </w:pPr>
      <w:r>
        <w:rPr>
          <w:rFonts w:ascii="宋体" w:hAnsi="宋体" w:cs="宋体" w:eastAsia="宋体" w:hint="default"/>
        </w:rPr>
        <w:t>3</w:t>
      </w:r>
      <w:r>
        <w:rPr/>
        <w:t>、速动比率较上期增加</w:t>
      </w:r>
      <w:r>
        <w:rPr>
          <w:spacing w:val="-45"/>
        </w:rPr>
        <w:t> </w:t>
      </w:r>
      <w:r>
        <w:rPr>
          <w:rFonts w:ascii="宋体" w:hAnsi="宋体" w:cs="宋体" w:eastAsia="宋体" w:hint="default"/>
        </w:rPr>
        <w:t>58.62%</w:t>
      </w:r>
      <w:r>
        <w:rPr/>
        <w:t>，主要是由于本期应收账款增加及应付土地及工程款减少双重影响所致；</w:t>
      </w:r>
      <w:r>
        <w:rPr>
          <w:rFonts w:ascii="宋体" w:hAnsi="宋体" w:cs="宋体" w:eastAsia="宋体" w:hint="default"/>
        </w:rPr>
        <w:t> </w:t>
      </w:r>
    </w:p>
    <w:p>
      <w:pPr>
        <w:pStyle w:val="BodyText"/>
        <w:spacing w:line="240" w:lineRule="auto" w:before="117"/>
        <w:ind w:right="0"/>
        <w:jc w:val="left"/>
        <w:rPr>
          <w:rFonts w:ascii="宋体" w:hAnsi="宋体" w:cs="宋体" w:eastAsia="宋体" w:hint="default"/>
        </w:rPr>
      </w:pPr>
      <w:r>
        <w:rPr>
          <w:rFonts w:ascii="宋体" w:hAnsi="宋体" w:cs="宋体" w:eastAsia="宋体" w:hint="default"/>
        </w:rPr>
        <w:t>4</w:t>
      </w:r>
      <w:r>
        <w:rPr/>
        <w:t>、</w:t>
      </w:r>
      <w:r>
        <w:rPr>
          <w:rFonts w:ascii="宋体" w:hAnsi="宋体" w:cs="宋体" w:eastAsia="宋体" w:hint="default"/>
        </w:rPr>
        <w:t>EBITDA</w:t>
      </w:r>
      <w:r>
        <w:rPr>
          <w:rFonts w:ascii="宋体" w:hAnsi="宋体" w:cs="宋体" w:eastAsia="宋体" w:hint="default"/>
          <w:spacing w:val="-49"/>
        </w:rPr>
        <w:t> </w:t>
      </w:r>
      <w:r>
        <w:rPr/>
        <w:t>全部债务比较上期减少</w:t>
      </w:r>
      <w:r>
        <w:rPr>
          <w:spacing w:val="-50"/>
        </w:rPr>
        <w:t> </w:t>
      </w:r>
      <w:r>
        <w:rPr>
          <w:rFonts w:ascii="宋体" w:hAnsi="宋体" w:cs="宋体" w:eastAsia="宋体" w:hint="default"/>
        </w:rPr>
        <w:t>357.87%</w:t>
      </w:r>
      <w:r>
        <w:rPr/>
        <w:t>，主要是由于本期利润总额减少所致；</w:t>
      </w:r>
      <w:r>
        <w:rPr>
          <w:rFonts w:ascii="宋体" w:hAnsi="宋体" w:cs="宋体" w:eastAsia="宋体" w:hint="default"/>
        </w:rPr>
        <w:t> </w:t>
      </w:r>
    </w:p>
    <w:p>
      <w:pPr>
        <w:pStyle w:val="BodyText"/>
        <w:spacing w:line="240" w:lineRule="auto" w:before="115"/>
        <w:ind w:right="0"/>
        <w:jc w:val="left"/>
        <w:rPr>
          <w:rFonts w:ascii="宋体" w:hAnsi="宋体" w:cs="宋体" w:eastAsia="宋体" w:hint="default"/>
        </w:rPr>
      </w:pPr>
      <w:r>
        <w:rPr>
          <w:rFonts w:ascii="宋体" w:hAnsi="宋体" w:cs="宋体" w:eastAsia="宋体" w:hint="default"/>
        </w:rPr>
        <w:t>5</w:t>
      </w:r>
      <w:r>
        <w:rPr/>
        <w:t>、利息保障倍数较上期减少</w:t>
      </w:r>
      <w:r>
        <w:rPr>
          <w:spacing w:val="-45"/>
        </w:rPr>
        <w:t> </w:t>
      </w:r>
      <w:r>
        <w:rPr>
          <w:rFonts w:ascii="宋体" w:hAnsi="宋体" w:cs="宋体" w:eastAsia="宋体" w:hint="default"/>
        </w:rPr>
        <w:t>47.94%</w:t>
      </w:r>
      <w:r>
        <w:rPr/>
        <w:t>，主要是由于本期利润总额减少所致；</w:t>
      </w:r>
      <w:r>
        <w:rPr>
          <w:rFonts w:ascii="宋体" w:hAnsi="宋体" w:cs="宋体" w:eastAsia="宋体" w:hint="default"/>
        </w:rPr>
        <w:t> </w:t>
      </w:r>
    </w:p>
    <w:p>
      <w:pPr>
        <w:pStyle w:val="BodyText"/>
        <w:spacing w:line="240" w:lineRule="auto" w:before="117"/>
        <w:ind w:right="0"/>
        <w:jc w:val="left"/>
        <w:rPr>
          <w:rFonts w:ascii="宋体" w:hAnsi="宋体" w:cs="宋体" w:eastAsia="宋体" w:hint="default"/>
        </w:rPr>
      </w:pPr>
      <w:r>
        <w:rPr>
          <w:rFonts w:ascii="宋体" w:hAnsi="宋体" w:cs="宋体" w:eastAsia="宋体" w:hint="default"/>
        </w:rPr>
        <w:t>6</w:t>
      </w:r>
      <w:r>
        <w:rPr/>
        <w:t>、现金利息保障倍数较上期减少</w:t>
      </w:r>
      <w:r>
        <w:rPr>
          <w:spacing w:val="-45"/>
        </w:rPr>
        <w:t> </w:t>
      </w:r>
      <w:r>
        <w:rPr>
          <w:rFonts w:ascii="宋体" w:hAnsi="宋体" w:cs="宋体" w:eastAsia="宋体" w:hint="default"/>
        </w:rPr>
        <w:t>80.01%</w:t>
      </w:r>
      <w:r>
        <w:rPr/>
        <w:t>，主要是由于本期经营活动产生的现金流量净额减少所致；</w:t>
      </w:r>
      <w:r>
        <w:rPr>
          <w:rFonts w:ascii="宋体" w:hAnsi="宋体" w:cs="宋体" w:eastAsia="宋体" w:hint="default"/>
        </w:rPr>
        <w:t> </w:t>
      </w:r>
    </w:p>
    <w:p>
      <w:pPr>
        <w:pStyle w:val="BodyText"/>
        <w:spacing w:line="240" w:lineRule="auto" w:before="117"/>
        <w:ind w:right="0"/>
        <w:jc w:val="left"/>
        <w:rPr>
          <w:rFonts w:ascii="宋体" w:hAnsi="宋体" w:cs="宋体" w:eastAsia="宋体" w:hint="default"/>
        </w:rPr>
      </w:pPr>
      <w:r>
        <w:rPr>
          <w:rFonts w:ascii="宋体" w:hAnsi="宋体" w:cs="宋体" w:eastAsia="宋体" w:hint="default"/>
        </w:rPr>
        <w:t>7</w:t>
      </w:r>
      <w:r>
        <w:rPr/>
        <w:t>、</w:t>
      </w:r>
      <w:r>
        <w:rPr>
          <w:rFonts w:ascii="宋体" w:hAnsi="宋体" w:cs="宋体" w:eastAsia="宋体" w:hint="default"/>
        </w:rPr>
        <w:t>EBITDA</w:t>
      </w:r>
      <w:r>
        <w:rPr>
          <w:rFonts w:ascii="宋体" w:hAnsi="宋体" w:cs="宋体" w:eastAsia="宋体" w:hint="default"/>
          <w:spacing w:val="-48"/>
        </w:rPr>
        <w:t> </w:t>
      </w:r>
      <w:r>
        <w:rPr/>
        <w:t>利息保障倍数较上期减少</w:t>
      </w:r>
      <w:r>
        <w:rPr>
          <w:spacing w:val="-49"/>
        </w:rPr>
        <w:t> </w:t>
      </w:r>
      <w:r>
        <w:rPr>
          <w:rFonts w:ascii="宋体" w:hAnsi="宋体" w:cs="宋体" w:eastAsia="宋体" w:hint="default"/>
        </w:rPr>
        <w:t>45.36%</w:t>
      </w:r>
      <w:r>
        <w:rPr/>
        <w:t>，主要是由于本期利润总额减少所致。</w:t>
      </w:r>
      <w:r>
        <w:rPr>
          <w:rFonts w:ascii="宋体" w:hAnsi="宋体" w:cs="宋体" w:eastAsia="宋体" w:hint="default"/>
        </w:rPr>
        <w:t> </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九、报告期内对其他债券和债务融资工具的付息兑付情况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无</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十、报告期内获得的银行授信情况、使用情况以及偿还银行贷款的情况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本报告期内，公司获得银行授信额度为</w:t>
      </w:r>
      <w:r>
        <w:rPr>
          <w:rFonts w:ascii="宋体" w:hAnsi="宋体" w:cs="宋体" w:eastAsia="宋体" w:hint="default"/>
        </w:rPr>
        <w:t>20.9</w:t>
      </w:r>
      <w:r>
        <w:rPr/>
        <w:t>亿，已使用授信额度</w:t>
      </w:r>
      <w:r>
        <w:rPr>
          <w:rFonts w:ascii="宋体" w:hAnsi="宋体" w:cs="宋体" w:eastAsia="宋体" w:hint="default"/>
        </w:rPr>
        <w:t>8,998.33</w:t>
      </w:r>
      <w:r>
        <w:rPr/>
        <w:t>万元。</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十一、报告期内执行公司债券募集说明书相关约定或承诺的情况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6" w:lineRule="auto"/>
        <w:ind w:right="1214"/>
        <w:jc w:val="left"/>
      </w:pPr>
      <w:r>
        <w:rPr/>
        <w:t>报告期内，公司严格执行公司债券募集说明书的各项约定和承诺，并按照募集说明书的约定使用募集资金，未发生因执行 公司债券募集说明书相关约定或承诺不力而影响债券投资者利益的情况。</w:t>
      </w:r>
    </w:p>
    <w:p>
      <w:pPr>
        <w:spacing w:line="240" w:lineRule="auto" w:before="0"/>
        <w:rPr>
          <w:rFonts w:ascii="宋体" w:hAnsi="宋体" w:cs="宋体" w:eastAsia="宋体" w:hint="default"/>
          <w:sz w:val="15"/>
          <w:szCs w:val="15"/>
        </w:rPr>
      </w:pPr>
    </w:p>
    <w:p>
      <w:pPr>
        <w:pStyle w:val="Heading2"/>
        <w:spacing w:line="240" w:lineRule="auto"/>
        <w:ind w:right="0"/>
        <w:jc w:val="left"/>
        <w:rPr>
          <w:b w:val="0"/>
          <w:bCs w:val="0"/>
        </w:rPr>
      </w:pPr>
      <w:r>
        <w:rPr/>
        <w:t>十二、报告期内发生的重大事项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494" w:right="5171"/>
        <w:jc w:val="center"/>
      </w:pPr>
      <w:r>
        <w:rPr/>
        <w:t>报告期内，公司未发生可能影响偿债能力或债券价值的重大事项。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十三、公司债券是否存在保证人</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75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公司债券的保证人是否为法人或其他组织</w:t>
      </w:r>
    </w:p>
    <w:p>
      <w:pPr>
        <w:pStyle w:val="BodyText"/>
        <w:spacing w:line="240" w:lineRule="auto" w:before="4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00" w:lineRule="auto" w:before="101"/>
        <w:ind w:right="1216"/>
        <w:jc w:val="left"/>
      </w:pPr>
      <w:r>
        <w:rPr/>
        <w:t>是否在每个会计年度结束之日起</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个月内单独披露保证人报告期财务报表，包括资产负债表、利润表、现金流量表、所有 者权益（股东权益）变动表和财务报表附注</w:t>
      </w:r>
    </w:p>
    <w:p>
      <w:pPr>
        <w:pStyle w:val="BodyText"/>
        <w:spacing w:line="240" w:lineRule="auto" w:before="7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607" w:right="0"/>
        <w:jc w:val="left"/>
        <w:rPr>
          <w:b w:val="0"/>
          <w:bCs w:val="0"/>
        </w:rPr>
      </w:pPr>
      <w:bookmarkStart w:name="_bookmark11" w:id="12"/>
      <w:bookmarkEnd w:id="12"/>
      <w:r>
        <w:rPr>
          <w:b w:val="0"/>
          <w:bCs w:val="0"/>
        </w:rPr>
      </w:r>
      <w:r>
        <w:rPr/>
        <w:t>第十二节 </w:t>
      </w:r>
      <w:r>
        <w:rPr>
          <w:spacing w:val="6"/>
        </w:rPr>
        <w:t> </w:t>
      </w:r>
      <w:r>
        <w:rPr/>
        <w:t>财务报告</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一、审计报告</w:t>
      </w:r>
      <w:r>
        <w:rPr>
          <w:b w:val="0"/>
          <w:bCs w:val="0"/>
        </w:rPr>
      </w:r>
    </w:p>
    <w:p>
      <w:pPr>
        <w:spacing w:line="240" w:lineRule="auto" w:before="10"/>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XYZH/2020BJA70188</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季晟</w:t>
            </w:r>
            <w:r>
              <w:rPr>
                <w:rFonts w:ascii="宋体" w:hAnsi="宋体" w:cs="宋体" w:eastAsia="宋体" w:hint="default"/>
                <w:spacing w:val="1"/>
                <w:sz w:val="18"/>
                <w:szCs w:val="18"/>
              </w:rPr>
              <w:t> </w:t>
            </w:r>
            <w:r>
              <w:rPr>
                <w:rFonts w:ascii="宋体" w:hAnsi="宋体" w:cs="宋体" w:eastAsia="宋体" w:hint="default"/>
                <w:sz w:val="18"/>
                <w:szCs w:val="18"/>
              </w:rPr>
              <w:t>李宏志</w:t>
            </w:r>
          </w:p>
        </w:tc>
      </w:tr>
    </w:tbl>
    <w:p>
      <w:pPr>
        <w:pStyle w:val="Heading2"/>
        <w:spacing w:line="342" w:lineRule="exact"/>
        <w:ind w:left="494" w:right="1472"/>
        <w:jc w:val="center"/>
        <w:rPr>
          <w:b w:val="0"/>
          <w:bCs w:val="0"/>
        </w:rPr>
      </w:pPr>
      <w:r>
        <w:rPr/>
        <w:t>审计报告</w:t>
      </w:r>
      <w:r>
        <w:rPr>
          <w:b w:val="0"/>
          <w:bCs w:val="0"/>
        </w:rPr>
      </w:r>
    </w:p>
    <w:p>
      <w:pPr>
        <w:pStyle w:val="Heading6"/>
        <w:spacing w:line="513" w:lineRule="auto" w:before="70"/>
        <w:ind w:left="594" w:right="7335" w:hanging="443"/>
        <w:jc w:val="left"/>
        <w:rPr>
          <w:b w:val="0"/>
          <w:bCs w:val="0"/>
        </w:rPr>
      </w:pPr>
      <w:r>
        <w:rPr/>
        <w:t>北京四维图新科技股份有限公司全体股东：</w:t>
      </w:r>
      <w:r>
        <w:rPr>
          <w:spacing w:val="-34"/>
        </w:rPr>
        <w:t> </w:t>
      </w:r>
      <w:r>
        <w:rPr>
          <w:spacing w:val="-34"/>
        </w:rPr>
      </w:r>
      <w:r>
        <w:rPr/>
        <w:t>一、</w:t>
      </w:r>
      <w:r>
        <w:rPr>
          <w:spacing w:val="15"/>
        </w:rPr>
        <w:t> </w:t>
      </w:r>
      <w:r>
        <w:rPr/>
        <w:t>审计意见</w:t>
      </w:r>
      <w:r>
        <w:rPr>
          <w:b w:val="0"/>
          <w:bCs w:val="0"/>
        </w:rPr>
      </w:r>
    </w:p>
    <w:p>
      <w:pPr>
        <w:pStyle w:val="BodyText"/>
        <w:spacing w:line="345" w:lineRule="auto" w:before="143"/>
        <w:ind w:right="1128" w:firstLine="360"/>
        <w:jc w:val="both"/>
      </w:pPr>
      <w:r>
        <w:rPr/>
        <w:t>我们审计了北京四维图新科技股份有限公司（以下简称四维图新）财务报表，包括</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日的合并及母公司 资产负债表，</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年度的合并及母公司利润表、合并及母公司现金流量表、合并及母公司股东权益变动表，以及相关财务 报表附注。</w:t>
      </w:r>
    </w:p>
    <w:p>
      <w:pPr>
        <w:spacing w:line="240" w:lineRule="auto" w:before="0"/>
        <w:rPr>
          <w:rFonts w:ascii="宋体" w:hAnsi="宋体" w:cs="宋体" w:eastAsia="宋体" w:hint="default"/>
          <w:sz w:val="18"/>
          <w:szCs w:val="18"/>
        </w:rPr>
      </w:pPr>
    </w:p>
    <w:p>
      <w:pPr>
        <w:pStyle w:val="BodyText"/>
        <w:spacing w:line="240" w:lineRule="auto" w:before="122"/>
        <w:ind w:left="513" w:right="0"/>
        <w:jc w:val="left"/>
      </w:pPr>
      <w:r>
        <w:rPr/>
        <w:t>我们认为，后附的财务报表在所有重大方面按照企业会计准则的规定编制，公允反映了四维图新</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w:t>
      </w:r>
    </w:p>
    <w:p>
      <w:pPr>
        <w:spacing w:line="592" w:lineRule="auto" w:before="111"/>
        <w:ind w:left="594" w:right="4726" w:hanging="443"/>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合并及母公司财务状况以及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年度的合并及母公司经营成果和现金流量。 </w:t>
      </w:r>
      <w:r>
        <w:rPr>
          <w:rFonts w:ascii="Microsoft JhengHei" w:hAnsi="Microsoft JhengHei" w:cs="Microsoft JhengHei" w:eastAsia="Microsoft JhengHei" w:hint="default"/>
          <w:b/>
          <w:bCs/>
          <w:sz w:val="18"/>
          <w:szCs w:val="18"/>
        </w:rPr>
        <w:t>二、</w:t>
      </w:r>
      <w:r>
        <w:rPr>
          <w:rFonts w:ascii="Microsoft JhengHei" w:hAnsi="Microsoft JhengHei" w:cs="Microsoft JhengHei" w:eastAsia="Microsoft JhengHei" w:hint="default"/>
          <w:b/>
          <w:bCs/>
          <w:spacing w:val="19"/>
          <w:sz w:val="18"/>
          <w:szCs w:val="18"/>
        </w:rPr>
        <w:t> </w:t>
      </w:r>
      <w:r>
        <w:rPr>
          <w:rFonts w:ascii="Microsoft JhengHei" w:hAnsi="Microsoft JhengHei" w:cs="Microsoft JhengHei" w:eastAsia="Microsoft JhengHei" w:hint="default"/>
          <w:b/>
          <w:bCs/>
          <w:sz w:val="18"/>
          <w:szCs w:val="18"/>
        </w:rPr>
        <w:t>形成审计意见的基础</w:t>
      </w:r>
      <w:r>
        <w:rPr>
          <w:rFonts w:ascii="Microsoft JhengHei" w:hAnsi="Microsoft JhengHei" w:cs="Microsoft JhengHei" w:eastAsia="Microsoft JhengHei" w:hint="default"/>
          <w:sz w:val="18"/>
          <w:szCs w:val="18"/>
        </w:rPr>
      </w:r>
    </w:p>
    <w:p>
      <w:pPr>
        <w:pStyle w:val="BodyText"/>
        <w:spacing w:line="357" w:lineRule="auto" w:before="64"/>
        <w:ind w:right="1130" w:firstLine="36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r>
        <w:rPr/>
        <w:t> </w:t>
      </w:r>
      <w:r>
        <w:rPr>
          <w:spacing w:val="-2"/>
        </w:rPr>
        <w:t>阐述了我们在这些准则下的责任。按照中国注册会计师职业道德守则，我们独立于四维图新，并履行了职业道德方面的其他</w:t>
      </w:r>
      <w:r>
        <w:rPr>
          <w:spacing w:val="-63"/>
        </w:rPr>
        <w:t> </w:t>
      </w:r>
      <w:r>
        <w:rPr>
          <w:spacing w:val="-63"/>
        </w:rPr>
      </w:r>
      <w:r>
        <w:rPr/>
        <w:t>责任。我们相信，我们获取的审计证据是充分、适当的，为发表审计意见提供了基础。</w:t>
      </w:r>
    </w:p>
    <w:p>
      <w:pPr>
        <w:pStyle w:val="BodyText"/>
        <w:spacing w:line="672" w:lineRule="exact" w:before="21"/>
        <w:ind w:left="513" w:right="0" w:firstLine="81"/>
        <w:jc w:val="left"/>
      </w:pPr>
      <w:r>
        <w:rPr>
          <w:rFonts w:ascii="Microsoft JhengHei" w:hAnsi="Microsoft JhengHei" w:cs="Microsoft JhengHei" w:eastAsia="Microsoft JhengHei" w:hint="default"/>
          <w:b/>
          <w:bCs/>
        </w:rPr>
        <w:t>三、</w:t>
      </w:r>
      <w:r>
        <w:rPr>
          <w:rFonts w:ascii="Microsoft JhengHei" w:hAnsi="Microsoft JhengHei" w:cs="Microsoft JhengHei" w:eastAsia="Microsoft JhengHei" w:hint="default"/>
          <w:b/>
          <w:bCs/>
          <w:spacing w:val="12"/>
        </w:rPr>
        <w:t> </w:t>
      </w:r>
      <w:r>
        <w:rPr>
          <w:rFonts w:ascii="Microsoft JhengHei" w:hAnsi="Microsoft JhengHei" w:cs="Microsoft JhengHei" w:eastAsia="Microsoft JhengHei" w:hint="default"/>
          <w:b/>
          <w:bCs/>
        </w:rPr>
        <w:t>关键审计事项</w:t>
      </w:r>
      <w:r>
        <w:rPr>
          <w:rFonts w:ascii="Microsoft JhengHei" w:hAnsi="Microsoft JhengHei" w:cs="Microsoft JhengHei" w:eastAsia="Microsoft JhengHei" w:hint="default"/>
          <w:b/>
          <w:bCs/>
        </w:rPr>
        <w:t> </w:t>
      </w:r>
      <w:r>
        <w:rPr>
          <w:spacing w:val="-2"/>
        </w:rPr>
        <w:t>关键审计事项是我们根据职业判断，认为对本期财务报表审计最为重要的事项。这些事项的应对以对财务报表整体进行</w:t>
      </w:r>
    </w:p>
    <w:p>
      <w:pPr>
        <w:pStyle w:val="BodyText"/>
        <w:spacing w:line="240" w:lineRule="auto" w:before="15"/>
        <w:ind w:right="0"/>
        <w:jc w:val="left"/>
      </w:pPr>
      <w:r>
        <w:rPr/>
        <w:t>审计并形成审计意见为背景，我们不对这些事项单独发表意见。</w:t>
      </w:r>
    </w:p>
    <w:p>
      <w:pPr>
        <w:spacing w:line="240" w:lineRule="auto" w:before="7"/>
        <w:rPr>
          <w:rFonts w:ascii="宋体" w:hAnsi="宋体" w:cs="宋体" w:eastAsia="宋体" w:hint="default"/>
          <w:sz w:val="3"/>
          <w:szCs w:val="3"/>
        </w:rPr>
      </w:pPr>
    </w:p>
    <w:tbl>
      <w:tblPr>
        <w:tblW w:w="0" w:type="auto"/>
        <w:jc w:val="left"/>
        <w:tblInd w:w="261" w:type="dxa"/>
        <w:tblLayout w:type="fixed"/>
        <w:tblCellMar>
          <w:top w:w="0" w:type="dxa"/>
          <w:left w:w="0" w:type="dxa"/>
          <w:bottom w:w="0" w:type="dxa"/>
          <w:right w:w="0" w:type="dxa"/>
        </w:tblCellMar>
        <w:tblLook w:val="01E0"/>
      </w:tblPr>
      <w:tblGrid>
        <w:gridCol w:w="4839"/>
        <w:gridCol w:w="4549"/>
      </w:tblGrid>
      <w:tr>
        <w:trPr>
          <w:trHeight w:val="526" w:hRule="exact"/>
        </w:trPr>
        <w:tc>
          <w:tcPr>
            <w:tcW w:w="9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pacing w:val="-3"/>
                <w:sz w:val="18"/>
                <w:szCs w:val="18"/>
              </w:rPr>
              <w:t>1.  </w:t>
            </w:r>
            <w:r>
              <w:rPr>
                <w:rFonts w:ascii="Times New Roman" w:hAnsi="Times New Roman" w:cs="Times New Roman" w:eastAsia="Times New Roman" w:hint="default"/>
                <w:b/>
                <w:bCs/>
                <w:spacing w:val="28"/>
                <w:sz w:val="18"/>
                <w:szCs w:val="18"/>
              </w:rPr>
              <w:t> </w:t>
            </w:r>
            <w:r>
              <w:rPr>
                <w:rFonts w:ascii="Microsoft JhengHei" w:hAnsi="Microsoft JhengHei" w:cs="Microsoft JhengHei" w:eastAsia="Microsoft JhengHei" w:hint="default"/>
                <w:b/>
                <w:bCs/>
                <w:spacing w:val="-14"/>
                <w:sz w:val="18"/>
                <w:szCs w:val="18"/>
              </w:rPr>
              <w:t>商誉减值测试事项</w:t>
            </w:r>
            <w:r>
              <w:rPr>
                <w:rFonts w:ascii="Microsoft JhengHei" w:hAnsi="Microsoft JhengHei" w:cs="Microsoft JhengHei" w:eastAsia="Microsoft JhengHei" w:hint="default"/>
                <w:spacing w:val="-14"/>
                <w:sz w:val="18"/>
                <w:szCs w:val="18"/>
              </w:rPr>
            </w:r>
          </w:p>
        </w:tc>
      </w:tr>
      <w:tr>
        <w:trPr>
          <w:trHeight w:val="526" w:hRule="exact"/>
        </w:trPr>
        <w:tc>
          <w:tcPr>
            <w:tcW w:w="4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3"/>
                <w:sz w:val="18"/>
                <w:szCs w:val="18"/>
              </w:rPr>
              <w:t>关键审计事项</w:t>
            </w:r>
            <w:r>
              <w:rPr>
                <w:rFonts w:ascii="Microsoft JhengHei" w:hAnsi="Microsoft JhengHei" w:cs="Microsoft JhengHei" w:eastAsia="Microsoft JhengHei" w:hint="default"/>
                <w:spacing w:val="-13"/>
                <w:sz w:val="18"/>
                <w:szCs w:val="18"/>
              </w:rPr>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3"/>
                <w:sz w:val="18"/>
                <w:szCs w:val="18"/>
              </w:rPr>
              <w:t>审计中的应对</w:t>
            </w:r>
            <w:r>
              <w:rPr>
                <w:rFonts w:ascii="Microsoft JhengHei" w:hAnsi="Microsoft JhengHei" w:cs="Microsoft JhengHei" w:eastAsia="Microsoft JhengHei" w:hint="default"/>
                <w:spacing w:val="-13"/>
                <w:sz w:val="18"/>
                <w:szCs w:val="18"/>
              </w:rPr>
            </w:r>
          </w:p>
        </w:tc>
      </w:tr>
      <w:tr>
        <w:trPr>
          <w:trHeight w:val="1224" w:hRule="exact"/>
        </w:trPr>
        <w:tc>
          <w:tcPr>
            <w:tcW w:w="4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88" w:lineRule="auto"/>
              <w:ind w:left="105" w:right="96" w:firstLine="451"/>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日，如四维图新合并财务报表附</w:t>
            </w:r>
            <w:r>
              <w:rPr>
                <w:rFonts w:ascii="宋体" w:hAnsi="宋体" w:cs="宋体" w:eastAsia="宋体" w:hint="default"/>
                <w:sz w:val="18"/>
                <w:szCs w:val="18"/>
              </w:rPr>
              <w:t> 注五、</w:t>
            </w:r>
            <w:r>
              <w:rPr>
                <w:rFonts w:ascii="Times New Roman" w:hAnsi="Times New Roman" w:cs="Times New Roman" w:eastAsia="Times New Roman" w:hint="default"/>
                <w:sz w:val="18"/>
                <w:szCs w:val="18"/>
              </w:rPr>
              <w:t>43 </w:t>
            </w:r>
            <w:r>
              <w:rPr>
                <w:rFonts w:ascii="宋体" w:hAnsi="宋体" w:cs="宋体" w:eastAsia="宋体" w:hint="default"/>
                <w:sz w:val="18"/>
                <w:szCs w:val="18"/>
              </w:rPr>
              <w:t>及七、</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所述，合并财务报表中商誉年末原值为 </w:t>
            </w:r>
            <w:r>
              <w:rPr>
                <w:rFonts w:ascii="Times New Roman" w:hAnsi="Times New Roman" w:cs="Times New Roman" w:eastAsia="Times New Roman" w:hint="default"/>
                <w:sz w:val="18"/>
                <w:szCs w:val="18"/>
              </w:rPr>
              <w:t>32.25 </w:t>
            </w:r>
            <w:r>
              <w:rPr>
                <w:rFonts w:ascii="宋体" w:hAnsi="宋体" w:cs="宋体" w:eastAsia="宋体" w:hint="default"/>
                <w:sz w:val="18"/>
                <w:szCs w:val="18"/>
              </w:rPr>
              <w:t>亿元，已计提商誉减值准备 </w:t>
            </w:r>
            <w:r>
              <w:rPr>
                <w:rFonts w:ascii="Times New Roman" w:hAnsi="Times New Roman" w:cs="Times New Roman" w:eastAsia="Times New Roman" w:hint="default"/>
                <w:sz w:val="18"/>
                <w:szCs w:val="18"/>
              </w:rPr>
              <w:t>9.93 </w:t>
            </w:r>
            <w:r>
              <w:rPr>
                <w:rFonts w:ascii="宋体" w:hAnsi="宋体" w:cs="宋体" w:eastAsia="宋体" w:hint="default"/>
                <w:sz w:val="18"/>
                <w:szCs w:val="18"/>
              </w:rPr>
              <w:t>亿元（其中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我们关于商誉减值测试行的程序包括：</w:t>
            </w:r>
          </w:p>
          <w:p>
            <w:pPr>
              <w:pStyle w:val="TableParagraph"/>
              <w:spacing w:line="240" w:lineRule="auto" w:before="11"/>
              <w:ind w:right="0"/>
              <w:jc w:val="left"/>
              <w:rPr>
                <w:rFonts w:ascii="宋体" w:hAnsi="宋体" w:cs="宋体" w:eastAsia="宋体" w:hint="default"/>
                <w:sz w:val="16"/>
                <w:szCs w:val="16"/>
              </w:rPr>
            </w:pPr>
          </w:p>
          <w:p>
            <w:pPr>
              <w:pStyle w:val="TableParagraph"/>
              <w:spacing w:line="288" w:lineRule="auto"/>
              <w:ind w:left="103" w:right="98"/>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）了解四维图新商誉减值测试的控制程序，包括了解</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四维图新划分资产组及其对资产组价值的判定；</w:t>
            </w:r>
          </w:p>
        </w:tc>
      </w:tr>
    </w:tbl>
    <w:p>
      <w:pPr>
        <w:spacing w:after="0" w:line="288"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261" w:type="dxa"/>
        <w:tblLayout w:type="fixed"/>
        <w:tblCellMar>
          <w:top w:w="0" w:type="dxa"/>
          <w:left w:w="0" w:type="dxa"/>
          <w:bottom w:w="0" w:type="dxa"/>
          <w:right w:w="0" w:type="dxa"/>
        </w:tblCellMar>
        <w:tblLook w:val="01E0"/>
      </w:tblPr>
      <w:tblGrid>
        <w:gridCol w:w="4839"/>
        <w:gridCol w:w="4549"/>
      </w:tblGrid>
      <w:tr>
        <w:trPr>
          <w:trHeight w:val="3322" w:hRule="exact"/>
        </w:trPr>
        <w:tc>
          <w:tcPr>
            <w:tcW w:w="4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18"/>
                <w:szCs w:val="18"/>
              </w:rPr>
            </w:pPr>
            <w:r>
              <w:rPr>
                <w:rFonts w:ascii="宋体" w:hAnsi="宋体" w:cs="宋体" w:eastAsia="宋体" w:hint="default"/>
                <w:sz w:val="18"/>
                <w:szCs w:val="18"/>
              </w:rPr>
              <w:t>未计提商誉减值准备</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1"/>
              <w:ind w:right="0"/>
              <w:jc w:val="left"/>
              <w:rPr>
                <w:rFonts w:ascii="宋体" w:hAnsi="宋体" w:cs="宋体" w:eastAsia="宋体" w:hint="default"/>
                <w:sz w:val="16"/>
                <w:szCs w:val="16"/>
              </w:rPr>
            </w:pPr>
          </w:p>
          <w:p>
            <w:pPr>
              <w:pStyle w:val="TableParagraph"/>
              <w:spacing w:line="304" w:lineRule="auto"/>
              <w:ind w:left="105" w:right="97" w:firstLine="451"/>
              <w:jc w:val="both"/>
              <w:rPr>
                <w:rFonts w:ascii="宋体" w:hAnsi="宋体" w:cs="宋体" w:eastAsia="宋体" w:hint="default"/>
                <w:sz w:val="18"/>
                <w:szCs w:val="18"/>
              </w:rPr>
            </w:pPr>
            <w:r>
              <w:rPr>
                <w:rFonts w:ascii="宋体" w:hAnsi="宋体" w:cs="宋体" w:eastAsia="宋体" w:hint="default"/>
                <w:spacing w:val="-7"/>
                <w:sz w:val="18"/>
                <w:szCs w:val="18"/>
              </w:rPr>
              <w:t>管理层每年对商誉进行减值测试。管理层通过比较被分</w:t>
            </w:r>
            <w:r>
              <w:rPr>
                <w:rFonts w:ascii="宋体" w:hAnsi="宋体" w:cs="宋体" w:eastAsia="宋体" w:hint="default"/>
                <w:sz w:val="18"/>
                <w:szCs w:val="18"/>
              </w:rPr>
              <w:t> </w:t>
            </w:r>
            <w:r>
              <w:rPr>
                <w:rFonts w:ascii="宋体" w:hAnsi="宋体" w:cs="宋体" w:eastAsia="宋体" w:hint="default"/>
                <w:spacing w:val="-3"/>
                <w:sz w:val="18"/>
                <w:szCs w:val="18"/>
              </w:rPr>
              <w:t>摊商誉的相关资产组的可收回金额与该资产组及商誉的账面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价值，对商誉进行减值测试。资产组预计可收回金额涉及对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资产组未来现金流量现值的预测，管理层在预测中需要做出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重大判断和假设，特别是对于未来市场状况、生产成本、经营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5"/>
                <w:sz w:val="18"/>
                <w:szCs w:val="18"/>
              </w:rPr>
              <w:t>费用、折现率及业绩增长率等因素的盘点和假设。</w:t>
            </w:r>
          </w:p>
          <w:p>
            <w:pPr>
              <w:pStyle w:val="TableParagraph"/>
              <w:spacing w:line="240" w:lineRule="auto" w:before="2"/>
              <w:ind w:right="0"/>
              <w:jc w:val="left"/>
              <w:rPr>
                <w:rFonts w:ascii="宋体" w:hAnsi="宋体" w:cs="宋体" w:eastAsia="宋体" w:hint="default"/>
                <w:sz w:val="13"/>
                <w:szCs w:val="13"/>
              </w:rPr>
            </w:pPr>
          </w:p>
          <w:p>
            <w:pPr>
              <w:pStyle w:val="TableParagraph"/>
              <w:spacing w:line="304" w:lineRule="auto"/>
              <w:ind w:left="105" w:right="98" w:firstLine="451"/>
              <w:jc w:val="both"/>
              <w:rPr>
                <w:rFonts w:ascii="宋体" w:hAnsi="宋体" w:cs="宋体" w:eastAsia="宋体" w:hint="default"/>
                <w:sz w:val="18"/>
                <w:szCs w:val="18"/>
              </w:rPr>
            </w:pPr>
            <w:r>
              <w:rPr>
                <w:rFonts w:ascii="宋体" w:hAnsi="宋体" w:cs="宋体" w:eastAsia="宋体" w:hint="default"/>
                <w:sz w:val="18"/>
                <w:szCs w:val="18"/>
              </w:rPr>
              <w:t>由于减值测试过程较为复杂，涉及重大判断，同时商 </w:t>
            </w:r>
            <w:r>
              <w:rPr>
                <w:rFonts w:ascii="宋体" w:hAnsi="宋体" w:cs="宋体" w:eastAsia="宋体" w:hint="default"/>
                <w:spacing w:val="-3"/>
                <w:sz w:val="18"/>
                <w:szCs w:val="18"/>
              </w:rPr>
              <w:t>誉在四维图新资产总额中占比很大，因此我们认为商誉减值</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是我们审计中的关键审计事项。</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97" w:lineRule="auto"/>
              <w:ind w:left="103" w:right="102"/>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）与管理层讨论、评估商誉减值的评估方法，包括每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个资产组的未来盈利预测，现金流折现率等假设的合理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性；</w:t>
            </w:r>
          </w:p>
          <w:p>
            <w:pPr>
              <w:pStyle w:val="TableParagraph"/>
              <w:spacing w:line="240" w:lineRule="auto" w:before="7"/>
              <w:ind w:right="0"/>
              <w:jc w:val="left"/>
              <w:rPr>
                <w:rFonts w:ascii="宋体" w:hAnsi="宋体" w:cs="宋体" w:eastAsia="宋体" w:hint="default"/>
                <w:sz w:val="13"/>
                <w:szCs w:val="13"/>
              </w:rPr>
            </w:pPr>
          </w:p>
          <w:p>
            <w:pPr>
              <w:pStyle w:val="TableParagraph"/>
              <w:spacing w:line="288" w:lineRule="auto"/>
              <w:ind w:left="103" w:right="99"/>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）评价管理层提供的数据及支持证据，包括每个资产</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组的预算，关注管理层对该等预算合理性的判断依据；</w:t>
            </w:r>
          </w:p>
          <w:p>
            <w:pPr>
              <w:pStyle w:val="TableParagraph"/>
              <w:spacing w:line="240" w:lineRule="auto" w:before="1"/>
              <w:ind w:right="0"/>
              <w:jc w:val="left"/>
              <w:rPr>
                <w:rFonts w:ascii="宋体" w:hAnsi="宋体" w:cs="宋体" w:eastAsia="宋体" w:hint="default"/>
                <w:sz w:val="14"/>
                <w:szCs w:val="14"/>
              </w:rPr>
            </w:pPr>
          </w:p>
          <w:p>
            <w:pPr>
              <w:pStyle w:val="TableParagraph"/>
              <w:spacing w:line="300" w:lineRule="auto"/>
              <w:ind w:left="103" w:right="99"/>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）对存在商誉减值迹象的资产组，利用第三方评估机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构的工作，就估值过程中使用的评估方法、关键估值假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设、参数选择、预测未来收入及现金流折现率的合理性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进行讨论，评估和复核其合理性。</w:t>
            </w:r>
          </w:p>
        </w:tc>
      </w:tr>
      <w:tr>
        <w:trPr>
          <w:trHeight w:val="478" w:hRule="exact"/>
        </w:trPr>
        <w:tc>
          <w:tcPr>
            <w:tcW w:w="9388" w:type="dxa"/>
            <w:gridSpan w:val="2"/>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0" w:lineRule="auto" w:before="110"/>
              <w:ind w:left="105"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pacing w:val="-3"/>
                <w:sz w:val="18"/>
                <w:szCs w:val="18"/>
              </w:rPr>
              <w:t>2.</w:t>
              <w:tab/>
            </w:r>
            <w:r>
              <w:rPr>
                <w:rFonts w:ascii="Microsoft JhengHei" w:hAnsi="Microsoft JhengHei" w:cs="Microsoft JhengHei" w:eastAsia="Microsoft JhengHei" w:hint="default"/>
                <w:b/>
                <w:bCs/>
                <w:spacing w:val="-15"/>
                <w:sz w:val="18"/>
                <w:szCs w:val="18"/>
              </w:rPr>
              <w:t>北京六分科技有限公司本年未纳入合并范围事项</w:t>
            </w:r>
            <w:r>
              <w:rPr>
                <w:rFonts w:ascii="Microsoft JhengHei" w:hAnsi="Microsoft JhengHei" w:cs="Microsoft JhengHei" w:eastAsia="Microsoft JhengHei" w:hint="default"/>
                <w:spacing w:val="-15"/>
                <w:sz w:val="18"/>
                <w:szCs w:val="18"/>
              </w:rPr>
            </w:r>
          </w:p>
        </w:tc>
      </w:tr>
      <w:tr>
        <w:trPr>
          <w:trHeight w:val="502" w:hRule="exact"/>
        </w:trPr>
        <w:tc>
          <w:tcPr>
            <w:tcW w:w="4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3"/>
                <w:sz w:val="18"/>
                <w:szCs w:val="18"/>
              </w:rPr>
              <w:t>关键审计事项</w:t>
            </w:r>
            <w:r>
              <w:rPr>
                <w:rFonts w:ascii="Microsoft JhengHei" w:hAnsi="Microsoft JhengHei" w:cs="Microsoft JhengHei" w:eastAsia="Microsoft JhengHei" w:hint="default"/>
                <w:spacing w:val="-13"/>
                <w:sz w:val="18"/>
                <w:szCs w:val="18"/>
              </w:rPr>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3"/>
                <w:sz w:val="18"/>
                <w:szCs w:val="18"/>
              </w:rPr>
              <w:t>审计中的应对</w:t>
            </w:r>
            <w:r>
              <w:rPr>
                <w:rFonts w:ascii="Microsoft JhengHei" w:hAnsi="Microsoft JhengHei" w:cs="Microsoft JhengHei" w:eastAsia="Microsoft JhengHei" w:hint="default"/>
                <w:spacing w:val="-13"/>
                <w:sz w:val="18"/>
                <w:szCs w:val="18"/>
              </w:rPr>
            </w:r>
          </w:p>
        </w:tc>
      </w:tr>
      <w:tr>
        <w:trPr>
          <w:trHeight w:val="5470" w:hRule="exact"/>
        </w:trPr>
        <w:tc>
          <w:tcPr>
            <w:tcW w:w="4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2" w:lineRule="auto"/>
              <w:ind w:left="105" w:right="79" w:firstLine="451"/>
              <w:jc w:val="both"/>
              <w:rPr>
                <w:rFonts w:ascii="宋体" w:hAnsi="宋体" w:cs="宋体" w:eastAsia="宋体" w:hint="default"/>
                <w:sz w:val="18"/>
                <w:szCs w:val="18"/>
              </w:rPr>
            </w:pPr>
            <w:r>
              <w:rPr>
                <w:rFonts w:ascii="宋体" w:hAnsi="宋体" w:cs="宋体" w:eastAsia="宋体" w:hint="default"/>
                <w:spacing w:val="-16"/>
                <w:sz w:val="18"/>
                <w:szCs w:val="18"/>
              </w:rPr>
              <w:t>如四维图新合并财务报表附注七、</w:t>
            </w:r>
            <w:r>
              <w:rPr>
                <w:rFonts w:ascii="Times New Roman" w:hAnsi="Times New Roman" w:cs="Times New Roman" w:eastAsia="Times New Roman" w:hint="default"/>
                <w:spacing w:val="-16"/>
                <w:sz w:val="18"/>
                <w:szCs w:val="18"/>
              </w:rPr>
              <w:t>68</w:t>
            </w:r>
            <w:r>
              <w:rPr>
                <w:rFonts w:ascii="宋体" w:hAnsi="宋体" w:cs="宋体" w:eastAsia="宋体" w:hint="default"/>
                <w:spacing w:val="-16"/>
                <w:sz w:val="18"/>
                <w:szCs w:val="18"/>
              </w:rPr>
              <w:t>，八、</w:t>
            </w:r>
            <w:r>
              <w:rPr>
                <w:rFonts w:ascii="Times New Roman" w:hAnsi="Times New Roman" w:cs="Times New Roman" w:eastAsia="Times New Roman" w:hint="default"/>
                <w:spacing w:val="-16"/>
                <w:sz w:val="18"/>
                <w:szCs w:val="18"/>
              </w:rPr>
              <w:t>4 </w:t>
            </w:r>
            <w:r>
              <w:rPr>
                <w:rFonts w:ascii="宋体" w:hAnsi="宋体" w:cs="宋体" w:eastAsia="宋体" w:hint="default"/>
                <w:spacing w:val="-14"/>
                <w:sz w:val="18"/>
                <w:szCs w:val="18"/>
              </w:rPr>
              <w:t>及十六、</w:t>
            </w:r>
            <w:r>
              <w:rPr>
                <w:rFonts w:ascii="Times New Roman" w:hAnsi="Times New Roman" w:cs="Times New Roman" w:eastAsia="Times New Roman" w:hint="default"/>
                <w:spacing w:val="-14"/>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所 </w:t>
            </w:r>
            <w:r>
              <w:rPr>
                <w:rFonts w:ascii="宋体" w:hAnsi="宋体" w:cs="宋体" w:eastAsia="宋体" w:hint="default"/>
                <w:spacing w:val="-15"/>
                <w:sz w:val="18"/>
                <w:szCs w:val="18"/>
              </w:rPr>
              <w:t>述，四维图新根据</w:t>
            </w:r>
            <w:r>
              <w:rPr>
                <w:rFonts w:ascii="宋体" w:hAnsi="宋体" w:cs="宋体" w:eastAsia="宋体" w:hint="default"/>
                <w:spacing w:val="-59"/>
                <w:sz w:val="18"/>
                <w:szCs w:val="18"/>
              </w:rPr>
              <w:t> </w:t>
            </w:r>
            <w:r>
              <w:rPr>
                <w:rFonts w:ascii="Times New Roman" w:hAnsi="Times New Roman" w:cs="Times New Roman" w:eastAsia="Times New Roman" w:hint="default"/>
                <w:spacing w:val="-7"/>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pacing w:val="-5"/>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pacing w:val="-12"/>
                <w:sz w:val="18"/>
                <w:szCs w:val="18"/>
              </w:rPr>
              <w:t>召开的</w:t>
            </w:r>
            <w:r>
              <w:rPr>
                <w:rFonts w:ascii="宋体" w:hAnsi="宋体" w:cs="宋体" w:eastAsia="宋体" w:hint="default"/>
                <w:spacing w:val="-58"/>
                <w:sz w:val="18"/>
                <w:szCs w:val="18"/>
              </w:rPr>
              <w:t> </w:t>
            </w:r>
            <w:r>
              <w:rPr>
                <w:rFonts w:ascii="Times New Roman" w:hAnsi="Times New Roman" w:cs="Times New Roman" w:eastAsia="Times New Roman" w:hint="default"/>
                <w:spacing w:val="-7"/>
                <w:sz w:val="18"/>
                <w:szCs w:val="18"/>
              </w:rPr>
              <w:t>2019 </w:t>
            </w:r>
            <w:r>
              <w:rPr>
                <w:rFonts w:ascii="宋体" w:hAnsi="宋体" w:cs="宋体" w:eastAsia="宋体" w:hint="default"/>
                <w:spacing w:val="-14"/>
                <w:sz w:val="18"/>
                <w:szCs w:val="18"/>
              </w:rPr>
              <w:t>年第二次临时股</w:t>
            </w:r>
            <w:r>
              <w:rPr>
                <w:rFonts w:ascii="宋体" w:hAnsi="宋体" w:cs="宋体" w:eastAsia="宋体" w:hint="default"/>
                <w:sz w:val="18"/>
                <w:szCs w:val="18"/>
              </w:rPr>
              <w:t> </w:t>
            </w:r>
            <w:r>
              <w:rPr>
                <w:rFonts w:ascii="宋体" w:hAnsi="宋体" w:cs="宋体" w:eastAsia="宋体" w:hint="default"/>
                <w:spacing w:val="-15"/>
                <w:sz w:val="18"/>
                <w:szCs w:val="18"/>
              </w:rPr>
              <w:t>东大会决议，同意北京六分科技有限公司（以下简称六分科技）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1"/>
                <w:sz w:val="18"/>
                <w:szCs w:val="18"/>
              </w:rPr>
              <w:t>进行增资扩股，引进投资者洪鑫源、北京北斗通、南方工业、四维</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5"/>
                <w:sz w:val="18"/>
                <w:szCs w:val="18"/>
              </w:rPr>
              <w:t>互联基金。上述投资者实际增资完成后，四维图新对六分科技的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4"/>
                <w:sz w:val="18"/>
                <w:szCs w:val="18"/>
              </w:rPr>
              <w:t>持股比例降为</w:t>
            </w:r>
            <w:r>
              <w:rPr>
                <w:rFonts w:ascii="宋体" w:hAnsi="宋体" w:cs="宋体" w:eastAsia="宋体" w:hint="default"/>
                <w:spacing w:val="-64"/>
                <w:sz w:val="18"/>
                <w:szCs w:val="18"/>
              </w:rPr>
              <w:t> </w:t>
            </w:r>
            <w:r>
              <w:rPr>
                <w:rFonts w:ascii="Times New Roman" w:hAnsi="Times New Roman" w:cs="Times New Roman" w:eastAsia="Times New Roman" w:hint="default"/>
                <w:spacing w:val="-17"/>
                <w:sz w:val="18"/>
                <w:szCs w:val="18"/>
              </w:rPr>
              <w:t>40.18%</w:t>
            </w:r>
            <w:r>
              <w:rPr>
                <w:rFonts w:ascii="宋体" w:hAnsi="宋体" w:cs="宋体" w:eastAsia="宋体" w:hint="default"/>
                <w:spacing w:val="-17"/>
                <w:sz w:val="18"/>
                <w:szCs w:val="18"/>
              </w:rPr>
              <w:t>，同时，六分科技董事会成员增至</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1"/>
                <w:sz w:val="18"/>
                <w:szCs w:val="18"/>
              </w:rPr>
              <w:t> </w:t>
            </w:r>
            <w:r>
              <w:rPr>
                <w:rFonts w:ascii="宋体" w:hAnsi="宋体" w:cs="宋体" w:eastAsia="宋体" w:hint="default"/>
                <w:spacing w:val="-22"/>
                <w:sz w:val="18"/>
                <w:szCs w:val="18"/>
              </w:rPr>
              <w:t>人，其</w:t>
            </w:r>
          </w:p>
          <w:p>
            <w:pPr>
              <w:pStyle w:val="TableParagraph"/>
              <w:spacing w:line="300" w:lineRule="auto" w:before="3"/>
              <w:ind w:left="105" w:right="83"/>
              <w:jc w:val="left"/>
              <w:rPr>
                <w:rFonts w:ascii="宋体" w:hAnsi="宋体" w:cs="宋体" w:eastAsia="宋体" w:hint="default"/>
                <w:sz w:val="18"/>
                <w:szCs w:val="18"/>
              </w:rPr>
            </w:pPr>
            <w:r>
              <w:rPr>
                <w:rFonts w:ascii="宋体" w:hAnsi="宋体" w:cs="宋体" w:eastAsia="宋体" w:hint="default"/>
                <w:spacing w:val="-14"/>
                <w:sz w:val="18"/>
                <w:szCs w:val="18"/>
              </w:rPr>
              <w:t>中四维图新提名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pacing w:val="-18"/>
                <w:sz w:val="18"/>
                <w:szCs w:val="18"/>
              </w:rPr>
              <w:t>名董事。因此，四维图新管理层判断其已经丧</w:t>
            </w:r>
            <w:r>
              <w:rPr>
                <w:rFonts w:ascii="宋体" w:hAnsi="宋体" w:cs="宋体" w:eastAsia="宋体" w:hint="default"/>
                <w:sz w:val="18"/>
                <w:szCs w:val="18"/>
              </w:rPr>
              <w:t> </w:t>
            </w:r>
            <w:r>
              <w:rPr>
                <w:rFonts w:ascii="宋体" w:hAnsi="宋体" w:cs="宋体" w:eastAsia="宋体" w:hint="default"/>
                <w:spacing w:val="-15"/>
                <w:sz w:val="18"/>
                <w:szCs w:val="18"/>
              </w:rPr>
              <w:t>失对六分科技的控制权。</w:t>
            </w:r>
          </w:p>
          <w:p>
            <w:pPr>
              <w:pStyle w:val="TableParagraph"/>
              <w:spacing w:line="240" w:lineRule="auto" w:before="5"/>
              <w:ind w:right="0"/>
              <w:jc w:val="left"/>
              <w:rPr>
                <w:rFonts w:ascii="宋体" w:hAnsi="宋体" w:cs="宋体" w:eastAsia="宋体" w:hint="default"/>
                <w:sz w:val="14"/>
                <w:szCs w:val="14"/>
              </w:rPr>
            </w:pPr>
          </w:p>
          <w:p>
            <w:pPr>
              <w:pStyle w:val="TableParagraph"/>
              <w:spacing w:line="307" w:lineRule="auto"/>
              <w:ind w:left="105" w:right="79" w:firstLine="451"/>
              <w:jc w:val="both"/>
              <w:rPr>
                <w:rFonts w:ascii="宋体" w:hAnsi="宋体" w:cs="宋体" w:eastAsia="宋体" w:hint="default"/>
                <w:sz w:val="18"/>
                <w:szCs w:val="18"/>
              </w:rPr>
            </w:pPr>
            <w:r>
              <w:rPr>
                <w:rFonts w:ascii="宋体" w:hAnsi="宋体" w:cs="宋体" w:eastAsia="宋体" w:hint="default"/>
                <w:spacing w:val="-14"/>
                <w:sz w:val="18"/>
                <w:szCs w:val="18"/>
              </w:rPr>
              <w:t>因四维图新自</w:t>
            </w:r>
            <w:r>
              <w:rPr>
                <w:rFonts w:ascii="宋体" w:hAnsi="宋体" w:cs="宋体" w:eastAsia="宋体" w:hint="default"/>
                <w:spacing w:val="-67"/>
                <w:sz w:val="18"/>
                <w:szCs w:val="18"/>
              </w:rPr>
              <w:t> </w:t>
            </w:r>
            <w:r>
              <w:rPr>
                <w:rFonts w:ascii="Times New Roman" w:hAnsi="Times New Roman" w:cs="Times New Roman" w:eastAsia="Times New Roman" w:hint="default"/>
                <w:spacing w:val="-7"/>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pacing w:val="-5"/>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pacing w:val="-15"/>
                <w:sz w:val="18"/>
                <w:szCs w:val="18"/>
              </w:rPr>
              <w:t>日起丧失对六分科技的控制</w:t>
            </w:r>
            <w:r>
              <w:rPr>
                <w:rFonts w:ascii="宋体" w:hAnsi="宋体" w:cs="宋体" w:eastAsia="宋体" w:hint="default"/>
                <w:sz w:val="18"/>
                <w:szCs w:val="18"/>
              </w:rPr>
              <w:t> </w:t>
            </w:r>
            <w:r>
              <w:rPr>
                <w:rFonts w:ascii="宋体" w:hAnsi="宋体" w:cs="宋体" w:eastAsia="宋体" w:hint="default"/>
                <w:spacing w:val="-17"/>
                <w:sz w:val="18"/>
                <w:szCs w:val="18"/>
              </w:rPr>
              <w:t>权，导致六分科技不再纳入四维图新</w:t>
            </w:r>
            <w:r>
              <w:rPr>
                <w:rFonts w:ascii="宋体" w:hAnsi="宋体" w:cs="宋体" w:eastAsia="宋体" w:hint="default"/>
                <w:spacing w:val="-62"/>
                <w:sz w:val="18"/>
                <w:szCs w:val="18"/>
              </w:rPr>
              <w:t> </w:t>
            </w:r>
            <w:r>
              <w:rPr>
                <w:rFonts w:ascii="Times New Roman" w:hAnsi="Times New Roman" w:cs="Times New Roman" w:eastAsia="Times New Roman" w:hint="default"/>
                <w:spacing w:val="-7"/>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pacing w:val="-18"/>
                <w:sz w:val="18"/>
                <w:szCs w:val="18"/>
              </w:rPr>
              <w:t>年合并范围。四维图新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对六分科技丧失控制权导致四维图新合并报表层面本年增加投资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收益</w:t>
            </w:r>
            <w:r>
              <w:rPr>
                <w:rFonts w:ascii="宋体" w:hAnsi="宋体" w:cs="宋体" w:eastAsia="宋体" w:hint="default"/>
                <w:spacing w:val="-63"/>
                <w:sz w:val="18"/>
                <w:szCs w:val="18"/>
              </w:rPr>
              <w:t> </w:t>
            </w:r>
            <w:r>
              <w:rPr>
                <w:rFonts w:ascii="Times New Roman" w:hAnsi="Times New Roman" w:cs="Times New Roman" w:eastAsia="Times New Roman" w:hint="default"/>
                <w:spacing w:val="-8"/>
                <w:sz w:val="18"/>
                <w:szCs w:val="18"/>
              </w:rPr>
              <w:t>44,217.60</w:t>
            </w:r>
            <w:r>
              <w:rPr>
                <w:rFonts w:ascii="Times New Roman" w:hAnsi="Times New Roman" w:cs="Times New Roman" w:eastAsia="Times New Roman" w:hint="default"/>
                <w:spacing w:val="-9"/>
                <w:sz w:val="18"/>
                <w:szCs w:val="18"/>
              </w:rPr>
              <w:t> </w:t>
            </w:r>
            <w:r>
              <w:rPr>
                <w:rFonts w:ascii="宋体" w:hAnsi="宋体" w:cs="宋体" w:eastAsia="宋体" w:hint="default"/>
                <w:spacing w:val="-11"/>
                <w:sz w:val="18"/>
                <w:szCs w:val="18"/>
              </w:rPr>
              <w:t>万元。</w:t>
            </w:r>
          </w:p>
          <w:p>
            <w:pPr>
              <w:pStyle w:val="TableParagraph"/>
              <w:spacing w:line="240" w:lineRule="auto" w:before="6"/>
              <w:ind w:right="0"/>
              <w:jc w:val="left"/>
              <w:rPr>
                <w:rFonts w:ascii="宋体" w:hAnsi="宋体" w:cs="宋体" w:eastAsia="宋体" w:hint="default"/>
                <w:sz w:val="12"/>
                <w:szCs w:val="12"/>
              </w:rPr>
            </w:pPr>
          </w:p>
          <w:p>
            <w:pPr>
              <w:pStyle w:val="TableParagraph"/>
              <w:spacing w:line="312" w:lineRule="auto"/>
              <w:ind w:left="105" w:right="82" w:firstLine="451"/>
              <w:jc w:val="both"/>
              <w:rPr>
                <w:rFonts w:ascii="宋体" w:hAnsi="宋体" w:cs="宋体" w:eastAsia="宋体" w:hint="default"/>
                <w:sz w:val="18"/>
                <w:szCs w:val="18"/>
              </w:rPr>
            </w:pPr>
            <w:r>
              <w:rPr>
                <w:rFonts w:ascii="宋体" w:hAnsi="宋体" w:cs="宋体" w:eastAsia="宋体" w:hint="default"/>
                <w:spacing w:val="-14"/>
                <w:sz w:val="18"/>
                <w:szCs w:val="18"/>
              </w:rPr>
              <w:t>因六分科技增资扩股事项导致四维图新失去对其控制权需</w:t>
            </w:r>
            <w:r>
              <w:rPr>
                <w:rFonts w:ascii="宋体" w:hAnsi="宋体" w:cs="宋体" w:eastAsia="宋体" w:hint="default"/>
                <w:sz w:val="18"/>
                <w:szCs w:val="18"/>
              </w:rPr>
              <w:t> </w:t>
            </w:r>
            <w:r>
              <w:rPr>
                <w:rFonts w:ascii="宋体" w:hAnsi="宋体" w:cs="宋体" w:eastAsia="宋体" w:hint="default"/>
                <w:spacing w:val="-15"/>
                <w:sz w:val="18"/>
                <w:szCs w:val="18"/>
              </w:rPr>
              <w:t>要进行判断。上述判断具有一定的复杂性和主观性，而且结果与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8"/>
                <w:sz w:val="18"/>
                <w:szCs w:val="18"/>
              </w:rPr>
              <w:t>财务报表广泛相关，并对</w:t>
            </w:r>
            <w:r>
              <w:rPr>
                <w:rFonts w:ascii="宋体" w:hAnsi="宋体" w:cs="宋体" w:eastAsia="宋体" w:hint="default"/>
                <w:spacing w:val="-64"/>
                <w:sz w:val="18"/>
                <w:szCs w:val="18"/>
              </w:rPr>
              <w:t> </w:t>
            </w:r>
            <w:r>
              <w:rPr>
                <w:rFonts w:ascii="Times New Roman" w:hAnsi="Times New Roman" w:cs="Times New Roman" w:eastAsia="Times New Roman" w:hint="default"/>
                <w:spacing w:val="-6"/>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pacing w:val="-17"/>
                <w:sz w:val="18"/>
                <w:szCs w:val="18"/>
              </w:rPr>
              <w:t>年经营成果影响重大，因此我们认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6"/>
                <w:sz w:val="18"/>
                <w:szCs w:val="18"/>
              </w:rPr>
              <w:t>为该事项属于合并财务报表审计的关键审计事项。</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我们执行的主要审计程序如下：</w:t>
            </w:r>
          </w:p>
          <w:p>
            <w:pPr>
              <w:pStyle w:val="TableParagraph"/>
              <w:spacing w:line="240" w:lineRule="auto" w:before="11"/>
              <w:ind w:right="0"/>
              <w:jc w:val="left"/>
              <w:rPr>
                <w:rFonts w:ascii="宋体" w:hAnsi="宋体" w:cs="宋体" w:eastAsia="宋体" w:hint="default"/>
                <w:sz w:val="16"/>
                <w:szCs w:val="16"/>
              </w:rPr>
            </w:pPr>
          </w:p>
          <w:p>
            <w:pPr>
              <w:pStyle w:val="TableParagraph"/>
              <w:spacing w:line="297" w:lineRule="auto"/>
              <w:ind w:left="103" w:right="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）查阅六分科技增资扩股协议及相关内部控制制度， 评价相关内部控制是否健全，相关内控制度执行是否有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效；</w:t>
            </w:r>
          </w:p>
          <w:p>
            <w:pPr>
              <w:pStyle w:val="TableParagraph"/>
              <w:spacing w:line="240" w:lineRule="auto" w:before="7"/>
              <w:ind w:right="0"/>
              <w:jc w:val="left"/>
              <w:rPr>
                <w:rFonts w:ascii="宋体" w:hAnsi="宋体" w:cs="宋体" w:eastAsia="宋体" w:hint="default"/>
                <w:sz w:val="13"/>
                <w:szCs w:val="13"/>
              </w:rPr>
            </w:pPr>
          </w:p>
          <w:p>
            <w:pPr>
              <w:pStyle w:val="TableParagraph"/>
              <w:spacing w:line="288" w:lineRule="auto"/>
              <w:ind w:left="103" w:right="10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）询问管理层对六分科技增资扩股导致其丧失控制权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实质性判断，评价管理层判断的合理性及合规性；</w:t>
            </w:r>
          </w:p>
          <w:p>
            <w:pPr>
              <w:pStyle w:val="TableParagraph"/>
              <w:spacing w:line="240" w:lineRule="auto" w:before="1"/>
              <w:ind w:right="0"/>
              <w:jc w:val="left"/>
              <w:rPr>
                <w:rFonts w:ascii="宋体" w:hAnsi="宋体" w:cs="宋体" w:eastAsia="宋体" w:hint="default"/>
                <w:sz w:val="14"/>
                <w:szCs w:val="14"/>
              </w:rPr>
            </w:pPr>
          </w:p>
          <w:p>
            <w:pPr>
              <w:pStyle w:val="TableParagraph"/>
              <w:spacing w:line="290" w:lineRule="auto"/>
              <w:ind w:left="103" w:right="9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）检查六分科技增资扩股资金实际到位情况，是否与</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增资扩股协议相符；</w:t>
            </w:r>
          </w:p>
          <w:p>
            <w:pPr>
              <w:pStyle w:val="TableParagraph"/>
              <w:spacing w:line="240" w:lineRule="auto" w:before="13"/>
              <w:ind w:right="0"/>
              <w:jc w:val="left"/>
              <w:rPr>
                <w:rFonts w:ascii="宋体" w:hAnsi="宋体" w:cs="宋体" w:eastAsia="宋体" w:hint="default"/>
                <w:sz w:val="13"/>
                <w:szCs w:val="13"/>
              </w:rPr>
            </w:pPr>
          </w:p>
          <w:p>
            <w:pPr>
              <w:pStyle w:val="TableParagraph"/>
              <w:spacing w:line="288" w:lineRule="auto"/>
              <w:ind w:left="103" w:right="102"/>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）检查并测算四维图新丧失六分科技控制权会计核算</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的合规性、准确性。</w:t>
            </w:r>
          </w:p>
        </w:tc>
      </w:tr>
    </w:tbl>
    <w:p>
      <w:pPr>
        <w:spacing w:line="240" w:lineRule="auto" w:before="5"/>
        <w:rPr>
          <w:rFonts w:ascii="宋体" w:hAnsi="宋体" w:cs="宋体" w:eastAsia="宋体" w:hint="default"/>
          <w:sz w:val="26"/>
          <w:szCs w:val="26"/>
        </w:rPr>
      </w:pPr>
    </w:p>
    <w:p>
      <w:pPr>
        <w:pStyle w:val="Heading6"/>
        <w:spacing w:line="300" w:lineRule="exact"/>
        <w:ind w:left="594" w:right="0"/>
        <w:jc w:val="left"/>
        <w:rPr>
          <w:b w:val="0"/>
          <w:bCs w:val="0"/>
        </w:rPr>
      </w:pPr>
      <w:r>
        <w:rPr/>
        <w:t>四、</w:t>
      </w:r>
      <w:r>
        <w:rPr>
          <w:spacing w:val="15"/>
        </w:rPr>
        <w:t> </w:t>
      </w:r>
      <w:r>
        <w:rPr/>
        <w:t>其他信息</w:t>
      </w:r>
      <w:r>
        <w:rPr>
          <w:b w:val="0"/>
          <w:bCs w:val="0"/>
        </w:rPr>
      </w:r>
    </w:p>
    <w:p>
      <w:pPr>
        <w:spacing w:line="240" w:lineRule="auto" w:before="16"/>
        <w:rPr>
          <w:rFonts w:ascii="Microsoft JhengHei" w:hAnsi="Microsoft JhengHei" w:cs="Microsoft JhengHei" w:eastAsia="Microsoft JhengHei" w:hint="default"/>
          <w:b/>
          <w:bCs/>
          <w:sz w:val="23"/>
          <w:szCs w:val="23"/>
        </w:rPr>
      </w:pPr>
    </w:p>
    <w:p>
      <w:pPr>
        <w:pStyle w:val="BodyText"/>
        <w:spacing w:line="345" w:lineRule="auto"/>
        <w:ind w:right="1119" w:firstLine="360"/>
        <w:jc w:val="left"/>
      </w:pPr>
      <w:r>
        <w:rPr/>
        <w:t>四维图新管理层</w:t>
      </w:r>
      <w:r>
        <w:rPr>
          <w:rFonts w:ascii="Times New Roman" w:hAnsi="Times New Roman" w:cs="Times New Roman" w:eastAsia="Times New Roman" w:hint="default"/>
        </w:rPr>
        <w:t>(</w:t>
      </w:r>
      <w:r>
        <w:rPr/>
        <w:t>以下简称管理层</w:t>
      </w:r>
      <w:r>
        <w:rPr>
          <w:rFonts w:ascii="Times New Roman" w:hAnsi="Times New Roman" w:cs="Times New Roman" w:eastAsia="Times New Roman" w:hint="default"/>
        </w:rPr>
        <w:t>)</w:t>
      </w:r>
      <w:r>
        <w:rPr/>
        <w:t>对其他信息负责。其他信息包括四维图新 </w:t>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t>年年度报告中涵盖的信息，但不包括 财务报表和我们的审计报告。</w:t>
      </w:r>
    </w:p>
    <w:p>
      <w:pPr>
        <w:pStyle w:val="BodyText"/>
        <w:spacing w:line="672" w:lineRule="exact" w:before="30"/>
        <w:ind w:left="513"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240" w:lineRule="auto" w:before="15"/>
        <w:ind w:right="0"/>
        <w:jc w:val="left"/>
      </w:pPr>
      <w:r>
        <w:rPr/>
        <w:t>程中了解到的情况存在重大不一致或者似乎存在重大错报。</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BodyText"/>
        <w:spacing w:line="240" w:lineRule="auto"/>
        <w:ind w:left="513" w:right="0"/>
        <w:jc w:val="left"/>
      </w:pPr>
      <w:r>
        <w:rPr/>
        <w:t>基于我们已执行的工作，如果我们确定其他信息存在重大错报，我们应当报告该事实。在这方面，我们无任何事项需要</w:t>
      </w:r>
    </w:p>
    <w:p>
      <w:pPr>
        <w:spacing w:after="0" w:line="24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报告。</w:t>
      </w:r>
    </w:p>
    <w:p>
      <w:pPr>
        <w:spacing w:line="650" w:lineRule="atLeast" w:before="42"/>
        <w:ind w:left="513" w:right="0" w:firstLine="81"/>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五、</w:t>
      </w:r>
      <w:r>
        <w:rPr>
          <w:rFonts w:ascii="Microsoft JhengHei" w:hAnsi="Microsoft JhengHei" w:cs="Microsoft JhengHei" w:eastAsia="Microsoft JhengHei" w:hint="default"/>
          <w:b/>
          <w:bCs/>
          <w:spacing w:val="12"/>
          <w:sz w:val="18"/>
          <w:szCs w:val="18"/>
        </w:rPr>
        <w:t> </w:t>
      </w:r>
      <w:r>
        <w:rPr>
          <w:rFonts w:ascii="Microsoft JhengHei" w:hAnsi="Microsoft JhengHei" w:cs="Microsoft JhengHei" w:eastAsia="Microsoft JhengHei" w:hint="default"/>
          <w:b/>
          <w:bCs/>
          <w:sz w:val="18"/>
          <w:szCs w:val="18"/>
        </w:rPr>
        <w:t>管理层和治理层对财务报表的责任</w:t>
      </w:r>
      <w:r>
        <w:rPr>
          <w:rFonts w:ascii="Microsoft JhengHei" w:hAnsi="Microsoft JhengHei" w:cs="Microsoft JhengHei" w:eastAsia="Microsoft JhengHei" w:hint="default"/>
          <w:b/>
          <w:bCs/>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240" w:lineRule="auto" w:before="124"/>
        <w:ind w:right="0"/>
        <w:jc w:val="left"/>
      </w:pPr>
      <w:r>
        <w:rPr/>
        <w:t>务报表不存在由于舞弊或错误导致的重大错报。</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BodyText"/>
        <w:spacing w:line="367" w:lineRule="auto"/>
        <w:ind w:right="1131" w:firstLine="360"/>
        <w:jc w:val="both"/>
      </w:pPr>
      <w:r>
        <w:rPr>
          <w:spacing w:val="-2"/>
        </w:rPr>
        <w:t>在编制财务报表时，管理层负责评估四维图新的持续经营能力，披露与持续经营相关的事项（如适用），并运用持续经</w:t>
      </w:r>
      <w:r>
        <w:rPr/>
        <w:t> 营假设，除非管理层计划清算四维图新、终止运营或别无其他现实的选择。</w:t>
      </w:r>
    </w:p>
    <w:p>
      <w:pPr>
        <w:spacing w:line="240" w:lineRule="auto" w:before="1"/>
        <w:rPr>
          <w:rFonts w:ascii="宋体" w:hAnsi="宋体" w:cs="宋体" w:eastAsia="宋体" w:hint="default"/>
          <w:sz w:val="26"/>
          <w:szCs w:val="26"/>
        </w:rPr>
      </w:pPr>
    </w:p>
    <w:p>
      <w:pPr>
        <w:spacing w:line="626" w:lineRule="auto" w:before="0"/>
        <w:ind w:left="594" w:right="6974" w:hanging="82"/>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治理层负责监督四维图新的财务报告过程。 </w:t>
      </w:r>
      <w:r>
        <w:rPr>
          <w:rFonts w:ascii="Microsoft JhengHei" w:hAnsi="Microsoft JhengHei" w:cs="Microsoft JhengHei" w:eastAsia="Microsoft JhengHei" w:hint="default"/>
          <w:b/>
          <w:bCs/>
          <w:sz w:val="18"/>
          <w:szCs w:val="18"/>
        </w:rPr>
        <w:t>六、</w:t>
      </w:r>
      <w:r>
        <w:rPr>
          <w:rFonts w:ascii="Microsoft JhengHei" w:hAnsi="Microsoft JhengHei" w:cs="Microsoft JhengHei" w:eastAsia="Microsoft JhengHei" w:hint="default"/>
          <w:b/>
          <w:bCs/>
          <w:spacing w:val="23"/>
          <w:sz w:val="18"/>
          <w:szCs w:val="18"/>
        </w:rPr>
        <w:t> </w:t>
      </w:r>
      <w:r>
        <w:rPr>
          <w:rFonts w:ascii="Microsoft JhengHei" w:hAnsi="Microsoft JhengHei" w:cs="Microsoft JhengHei" w:eastAsia="Microsoft JhengHei" w:hint="default"/>
          <w:b/>
          <w:bCs/>
          <w:sz w:val="18"/>
          <w:szCs w:val="18"/>
        </w:rPr>
        <w:t>注册会计师对财务报表审计的责任</w:t>
      </w:r>
      <w:r>
        <w:rPr>
          <w:rFonts w:ascii="Microsoft JhengHei" w:hAnsi="Microsoft JhengHei" w:cs="Microsoft JhengHei" w:eastAsia="Microsoft JhengHei" w:hint="default"/>
          <w:sz w:val="18"/>
          <w:szCs w:val="18"/>
        </w:rPr>
      </w:r>
    </w:p>
    <w:p>
      <w:pPr>
        <w:pStyle w:val="BodyText"/>
        <w:spacing w:line="367" w:lineRule="auto" w:before="30"/>
        <w:ind w:right="1125" w:firstLine="360"/>
        <w:jc w:val="both"/>
      </w:pPr>
      <w:r>
        <w:rPr/>
        <w:t>我们的目标是对财务报表整体是否不存在由于舞弊或错误导致的重大错报获取合理保证，并出具包含审计意见的审计</w:t>
      </w:r>
      <w:r>
        <w:rPr>
          <w:spacing w:val="2"/>
        </w:rPr>
        <w:t> </w:t>
      </w:r>
      <w:r>
        <w:rPr>
          <w:spacing w:val="-2"/>
        </w:rPr>
        <w:t>报告。合理保证是高水平的保证，但并不能保证按照审计准则执行的审计在某一重大错报存在时总能发现。错报可能由于舞</w:t>
      </w:r>
      <w:r>
        <w:rPr>
          <w:spacing w:val="-63"/>
        </w:rPr>
        <w:t> </w:t>
      </w:r>
      <w:r>
        <w:rPr>
          <w:spacing w:val="-63"/>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spacing w:line="240" w:lineRule="auto" w:before="1"/>
        <w:rPr>
          <w:rFonts w:ascii="宋体" w:hAnsi="宋体" w:cs="宋体" w:eastAsia="宋体" w:hint="default"/>
          <w:sz w:val="26"/>
          <w:szCs w:val="26"/>
        </w:rPr>
      </w:pPr>
    </w:p>
    <w:p>
      <w:pPr>
        <w:pStyle w:val="BodyText"/>
        <w:spacing w:line="240" w:lineRule="auto"/>
        <w:ind w:left="513" w:right="0"/>
        <w:jc w:val="left"/>
      </w:pPr>
      <w:r>
        <w:rPr/>
        <w:t>在按照审计准则执行审计工作的过程中，我们运用职业判断，并保持职业怀疑。同时，我们也执行以下工作：</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BodyText"/>
        <w:spacing w:line="357" w:lineRule="auto"/>
        <w:ind w:right="1042" w:firstLine="360"/>
        <w:jc w:val="both"/>
      </w:pPr>
      <w:r>
        <w:rPr/>
        <w:t>（</w:t>
      </w:r>
      <w:r>
        <w:rPr>
          <w:rFonts w:ascii="Times New Roman" w:hAnsi="Times New Roman" w:cs="Times New Roman" w:eastAsia="Times New Roman" w:hint="default"/>
        </w:rPr>
        <w:t>1</w:t>
      </w:r>
      <w:r>
        <w:rPr/>
        <w:t>）</w:t>
      </w:r>
      <w:r>
        <w:rPr>
          <w:spacing w:val="-25"/>
        </w:rPr>
        <w:t> </w:t>
      </w:r>
      <w:r>
        <w:rPr>
          <w:rFonts w:ascii="宋体" w:hAnsi="宋体" w:cs="宋体" w:eastAsia="宋体" w:hint="default"/>
          <w:spacing w:val="-25"/>
        </w:rPr>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w:t>
      </w:r>
      <w:r>
        <w:rPr>
          <w:spacing w:val="-83"/>
        </w:rPr>
        <w:t> </w:t>
      </w:r>
      <w:r>
        <w:rPr>
          <w:spacing w:val="-83"/>
        </w:rPr>
      </w:r>
      <w:r>
        <w:rPr/>
        <w:t>未能发现由于舞弊导致的重大错报的风险高于未能发现由于错误导致的重大错报的风险。</w:t>
      </w:r>
    </w:p>
    <w:p>
      <w:pPr>
        <w:spacing w:line="240" w:lineRule="auto" w:before="8"/>
        <w:rPr>
          <w:rFonts w:ascii="宋体" w:hAnsi="宋体" w:cs="宋体" w:eastAsia="宋体" w:hint="default"/>
          <w:sz w:val="26"/>
          <w:szCs w:val="26"/>
        </w:rPr>
      </w:pPr>
    </w:p>
    <w:p>
      <w:pPr>
        <w:pStyle w:val="BodyText"/>
        <w:spacing w:line="240" w:lineRule="auto"/>
        <w:ind w:left="513" w:right="0"/>
        <w:jc w:val="left"/>
      </w:pPr>
      <w:r>
        <w:rPr/>
        <w:t>（</w:t>
      </w:r>
      <w:r>
        <w:rPr>
          <w:rFonts w:ascii="Times New Roman" w:hAnsi="Times New Roman" w:cs="Times New Roman" w:eastAsia="Times New Roman" w:hint="default"/>
        </w:rPr>
        <w:t>2</w:t>
      </w:r>
      <w:r>
        <w:rPr/>
        <w:t>）</w:t>
      </w:r>
      <w:r>
        <w:rPr>
          <w:spacing w:val="-61"/>
        </w:rPr>
        <w:t> </w:t>
      </w:r>
      <w:r>
        <w:rPr>
          <w:rFonts w:ascii="宋体" w:hAnsi="宋体" w:cs="宋体" w:eastAsia="宋体" w:hint="default"/>
          <w:spacing w:val="-61"/>
        </w:rPr>
      </w:r>
      <w:r>
        <w:rPr/>
        <w:t>了解与审计相关的内部控制，以设计恰当的审计程序，但目的并非对内部控制的有效性发表意见。</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left="513" w:right="0"/>
        <w:jc w:val="left"/>
      </w:pPr>
      <w:r>
        <w:rPr/>
        <w:t>（</w:t>
      </w:r>
      <w:r>
        <w:rPr>
          <w:rFonts w:ascii="Times New Roman" w:hAnsi="Times New Roman" w:cs="Times New Roman" w:eastAsia="Times New Roman" w:hint="default"/>
        </w:rPr>
        <w:t>3</w:t>
      </w:r>
      <w:r>
        <w:rPr/>
        <w:t>）</w:t>
      </w:r>
      <w:r>
        <w:rPr>
          <w:spacing w:val="-61"/>
        </w:rPr>
        <w:t> </w:t>
      </w:r>
      <w:r>
        <w:rPr>
          <w:rFonts w:ascii="宋体" w:hAnsi="宋体" w:cs="宋体" w:eastAsia="宋体" w:hint="default"/>
          <w:spacing w:val="-61"/>
        </w:rPr>
      </w:r>
      <w:r>
        <w:rPr/>
        <w:t>评价管理层选用会计政策的恰当性和作出会计估计及相关披露的合理性。</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360" w:lineRule="auto"/>
        <w:ind w:right="1132" w:firstLine="360"/>
        <w:jc w:val="both"/>
      </w:pPr>
      <w:r>
        <w:rPr/>
        <w:t>（</w:t>
      </w:r>
      <w:r>
        <w:rPr>
          <w:rFonts w:ascii="Times New Roman" w:hAnsi="Times New Roman" w:cs="Times New Roman" w:eastAsia="Times New Roman" w:hint="default"/>
        </w:rPr>
        <w:t>4</w:t>
      </w:r>
      <w:r>
        <w:rPr/>
        <w:t>）</w:t>
      </w:r>
      <w:r>
        <w:rPr>
          <w:spacing w:val="-79"/>
        </w:rPr>
        <w:t> </w:t>
      </w:r>
      <w:r>
        <w:rPr>
          <w:rFonts w:ascii="宋体" w:hAnsi="宋体" w:cs="宋体" w:eastAsia="宋体" w:hint="default"/>
          <w:spacing w:val="-79"/>
        </w:rPr>
      </w:r>
      <w:r>
        <w:rPr/>
        <w:t>对管理层使用持续经营假设的恰当性得出结论。同时，根据获取的审计证据，就可能导致对四维图新持续经营能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于截至审计报告日可获得的信息。然而，未来的事项或情况可能导致四维图新不能持续经营。</w:t>
      </w:r>
    </w:p>
    <w:p>
      <w:pPr>
        <w:spacing w:line="240" w:lineRule="auto" w:before="6"/>
        <w:rPr>
          <w:rFonts w:ascii="宋体" w:hAnsi="宋体" w:cs="宋体" w:eastAsia="宋体" w:hint="default"/>
          <w:sz w:val="26"/>
          <w:szCs w:val="26"/>
        </w:rPr>
      </w:pPr>
    </w:p>
    <w:p>
      <w:pPr>
        <w:pStyle w:val="BodyText"/>
        <w:spacing w:line="240" w:lineRule="auto"/>
        <w:ind w:left="513" w:right="0"/>
        <w:jc w:val="left"/>
      </w:pPr>
      <w:r>
        <w:rPr/>
        <w:t>（</w:t>
      </w:r>
      <w:r>
        <w:rPr>
          <w:rFonts w:ascii="Times New Roman" w:hAnsi="Times New Roman" w:cs="Times New Roman" w:eastAsia="Times New Roman" w:hint="default"/>
        </w:rPr>
        <w:t>5</w:t>
      </w:r>
      <w:r>
        <w:rPr/>
        <w:t>）</w:t>
      </w:r>
      <w:r>
        <w:rPr>
          <w:spacing w:val="-61"/>
        </w:rPr>
        <w:t> </w:t>
      </w:r>
      <w:r>
        <w:rPr>
          <w:rFonts w:ascii="宋体" w:hAnsi="宋体" w:cs="宋体" w:eastAsia="宋体" w:hint="default"/>
          <w:spacing w:val="-61"/>
        </w:rPr>
      </w:r>
      <w:r>
        <w:rPr/>
        <w:t>评价财务报表的总体列报、结构和内容，并评价财务报表是否公允反映相关交易和事项。</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345" w:lineRule="auto"/>
        <w:ind w:right="1132" w:firstLine="360"/>
        <w:jc w:val="both"/>
      </w:pPr>
      <w:r>
        <w:rPr/>
        <w:t>（</w:t>
      </w:r>
      <w:r>
        <w:rPr>
          <w:rFonts w:ascii="Times New Roman" w:hAnsi="Times New Roman" w:cs="Times New Roman" w:eastAsia="Times New Roman" w:hint="default"/>
        </w:rPr>
        <w:t>6</w:t>
      </w:r>
      <w:r>
        <w:rPr/>
        <w:t>）</w:t>
      </w:r>
      <w:r>
        <w:rPr>
          <w:spacing w:val="-79"/>
        </w:rPr>
        <w:t> </w:t>
      </w:r>
      <w:r>
        <w:rPr>
          <w:rFonts w:ascii="宋体" w:hAnsi="宋体" w:cs="宋体" w:eastAsia="宋体" w:hint="default"/>
          <w:spacing w:val="-79"/>
        </w:rPr>
      </w:r>
      <w:r>
        <w:rPr/>
        <w:t>就四维图新中实体或业务活动的财务信息获取充分、适当的审计证据，以对财务报表发表审计意见。我们负责指 导、监督和执行集团审计，并对审计意见承担全部责任。</w:t>
      </w:r>
    </w:p>
    <w:p>
      <w:pPr>
        <w:spacing w:line="240" w:lineRule="auto" w:before="0"/>
        <w:rPr>
          <w:rFonts w:ascii="宋体" w:hAnsi="宋体" w:cs="宋体" w:eastAsia="宋体" w:hint="default"/>
          <w:sz w:val="18"/>
          <w:szCs w:val="18"/>
        </w:rPr>
      </w:pPr>
    </w:p>
    <w:p>
      <w:pPr>
        <w:pStyle w:val="BodyText"/>
        <w:spacing w:line="240" w:lineRule="auto" w:before="121"/>
        <w:ind w:left="513" w:right="0"/>
        <w:jc w:val="left"/>
      </w:pPr>
      <w:r>
        <w:rPr/>
        <w:t>我们与治理层就计划的审计范围、时间安排和重大审计发现等事项进行沟通，包括沟通我们在审计中识别出的值得关注</w:t>
      </w:r>
    </w:p>
    <w:p>
      <w:pPr>
        <w:spacing w:after="0" w:line="24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的内部控制缺陷。</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BodyText"/>
        <w:spacing w:line="367" w:lineRule="auto"/>
        <w:ind w:right="1125" w:firstLine="360"/>
        <w:jc w:val="both"/>
      </w:pPr>
      <w:r>
        <w:rPr/>
        <w:t>我们还就已遵守与独立性相关的职业道德要求向治理层提供声明，并与治理层沟通可能被合理认为影响我们独立性的</w:t>
      </w:r>
      <w:r>
        <w:rPr>
          <w:spacing w:val="2"/>
        </w:rPr>
        <w:t> </w:t>
      </w:r>
      <w:r>
        <w:rPr>
          <w:spacing w:val="-4"/>
        </w:rPr>
        <w:t>所有关系和其他事项，以及相关的防范措施（如适用）。</w:t>
      </w:r>
    </w:p>
    <w:p>
      <w:pPr>
        <w:spacing w:line="240" w:lineRule="auto" w:before="1"/>
        <w:rPr>
          <w:rFonts w:ascii="宋体" w:hAnsi="宋体" w:cs="宋体" w:eastAsia="宋体" w:hint="default"/>
          <w:sz w:val="26"/>
          <w:szCs w:val="26"/>
        </w:rPr>
      </w:pPr>
    </w:p>
    <w:p>
      <w:pPr>
        <w:pStyle w:val="BodyText"/>
        <w:spacing w:line="367" w:lineRule="auto"/>
        <w:ind w:right="1129"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pStyle w:val="Heading2"/>
        <w:spacing w:line="240" w:lineRule="auto" w:before="139"/>
        <w:ind w:right="0"/>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财务附注中报表的单位为：元</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8" w:footer="979" w:top="1060" w:bottom="1160" w:left="980" w:right="0"/>
        </w:sectPr>
      </w:pPr>
    </w:p>
    <w:p>
      <w:pPr>
        <w:pStyle w:val="BodyText"/>
        <w:spacing w:line="240" w:lineRule="auto" w:before="44"/>
        <w:ind w:right="-20"/>
        <w:jc w:val="left"/>
      </w:pPr>
      <w:r>
        <w:rPr/>
        <w:t>编制单位：北京四维图新科技股份有限公司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573" w:space="503"/>
            <w:col w:w="1642" w:space="3202"/>
            <w:col w:w="2010"/>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1,722,904,575.77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2,304,457,914.01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39,710,400.50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75,331,342.98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719,243,134.58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437,586,998.67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36,740,507.60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42,190,763.00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34,690,229.85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33,043,567.95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891,902.78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7,814,789.02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87,818,234.88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77,313,983.10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87,501,580.75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462,164,724.00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2,728,608,663.93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3,436,089,293.71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306,514,819.32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1,654,737,548.76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1,298,278,056.79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125,070,767.66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213,089,646.91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656,703,780.60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654,356,353.55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1,044,440,829.32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1,074,905,506.96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210,653,245.82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33,821,738.51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2,232,221,726.47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2,232,221,726.47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27,728,513.90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23,692,010.80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25,838,446.16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43,427,296.67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136,529,285.98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111,798,510.85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6,327,013,791.58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5,779,016,019.92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9,055,622,455.51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9,215,105,313.63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89,983,311.36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29,928,239.11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10,614,650.15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25,003,958.62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216,094,388.75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131,008,996.68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17,907,979.12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48,520,992.21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288,117,621.10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316,394,709.88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42,123,533.40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116,520,154.92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329,347,524.73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1,014,734,213.72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121,258.80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320,547.95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51,154,305.71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49,217,588.48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1,045,343,314.32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1,731,328,853.62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1,191,100.00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17,723,408.48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30,997,377.49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18,914,508.48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80,997,377.49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1,064,257,822.80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1,812,326,231.11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1,961,563,170.00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1,309,470,982.00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3,979,856,319.76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4,593,804,071.03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204,773,699.95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359,752,548.89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73,874,571.05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13,581,178.21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109,115,366.29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109,115,366.29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1,879,908,756.67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1,535,012,703.46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7,799,544,483.82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7,201,231,752.10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191,820,148.89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201,547,330.42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7,991,364,632.71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7,402,779,082.52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9,055,622,455.51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9,215,105,313.63</w:t>
            </w:r>
          </w:p>
        </w:tc>
      </w:tr>
    </w:tbl>
    <w:p>
      <w:pPr>
        <w:spacing w:line="240" w:lineRule="auto" w:before="2"/>
        <w:rPr>
          <w:rFonts w:ascii="Times New Roman" w:hAnsi="Times New Roman" w:cs="Times New Roman" w:eastAsia="Times New Roman" w:hint="default"/>
          <w:sz w:val="23"/>
          <w:szCs w:val="23"/>
        </w:rPr>
      </w:pPr>
    </w:p>
    <w:p>
      <w:pPr>
        <w:pStyle w:val="BodyText"/>
        <w:tabs>
          <w:tab w:pos="3578" w:val="left" w:leader="none"/>
          <w:tab w:pos="7721" w:val="left" w:leader="none"/>
        </w:tabs>
        <w:spacing w:line="240" w:lineRule="auto" w:before="44"/>
        <w:ind w:right="0"/>
        <w:jc w:val="left"/>
      </w:pPr>
      <w:r>
        <w:rPr/>
        <w:t>法定代表人：吴劲风</w:t>
        <w:tab/>
      </w:r>
      <w:r>
        <w:rPr>
          <w:spacing w:val="-1"/>
        </w:rPr>
        <w:t>主管会计工作负责人：姜晓明</w:t>
        <w:tab/>
      </w:r>
      <w:r>
        <w:rPr/>
        <w:t>会计机构负责人：姜晓明</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224,462,449.56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1,002,466,770.86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10,287,664.02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32,144,092.32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308,983,783.23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94,833,385.37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1,437,933.32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10,345.52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25,715,658.08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25,949,299.06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246,689.54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4,887,916.28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10,973,803.31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678,356.53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35,312,850.00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36,854,293.29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8,466,724.88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618,715,584.81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1,201,861,824.54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231,552,525.53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4,699,533,873.89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4,575,725,409.66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86,317,781.71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550,214,365.06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543,719,885.56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763,033,364.45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796,059,262.37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193,201,788.29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16,099,379.01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14,781,691.11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10,767,683.65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25,098,471.91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127,932,235.98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111,798,510.85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6,575,100,472.04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6,298,735,756.99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7,193,816,056.85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7,500,597,581.53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89,983,311.36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29,928,239.11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66,540,581.06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1,463,687.09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52,426,783.60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212,890.00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123,696,183.05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168,141,351.97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14,495,795.80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68,913,419.57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481,201,565.41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960,379,431.58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121,258.80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320,547.95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21,213,313.52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38,314,229.49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849,557,533.80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1,267,353,248.81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1,191,100.00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1,018,026.15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2,209,126.15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851,766,659.95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1,317,353,248.81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1,961,563,170.00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1,309,470,982.00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4,176,197,454.32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4,790,580,637.93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204,773,699.95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359,752,548.89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41,574,594.04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-5,688,189.78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122,019,887.40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122,019,887.40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245,467,991.09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326,613,564.06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6,342,049,396.90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6,183,244,332.72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7,193,816,056.85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7,500,597,581.53</w:t>
            </w:r>
          </w:p>
        </w:tc>
      </w:tr>
    </w:tbl>
    <w:p>
      <w:pPr>
        <w:spacing w:line="240" w:lineRule="auto" w:before="1"/>
        <w:rPr>
          <w:rFonts w:ascii="Times New Roman" w:hAnsi="Times New Roman" w:cs="Times New Roman" w:eastAsia="Times New Roman" w:hint="default"/>
          <w:sz w:val="22"/>
          <w:szCs w:val="22"/>
        </w:rPr>
      </w:pPr>
    </w:p>
    <w:p>
      <w:pPr>
        <w:pStyle w:val="Heading4"/>
        <w:spacing w:line="335" w:lineRule="exact"/>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2,309,742,643.97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2,133,659,113.98</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2,309,742,643.97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2,133,659,113.98</w:t>
            </w: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2,448,397,883.14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2,502,487,922.66</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723,541,554.69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626,184,822.28</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提取保险责任合同准备金 净额</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21,138,951.44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20,701,029.85</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119,730,779.31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131,558,133.01</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398,747,274.19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478,157,042.00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1,189,589,631.52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1,276,435,895.41</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79" w:header="748" w:top="1060" w:bottom="1160" w:left="98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-4,350,308.01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-30,548,999.89</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19,916,814.82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19,199,157.21</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25,453,617.49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47,673,844.71</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139,250,644.10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111,150,667.02</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255,541,154.63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1,710,565,659.61</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-223,074,985.26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-16,506,990.52</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以摊余成本计量的金融 资产终止确认收益</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30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2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-13,004,475.55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2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-945,892,718.64</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2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-719,981.28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-317,546.55</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262,412,102.73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506,677,252.76</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2,521,652.02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1,326,345.08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828,181.31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1,298,138.01</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85"/>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264,105,573.44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506,705,459.83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-42,369,671.20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129,287,234.60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306,475,244.64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377,418,225.23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（一）按经营持续性分类</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306,475,244.64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377,418,225.23</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（二）按所有权归属分类</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339,184,565.86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479,070,711.85</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-32,709,321.22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-101,652,486.62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25,860,354.56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7,499,002.08</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64"/>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25,860,354.56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7,647,368.50</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25,063,781.14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 动额</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 他综合收益</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11,849,384.72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 值变动</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13,214,396.42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 值变动</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796,573.42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7,647,368.50</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 综合收益</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648,142.92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-2,847,128.72</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 动</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 值变动损益</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 备</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148,430.50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10,494,497.22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-148,366.42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332,335,599.20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384,917,227.31</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365,044,920.42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486,718,080.35</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-32,709,321.22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-101,800,853.04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0.1759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0.2500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0.1749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0.2487</w:t>
            </w:r>
          </w:p>
        </w:tc>
      </w:tr>
    </w:tbl>
    <w:p>
      <w:pPr>
        <w:pStyle w:val="BodyText"/>
        <w:tabs>
          <w:tab w:pos="3578" w:val="left" w:leader="none"/>
          <w:tab w:pos="7721" w:val="left" w:leader="none"/>
        </w:tabs>
        <w:spacing w:line="590" w:lineRule="auto" w:before="49"/>
        <w:ind w:right="1223"/>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法定代表人：吴劲风</w:t>
        <w:tab/>
      </w:r>
      <w:r>
        <w:rPr>
          <w:spacing w:val="-1"/>
        </w:rPr>
        <w:t>主管会计工作负责人：姜晓明</w:t>
        <w:tab/>
      </w:r>
      <w:r>
        <w:rPr/>
        <w:t>会计机构负责人：姜晓明</w:t>
      </w:r>
    </w:p>
    <w:p>
      <w:pPr>
        <w:pStyle w:val="Heading4"/>
        <w:spacing w:line="240" w:lineRule="auto" w:before="26"/>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949,373,637.01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667,019,410.33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143,279,473.84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127,113,219.80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15,346,607.41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15,744,942.30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34,001,297.90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33,085,843.71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174,090,519.40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213,917,217.72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653,948,448.30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755,970,865.68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16,475,931.99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-11,766,244.14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21,484,966.14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18,724,155.56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6,281,249.44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30,320,691.97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53,693,425.01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68,506,908.18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-106,897,733.06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846,588,121.51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-231,491,653.31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-14,050,174.33</w:t>
            </w:r>
          </w:p>
        </w:tc>
      </w:tr>
      <w:tr>
        <w:trPr>
          <w:trHeight w:val="10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-858,489.60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-631,088,058.48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-549,852.81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304,856.71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-122,381,292.29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-182,734,606.82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1,877,736.01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449,567.46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662,157.43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878,646.88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-121,165,713.71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-183,163,686.24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-60,266,954.52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63,079,117.22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-60,898,759.19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-246,242,803.46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-60,898,759.19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-246,242,803.46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22,045,788.84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-5,688,189.78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21,397,645.92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11,849,384.72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 价值变动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9,548,261.20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 价值变动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648,142.92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-5,688,189.78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648,142.92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-5,688,189.78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 变动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 准备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-38,852,970.35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-251,930,993.24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-0.0317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-0.1286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-0.0314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-0.1278</w:t>
            </w:r>
          </w:p>
        </w:tc>
      </w:tr>
    </w:tbl>
    <w:p>
      <w:pPr>
        <w:spacing w:line="240" w:lineRule="auto" w:before="1"/>
        <w:rPr>
          <w:rFonts w:ascii="Times New Roman" w:hAnsi="Times New Roman" w:cs="Times New Roman" w:eastAsia="Times New Roman" w:hint="default"/>
          <w:sz w:val="22"/>
          <w:szCs w:val="22"/>
        </w:rPr>
      </w:pPr>
    </w:p>
    <w:p>
      <w:pPr>
        <w:pStyle w:val="Heading4"/>
        <w:spacing w:line="335" w:lineRule="exact"/>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2,184,897,628.90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2,468,982,503.34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收到再保业务现金净额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代理买卖证券收到的现金净额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35,357,267.55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65,605,607.71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144,641,049.62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153,019,811.71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2,364,895,946.07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2,687,607,922.76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746,039,352.51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527,123,582.04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948,866,911.61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1,049,697,570.42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144,775,442.68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214,088,849.07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490,644,793.77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525,948,250.64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2,330,326,500.57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2,316,858,252.17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34,569,445.50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370,749,670.59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2,988,123,843.04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1,671,520,000.00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54,110,574.32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60,236,261.38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997,794.14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896,265.00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-110,716,910.91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-713,840,525.78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101,339,833.25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1,632,074,855.47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3,033,855,133.84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2,650,886,856.07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1,014,485,391.43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383,691,497.05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2,685,196,155.08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3,168,576,191.88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13,363,859.52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30,844,695.96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3,713,045,406.03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3,583,112,384.89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-679,190,272.19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-932,225,528.82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161,374,725.91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995,221,284.31</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142,500,000.00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666,606,685.96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89,983,311.36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99,999,973.15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1,209,824.50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2,133,136.97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252,567,861.77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1,097,354,394.43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48,808,900.00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46,196,982.95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86,374,773.72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8,443,412.76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12,652,836.92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16,399,230.88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95,083,334.88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111,405,113.83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181,458,108.60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141,162,747.94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915,896,285.83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534,610.89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37,403,814.89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-502,923,467.86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391,824,242.49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2,081,799,752.45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1,689,975,509.96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1,578,876,284.59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2,081,799,752.45</w:t>
            </w:r>
          </w:p>
        </w:tc>
      </w:tr>
    </w:tbl>
    <w:p>
      <w:pPr>
        <w:spacing w:line="240" w:lineRule="auto" w:before="1"/>
        <w:rPr>
          <w:rFonts w:ascii="Times New Roman" w:hAnsi="Times New Roman" w:cs="Times New Roman" w:eastAsia="Times New Roman" w:hint="default"/>
          <w:sz w:val="22"/>
          <w:szCs w:val="22"/>
        </w:rPr>
      </w:pPr>
    </w:p>
    <w:p>
      <w:pPr>
        <w:pStyle w:val="Heading4"/>
        <w:spacing w:line="335" w:lineRule="exact"/>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892,715,564.28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916,234,342.62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29,720,857.72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63,687,821.87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100,294,148.84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62,072,632.84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1,022,730,570.84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1,041,994,797.33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189,950,356.72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68,009,213.94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364,692,650.54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412,273,605.68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86,886,517.51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105,500,839.92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353,975,731.60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369,148,653.25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995,505,256.37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954,932,312.79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27,225,314.47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87,062,484.54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1,286,000,000.00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876,865,181.21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107,299,753.03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186,407,503.62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697,253.53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940,894.49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114,129,260.64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1,596,998,822.00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1,508,126,267.20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2,661,212,401.32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866,933,890.52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177,072,319.05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1,427,787,430.20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2,034,270,443.18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127,304,077.60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18,895,500.00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4,448,659.52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174,200,000.00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2,426,474,057.84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2,404,438,262.23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-918,347,790.64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256,774,139.09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18,883,840.00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328,614,598.35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269,983,311.36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1,209,824.50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1,424,915.93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290,076,975.86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330,039,514.28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48,808,900.00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39,981,136.05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73,721,936.80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16,399,230.88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32,801,378.56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105,189,266.93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106,523,315.36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184,887,708.93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223,516,198.92</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-525.96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-617.36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-706,235,293.20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567,352,205.19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881,334,023.41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313,981,818.22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175,098,730.21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881,334,023.41</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253"/>
        <w:gridCol w:w="492"/>
        <w:gridCol w:w="466"/>
        <w:gridCol w:w="468"/>
        <w:gridCol w:w="468"/>
        <w:gridCol w:w="583"/>
        <w:gridCol w:w="583"/>
        <w:gridCol w:w="586"/>
        <w:gridCol w:w="584"/>
        <w:gridCol w:w="583"/>
        <w:gridCol w:w="583"/>
        <w:gridCol w:w="586"/>
        <w:gridCol w:w="583"/>
        <w:gridCol w:w="584"/>
        <w:gridCol w:w="586"/>
        <w:gridCol w:w="576"/>
      </w:tblGrid>
      <w:tr>
        <w:trPr>
          <w:trHeight w:val="401"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0"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253" w:type="dxa"/>
            <w:vMerge/>
            <w:tcBorders>
              <w:left w:val="single" w:sz="4" w:space="0" w:color="000000"/>
              <w:right w:val="single" w:sz="4" w:space="0" w:color="000000"/>
            </w:tcBorders>
            <w:shd w:val="clear" w:color="auto" w:fill="D2D2D2"/>
          </w:tcPr>
          <w:p>
            <w:pPr/>
          </w:p>
        </w:tc>
        <w:tc>
          <w:tcPr>
            <w:tcW w:w="714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107" w:right="107"/>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2"/>
              <w:ind w:left="105" w:right="98"/>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1" w:hRule="exact"/>
        </w:trPr>
        <w:tc>
          <w:tcPr>
            <w:tcW w:w="1253" w:type="dxa"/>
            <w:vMerge/>
            <w:tcBorders>
              <w:left w:val="single" w:sz="4" w:space="0" w:color="000000"/>
              <w:right w:val="single" w:sz="4" w:space="0" w:color="000000"/>
            </w:tcBorders>
            <w:shd w:val="clear" w:color="auto" w:fill="D2D2D2"/>
          </w:tcPr>
          <w:p>
            <w:pPr/>
          </w:p>
        </w:tc>
        <w:tc>
          <w:tcPr>
            <w:tcW w:w="4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7" w:right="107"/>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7"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7"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715"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2"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1" w:right="47"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37"/>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1,309</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,470,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982.0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4,593,</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804,07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1.03</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359,75</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2,548.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13,581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,178.2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109,11</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5,366.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29</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1,535,</w:t>
            </w:r>
          </w:p>
          <w:p>
            <w:pPr>
              <w:pStyle w:val="TableParagraph"/>
              <w:spacing w:line="240" w:lineRule="auto" w:before="102"/>
              <w:ind w:left="34" w:right="0"/>
              <w:jc w:val="center"/>
              <w:rPr>
                <w:rFonts w:ascii="Times New Roman" w:hAnsi="Times New Roman" w:cs="Times New Roman" w:eastAsia="Times New Roman" w:hint="default"/>
                <w:sz w:val="18"/>
                <w:szCs w:val="18"/>
              </w:rPr>
            </w:pPr>
            <w:r>
              <w:rPr>
                <w:rFonts w:ascii="Times New Roman"/>
                <w:sz w:val="18"/>
              </w:rPr>
              <w:t>012,70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3.46</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7,201,</w:t>
            </w:r>
          </w:p>
          <w:p>
            <w:pPr>
              <w:pStyle w:val="TableParagraph"/>
              <w:spacing w:line="240" w:lineRule="auto" w:before="102"/>
              <w:ind w:left="35" w:right="0"/>
              <w:jc w:val="center"/>
              <w:rPr>
                <w:rFonts w:ascii="Times New Roman" w:hAnsi="Times New Roman" w:cs="Times New Roman" w:eastAsia="Times New Roman" w:hint="default"/>
                <w:sz w:val="18"/>
                <w:szCs w:val="18"/>
              </w:rPr>
            </w:pPr>
            <w:r>
              <w:rPr>
                <w:rFonts w:ascii="Times New Roman"/>
                <w:sz w:val="18"/>
              </w:rPr>
              <w:t>231,75</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2.10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201,54</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7,330.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7,402,</w:t>
            </w:r>
          </w:p>
          <w:p>
            <w:pPr>
              <w:pStyle w:val="TableParagraph"/>
              <w:spacing w:line="240" w:lineRule="auto" w:before="102"/>
              <w:ind w:left="34" w:right="0"/>
              <w:jc w:val="center"/>
              <w:rPr>
                <w:rFonts w:ascii="Times New Roman" w:hAnsi="Times New Roman" w:cs="Times New Roman" w:eastAsia="Times New Roman" w:hint="default"/>
                <w:sz w:val="18"/>
                <w:szCs w:val="18"/>
              </w:rPr>
            </w:pPr>
            <w:r>
              <w:rPr>
                <w:rFonts w:ascii="Times New Roman"/>
                <w:sz w:val="18"/>
              </w:rPr>
              <w:t>779,08</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2.52</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253"/>
        <w:gridCol w:w="492"/>
        <w:gridCol w:w="466"/>
        <w:gridCol w:w="468"/>
        <w:gridCol w:w="468"/>
        <w:gridCol w:w="583"/>
        <w:gridCol w:w="583"/>
        <w:gridCol w:w="586"/>
        <w:gridCol w:w="584"/>
        <w:gridCol w:w="583"/>
        <w:gridCol w:w="583"/>
        <w:gridCol w:w="586"/>
        <w:gridCol w:w="583"/>
        <w:gridCol w:w="584"/>
        <w:gridCol w:w="586"/>
        <w:gridCol w:w="576"/>
      </w:tblGrid>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3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 政策变更</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34,433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24,027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58,460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1,993,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486.78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60,454</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,358.8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3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37"/>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 控制下企业合 并</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37"/>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1,309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,470,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982.0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4,593,</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804,07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1.03</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359,75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2,548.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,216.4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109,11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5,366.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29</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1,559,</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040,53</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7.25</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7,259,</w:t>
            </w:r>
          </w:p>
          <w:p>
            <w:pPr>
              <w:pStyle w:val="TableParagraph"/>
              <w:spacing w:line="240" w:lineRule="auto" w:before="105"/>
              <w:ind w:left="35" w:right="0"/>
              <w:jc w:val="center"/>
              <w:rPr>
                <w:rFonts w:ascii="Times New Roman" w:hAnsi="Times New Roman" w:cs="Times New Roman" w:eastAsia="Times New Roman" w:hint="default"/>
                <w:sz w:val="18"/>
                <w:szCs w:val="18"/>
              </w:rPr>
            </w:pPr>
            <w:r>
              <w:rPr>
                <w:rFonts w:ascii="Times New Roman"/>
                <w:sz w:val="18"/>
              </w:rPr>
              <w:t>692,62</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4.17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203,54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0,817.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7,463,</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233,44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1.37</w:t>
            </w:r>
          </w:p>
        </w:tc>
      </w:tr>
      <w:tr>
        <w:trPr>
          <w:trHeight w:val="1339"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37"/>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652,0</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92,18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57" w:right="20" w:firstLine="43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613,94</w:t>
            </w:r>
          </w:p>
          <w:p>
            <w:pPr>
              <w:pStyle w:val="TableParagraph"/>
              <w:spacing w:line="240" w:lineRule="auto" w:before="5"/>
              <w:ind w:left="100" w:right="0"/>
              <w:jc w:val="left"/>
              <w:rPr>
                <w:rFonts w:ascii="Times New Roman" w:hAnsi="Times New Roman" w:cs="Times New Roman" w:eastAsia="Times New Roman" w:hint="default"/>
                <w:sz w:val="18"/>
                <w:szCs w:val="18"/>
              </w:rPr>
            </w:pPr>
            <w:r>
              <w:rPr>
                <w:rFonts w:ascii="Times New Roman"/>
                <w:sz w:val="18"/>
              </w:rPr>
              <w:t>7,751.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27</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57" w:right="20" w:firstLine="43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154,97</w:t>
            </w:r>
          </w:p>
          <w:p>
            <w:pPr>
              <w:pStyle w:val="TableParagraph"/>
              <w:spacing w:line="240" w:lineRule="auto" w:before="5"/>
              <w:ind w:left="100" w:right="0"/>
              <w:jc w:val="left"/>
              <w:rPr>
                <w:rFonts w:ascii="Times New Roman" w:hAnsi="Times New Roman" w:cs="Times New Roman" w:eastAsia="Times New Roman" w:hint="default"/>
                <w:sz w:val="18"/>
                <w:szCs w:val="18"/>
              </w:rPr>
            </w:pPr>
            <w:r>
              <w:rPr>
                <w:rFonts w:ascii="Times New Roman"/>
                <w:sz w:val="18"/>
              </w:rPr>
              <w:t>8,848.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94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25,860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,354.5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320,86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8,219.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42</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539,85</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1,859.</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65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64" w:right="21" w:firstLine="427"/>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2"/>
                <w:sz w:val="18"/>
              </w:rPr>
              <w:t>11,720</w:t>
            </w:r>
          </w:p>
          <w:p>
            <w:pPr>
              <w:pStyle w:val="TableParagraph"/>
              <w:spacing w:line="240" w:lineRule="auto" w:before="5"/>
              <w:ind w:right="21"/>
              <w:jc w:val="right"/>
              <w:rPr>
                <w:rFonts w:ascii="Times New Roman" w:hAnsi="Times New Roman" w:cs="Times New Roman" w:eastAsia="Times New Roman" w:hint="default"/>
                <w:sz w:val="18"/>
                <w:szCs w:val="18"/>
              </w:rPr>
            </w:pPr>
            <w:r>
              <w:rPr>
                <w:rFonts w:ascii="Times New Roman"/>
                <w:sz w:val="18"/>
              </w:rPr>
              <w:t>,668.3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528,13</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1,191.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34</w:t>
            </w:r>
          </w:p>
        </w:tc>
      </w:tr>
      <w:tr>
        <w:trPr>
          <w:trHeight w:val="133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37"/>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339,18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4,565.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86</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365,04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4,920.</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42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57" w:right="21" w:firstLine="434"/>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32,709</w:t>
            </w:r>
          </w:p>
          <w:p>
            <w:pPr>
              <w:pStyle w:val="TableParagraph"/>
              <w:spacing w:line="240" w:lineRule="auto" w:before="3"/>
              <w:ind w:right="21"/>
              <w:jc w:val="right"/>
              <w:rPr>
                <w:rFonts w:ascii="Times New Roman" w:hAnsi="Times New Roman" w:cs="Times New Roman" w:eastAsia="Times New Roman" w:hint="default"/>
                <w:sz w:val="18"/>
                <w:szCs w:val="18"/>
              </w:rPr>
            </w:pPr>
            <w:r>
              <w:rPr>
                <w:rFonts w:ascii="Times New Roman"/>
                <w:sz w:val="18"/>
              </w:rPr>
              <w:t>,321.2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332,33</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5,599.</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20</w:t>
            </w:r>
          </w:p>
        </w:tc>
      </w:tr>
      <w:tr>
        <w:trPr>
          <w:trHeight w:val="1339"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4" w:right="137"/>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55" w:right="18" w:firstLine="34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2,063</w:t>
            </w:r>
          </w:p>
          <w:p>
            <w:pPr>
              <w:pStyle w:val="TableParagraph"/>
              <w:spacing w:line="240" w:lineRule="auto" w:before="5"/>
              <w:ind w:left="80" w:right="0"/>
              <w:jc w:val="center"/>
              <w:rPr>
                <w:rFonts w:ascii="Times New Roman" w:hAnsi="Times New Roman" w:cs="Times New Roman" w:eastAsia="Times New Roman" w:hint="default"/>
                <w:sz w:val="18"/>
                <w:szCs w:val="18"/>
              </w:rPr>
            </w:pPr>
            <w:r>
              <w:rPr>
                <w:rFonts w:ascii="Times New Roman"/>
                <w:sz w:val="18"/>
              </w:rPr>
              <w:t>,042.</w:t>
            </w:r>
          </w:p>
          <w:p>
            <w:pPr>
              <w:pStyle w:val="TableParagraph"/>
              <w:spacing w:line="240" w:lineRule="auto" w:before="105"/>
              <w:ind w:left="261"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40,207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,478.7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57" w:right="20" w:firstLine="43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154,97</w:t>
            </w:r>
          </w:p>
          <w:p>
            <w:pPr>
              <w:pStyle w:val="TableParagraph"/>
              <w:spacing w:line="240" w:lineRule="auto" w:before="5"/>
              <w:ind w:left="100" w:right="0"/>
              <w:jc w:val="left"/>
              <w:rPr>
                <w:rFonts w:ascii="Times New Roman" w:hAnsi="Times New Roman" w:cs="Times New Roman" w:eastAsia="Times New Roman" w:hint="default"/>
                <w:sz w:val="18"/>
                <w:szCs w:val="18"/>
              </w:rPr>
            </w:pPr>
            <w:r>
              <w:rPr>
                <w:rFonts w:ascii="Times New Roman"/>
                <w:sz w:val="18"/>
              </w:rPr>
              <w:t>8,848.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94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193,12</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3,285.</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67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29,432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,065.6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222,55</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5,351.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34</w:t>
            </w:r>
          </w:p>
        </w:tc>
      </w:tr>
      <w:tr>
        <w:trPr>
          <w:trHeight w:val="133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55" w:right="18" w:firstLine="34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2,063</w:t>
            </w:r>
          </w:p>
          <w:p>
            <w:pPr>
              <w:pStyle w:val="TableParagraph"/>
              <w:spacing w:line="240" w:lineRule="auto" w:before="3"/>
              <w:ind w:left="80" w:right="0"/>
              <w:jc w:val="center"/>
              <w:rPr>
                <w:rFonts w:ascii="Times New Roman" w:hAnsi="Times New Roman" w:cs="Times New Roman" w:eastAsia="Times New Roman" w:hint="default"/>
                <w:sz w:val="18"/>
                <w:szCs w:val="18"/>
              </w:rPr>
            </w:pPr>
            <w:r>
              <w:rPr>
                <w:rFonts w:ascii="Times New Roman"/>
                <w:sz w:val="18"/>
              </w:rPr>
              <w:t>,042.</w:t>
            </w:r>
          </w:p>
          <w:p>
            <w:pPr>
              <w:pStyle w:val="TableParagraph"/>
              <w:spacing w:line="240" w:lineRule="auto" w:before="105"/>
              <w:ind w:left="261"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57" w:right="18" w:firstLine="434"/>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23,824</w:t>
            </w:r>
          </w:p>
          <w:p>
            <w:pPr>
              <w:pStyle w:val="TableParagraph"/>
              <w:spacing w:line="240" w:lineRule="auto" w:before="3"/>
              <w:ind w:right="19"/>
              <w:jc w:val="right"/>
              <w:rPr>
                <w:rFonts w:ascii="Times New Roman" w:hAnsi="Times New Roman" w:cs="Times New Roman" w:eastAsia="Times New Roman" w:hint="default"/>
                <w:sz w:val="18"/>
                <w:szCs w:val="18"/>
              </w:rPr>
            </w:pPr>
            <w:r>
              <w:rPr>
                <w:rFonts w:ascii="Times New Roman"/>
                <w:sz w:val="18"/>
              </w:rPr>
              <w:t>,437.7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57" w:right="20" w:firstLine="43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154,97</w:t>
            </w:r>
          </w:p>
          <w:p>
            <w:pPr>
              <w:pStyle w:val="TableParagraph"/>
              <w:spacing w:line="240" w:lineRule="auto" w:before="3"/>
              <w:ind w:left="100" w:right="0"/>
              <w:jc w:val="left"/>
              <w:rPr>
                <w:rFonts w:ascii="Times New Roman" w:hAnsi="Times New Roman" w:cs="Times New Roman" w:eastAsia="Times New Roman" w:hint="default"/>
                <w:sz w:val="18"/>
                <w:szCs w:val="18"/>
              </w:rPr>
            </w:pPr>
            <w:r>
              <w:rPr>
                <w:rFonts w:ascii="Times New Roman"/>
                <w:sz w:val="18"/>
              </w:rPr>
              <w:t>8,848.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94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129,09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1,369.</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16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153,08</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6,136.</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82</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32,104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32,104</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,384.6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31,927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,531.8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31,927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,531.8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5,437,</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298.01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37,364</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,829.8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253"/>
        <w:gridCol w:w="492"/>
        <w:gridCol w:w="466"/>
        <w:gridCol w:w="468"/>
        <w:gridCol w:w="468"/>
        <w:gridCol w:w="583"/>
        <w:gridCol w:w="583"/>
        <w:gridCol w:w="586"/>
        <w:gridCol w:w="584"/>
        <w:gridCol w:w="583"/>
        <w:gridCol w:w="583"/>
        <w:gridCol w:w="586"/>
        <w:gridCol w:w="583"/>
        <w:gridCol w:w="584"/>
        <w:gridCol w:w="586"/>
        <w:gridCol w:w="576"/>
      </w:tblGrid>
      <w:tr>
        <w:trPr>
          <w:trHeight w:val="133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37"/>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4"/>
              <w:ind w:left="57" w:right="21" w:firstLine="434"/>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18,316</w:t>
            </w:r>
          </w:p>
          <w:p>
            <w:pPr>
              <w:pStyle w:val="TableParagraph"/>
              <w:spacing w:line="240" w:lineRule="auto" w:before="3"/>
              <w:ind w:right="21"/>
              <w:jc w:val="right"/>
              <w:rPr>
                <w:rFonts w:ascii="Times New Roman" w:hAnsi="Times New Roman" w:cs="Times New Roman" w:eastAsia="Times New Roman" w:hint="default"/>
                <w:sz w:val="18"/>
                <w:szCs w:val="18"/>
              </w:rPr>
            </w:pPr>
            <w:r>
              <w:rPr>
                <w:rFonts w:ascii="Times New Roman"/>
                <w:sz w:val="18"/>
              </w:rPr>
              <w:t>,346.4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4"/>
              <w:ind w:left="57" w:right="19" w:firstLine="435"/>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18,316</w:t>
            </w:r>
          </w:p>
          <w:p>
            <w:pPr>
              <w:pStyle w:val="TableParagraph"/>
              <w:spacing w:line="240" w:lineRule="auto" w:before="3"/>
              <w:ind w:right="19"/>
              <w:jc w:val="right"/>
              <w:rPr>
                <w:rFonts w:ascii="Times New Roman" w:hAnsi="Times New Roman" w:cs="Times New Roman" w:eastAsia="Times New Roman" w:hint="default"/>
                <w:sz w:val="18"/>
                <w:szCs w:val="18"/>
              </w:rPr>
            </w:pPr>
            <w:r>
              <w:rPr>
                <w:rFonts w:ascii="Times New Roman"/>
                <w:sz w:val="18"/>
              </w:rPr>
              <w:t>,346.4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62" w:lineRule="auto"/>
              <w:ind w:left="100" w:right="20" w:firstLine="39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8,443,</w:t>
            </w:r>
          </w:p>
          <w:p>
            <w:pPr>
              <w:pStyle w:val="TableParagraph"/>
              <w:spacing w:line="240" w:lineRule="auto" w:before="3"/>
              <w:ind w:left="57" w:right="0"/>
              <w:jc w:val="left"/>
              <w:rPr>
                <w:rFonts w:ascii="Times New Roman" w:hAnsi="Times New Roman" w:cs="Times New Roman" w:eastAsia="Times New Roman" w:hint="default"/>
                <w:sz w:val="18"/>
                <w:szCs w:val="18"/>
              </w:rPr>
            </w:pPr>
            <w:r>
              <w:rPr>
                <w:rFonts w:ascii="Times New Roman"/>
                <w:sz w:val="18"/>
              </w:rPr>
              <w:t>412.76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4"/>
              <w:ind w:left="52" w:right="16" w:firstLine="434"/>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26,759</w:t>
            </w:r>
          </w:p>
          <w:p>
            <w:pPr>
              <w:pStyle w:val="TableParagraph"/>
              <w:spacing w:line="240" w:lineRule="auto" w:before="3"/>
              <w:ind w:right="16"/>
              <w:jc w:val="right"/>
              <w:rPr>
                <w:rFonts w:ascii="Times New Roman" w:hAnsi="Times New Roman" w:cs="Times New Roman" w:eastAsia="Times New Roman" w:hint="default"/>
                <w:sz w:val="18"/>
                <w:szCs w:val="18"/>
              </w:rPr>
            </w:pPr>
            <w:r>
              <w:rPr>
                <w:rFonts w:ascii="Times New Roman"/>
                <w:sz w:val="18"/>
              </w:rPr>
              <w:t>,759.2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4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9" w:lineRule="auto" w:before="60"/>
              <w:ind w:left="24" w:right="137"/>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57" w:right="21" w:firstLine="434"/>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18,316</w:t>
            </w:r>
          </w:p>
          <w:p>
            <w:pPr>
              <w:pStyle w:val="TableParagraph"/>
              <w:spacing w:line="240" w:lineRule="auto" w:before="6"/>
              <w:ind w:right="21"/>
              <w:jc w:val="right"/>
              <w:rPr>
                <w:rFonts w:ascii="Times New Roman" w:hAnsi="Times New Roman" w:cs="Times New Roman" w:eastAsia="Times New Roman" w:hint="default"/>
                <w:sz w:val="18"/>
                <w:szCs w:val="18"/>
              </w:rPr>
            </w:pPr>
            <w:r>
              <w:rPr>
                <w:rFonts w:ascii="Times New Roman"/>
                <w:sz w:val="18"/>
              </w:rPr>
              <w:t>,346.4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57" w:right="19" w:firstLine="435"/>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18,316</w:t>
            </w:r>
          </w:p>
          <w:p>
            <w:pPr>
              <w:pStyle w:val="TableParagraph"/>
              <w:spacing w:line="240" w:lineRule="auto" w:before="6"/>
              <w:ind w:right="19"/>
              <w:jc w:val="right"/>
              <w:rPr>
                <w:rFonts w:ascii="Times New Roman" w:hAnsi="Times New Roman" w:cs="Times New Roman" w:eastAsia="Times New Roman" w:hint="default"/>
                <w:sz w:val="18"/>
                <w:szCs w:val="18"/>
              </w:rPr>
            </w:pPr>
            <w:r>
              <w:rPr>
                <w:rFonts w:ascii="Times New Roman"/>
                <w:sz w:val="18"/>
              </w:rPr>
              <w:t>,346.4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60" w:lineRule="auto"/>
              <w:ind w:left="100" w:right="20" w:firstLine="39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8,443,</w:t>
            </w:r>
          </w:p>
          <w:p>
            <w:pPr>
              <w:pStyle w:val="TableParagraph"/>
              <w:spacing w:line="240" w:lineRule="auto" w:before="6"/>
              <w:ind w:left="57" w:right="0"/>
              <w:jc w:val="left"/>
              <w:rPr>
                <w:rFonts w:ascii="Times New Roman" w:hAnsi="Times New Roman" w:cs="Times New Roman" w:eastAsia="Times New Roman" w:hint="default"/>
                <w:sz w:val="18"/>
                <w:szCs w:val="18"/>
              </w:rPr>
            </w:pPr>
            <w:r>
              <w:rPr>
                <w:rFonts w:ascii="Times New Roman"/>
                <w:sz w:val="18"/>
              </w:rPr>
              <w:t>412.76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52" w:right="16" w:firstLine="434"/>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26,759</w:t>
            </w:r>
          </w:p>
          <w:p>
            <w:pPr>
              <w:pStyle w:val="TableParagraph"/>
              <w:spacing w:line="240" w:lineRule="auto" w:before="6"/>
              <w:ind w:right="16"/>
              <w:jc w:val="right"/>
              <w:rPr>
                <w:rFonts w:ascii="Times New Roman" w:hAnsi="Times New Roman" w:cs="Times New Roman" w:eastAsia="Times New Roman" w:hint="default"/>
                <w:sz w:val="18"/>
                <w:szCs w:val="18"/>
              </w:rPr>
            </w:pPr>
            <w:r>
              <w:rPr>
                <w:rFonts w:ascii="Times New Roman"/>
                <w:sz w:val="18"/>
              </w:rPr>
              <w:t>,759.2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9"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8"/>
              <w:ind w:left="24" w:right="137"/>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654,1</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55,23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57" w:right="20" w:firstLine="43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654,15</w:t>
            </w:r>
          </w:p>
          <w:p>
            <w:pPr>
              <w:pStyle w:val="TableParagraph"/>
              <w:spacing w:line="240" w:lineRule="auto" w:before="5"/>
              <w:ind w:left="100" w:right="0"/>
              <w:jc w:val="left"/>
              <w:rPr>
                <w:rFonts w:ascii="Times New Roman" w:hAnsi="Times New Roman" w:cs="Times New Roman" w:eastAsia="Times New Roman" w:hint="default"/>
                <w:sz w:val="18"/>
                <w:szCs w:val="18"/>
              </w:rPr>
            </w:pPr>
            <w:r>
              <w:rPr>
                <w:rFonts w:ascii="Times New Roman"/>
                <w:sz w:val="18"/>
              </w:rPr>
              <w:t>5,230.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654,1</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55,23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57" w:right="20" w:firstLine="43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654,15</w:t>
            </w:r>
          </w:p>
          <w:p>
            <w:pPr>
              <w:pStyle w:val="TableParagraph"/>
              <w:spacing w:line="240" w:lineRule="auto" w:before="3"/>
              <w:ind w:left="100" w:right="0"/>
              <w:jc w:val="left"/>
              <w:rPr>
                <w:rFonts w:ascii="Times New Roman" w:hAnsi="Times New Roman" w:cs="Times New Roman" w:eastAsia="Times New Roman" w:hint="default"/>
                <w:sz w:val="18"/>
                <w:szCs w:val="18"/>
              </w:rPr>
            </w:pPr>
            <w:r>
              <w:rPr>
                <w:rFonts w:ascii="Times New Roman"/>
                <w:sz w:val="18"/>
              </w:rPr>
              <w:t>5,230.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10" w:h="16840"/>
          <w:pgMar w:footer="979" w:header="748" w:top="1060" w:bottom="1160" w:left="980" w:right="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253"/>
        <w:gridCol w:w="492"/>
        <w:gridCol w:w="466"/>
        <w:gridCol w:w="468"/>
        <w:gridCol w:w="468"/>
        <w:gridCol w:w="583"/>
        <w:gridCol w:w="583"/>
        <w:gridCol w:w="586"/>
        <w:gridCol w:w="584"/>
        <w:gridCol w:w="583"/>
        <w:gridCol w:w="583"/>
        <w:gridCol w:w="586"/>
        <w:gridCol w:w="583"/>
        <w:gridCol w:w="584"/>
        <w:gridCol w:w="586"/>
        <w:gridCol w:w="576"/>
      </w:tblGrid>
      <w:tr>
        <w:trPr>
          <w:trHeight w:val="134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37"/>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5" w:right="0"/>
              <w:jc w:val="left"/>
              <w:rPr>
                <w:rFonts w:ascii="Times New Roman" w:hAnsi="Times New Roman" w:cs="Times New Roman" w:eastAsia="Times New Roman" w:hint="default"/>
                <w:sz w:val="18"/>
                <w:szCs w:val="18"/>
              </w:rPr>
            </w:pPr>
            <w:r>
              <w:rPr>
                <w:rFonts w:ascii="Times New Roman"/>
                <w:sz w:val="18"/>
              </w:rPr>
              <w:t>1,961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,563,</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170.0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9" w:right="0"/>
              <w:jc w:val="left"/>
              <w:rPr>
                <w:rFonts w:ascii="Times New Roman" w:hAnsi="Times New Roman" w:cs="Times New Roman" w:eastAsia="Times New Roman" w:hint="default"/>
                <w:sz w:val="18"/>
                <w:szCs w:val="18"/>
              </w:rPr>
            </w:pPr>
            <w:r>
              <w:rPr>
                <w:rFonts w:ascii="Times New Roman"/>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2" w:right="0"/>
              <w:jc w:val="left"/>
              <w:rPr>
                <w:rFonts w:ascii="Times New Roman" w:hAnsi="Times New Roman" w:cs="Times New Roman" w:eastAsia="Times New Roman" w:hint="default"/>
                <w:sz w:val="18"/>
                <w:szCs w:val="18"/>
              </w:rPr>
            </w:pPr>
            <w:r>
              <w:rPr>
                <w:rFonts w:ascii="Times New Roman"/>
                <w:sz w:val="18"/>
              </w:rPr>
              <w:t>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2" w:right="0"/>
              <w:jc w:val="left"/>
              <w:rPr>
                <w:rFonts w:ascii="Times New Roman" w:hAnsi="Times New Roman" w:cs="Times New Roman" w:eastAsia="Times New Roman" w:hint="default"/>
                <w:sz w:val="18"/>
                <w:szCs w:val="18"/>
              </w:rPr>
            </w:pPr>
            <w:r>
              <w:rPr>
                <w:rFonts w:ascii="Times New Roman"/>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3,979,</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856,31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9.76</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204,77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3,699.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95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73,874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7" w:right="0"/>
              <w:jc w:val="left"/>
              <w:rPr>
                <w:rFonts w:ascii="Times New Roman" w:hAnsi="Times New Roman" w:cs="Times New Roman" w:eastAsia="Times New Roman" w:hint="default"/>
                <w:sz w:val="18"/>
                <w:szCs w:val="18"/>
              </w:rPr>
            </w:pPr>
            <w:r>
              <w:rPr>
                <w:rFonts w:ascii="Times New Roman"/>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109,11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5,366.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29</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7" w:right="0"/>
              <w:jc w:val="lef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1,879,</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908,75</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6.67</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7" w:right="0"/>
              <w:jc w:val="lef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7,799,</w:t>
            </w:r>
          </w:p>
          <w:p>
            <w:pPr>
              <w:pStyle w:val="TableParagraph"/>
              <w:spacing w:line="240" w:lineRule="auto" w:before="105"/>
              <w:ind w:left="35" w:right="0"/>
              <w:jc w:val="center"/>
              <w:rPr>
                <w:rFonts w:ascii="Times New Roman" w:hAnsi="Times New Roman" w:cs="Times New Roman" w:eastAsia="Times New Roman" w:hint="default"/>
                <w:sz w:val="18"/>
                <w:szCs w:val="18"/>
              </w:rPr>
            </w:pPr>
            <w:r>
              <w:rPr>
                <w:rFonts w:ascii="Times New Roman"/>
                <w:sz w:val="18"/>
              </w:rPr>
              <w:t>544,48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3.82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191,82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0,148.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7,991,</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364,63</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2.71</w:t>
            </w:r>
          </w:p>
        </w:tc>
      </w:tr>
    </w:tbl>
    <w:p>
      <w:pPr>
        <w:pStyle w:val="BodyText"/>
        <w:spacing w:line="240" w:lineRule="auto" w:before="49"/>
        <w:ind w:right="0"/>
        <w:jc w:val="left"/>
      </w:pPr>
      <w:r>
        <w:rPr/>
        <w:t>上期金额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212"/>
        <w:gridCol w:w="490"/>
        <w:gridCol w:w="449"/>
        <w:gridCol w:w="449"/>
        <w:gridCol w:w="493"/>
        <w:gridCol w:w="576"/>
        <w:gridCol w:w="576"/>
        <w:gridCol w:w="578"/>
        <w:gridCol w:w="576"/>
        <w:gridCol w:w="576"/>
        <w:gridCol w:w="576"/>
        <w:gridCol w:w="590"/>
        <w:gridCol w:w="566"/>
        <w:gridCol w:w="567"/>
        <w:gridCol w:w="643"/>
        <w:gridCol w:w="650"/>
      </w:tblGrid>
      <w:tr>
        <w:trPr>
          <w:trHeight w:val="401" w:hRule="exact"/>
        </w:trPr>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6"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3" w:hRule="exact"/>
        </w:trPr>
        <w:tc>
          <w:tcPr>
            <w:tcW w:w="1212" w:type="dxa"/>
            <w:vMerge/>
            <w:tcBorders>
              <w:left w:val="single" w:sz="4" w:space="0" w:color="000000"/>
              <w:right w:val="single" w:sz="4" w:space="0" w:color="000000"/>
            </w:tcBorders>
            <w:shd w:val="clear" w:color="auto" w:fill="D2D2D2"/>
          </w:tcPr>
          <w:p>
            <w:pPr/>
          </w:p>
        </w:tc>
        <w:tc>
          <w:tcPr>
            <w:tcW w:w="706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4" w:lineRule="auto"/>
              <w:ind w:left="48" w:right="43"/>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50"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212"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3" w:right="101"/>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3" w:right="10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0" w:right="108"/>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3" w:type="dxa"/>
            <w:vMerge/>
            <w:tcBorders>
              <w:left w:val="single" w:sz="4" w:space="0" w:color="000000"/>
              <w:right w:val="single" w:sz="4" w:space="0" w:color="000000"/>
            </w:tcBorders>
            <w:shd w:val="clear" w:color="auto" w:fill="D2D2D2"/>
          </w:tcPr>
          <w:p>
            <w:pPr/>
          </w:p>
        </w:tc>
        <w:tc>
          <w:tcPr>
            <w:tcW w:w="650" w:type="dxa"/>
            <w:vMerge/>
            <w:tcBorders>
              <w:left w:val="single" w:sz="4" w:space="0" w:color="000000"/>
              <w:right w:val="single" w:sz="4" w:space="0" w:color="000000"/>
            </w:tcBorders>
            <w:shd w:val="clear" w:color="auto" w:fill="D2D2D2"/>
          </w:tcPr>
          <w:p>
            <w:pPr/>
          </w:p>
        </w:tc>
      </w:tr>
      <w:tr>
        <w:trPr>
          <w:trHeight w:val="716"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90"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643" w:type="dxa"/>
            <w:vMerge/>
            <w:tcBorders>
              <w:left w:val="single" w:sz="4" w:space="0" w:color="000000"/>
              <w:bottom w:val="single" w:sz="4" w:space="0" w:color="000000"/>
              <w:right w:val="single" w:sz="4" w:space="0" w:color="000000"/>
            </w:tcBorders>
            <w:shd w:val="clear" w:color="auto" w:fill="D2D2D2"/>
          </w:tcPr>
          <w:p>
            <w:pPr/>
          </w:p>
        </w:tc>
        <w:tc>
          <w:tcPr>
            <w:tcW w:w="650"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1,282</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,615,</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013.0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4,205,</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523,83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1.08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77,973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,177.0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5,933,</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809.71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109,11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5,366.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1,110,</w:t>
            </w:r>
          </w:p>
          <w:p>
            <w:pPr>
              <w:pStyle w:val="TableParagraph"/>
              <w:spacing w:line="240" w:lineRule="auto" w:before="102"/>
              <w:ind w:left="38" w:right="0"/>
              <w:jc w:val="center"/>
              <w:rPr>
                <w:rFonts w:ascii="Times New Roman" w:hAnsi="Times New Roman" w:cs="Times New Roman" w:eastAsia="Times New Roman" w:hint="default"/>
                <w:sz w:val="18"/>
                <w:szCs w:val="18"/>
              </w:rPr>
            </w:pPr>
            <w:r>
              <w:rPr>
                <w:rFonts w:ascii="Times New Roman"/>
                <w:sz w:val="18"/>
              </w:rPr>
              <w:t>939,77</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2.85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6,636,</w:t>
            </w:r>
          </w:p>
          <w:p>
            <w:pPr>
              <w:pStyle w:val="TableParagraph"/>
              <w:spacing w:line="240" w:lineRule="auto" w:before="102"/>
              <w:ind w:left="19" w:right="0"/>
              <w:jc w:val="center"/>
              <w:rPr>
                <w:rFonts w:ascii="Times New Roman" w:hAnsi="Times New Roman" w:cs="Times New Roman" w:eastAsia="Times New Roman" w:hint="default"/>
                <w:sz w:val="18"/>
                <w:szCs w:val="18"/>
              </w:rPr>
            </w:pPr>
            <w:r>
              <w:rPr>
                <w:rFonts w:ascii="Times New Roman"/>
                <w:sz w:val="18"/>
              </w:rPr>
              <w:t>154,61</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5.91</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237,795</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,974.24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6,873,9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50,590.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96"/>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center"/>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9"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1,282</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,615,</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013.0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4,205,</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523,83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1.08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77,973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5,933,</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809.71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109,11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5,366.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1,110,</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939,77</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2.85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6,636,</w:t>
            </w:r>
          </w:p>
          <w:p>
            <w:pPr>
              <w:pStyle w:val="TableParagraph"/>
              <w:spacing w:line="240" w:lineRule="auto" w:before="105"/>
              <w:ind w:left="19" w:right="0"/>
              <w:jc w:val="center"/>
              <w:rPr>
                <w:rFonts w:ascii="Times New Roman" w:hAnsi="Times New Roman" w:cs="Times New Roman" w:eastAsia="Times New Roman" w:hint="default"/>
                <w:sz w:val="18"/>
                <w:szCs w:val="18"/>
              </w:rPr>
            </w:pPr>
            <w:r>
              <w:rPr>
                <w:rFonts w:ascii="Times New Roman"/>
                <w:sz w:val="18"/>
              </w:rPr>
              <w:t>154,61</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5.91</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237,795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,974.24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50,590.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r>
      <w:tr>
        <w:trPr>
          <w:trHeight w:val="133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26,85</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5,969</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388,28</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0,239.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281,77</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9,371.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87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7,647,</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368.50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424,07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2,930.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565,07</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7,136.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19</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0" w:lineRule="auto"/>
              <w:ind w:left="72"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36,248,</w:t>
            </w:r>
          </w:p>
          <w:p>
            <w:pPr>
              <w:pStyle w:val="TableParagraph"/>
              <w:spacing w:line="240" w:lineRule="auto" w:before="6"/>
              <w:ind w:left="117" w:right="0"/>
              <w:jc w:val="left"/>
              <w:rPr>
                <w:rFonts w:ascii="Times New Roman" w:hAnsi="Times New Roman" w:cs="Times New Roman" w:eastAsia="Times New Roman" w:hint="default"/>
                <w:sz w:val="18"/>
                <w:szCs w:val="18"/>
              </w:rPr>
            </w:pPr>
            <w:r>
              <w:rPr>
                <w:rFonts w:ascii="Times New Roman"/>
                <w:sz w:val="18"/>
              </w:rPr>
              <w:t>643.82</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528,828</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,492.37</w:t>
            </w: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7,647,</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368.50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479,07</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0,711.</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486,71</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8,080.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35</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6" w:right="19" w:firstLine="52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101,800</w:t>
            </w:r>
          </w:p>
          <w:p>
            <w:pPr>
              <w:pStyle w:val="TableParagraph"/>
              <w:spacing w:line="240" w:lineRule="auto" w:before="3"/>
              <w:ind w:left="72" w:right="0"/>
              <w:jc w:val="left"/>
              <w:rPr>
                <w:rFonts w:ascii="Times New Roman" w:hAnsi="Times New Roman" w:cs="Times New Roman" w:eastAsia="Times New Roman" w:hint="default"/>
                <w:sz w:val="18"/>
                <w:szCs w:val="18"/>
              </w:rPr>
            </w:pPr>
            <w:r>
              <w:rPr>
                <w:rFonts w:ascii="Times New Roman"/>
                <w:sz w:val="18"/>
              </w:rPr>
              <w:t>,853.04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384,917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,227.31</w:t>
            </w: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26,85</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5,969</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341,84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0,986.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281,77</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9,371.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87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86,917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,583.1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78,205,</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046.14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165,122</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,629.29</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212"/>
        <w:gridCol w:w="490"/>
        <w:gridCol w:w="449"/>
        <w:gridCol w:w="449"/>
        <w:gridCol w:w="493"/>
        <w:gridCol w:w="576"/>
        <w:gridCol w:w="576"/>
        <w:gridCol w:w="578"/>
        <w:gridCol w:w="576"/>
        <w:gridCol w:w="576"/>
        <w:gridCol w:w="576"/>
        <w:gridCol w:w="590"/>
        <w:gridCol w:w="566"/>
        <w:gridCol w:w="567"/>
        <w:gridCol w:w="643"/>
        <w:gridCol w:w="650"/>
      </w:tblGrid>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4" w:right="18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2" w:right="0"/>
              <w:jc w:val="center"/>
              <w:rPr>
                <w:rFonts w:ascii="Times New Roman" w:hAnsi="Times New Roman" w:cs="Times New Roman" w:eastAsia="Times New Roman" w:hint="default"/>
                <w:sz w:val="18"/>
                <w:szCs w:val="18"/>
              </w:rPr>
            </w:pPr>
            <w:r>
              <w:rPr>
                <w:rFonts w:ascii="Times New Roman"/>
                <w:sz w:val="18"/>
              </w:rPr>
              <w:t>26,85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5,969</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0" w:right="0"/>
              <w:jc w:val="left"/>
              <w:rPr>
                <w:rFonts w:ascii="Times New Roman" w:hAnsi="Times New Roman" w:cs="Times New Roman" w:eastAsia="Times New Roman" w:hint="default"/>
                <w:sz w:val="18"/>
                <w:szCs w:val="18"/>
              </w:rPr>
            </w:pPr>
            <w:r>
              <w:rPr>
                <w:rFonts w:ascii="Times New Roman"/>
                <w:sz w:val="18"/>
              </w:rPr>
              <w:t>300,34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0,223.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0" w:right="0"/>
              <w:jc w:val="left"/>
              <w:rPr>
                <w:rFonts w:ascii="Times New Roman" w:hAnsi="Times New Roman" w:cs="Times New Roman" w:eastAsia="Times New Roman" w:hint="default"/>
                <w:sz w:val="18"/>
                <w:szCs w:val="18"/>
              </w:rPr>
            </w:pPr>
            <w:r>
              <w:rPr>
                <w:rFonts w:ascii="Times New Roman"/>
                <w:sz w:val="18"/>
              </w:rPr>
              <w:t>251,77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7,889.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75,418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115,000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190,418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,303.22</w:t>
            </w: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工具持有者投 入资本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计入所有者权 益的金额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28,367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28,367,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309.50</w:t>
            </w:r>
          </w:p>
        </w:tc>
      </w:tr>
      <w:tr>
        <w:trPr>
          <w:trHeight w:val="134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13,133</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,453.0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30,001</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,482.5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40" w:right="19" w:firstLine="435"/>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16,868</w:t>
            </w:r>
          </w:p>
          <w:p>
            <w:pPr>
              <w:pStyle w:val="TableParagraph"/>
              <w:spacing w:line="240" w:lineRule="auto" w:before="5"/>
              <w:ind w:right="19"/>
              <w:jc w:val="right"/>
              <w:rPr>
                <w:rFonts w:ascii="Times New Roman" w:hAnsi="Times New Roman" w:cs="Times New Roman" w:eastAsia="Times New Roman" w:hint="default"/>
                <w:sz w:val="18"/>
                <w:szCs w:val="18"/>
              </w:rPr>
            </w:pPr>
            <w:r>
              <w:rPr>
                <w:rFonts w:ascii="Times New Roman"/>
                <w:sz w:val="18"/>
              </w:rPr>
              <w:t>,029.5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60" w:lineRule="auto"/>
              <w:ind w:left="72"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36,794,</w:t>
            </w:r>
          </w:p>
          <w:p>
            <w:pPr>
              <w:pStyle w:val="TableParagraph"/>
              <w:spacing w:line="240" w:lineRule="auto" w:before="5"/>
              <w:ind w:left="117" w:right="0"/>
              <w:jc w:val="left"/>
              <w:rPr>
                <w:rFonts w:ascii="Times New Roman" w:hAnsi="Times New Roman" w:cs="Times New Roman" w:eastAsia="Times New Roman" w:hint="default"/>
                <w:sz w:val="18"/>
                <w:szCs w:val="18"/>
              </w:rPr>
            </w:pPr>
            <w:r>
              <w:rPr>
                <w:rFonts w:ascii="Times New Roman"/>
                <w:sz w:val="18"/>
              </w:rPr>
              <w:t>953.86</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60" w:lineRule="auto"/>
              <w:ind w:left="79"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53,662,</w:t>
            </w:r>
          </w:p>
          <w:p>
            <w:pPr>
              <w:pStyle w:val="TableParagraph"/>
              <w:spacing w:line="240" w:lineRule="auto" w:before="5"/>
              <w:ind w:left="124" w:right="0"/>
              <w:jc w:val="left"/>
              <w:rPr>
                <w:rFonts w:ascii="Times New Roman" w:hAnsi="Times New Roman" w:cs="Times New Roman" w:eastAsia="Times New Roman" w:hint="default"/>
                <w:sz w:val="18"/>
                <w:szCs w:val="18"/>
              </w:rPr>
            </w:pPr>
            <w:r>
              <w:rPr>
                <w:rFonts w:ascii="Times New Roman"/>
                <w:sz w:val="18"/>
              </w:rPr>
              <w:t>983.43</w:t>
            </w:r>
          </w:p>
        </w:tc>
      </w:tr>
      <w:tr>
        <w:trPr>
          <w:trHeight w:val="133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62" w:right="21" w:firstLine="434"/>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54,997</w:t>
            </w:r>
          </w:p>
          <w:p>
            <w:pPr>
              <w:pStyle w:val="TableParagraph"/>
              <w:spacing w:line="240" w:lineRule="auto" w:before="3"/>
              <w:ind w:right="21"/>
              <w:jc w:val="right"/>
              <w:rPr>
                <w:rFonts w:ascii="Times New Roman" w:hAnsi="Times New Roman" w:cs="Times New Roman" w:eastAsia="Times New Roman" w:hint="default"/>
                <w:sz w:val="18"/>
                <w:szCs w:val="18"/>
              </w:rPr>
            </w:pPr>
            <w:r>
              <w:rPr>
                <w:rFonts w:ascii="Times New Roman"/>
                <w:sz w:val="18"/>
              </w:rPr>
              <w:t>,781.2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40" w:right="19" w:firstLine="435"/>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54,997</w:t>
            </w:r>
          </w:p>
          <w:p>
            <w:pPr>
              <w:pStyle w:val="TableParagraph"/>
              <w:spacing w:line="240" w:lineRule="auto" w:before="3"/>
              <w:ind w:right="19"/>
              <w:jc w:val="right"/>
              <w:rPr>
                <w:rFonts w:ascii="Times New Roman" w:hAnsi="Times New Roman" w:cs="Times New Roman" w:eastAsia="Times New Roman" w:hint="default"/>
                <w:sz w:val="18"/>
                <w:szCs w:val="18"/>
              </w:rPr>
            </w:pPr>
            <w:r>
              <w:rPr>
                <w:rFonts w:ascii="Times New Roman"/>
                <w:sz w:val="18"/>
              </w:rPr>
              <w:t>,781.2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62" w:lineRule="auto"/>
              <w:ind w:left="72"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12,652,</w:t>
            </w:r>
          </w:p>
          <w:p>
            <w:pPr>
              <w:pStyle w:val="TableParagraph"/>
              <w:spacing w:line="240" w:lineRule="auto" w:before="3"/>
              <w:ind w:left="117" w:right="0"/>
              <w:jc w:val="left"/>
              <w:rPr>
                <w:rFonts w:ascii="Times New Roman" w:hAnsi="Times New Roman" w:cs="Times New Roman" w:eastAsia="Times New Roman" w:hint="default"/>
                <w:sz w:val="18"/>
                <w:szCs w:val="18"/>
              </w:rPr>
            </w:pPr>
            <w:r>
              <w:rPr>
                <w:rFonts w:ascii="Times New Roman"/>
                <w:sz w:val="18"/>
              </w:rPr>
              <w:t>836.92</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62" w:lineRule="auto"/>
              <w:ind w:left="79"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67,650,</w:t>
            </w:r>
          </w:p>
          <w:p>
            <w:pPr>
              <w:pStyle w:val="TableParagraph"/>
              <w:spacing w:line="240" w:lineRule="auto" w:before="3"/>
              <w:ind w:left="124" w:right="0"/>
              <w:jc w:val="left"/>
              <w:rPr>
                <w:rFonts w:ascii="Times New Roman" w:hAnsi="Times New Roman" w:cs="Times New Roman" w:eastAsia="Times New Roman" w:hint="default"/>
                <w:sz w:val="18"/>
                <w:szCs w:val="18"/>
              </w:rPr>
            </w:pPr>
            <w:r>
              <w:rPr>
                <w:rFonts w:ascii="Times New Roman"/>
                <w:sz w:val="18"/>
              </w:rPr>
              <w:t>618.16</w:t>
            </w: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8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8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 风险准备</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9"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0"/>
              <w:ind w:left="24"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62" w:right="21" w:firstLine="434"/>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54,997</w:t>
            </w:r>
          </w:p>
          <w:p>
            <w:pPr>
              <w:pStyle w:val="TableParagraph"/>
              <w:spacing w:line="240" w:lineRule="auto" w:before="5"/>
              <w:ind w:right="21"/>
              <w:jc w:val="right"/>
              <w:rPr>
                <w:rFonts w:ascii="Times New Roman" w:hAnsi="Times New Roman" w:cs="Times New Roman" w:eastAsia="Times New Roman" w:hint="default"/>
                <w:sz w:val="18"/>
                <w:szCs w:val="18"/>
              </w:rPr>
            </w:pPr>
            <w:r>
              <w:rPr>
                <w:rFonts w:ascii="Times New Roman"/>
                <w:sz w:val="18"/>
              </w:rPr>
              <w:t>,781.2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40" w:right="19" w:firstLine="435"/>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54,997</w:t>
            </w:r>
          </w:p>
          <w:p>
            <w:pPr>
              <w:pStyle w:val="TableParagraph"/>
              <w:spacing w:line="240" w:lineRule="auto" w:before="5"/>
              <w:ind w:right="19"/>
              <w:jc w:val="right"/>
              <w:rPr>
                <w:rFonts w:ascii="Times New Roman" w:hAnsi="Times New Roman" w:cs="Times New Roman" w:eastAsia="Times New Roman" w:hint="default"/>
                <w:sz w:val="18"/>
                <w:szCs w:val="18"/>
              </w:rPr>
            </w:pPr>
            <w:r>
              <w:rPr>
                <w:rFonts w:ascii="Times New Roman"/>
                <w:sz w:val="18"/>
              </w:rPr>
              <w:t>,781.2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60" w:lineRule="auto"/>
              <w:ind w:left="72"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12,652,</w:t>
            </w:r>
          </w:p>
          <w:p>
            <w:pPr>
              <w:pStyle w:val="TableParagraph"/>
              <w:spacing w:line="240" w:lineRule="auto" w:before="5"/>
              <w:ind w:left="117" w:right="0"/>
              <w:jc w:val="left"/>
              <w:rPr>
                <w:rFonts w:ascii="Times New Roman" w:hAnsi="Times New Roman" w:cs="Times New Roman" w:eastAsia="Times New Roman" w:hint="default"/>
                <w:sz w:val="18"/>
                <w:szCs w:val="18"/>
              </w:rPr>
            </w:pPr>
            <w:r>
              <w:rPr>
                <w:rFonts w:ascii="Times New Roman"/>
                <w:sz w:val="18"/>
              </w:rPr>
              <w:t>836.92</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60" w:lineRule="auto"/>
              <w:ind w:left="79"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67,650,</w:t>
            </w:r>
          </w:p>
          <w:p>
            <w:pPr>
              <w:pStyle w:val="TableParagraph"/>
              <w:spacing w:line="240" w:lineRule="auto" w:before="5"/>
              <w:ind w:left="124" w:right="0"/>
              <w:jc w:val="left"/>
              <w:rPr>
                <w:rFonts w:ascii="Times New Roman" w:hAnsi="Times New Roman" w:cs="Times New Roman" w:eastAsia="Times New Roman" w:hint="default"/>
                <w:sz w:val="18"/>
                <w:szCs w:val="18"/>
              </w:rPr>
            </w:pPr>
            <w:r>
              <w:rPr>
                <w:rFonts w:ascii="Times New Roman"/>
                <w:sz w:val="18"/>
              </w:rPr>
              <w:t>618.16</w:t>
            </w:r>
          </w:p>
        </w:tc>
      </w:tr>
      <w:tr>
        <w:trPr>
          <w:trHeight w:val="401"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转增资本（或 股本）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转增资本（或 股本）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8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计划变动额结 转留存收益</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212"/>
        <w:gridCol w:w="490"/>
        <w:gridCol w:w="449"/>
        <w:gridCol w:w="449"/>
        <w:gridCol w:w="493"/>
        <w:gridCol w:w="576"/>
        <w:gridCol w:w="576"/>
        <w:gridCol w:w="578"/>
        <w:gridCol w:w="576"/>
        <w:gridCol w:w="576"/>
        <w:gridCol w:w="576"/>
        <w:gridCol w:w="590"/>
        <w:gridCol w:w="566"/>
        <w:gridCol w:w="567"/>
        <w:gridCol w:w="643"/>
        <w:gridCol w:w="650"/>
      </w:tblGrid>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收益结转留存 收益</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46,439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,253.9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46,439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,253.9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46,439,</w:t>
            </w:r>
          </w:p>
          <w:p>
            <w:pPr>
              <w:pStyle w:val="TableParagraph"/>
              <w:spacing w:line="240" w:lineRule="auto" w:before="103"/>
              <w:ind w:left="124" w:right="0"/>
              <w:jc w:val="left"/>
              <w:rPr>
                <w:rFonts w:ascii="Times New Roman" w:hAnsi="Times New Roman" w:cs="Times New Roman" w:eastAsia="Times New Roman" w:hint="default"/>
                <w:sz w:val="18"/>
                <w:szCs w:val="18"/>
              </w:rPr>
            </w:pPr>
            <w:r>
              <w:rPr>
                <w:rFonts w:ascii="Times New Roman"/>
                <w:sz w:val="18"/>
              </w:rPr>
              <w:t>253.93</w:t>
            </w:r>
          </w:p>
        </w:tc>
      </w:tr>
      <w:tr>
        <w:trPr>
          <w:trHeight w:val="1339"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1,309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,470,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982.0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4,593,</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804,07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1.03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359,75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2,548.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89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109,11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5,366.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1,535,</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012,70</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3.46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7,201,</w:t>
            </w:r>
          </w:p>
          <w:p>
            <w:pPr>
              <w:pStyle w:val="TableParagraph"/>
              <w:spacing w:line="240" w:lineRule="auto" w:before="105"/>
              <w:ind w:left="19" w:right="0"/>
              <w:jc w:val="center"/>
              <w:rPr>
                <w:rFonts w:ascii="Times New Roman" w:hAnsi="Times New Roman" w:cs="Times New Roman" w:eastAsia="Times New Roman" w:hint="default"/>
                <w:sz w:val="18"/>
                <w:szCs w:val="18"/>
              </w:rPr>
            </w:pPr>
            <w:r>
              <w:rPr>
                <w:rFonts w:ascii="Times New Roman"/>
                <w:sz w:val="18"/>
              </w:rPr>
              <w:t>231,75</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2.10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201,547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,330.42</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7,402,7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79,082.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r>
    </w:tbl>
    <w:p>
      <w:pPr>
        <w:spacing w:line="240" w:lineRule="auto" w:before="1"/>
        <w:rPr>
          <w:rFonts w:ascii="Times New Roman" w:hAnsi="Times New Roman" w:cs="Times New Roman" w:eastAsia="Times New Roman" w:hint="default"/>
          <w:sz w:val="22"/>
          <w:szCs w:val="22"/>
        </w:rPr>
      </w:pPr>
    </w:p>
    <w:p>
      <w:pPr>
        <w:pStyle w:val="Heading4"/>
        <w:spacing w:line="335" w:lineRule="exact"/>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06"/>
        <w:gridCol w:w="629"/>
        <w:gridCol w:w="602"/>
        <w:gridCol w:w="605"/>
        <w:gridCol w:w="605"/>
        <w:gridCol w:w="727"/>
        <w:gridCol w:w="725"/>
        <w:gridCol w:w="728"/>
        <w:gridCol w:w="727"/>
        <w:gridCol w:w="725"/>
        <w:gridCol w:w="617"/>
        <w:gridCol w:w="708"/>
        <w:gridCol w:w="864"/>
      </w:tblGrid>
      <w:tr>
        <w:trPr>
          <w:trHeight w:val="401"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80" w:right="84"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91"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68" w:right="84"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22" w:right="3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8"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优先股</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
              <w:jc w:val="righ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617"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90"/>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70,982.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4,790,58</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0,637.93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359,752,</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548.89</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64" w:right="19" w:firstLine="57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5,688,18</w:t>
            </w:r>
          </w:p>
          <w:p>
            <w:pPr>
              <w:pStyle w:val="TableParagraph"/>
              <w:spacing w:line="240" w:lineRule="auto" w:before="3"/>
              <w:ind w:left="381" w:right="0"/>
              <w:jc w:val="left"/>
              <w:rPr>
                <w:rFonts w:ascii="Times New Roman" w:hAnsi="Times New Roman" w:cs="Times New Roman" w:eastAsia="Times New Roman" w:hint="default"/>
                <w:sz w:val="18"/>
                <w:szCs w:val="18"/>
              </w:rPr>
            </w:pPr>
            <w:r>
              <w:rPr>
                <w:rFonts w:ascii="Times New Roman"/>
                <w:sz w:val="18"/>
              </w:rPr>
              <w:t>9.78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122,019,</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887.40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326,61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3,564.0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6,183,244,</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332.72</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 政策变更</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25,216,9</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94.98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43" w:right="22"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1,930,4</w:t>
            </w:r>
          </w:p>
          <w:p>
            <w:pPr>
              <w:pStyle w:val="TableParagraph"/>
              <w:spacing w:line="240" w:lineRule="auto" w:before="5"/>
              <w:ind w:left="177" w:right="0"/>
              <w:jc w:val="left"/>
              <w:rPr>
                <w:rFonts w:ascii="Times New Roman" w:hAnsi="Times New Roman" w:cs="Times New Roman" w:eastAsia="Times New Roman" w:hint="default"/>
                <w:sz w:val="18"/>
                <w:szCs w:val="18"/>
              </w:rPr>
            </w:pPr>
            <w:r>
              <w:rPr>
                <w:rFonts w:ascii="Times New Roman"/>
                <w:sz w:val="18"/>
              </w:rPr>
              <w:t>67.34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23,286,52</w:t>
            </w:r>
          </w:p>
          <w:p>
            <w:pPr>
              <w:pStyle w:val="TableParagraph"/>
              <w:spacing w:line="240" w:lineRule="auto" w:before="102"/>
              <w:ind w:left="518" w:right="0"/>
              <w:jc w:val="left"/>
              <w:rPr>
                <w:rFonts w:ascii="Times New Roman" w:hAnsi="Times New Roman" w:cs="Times New Roman" w:eastAsia="Times New Roman" w:hint="default"/>
                <w:sz w:val="18"/>
                <w:szCs w:val="18"/>
              </w:rPr>
            </w:pPr>
            <w:r>
              <w:rPr>
                <w:rFonts w:ascii="Times New Roman"/>
                <w:sz w:val="18"/>
              </w:rPr>
              <w:t>7.64</w:t>
            </w: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90"/>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70,982.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4,790,58</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0,637.93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359,752,</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548.89</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19,528,8</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05.20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122,019,</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887.40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324,68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3,096.7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6,206,530,</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860.36</w:t>
            </w:r>
          </w:p>
        </w:tc>
      </w:tr>
      <w:tr>
        <w:trPr>
          <w:trHeight w:val="133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190"/>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652,09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2,188.0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0" w:lineRule="auto"/>
              <w:ind w:left="62" w:right="21" w:firstLine="57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614,383,</w:t>
            </w:r>
          </w:p>
          <w:p>
            <w:pPr>
              <w:pStyle w:val="TableParagraph"/>
              <w:spacing w:line="240" w:lineRule="auto" w:before="5"/>
              <w:ind w:left="199" w:right="0"/>
              <w:jc w:val="left"/>
              <w:rPr>
                <w:rFonts w:ascii="Times New Roman" w:hAnsi="Times New Roman" w:cs="Times New Roman" w:eastAsia="Times New Roman" w:hint="default"/>
                <w:sz w:val="18"/>
                <w:szCs w:val="18"/>
              </w:rPr>
            </w:pPr>
            <w:r>
              <w:rPr>
                <w:rFonts w:ascii="Times New Roman"/>
                <w:sz w:val="18"/>
              </w:rPr>
              <w:t>183.61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0" w:lineRule="auto"/>
              <w:ind w:left="64" w:right="16" w:firstLine="57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154,978,</w:t>
            </w:r>
          </w:p>
          <w:p>
            <w:pPr>
              <w:pStyle w:val="TableParagraph"/>
              <w:spacing w:line="240" w:lineRule="auto" w:before="5"/>
              <w:ind w:left="201" w:right="0"/>
              <w:jc w:val="left"/>
              <w:rPr>
                <w:rFonts w:ascii="Times New Roman" w:hAnsi="Times New Roman" w:cs="Times New Roman" w:eastAsia="Times New Roman" w:hint="default"/>
                <w:sz w:val="18"/>
                <w:szCs w:val="18"/>
              </w:rPr>
            </w:pPr>
            <w:r>
              <w:rPr>
                <w:rFonts w:ascii="Times New Roman"/>
                <w:sz w:val="18"/>
              </w:rPr>
              <w:t>848.94</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22,045,7</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88.84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0" w:lineRule="auto"/>
              <w:ind w:left="43" w:right="21"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79,215,</w:t>
            </w:r>
          </w:p>
          <w:p>
            <w:pPr>
              <w:pStyle w:val="TableParagraph"/>
              <w:spacing w:line="240" w:lineRule="auto" w:before="5"/>
              <w:ind w:left="88" w:right="0"/>
              <w:jc w:val="left"/>
              <w:rPr>
                <w:rFonts w:ascii="Times New Roman" w:hAnsi="Times New Roman" w:cs="Times New Roman" w:eastAsia="Times New Roman" w:hint="default"/>
                <w:sz w:val="18"/>
                <w:szCs w:val="18"/>
              </w:rPr>
            </w:pPr>
            <w:r>
              <w:rPr>
                <w:rFonts w:ascii="Times New Roman"/>
                <w:sz w:val="18"/>
              </w:rPr>
              <w:t>105.63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135,518,5</w:t>
            </w:r>
          </w:p>
          <w:p>
            <w:pPr>
              <w:pStyle w:val="TableParagraph"/>
              <w:spacing w:line="240" w:lineRule="auto" w:before="102"/>
              <w:ind w:left="427" w:right="0"/>
              <w:jc w:val="left"/>
              <w:rPr>
                <w:rFonts w:ascii="Times New Roman" w:hAnsi="Times New Roman" w:cs="Times New Roman" w:eastAsia="Times New Roman" w:hint="default"/>
                <w:sz w:val="18"/>
                <w:szCs w:val="18"/>
              </w:rPr>
            </w:pPr>
            <w:r>
              <w:rPr>
                <w:rFonts w:ascii="Times New Roman"/>
                <w:sz w:val="18"/>
              </w:rPr>
              <w:t>36.54</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306"/>
        <w:gridCol w:w="629"/>
        <w:gridCol w:w="602"/>
        <w:gridCol w:w="605"/>
        <w:gridCol w:w="605"/>
        <w:gridCol w:w="727"/>
        <w:gridCol w:w="725"/>
        <w:gridCol w:w="728"/>
        <w:gridCol w:w="727"/>
        <w:gridCol w:w="725"/>
        <w:gridCol w:w="617"/>
        <w:gridCol w:w="708"/>
        <w:gridCol w:w="864"/>
      </w:tblGrid>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90"/>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22,045,7</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88.84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4"/>
              <w:ind w:left="43" w:right="21"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60,898,</w:t>
            </w:r>
          </w:p>
          <w:p>
            <w:pPr>
              <w:pStyle w:val="TableParagraph"/>
              <w:spacing w:line="240" w:lineRule="auto" w:before="3"/>
              <w:ind w:left="88" w:right="0"/>
              <w:jc w:val="left"/>
              <w:rPr>
                <w:rFonts w:ascii="Times New Roman" w:hAnsi="Times New Roman" w:cs="Times New Roman" w:eastAsia="Times New Roman" w:hint="default"/>
                <w:sz w:val="18"/>
                <w:szCs w:val="18"/>
              </w:rPr>
            </w:pPr>
            <w:r>
              <w:rPr>
                <w:rFonts w:ascii="Times New Roman"/>
                <w:sz w:val="18"/>
              </w:rPr>
              <w:t>759.19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4"/>
              <w:ind w:left="112" w:right="19"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38,852,97</w:t>
            </w:r>
          </w:p>
          <w:p>
            <w:pPr>
              <w:pStyle w:val="TableParagraph"/>
              <w:spacing w:line="240" w:lineRule="auto" w:before="3"/>
              <w:ind w:left="518" w:right="0"/>
              <w:jc w:val="left"/>
              <w:rPr>
                <w:rFonts w:ascii="Times New Roman" w:hAnsi="Times New Roman" w:cs="Times New Roman" w:eastAsia="Times New Roman" w:hint="default"/>
                <w:sz w:val="18"/>
                <w:szCs w:val="18"/>
              </w:rPr>
            </w:pPr>
            <w:r>
              <w:rPr>
                <w:rFonts w:ascii="Times New Roman"/>
                <w:sz w:val="18"/>
              </w:rPr>
              <w:t>0.35</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55" w:right="21"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2,063,0</w:t>
            </w:r>
          </w:p>
          <w:p>
            <w:pPr>
              <w:pStyle w:val="TableParagraph"/>
              <w:spacing w:line="240" w:lineRule="auto" w:before="5"/>
              <w:ind w:left="189" w:right="0"/>
              <w:jc w:val="left"/>
              <w:rPr>
                <w:rFonts w:ascii="Times New Roman" w:hAnsi="Times New Roman" w:cs="Times New Roman" w:eastAsia="Times New Roman" w:hint="default"/>
                <w:sz w:val="18"/>
                <w:szCs w:val="18"/>
              </w:rPr>
            </w:pPr>
            <w:r>
              <w:rPr>
                <w:rFonts w:ascii="Times New Roman"/>
                <w:sz w:val="18"/>
              </w:rPr>
              <w:t>42.00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39,772,0</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46.39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64" w:right="16" w:firstLine="57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154,978,</w:t>
            </w:r>
          </w:p>
          <w:p>
            <w:pPr>
              <w:pStyle w:val="TableParagraph"/>
              <w:spacing w:line="240" w:lineRule="auto" w:before="5"/>
              <w:ind w:left="201" w:right="0"/>
              <w:jc w:val="left"/>
              <w:rPr>
                <w:rFonts w:ascii="Times New Roman" w:hAnsi="Times New Roman" w:cs="Times New Roman" w:eastAsia="Times New Roman" w:hint="default"/>
                <w:sz w:val="18"/>
                <w:szCs w:val="18"/>
              </w:rPr>
            </w:pPr>
            <w:r>
              <w:rPr>
                <w:rFonts w:ascii="Times New Roman"/>
                <w:sz w:val="18"/>
              </w:rPr>
              <w:t>848.94</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192,687,8</w:t>
            </w:r>
          </w:p>
          <w:p>
            <w:pPr>
              <w:pStyle w:val="TableParagraph"/>
              <w:spacing w:line="240" w:lineRule="auto" w:before="102"/>
              <w:ind w:left="427" w:right="0"/>
              <w:jc w:val="left"/>
              <w:rPr>
                <w:rFonts w:ascii="Times New Roman" w:hAnsi="Times New Roman" w:cs="Times New Roman" w:eastAsia="Times New Roman" w:hint="default"/>
                <w:sz w:val="18"/>
                <w:szCs w:val="18"/>
              </w:rPr>
            </w:pPr>
            <w:r>
              <w:rPr>
                <w:rFonts w:ascii="Times New Roman"/>
                <w:sz w:val="18"/>
              </w:rPr>
              <w:t>53.33</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55" w:right="21"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2,063,0</w:t>
            </w:r>
          </w:p>
          <w:p>
            <w:pPr>
              <w:pStyle w:val="TableParagraph"/>
              <w:spacing w:line="240" w:lineRule="auto" w:before="3"/>
              <w:ind w:left="189" w:right="0"/>
              <w:jc w:val="left"/>
              <w:rPr>
                <w:rFonts w:ascii="Times New Roman" w:hAnsi="Times New Roman" w:cs="Times New Roman" w:eastAsia="Times New Roman" w:hint="default"/>
                <w:sz w:val="18"/>
                <w:szCs w:val="18"/>
              </w:rPr>
            </w:pPr>
            <w:r>
              <w:rPr>
                <w:rFonts w:ascii="Times New Roman"/>
                <w:sz w:val="18"/>
              </w:rPr>
              <w:t>42.00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62" w:right="21" w:firstLine="57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23,824,4</w:t>
            </w:r>
          </w:p>
          <w:p>
            <w:pPr>
              <w:pStyle w:val="TableParagraph"/>
              <w:spacing w:line="240" w:lineRule="auto" w:before="3"/>
              <w:ind w:left="287" w:right="0"/>
              <w:jc w:val="left"/>
              <w:rPr>
                <w:rFonts w:ascii="Times New Roman" w:hAnsi="Times New Roman" w:cs="Times New Roman" w:eastAsia="Times New Roman" w:hint="default"/>
                <w:sz w:val="18"/>
                <w:szCs w:val="18"/>
              </w:rPr>
            </w:pPr>
            <w:r>
              <w:rPr>
                <w:rFonts w:ascii="Times New Roman"/>
                <w:sz w:val="18"/>
              </w:rPr>
              <w:t>37.78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64" w:right="16" w:firstLine="57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154,978,</w:t>
            </w:r>
          </w:p>
          <w:p>
            <w:pPr>
              <w:pStyle w:val="TableParagraph"/>
              <w:spacing w:line="240" w:lineRule="auto" w:before="3"/>
              <w:ind w:left="201" w:right="0"/>
              <w:jc w:val="left"/>
              <w:rPr>
                <w:rFonts w:ascii="Times New Roman" w:hAnsi="Times New Roman" w:cs="Times New Roman" w:eastAsia="Times New Roman" w:hint="default"/>
                <w:sz w:val="18"/>
                <w:szCs w:val="18"/>
              </w:rPr>
            </w:pPr>
            <w:r>
              <w:rPr>
                <w:rFonts w:ascii="Times New Roman"/>
                <w:sz w:val="18"/>
              </w:rPr>
              <w:t>848.94</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129,091,3</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69.16</w:t>
            </w: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30,174,1</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84.63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30,174,18</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4.63</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33,422,2</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99.54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2" w:right="0"/>
              <w:jc w:val="left"/>
              <w:rPr>
                <w:rFonts w:ascii="Times New Roman" w:hAnsi="Times New Roman" w:cs="Times New Roman" w:eastAsia="Times New Roman" w:hint="default"/>
                <w:sz w:val="18"/>
                <w:szCs w:val="18"/>
              </w:rPr>
            </w:pPr>
            <w:r>
              <w:rPr>
                <w:rFonts w:ascii="Times New Roman"/>
                <w:sz w:val="18"/>
              </w:rPr>
              <w:t>33,422,29</w:t>
            </w:r>
          </w:p>
          <w:p>
            <w:pPr>
              <w:pStyle w:val="TableParagraph"/>
              <w:spacing w:line="240" w:lineRule="auto" w:before="102"/>
              <w:ind w:left="518" w:right="0"/>
              <w:jc w:val="left"/>
              <w:rPr>
                <w:rFonts w:ascii="Times New Roman" w:hAnsi="Times New Roman" w:cs="Times New Roman" w:eastAsia="Times New Roman" w:hint="default"/>
                <w:sz w:val="18"/>
                <w:szCs w:val="18"/>
              </w:rPr>
            </w:pPr>
            <w:r>
              <w:rPr>
                <w:rFonts w:ascii="Times New Roman"/>
                <w:sz w:val="18"/>
              </w:rPr>
              <w:t>9.54</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90"/>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43" w:right="21"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18,316,</w:t>
            </w:r>
          </w:p>
          <w:p>
            <w:pPr>
              <w:pStyle w:val="TableParagraph"/>
              <w:spacing w:line="240" w:lineRule="auto" w:before="3"/>
              <w:ind w:left="88" w:right="0"/>
              <w:jc w:val="left"/>
              <w:rPr>
                <w:rFonts w:ascii="Times New Roman" w:hAnsi="Times New Roman" w:cs="Times New Roman" w:eastAsia="Times New Roman" w:hint="default"/>
                <w:sz w:val="18"/>
                <w:szCs w:val="18"/>
              </w:rPr>
            </w:pPr>
            <w:r>
              <w:rPr>
                <w:rFonts w:ascii="Times New Roman"/>
                <w:sz w:val="18"/>
              </w:rPr>
              <w:t>346.44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112" w:right="19"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18,316,34</w:t>
            </w:r>
          </w:p>
          <w:p>
            <w:pPr>
              <w:pStyle w:val="TableParagraph"/>
              <w:spacing w:line="240" w:lineRule="auto" w:before="3"/>
              <w:ind w:left="518" w:right="0"/>
              <w:jc w:val="left"/>
              <w:rPr>
                <w:rFonts w:ascii="Times New Roman" w:hAnsi="Times New Roman" w:cs="Times New Roman" w:eastAsia="Times New Roman" w:hint="default"/>
                <w:sz w:val="18"/>
                <w:szCs w:val="18"/>
              </w:rPr>
            </w:pPr>
            <w:r>
              <w:rPr>
                <w:rFonts w:ascii="Times New Roman"/>
                <w:sz w:val="18"/>
              </w:rPr>
              <w:t>6.44</w:t>
            </w: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4"/>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16" w:lineRule="auto" w:before="63"/>
              <w:ind w:left="24" w:right="190"/>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43" w:right="21"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18,316,</w:t>
            </w:r>
          </w:p>
          <w:p>
            <w:pPr>
              <w:pStyle w:val="TableParagraph"/>
              <w:spacing w:line="240" w:lineRule="auto" w:before="3"/>
              <w:ind w:left="88" w:right="0"/>
              <w:jc w:val="left"/>
              <w:rPr>
                <w:rFonts w:ascii="Times New Roman" w:hAnsi="Times New Roman" w:cs="Times New Roman" w:eastAsia="Times New Roman" w:hint="default"/>
                <w:sz w:val="18"/>
                <w:szCs w:val="18"/>
              </w:rPr>
            </w:pPr>
            <w:r>
              <w:rPr>
                <w:rFonts w:ascii="Times New Roman"/>
                <w:sz w:val="18"/>
              </w:rPr>
              <w:t>346.44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112" w:right="19"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18,316,34</w:t>
            </w:r>
          </w:p>
          <w:p>
            <w:pPr>
              <w:pStyle w:val="TableParagraph"/>
              <w:spacing w:line="240" w:lineRule="auto" w:before="3"/>
              <w:ind w:left="518" w:right="0"/>
              <w:jc w:val="left"/>
              <w:rPr>
                <w:rFonts w:ascii="Times New Roman" w:hAnsi="Times New Roman" w:cs="Times New Roman" w:eastAsia="Times New Roman" w:hint="default"/>
                <w:sz w:val="18"/>
                <w:szCs w:val="18"/>
              </w:rPr>
            </w:pPr>
            <w:r>
              <w:rPr>
                <w:rFonts w:ascii="Times New Roman"/>
                <w:sz w:val="18"/>
              </w:rPr>
              <w:t>6.44</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90"/>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654,15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5,230.0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62" w:right="21" w:firstLine="57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654,155,</w:t>
            </w:r>
          </w:p>
          <w:p>
            <w:pPr>
              <w:pStyle w:val="TableParagraph"/>
              <w:spacing w:line="240" w:lineRule="auto" w:before="3"/>
              <w:ind w:left="199" w:right="0"/>
              <w:jc w:val="left"/>
              <w:rPr>
                <w:rFonts w:ascii="Times New Roman" w:hAnsi="Times New Roman" w:cs="Times New Roman" w:eastAsia="Times New Roman" w:hint="default"/>
                <w:sz w:val="18"/>
                <w:szCs w:val="18"/>
              </w:rPr>
            </w:pPr>
            <w:r>
              <w:rPr>
                <w:rFonts w:ascii="Times New Roman"/>
                <w:sz w:val="18"/>
              </w:rPr>
              <w:t>230.00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654,15</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5,230.0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62" w:right="21" w:firstLine="57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654,155,</w:t>
            </w:r>
          </w:p>
          <w:p>
            <w:pPr>
              <w:pStyle w:val="TableParagraph"/>
              <w:spacing w:line="240" w:lineRule="auto" w:before="5"/>
              <w:ind w:left="199" w:right="0"/>
              <w:jc w:val="left"/>
              <w:rPr>
                <w:rFonts w:ascii="Times New Roman" w:hAnsi="Times New Roman" w:cs="Times New Roman" w:eastAsia="Times New Roman" w:hint="default"/>
                <w:sz w:val="18"/>
                <w:szCs w:val="18"/>
              </w:rPr>
            </w:pPr>
            <w:r>
              <w:rPr>
                <w:rFonts w:ascii="Times New Roman"/>
                <w:sz w:val="18"/>
              </w:rPr>
              <w:t>230.00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306"/>
        <w:gridCol w:w="629"/>
        <w:gridCol w:w="602"/>
        <w:gridCol w:w="605"/>
        <w:gridCol w:w="605"/>
        <w:gridCol w:w="727"/>
        <w:gridCol w:w="725"/>
        <w:gridCol w:w="728"/>
        <w:gridCol w:w="727"/>
        <w:gridCol w:w="725"/>
        <w:gridCol w:w="617"/>
        <w:gridCol w:w="708"/>
        <w:gridCol w:w="864"/>
      </w:tblGrid>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0"/>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90"/>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63,170.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4,176,19</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7,454.32</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204,773,</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699.95</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41,574,5</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94.04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122,019,</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887.40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245,46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7,991.0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6,342,049,</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396.90</w:t>
            </w:r>
          </w:p>
        </w:tc>
      </w:tr>
    </w:tbl>
    <w:p>
      <w:pPr>
        <w:pStyle w:val="BodyText"/>
        <w:spacing w:line="240" w:lineRule="auto" w:before="49"/>
        <w:ind w:right="0"/>
        <w:jc w:val="left"/>
      </w:pPr>
      <w:r>
        <w:rPr/>
        <w:t>上期金额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232"/>
        <w:gridCol w:w="593"/>
        <w:gridCol w:w="574"/>
        <w:gridCol w:w="572"/>
        <w:gridCol w:w="571"/>
        <w:gridCol w:w="686"/>
        <w:gridCol w:w="684"/>
        <w:gridCol w:w="687"/>
        <w:gridCol w:w="780"/>
        <w:gridCol w:w="665"/>
        <w:gridCol w:w="799"/>
        <w:gridCol w:w="797"/>
        <w:gridCol w:w="929"/>
      </w:tblGrid>
      <w:tr>
        <w:trPr>
          <w:trHeight w:val="401" w:hRule="exact"/>
        </w:trPr>
        <w:tc>
          <w:tcPr>
            <w:tcW w:w="12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3" w:hRule="exact"/>
        </w:trPr>
        <w:tc>
          <w:tcPr>
            <w:tcW w:w="1232" w:type="dxa"/>
            <w:vMerge/>
            <w:tcBorders>
              <w:left w:val="single" w:sz="4" w:space="0" w:color="000000"/>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69"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4" w:right="35"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9" w:right="96"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3"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91" w:right="101"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92"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17"/>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 w:right="0"/>
              <w:jc w:val="center"/>
              <w:rPr>
                <w:rFonts w:ascii="Times New Roman" w:hAnsi="Times New Roman" w:cs="Times New Roman" w:eastAsia="Times New Roman" w:hint="default"/>
                <w:sz w:val="18"/>
                <w:szCs w:val="18"/>
              </w:rPr>
            </w:pPr>
            <w:r>
              <w:rPr>
                <w:rFonts w:ascii="Times New Roman"/>
                <w:sz w:val="18"/>
              </w:rPr>
              <w:t>1,282,</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615,01</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3.00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4,412,9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40,468.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77,973,1</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77.02</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122,019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,887.40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711,865,4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38.23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6,451,467,6</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30.18</w:t>
            </w: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 政策变更</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 w:right="0"/>
              <w:jc w:val="center"/>
              <w:rPr>
                <w:rFonts w:ascii="Times New Roman" w:hAnsi="Times New Roman" w:cs="Times New Roman" w:eastAsia="Times New Roman" w:hint="default"/>
                <w:sz w:val="18"/>
                <w:szCs w:val="18"/>
              </w:rPr>
            </w:pPr>
            <w:r>
              <w:rPr>
                <w:rFonts w:ascii="Times New Roman"/>
                <w:sz w:val="18"/>
              </w:rPr>
              <w:t>1,282,</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615,01</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3.00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4,412,9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40,468.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77,973,1</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77.02</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122,019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,887.40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711,865,4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38.23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6,451,467,6</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30.18</w:t>
            </w:r>
          </w:p>
        </w:tc>
      </w:tr>
      <w:tr>
        <w:trPr>
          <w:trHeight w:val="133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4" w:right="117"/>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26,855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,969.0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377,640</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,169.36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281,779,</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371.87</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360" w:lineRule="auto"/>
              <w:ind w:left="115"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5,688,1</w:t>
            </w:r>
          </w:p>
          <w:p>
            <w:pPr>
              <w:pStyle w:val="TableParagraph"/>
              <w:spacing w:line="240" w:lineRule="auto" w:before="5"/>
              <w:ind w:left="249" w:right="0"/>
              <w:jc w:val="left"/>
              <w:rPr>
                <w:rFonts w:ascii="Times New Roman" w:hAnsi="Times New Roman" w:cs="Times New Roman" w:eastAsia="Times New Roman" w:hint="default"/>
                <w:sz w:val="18"/>
                <w:szCs w:val="18"/>
              </w:rPr>
            </w:pPr>
            <w:r>
              <w:rPr>
                <w:rFonts w:ascii="Times New Roman"/>
                <w:sz w:val="18"/>
              </w:rPr>
              <w:t>89.78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360" w:lineRule="auto"/>
              <w:ind w:left="45" w:right="21"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385,251,8</w:t>
            </w:r>
          </w:p>
          <w:p>
            <w:pPr>
              <w:pStyle w:val="TableParagraph"/>
              <w:spacing w:line="240" w:lineRule="auto" w:before="5"/>
              <w:ind w:left="359" w:right="0"/>
              <w:jc w:val="left"/>
              <w:rPr>
                <w:rFonts w:ascii="Times New Roman" w:hAnsi="Times New Roman" w:cs="Times New Roman" w:eastAsia="Times New Roman" w:hint="default"/>
                <w:sz w:val="18"/>
                <w:szCs w:val="18"/>
              </w:rPr>
            </w:pPr>
            <w:r>
              <w:rPr>
                <w:rFonts w:ascii="Times New Roman"/>
                <w:sz w:val="18"/>
              </w:rPr>
              <w:t>74.17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360" w:lineRule="auto"/>
              <w:ind w:left="86" w:right="19" w:firstLine="75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268,223,29</w:t>
            </w:r>
          </w:p>
          <w:p>
            <w:pPr>
              <w:pStyle w:val="TableParagraph"/>
              <w:spacing w:line="240" w:lineRule="auto" w:before="5"/>
              <w:ind w:left="583" w:right="0"/>
              <w:jc w:val="left"/>
              <w:rPr>
                <w:rFonts w:ascii="Times New Roman" w:hAnsi="Times New Roman" w:cs="Times New Roman" w:eastAsia="Times New Roman" w:hint="default"/>
                <w:sz w:val="18"/>
                <w:szCs w:val="18"/>
              </w:rPr>
            </w:pPr>
            <w:r>
              <w:rPr>
                <w:rFonts w:ascii="Times New Roman"/>
                <w:sz w:val="18"/>
              </w:rPr>
              <w:t>7.46</w:t>
            </w:r>
          </w:p>
        </w:tc>
      </w:tr>
      <w:tr>
        <w:trPr>
          <w:trHeight w:val="102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115"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5,688,1</w:t>
            </w:r>
          </w:p>
          <w:p>
            <w:pPr>
              <w:pStyle w:val="TableParagraph"/>
              <w:spacing w:line="240" w:lineRule="auto" w:before="3"/>
              <w:ind w:left="249" w:right="0"/>
              <w:jc w:val="left"/>
              <w:rPr>
                <w:rFonts w:ascii="Times New Roman" w:hAnsi="Times New Roman" w:cs="Times New Roman" w:eastAsia="Times New Roman" w:hint="default"/>
                <w:sz w:val="18"/>
                <w:szCs w:val="18"/>
              </w:rPr>
            </w:pPr>
            <w:r>
              <w:rPr>
                <w:rFonts w:ascii="Times New Roman"/>
                <w:sz w:val="18"/>
              </w:rPr>
              <w:t>89.78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45" w:right="21"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246,242,8</w:t>
            </w:r>
          </w:p>
          <w:p>
            <w:pPr>
              <w:pStyle w:val="TableParagraph"/>
              <w:spacing w:line="240" w:lineRule="auto" w:before="3"/>
              <w:ind w:left="359" w:right="0"/>
              <w:jc w:val="left"/>
              <w:rPr>
                <w:rFonts w:ascii="Times New Roman" w:hAnsi="Times New Roman" w:cs="Times New Roman" w:eastAsia="Times New Roman" w:hint="default"/>
                <w:sz w:val="18"/>
                <w:szCs w:val="18"/>
              </w:rPr>
            </w:pPr>
            <w:r>
              <w:rPr>
                <w:rFonts w:ascii="Times New Roman"/>
                <w:sz w:val="18"/>
              </w:rPr>
              <w:t>03.46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86" w:right="19" w:firstLine="75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251,930,99</w:t>
            </w:r>
          </w:p>
          <w:p>
            <w:pPr>
              <w:pStyle w:val="TableParagraph"/>
              <w:spacing w:line="240" w:lineRule="auto" w:before="3"/>
              <w:ind w:left="583" w:right="0"/>
              <w:jc w:val="left"/>
              <w:rPr>
                <w:rFonts w:ascii="Times New Roman" w:hAnsi="Times New Roman" w:cs="Times New Roman" w:eastAsia="Times New Roman" w:hint="default"/>
                <w:sz w:val="18"/>
                <w:szCs w:val="18"/>
              </w:rPr>
            </w:pPr>
            <w:r>
              <w:rPr>
                <w:rFonts w:ascii="Times New Roman"/>
                <w:sz w:val="18"/>
              </w:rPr>
              <w:t>3.24</w:t>
            </w: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26,855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,969.0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327,930</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,433.00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281,779,</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371.87</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73,007,030.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232"/>
        <w:gridCol w:w="593"/>
        <w:gridCol w:w="574"/>
        <w:gridCol w:w="572"/>
        <w:gridCol w:w="571"/>
        <w:gridCol w:w="686"/>
        <w:gridCol w:w="684"/>
        <w:gridCol w:w="687"/>
        <w:gridCol w:w="780"/>
        <w:gridCol w:w="665"/>
        <w:gridCol w:w="799"/>
        <w:gridCol w:w="797"/>
        <w:gridCol w:w="929"/>
      </w:tblGrid>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26,855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300,340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,223.50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251,777,</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889.28</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75,418,303.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r>
      <w:tr>
        <w:trPr>
          <w:trHeight w:val="102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27,590,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209.50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27,590,209.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r>
      <w:tr>
        <w:trPr>
          <w:trHeight w:val="1028"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30,001,4</w:t>
            </w:r>
          </w:p>
          <w:p>
            <w:pPr>
              <w:pStyle w:val="TableParagraph"/>
              <w:spacing w:line="240" w:lineRule="auto" w:before="103"/>
              <w:ind w:left="249" w:right="0"/>
              <w:jc w:val="left"/>
              <w:rPr>
                <w:rFonts w:ascii="Times New Roman" w:hAnsi="Times New Roman" w:cs="Times New Roman" w:eastAsia="Times New Roman" w:hint="default"/>
                <w:sz w:val="18"/>
                <w:szCs w:val="18"/>
              </w:rPr>
            </w:pPr>
            <w:r>
              <w:rPr>
                <w:rFonts w:ascii="Times New Roman"/>
                <w:sz w:val="18"/>
              </w:rPr>
              <w:t>82.59</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43" w:right="18" w:firstLine="794"/>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30,001,482.</w:t>
            </w:r>
          </w:p>
          <w:p>
            <w:pPr>
              <w:pStyle w:val="TableParagraph"/>
              <w:spacing w:line="240" w:lineRule="auto" w:before="5"/>
              <w:ind w:right="17"/>
              <w:jc w:val="right"/>
              <w:rPr>
                <w:rFonts w:ascii="Times New Roman" w:hAnsi="Times New Roman" w:cs="Times New Roman" w:eastAsia="Times New Roman" w:hint="default"/>
                <w:sz w:val="18"/>
                <w:szCs w:val="18"/>
              </w:rPr>
            </w:pPr>
            <w:r>
              <w:rPr>
                <w:rFonts w:ascii="Times New Roman"/>
                <w:sz w:val="18"/>
              </w:rPr>
              <w:t>59</w:t>
            </w: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45" w:right="21"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54,997,78</w:t>
            </w:r>
          </w:p>
          <w:p>
            <w:pPr>
              <w:pStyle w:val="TableParagraph"/>
              <w:spacing w:line="240" w:lineRule="auto" w:before="3"/>
              <w:ind w:left="451" w:right="0"/>
              <w:jc w:val="left"/>
              <w:rPr>
                <w:rFonts w:ascii="Times New Roman" w:hAnsi="Times New Roman" w:cs="Times New Roman" w:eastAsia="Times New Roman" w:hint="default"/>
                <w:sz w:val="18"/>
                <w:szCs w:val="18"/>
              </w:rPr>
            </w:pPr>
            <w:r>
              <w:rPr>
                <w:rFonts w:ascii="Times New Roman"/>
                <w:sz w:val="18"/>
              </w:rPr>
              <w:t>1.24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43" w:right="18" w:firstLine="794"/>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54,997,781.</w:t>
            </w:r>
          </w:p>
          <w:p>
            <w:pPr>
              <w:pStyle w:val="TableParagraph"/>
              <w:spacing w:line="240" w:lineRule="auto" w:before="3"/>
              <w:ind w:right="17"/>
              <w:jc w:val="right"/>
              <w:rPr>
                <w:rFonts w:ascii="Times New Roman" w:hAnsi="Times New Roman" w:cs="Times New Roman" w:eastAsia="Times New Roman" w:hint="default"/>
                <w:sz w:val="18"/>
                <w:szCs w:val="18"/>
              </w:rPr>
            </w:pPr>
            <w:r>
              <w:rPr>
                <w:rFonts w:ascii="Times New Roman"/>
                <w:sz w:val="18"/>
              </w:rPr>
              <w:t>24</w:t>
            </w: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16" w:lineRule="auto" w:before="63"/>
              <w:ind w:left="24" w:right="117"/>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45" w:right="21"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54,997,78</w:t>
            </w:r>
          </w:p>
          <w:p>
            <w:pPr>
              <w:pStyle w:val="TableParagraph"/>
              <w:spacing w:line="240" w:lineRule="auto" w:before="3"/>
              <w:ind w:left="451" w:right="0"/>
              <w:jc w:val="left"/>
              <w:rPr>
                <w:rFonts w:ascii="Times New Roman" w:hAnsi="Times New Roman" w:cs="Times New Roman" w:eastAsia="Times New Roman" w:hint="default"/>
                <w:sz w:val="18"/>
                <w:szCs w:val="18"/>
              </w:rPr>
            </w:pPr>
            <w:r>
              <w:rPr>
                <w:rFonts w:ascii="Times New Roman"/>
                <w:sz w:val="18"/>
              </w:rPr>
              <w:t>1.24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43" w:right="18" w:firstLine="794"/>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54,997,781.</w:t>
            </w:r>
          </w:p>
          <w:p>
            <w:pPr>
              <w:pStyle w:val="TableParagraph"/>
              <w:spacing w:line="240" w:lineRule="auto" w:before="3"/>
              <w:ind w:right="17"/>
              <w:jc w:val="right"/>
              <w:rPr>
                <w:rFonts w:ascii="Times New Roman" w:hAnsi="Times New Roman" w:cs="Times New Roman" w:eastAsia="Times New Roman" w:hint="default"/>
                <w:sz w:val="18"/>
                <w:szCs w:val="18"/>
              </w:rPr>
            </w:pPr>
            <w:r>
              <w:rPr>
                <w:rFonts w:ascii="Times New Roman"/>
                <w:sz w:val="18"/>
              </w:rPr>
              <w:t>24</w:t>
            </w:r>
          </w:p>
        </w:tc>
      </w:tr>
      <w:tr>
        <w:trPr>
          <w:trHeight w:val="404"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17"/>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232"/>
        <w:gridCol w:w="593"/>
        <w:gridCol w:w="574"/>
        <w:gridCol w:w="572"/>
        <w:gridCol w:w="571"/>
        <w:gridCol w:w="686"/>
        <w:gridCol w:w="684"/>
        <w:gridCol w:w="687"/>
        <w:gridCol w:w="780"/>
        <w:gridCol w:w="665"/>
        <w:gridCol w:w="799"/>
        <w:gridCol w:w="797"/>
        <w:gridCol w:w="929"/>
      </w:tblGrid>
      <w:tr>
        <w:trPr>
          <w:trHeight w:val="401"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49,709,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736.36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52" w:right="21" w:firstLine="652"/>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84,011,28</w:t>
            </w:r>
          </w:p>
          <w:p>
            <w:pPr>
              <w:pStyle w:val="TableParagraph"/>
              <w:spacing w:line="240" w:lineRule="auto" w:before="3"/>
              <w:ind w:left="451" w:right="0"/>
              <w:jc w:val="left"/>
              <w:rPr>
                <w:rFonts w:ascii="Times New Roman" w:hAnsi="Times New Roman" w:cs="Times New Roman" w:eastAsia="Times New Roman" w:hint="default"/>
                <w:sz w:val="18"/>
                <w:szCs w:val="18"/>
              </w:rPr>
            </w:pPr>
            <w:r>
              <w:rPr>
                <w:rFonts w:ascii="Times New Roman"/>
                <w:sz w:val="18"/>
              </w:rPr>
              <w:t>9.47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43" w:right="18" w:firstLine="794"/>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34,301,553.</w:t>
            </w:r>
          </w:p>
          <w:p>
            <w:pPr>
              <w:pStyle w:val="TableParagraph"/>
              <w:spacing w:line="240" w:lineRule="auto" w:before="3"/>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r>
        <w:trPr>
          <w:trHeight w:val="102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9" w:right="0"/>
              <w:jc w:val="center"/>
              <w:rPr>
                <w:rFonts w:ascii="Times New Roman" w:hAnsi="Times New Roman" w:cs="Times New Roman" w:eastAsia="Times New Roman" w:hint="default"/>
                <w:sz w:val="18"/>
                <w:szCs w:val="18"/>
              </w:rPr>
            </w:pPr>
            <w:r>
              <w:rPr>
                <w:rFonts w:ascii="Times New Roman"/>
                <w:sz w:val="18"/>
              </w:rPr>
              <w:t>1,309,</w:t>
            </w:r>
          </w:p>
          <w:p>
            <w:pPr>
              <w:pStyle w:val="TableParagraph"/>
              <w:spacing w:line="240" w:lineRule="auto" w:before="102"/>
              <w:ind w:left="46" w:right="0"/>
              <w:jc w:val="center"/>
              <w:rPr>
                <w:rFonts w:ascii="Times New Roman" w:hAnsi="Times New Roman" w:cs="Times New Roman" w:eastAsia="Times New Roman" w:hint="default"/>
                <w:sz w:val="18"/>
                <w:szCs w:val="18"/>
              </w:rPr>
            </w:pPr>
            <w:r>
              <w:rPr>
                <w:rFonts w:ascii="Times New Roman"/>
                <w:sz w:val="18"/>
              </w:rPr>
              <w:t>470,98</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2.00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4,790,5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80,637.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359,752,</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548.89</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115"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5,688,1</w:t>
            </w:r>
          </w:p>
          <w:p>
            <w:pPr>
              <w:pStyle w:val="TableParagraph"/>
              <w:spacing w:line="240" w:lineRule="auto" w:before="5"/>
              <w:ind w:left="249" w:right="0"/>
              <w:jc w:val="left"/>
              <w:rPr>
                <w:rFonts w:ascii="Times New Roman" w:hAnsi="Times New Roman" w:cs="Times New Roman" w:eastAsia="Times New Roman" w:hint="default"/>
                <w:sz w:val="18"/>
                <w:szCs w:val="18"/>
              </w:rPr>
            </w:pPr>
            <w:r>
              <w:rPr>
                <w:rFonts w:ascii="Times New Roman"/>
                <w:sz w:val="18"/>
              </w:rPr>
              <w:t>89.78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122,019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,887.40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326,613,5</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64.06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6,183,244,3</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32.72</w:t>
            </w:r>
          </w:p>
        </w:tc>
      </w:tr>
    </w:tbl>
    <w:p>
      <w:pPr>
        <w:spacing w:line="240" w:lineRule="auto" w:before="9"/>
        <w:rPr>
          <w:rFonts w:ascii="Times New Roman" w:hAnsi="Times New Roman" w:cs="Times New Roman" w:eastAsia="Times New Roman" w:hint="default"/>
          <w:sz w:val="20"/>
          <w:szCs w:val="20"/>
        </w:rPr>
      </w:pPr>
    </w:p>
    <w:p>
      <w:pPr>
        <w:pStyle w:val="Heading2"/>
        <w:spacing w:line="367" w:lineRule="exact"/>
        <w:ind w:right="0"/>
        <w:jc w:val="left"/>
        <w:rPr>
          <w:b w:val="0"/>
          <w:bCs w:val="0"/>
        </w:rPr>
      </w:pPr>
      <w:r>
        <w:rPr/>
        <w:t>三、公司基本情况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6" w:lineRule="auto"/>
        <w:ind w:right="1132" w:firstLine="360"/>
        <w:jc w:val="both"/>
      </w:pPr>
      <w:r>
        <w:rPr>
          <w:spacing w:val="-2"/>
        </w:rPr>
        <w:t>北京四维图新科技股份有限公司（以下简称本公司或公司，在包含子公司时简称本集团）系由北京四维图新导航信息技</w:t>
      </w:r>
      <w:r>
        <w:rPr/>
        <w:t> 术有限公司（以下简称四维有限）整体变更设立。四维有限成立于</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日，设立时注册资本为</w:t>
      </w:r>
      <w:r>
        <w:rPr>
          <w:rFonts w:ascii="Times New Roman" w:hAnsi="Times New Roman" w:cs="Times New Roman" w:eastAsia="Times New Roman" w:hint="default"/>
        </w:rPr>
        <w:t>2,950.00</w:t>
      </w:r>
      <w:r>
        <w:rPr/>
        <w:t>万元。</w:t>
      </w:r>
    </w:p>
    <w:p>
      <w:pPr>
        <w:pStyle w:val="BodyText"/>
        <w:spacing w:line="302" w:lineRule="auto"/>
        <w:ind w:right="1109" w:firstLine="360"/>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月，根据中国四维测绘技术总公司、上海明海商务咨询有限公司、四维航空遥感有限公司、北京商络数据系统 </w:t>
      </w:r>
      <w:r>
        <w:rPr>
          <w:spacing w:val="-2"/>
        </w:rPr>
        <w:t>有限责任公司、上海赛众投资有限公司、广州新维投资咨询有限公司、北京商络数据系统有限责任公司以及孙玉国、曾胜利</w:t>
      </w:r>
      <w:r>
        <w:rPr>
          <w:spacing w:val="-65"/>
        </w:rPr>
        <w:t> </w:t>
      </w:r>
      <w:r>
        <w:rPr>
          <w:spacing w:val="-65"/>
        </w:rPr>
      </w:r>
      <w:r>
        <w:rPr>
          <w:spacing w:val="-2"/>
        </w:rPr>
        <w:t>等共</w:t>
      </w:r>
      <w:r>
        <w:rPr>
          <w:rFonts w:ascii="Times New Roman" w:hAnsi="Times New Roman" w:cs="Times New Roman" w:eastAsia="Times New Roman" w:hint="default"/>
          <w:spacing w:val="-2"/>
        </w:rPr>
        <w:t>29</w:t>
      </w:r>
      <w:r>
        <w:rPr>
          <w:spacing w:val="-2"/>
        </w:rPr>
        <w:t>位自然人签订的发起人协议、国务院国有资产监督管理委员会《关于北京四维图新科技股份有限公司国有股权管理有</w:t>
      </w:r>
      <w:r>
        <w:rPr>
          <w:spacing w:val="-63"/>
        </w:rPr>
        <w:t> </w:t>
      </w:r>
      <w:r>
        <w:rPr>
          <w:spacing w:val="-63"/>
        </w:rPr>
      </w:r>
      <w:r>
        <w:rPr>
          <w:spacing w:val="-1"/>
        </w:rPr>
        <w:t>关问题的批复》（国资产权</w:t>
      </w:r>
      <w:r>
        <w:rPr>
          <w:rFonts w:ascii="Times New Roman" w:hAnsi="Times New Roman" w:cs="Times New Roman" w:eastAsia="Times New Roman" w:hint="default"/>
          <w:spacing w:val="-1"/>
        </w:rPr>
        <w:t>[2008]30</w:t>
      </w:r>
      <w:r>
        <w:rPr>
          <w:spacing w:val="-1"/>
        </w:rPr>
        <w:t>号）和中国卫星通信集团公司《关于同意北京四维图新导航信息技术有限公司整体变更</w:t>
      </w:r>
      <w:r>
        <w:rPr>
          <w:spacing w:val="-58"/>
        </w:rPr>
        <w:t> </w:t>
      </w:r>
      <w:r>
        <w:rPr>
          <w:spacing w:val="-58"/>
        </w:rPr>
      </w:r>
      <w:r>
        <w:rPr>
          <w:spacing w:val="-2"/>
        </w:rPr>
        <w:t>为北京四维图新股份有限公司的批复》（中国卫通财</w:t>
      </w:r>
      <w:r>
        <w:rPr>
          <w:rFonts w:ascii="Times New Roman" w:hAnsi="Times New Roman" w:cs="Times New Roman" w:eastAsia="Times New Roman" w:hint="default"/>
          <w:spacing w:val="-2"/>
        </w:rPr>
        <w:t>[2007]342</w:t>
      </w:r>
      <w:r>
        <w:rPr>
          <w:spacing w:val="-2"/>
        </w:rPr>
        <w:t>号），各发起人股东以其各自持有的四维有限截止</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11</w:t>
      </w:r>
      <w:r>
        <w:rPr>
          <w:spacing w:val="-2"/>
        </w:rPr>
        <w:t>月</w:t>
      </w:r>
      <w:r>
        <w:rPr>
          <w:spacing w:val="-83"/>
        </w:rPr>
        <w:t> </w:t>
      </w:r>
      <w:r>
        <w:rPr>
          <w:rFonts w:ascii="Times New Roman" w:hAnsi="Times New Roman" w:cs="Times New Roman" w:eastAsia="Times New Roman" w:hint="default"/>
        </w:rPr>
        <w:t>30</w:t>
      </w:r>
      <w:r>
        <w:rPr/>
        <w:t>日经审计的净资产出资，将四维有限整体变更设立为本公司。本公司于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日在北京市工商行政管理局办理了工</w:t>
      </w:r>
      <w:r>
        <w:rPr>
          <w:spacing w:val="-85"/>
        </w:rPr>
        <w:t> </w:t>
      </w:r>
      <w:r>
        <w:rPr>
          <w:spacing w:val="-85"/>
        </w:rPr>
      </w:r>
      <w:r>
        <w:rPr>
          <w:spacing w:val="-2"/>
        </w:rPr>
        <w:t>商注册登记手续，注册资本</w:t>
      </w:r>
      <w:r>
        <w:rPr>
          <w:rFonts w:ascii="Times New Roman" w:hAnsi="Times New Roman" w:cs="Times New Roman" w:eastAsia="Times New Roman" w:hint="default"/>
          <w:spacing w:val="-2"/>
        </w:rPr>
        <w:t>344,229,579.00</w:t>
      </w:r>
      <w:r>
        <w:rPr>
          <w:spacing w:val="-2"/>
        </w:rPr>
        <w:t>元，其中：中国四维测绘技术总公司出资</w:t>
      </w:r>
      <w:r>
        <w:rPr>
          <w:rFonts w:ascii="Times New Roman" w:hAnsi="Times New Roman" w:cs="Times New Roman" w:eastAsia="Times New Roman" w:hint="default"/>
          <w:spacing w:val="-2"/>
        </w:rPr>
        <w:t>99,923,995.00</w:t>
      </w:r>
      <w:r>
        <w:rPr>
          <w:spacing w:val="-2"/>
        </w:rPr>
        <w:t>元；上海明海商务咨询有限</w:t>
      </w:r>
      <w:r>
        <w:rPr>
          <w:spacing w:val="-40"/>
        </w:rPr>
        <w:t> </w:t>
      </w:r>
      <w:r>
        <w:rPr>
          <w:spacing w:val="-40"/>
        </w:rPr>
      </w:r>
      <w:r>
        <w:rPr>
          <w:spacing w:val="-2"/>
        </w:rPr>
        <w:t>公司出资</w:t>
      </w:r>
      <w:r>
        <w:rPr>
          <w:rFonts w:ascii="Times New Roman" w:hAnsi="Times New Roman" w:cs="Times New Roman" w:eastAsia="Times New Roman" w:hint="default"/>
          <w:spacing w:val="-2"/>
        </w:rPr>
        <w:t>56,762,081.00</w:t>
      </w:r>
      <w:r>
        <w:rPr>
          <w:spacing w:val="-2"/>
        </w:rPr>
        <w:t>元；四维航空遥感有限公司</w:t>
      </w:r>
      <w:r>
        <w:rPr>
          <w:rFonts w:ascii="Times New Roman" w:hAnsi="Times New Roman" w:cs="Times New Roman" w:eastAsia="Times New Roman" w:hint="default"/>
          <w:spacing w:val="-2"/>
        </w:rPr>
        <w:t>31,428,505.00</w:t>
      </w:r>
      <w:r>
        <w:rPr>
          <w:spacing w:val="-2"/>
        </w:rPr>
        <w:t>元；上海赛众投资有限公司</w:t>
      </w:r>
      <w:r>
        <w:rPr>
          <w:rFonts w:ascii="Times New Roman" w:hAnsi="Times New Roman" w:cs="Times New Roman" w:eastAsia="Times New Roman" w:hint="default"/>
          <w:spacing w:val="-2"/>
        </w:rPr>
        <w:t>29,009,604.00</w:t>
      </w:r>
      <w:r>
        <w:rPr>
          <w:spacing w:val="-2"/>
        </w:rPr>
        <w:t>元；广州新维投资咨</w:t>
      </w:r>
      <w:r>
        <w:rPr>
          <w:spacing w:val="-74"/>
        </w:rPr>
        <w:t> </w:t>
      </w:r>
      <w:r>
        <w:rPr>
          <w:spacing w:val="-74"/>
        </w:rPr>
      </w:r>
      <w:r>
        <w:rPr>
          <w:spacing w:val="15"/>
        </w:rPr>
        <w:t>询有限公司</w:t>
      </w:r>
      <w:r>
        <w:rPr>
          <w:spacing w:val="-72"/>
        </w:rPr>
        <w:t> </w:t>
      </w:r>
      <w:r>
        <w:rPr>
          <w:rFonts w:ascii="Times New Roman" w:hAnsi="Times New Roman" w:cs="Times New Roman" w:eastAsia="Times New Roman" w:hint="default"/>
        </w:rPr>
        <w:t>29,009,604.00</w:t>
      </w:r>
      <w:r>
        <w:rPr>
          <w:rFonts w:ascii="Times New Roman" w:hAnsi="Times New Roman" w:cs="Times New Roman" w:eastAsia="Times New Roman" w:hint="default"/>
          <w:spacing w:val="-25"/>
        </w:rPr>
        <w:t> </w:t>
      </w:r>
      <w:r>
        <w:rPr>
          <w:spacing w:val="8"/>
        </w:rPr>
        <w:t>元；</w:t>
      </w:r>
      <w:r>
        <w:rPr>
          <w:spacing w:val="-75"/>
        </w:rPr>
        <w:t> </w:t>
      </w:r>
      <w:r>
        <w:rPr>
          <w:spacing w:val="17"/>
        </w:rPr>
        <w:t>北京商络数据系统有限责任公司</w:t>
      </w:r>
      <w:r>
        <w:rPr>
          <w:spacing w:val="-69"/>
        </w:rPr>
        <w:t> </w:t>
      </w:r>
      <w:r>
        <w:rPr>
          <w:rFonts w:ascii="Times New Roman" w:hAnsi="Times New Roman" w:cs="Times New Roman" w:eastAsia="Times New Roman" w:hint="default"/>
        </w:rPr>
        <w:t>24,190,389.00</w:t>
      </w:r>
      <w:r>
        <w:rPr>
          <w:rFonts w:ascii="Times New Roman" w:hAnsi="Times New Roman" w:cs="Times New Roman" w:eastAsia="Times New Roman" w:hint="default"/>
          <w:spacing w:val="-25"/>
        </w:rPr>
        <w:t> </w:t>
      </w:r>
      <w:r>
        <w:rPr>
          <w:spacing w:val="9"/>
        </w:rPr>
        <w:t>元；</w:t>
      </w:r>
      <w:r>
        <w:rPr>
          <w:spacing w:val="-72"/>
        </w:rPr>
        <w:t> </w:t>
      </w:r>
      <w:r>
        <w:rPr>
          <w:spacing w:val="12"/>
        </w:rPr>
        <w:t>孙玉国、</w:t>
      </w:r>
      <w:r>
        <w:rPr>
          <w:spacing w:val="-72"/>
        </w:rPr>
        <w:t> </w:t>
      </w:r>
      <w:r>
        <w:rPr>
          <w:spacing w:val="14"/>
        </w:rPr>
        <w:t>曾胜利等</w:t>
      </w:r>
      <w:r>
        <w:rPr>
          <w:spacing w:val="-70"/>
        </w:rPr>
        <w:t> </w:t>
      </w:r>
      <w:r>
        <w:rPr>
          <w:rFonts w:ascii="Times New Roman" w:hAnsi="Times New Roman" w:cs="Times New Roman" w:eastAsia="Times New Roman" w:hint="default"/>
        </w:rPr>
        <w:t>29</w:t>
      </w:r>
      <w:r>
        <w:rPr>
          <w:rFonts w:ascii="Times New Roman" w:hAnsi="Times New Roman" w:cs="Times New Roman" w:eastAsia="Times New Roman" w:hint="default"/>
          <w:spacing w:val="-28"/>
        </w:rPr>
        <w:t> </w:t>
      </w:r>
      <w:r>
        <w:rPr>
          <w:spacing w:val="15"/>
        </w:rPr>
        <w:t>位自然人出资</w:t>
      </w:r>
      <w:r>
        <w:rPr>
          <w:spacing w:val="-71"/>
        </w:rPr>
        <w:t> </w:t>
      </w:r>
      <w:r>
        <w:rPr>
          <w:rFonts w:ascii="Times New Roman" w:hAnsi="Times New Roman" w:cs="Times New Roman" w:eastAsia="Times New Roman" w:hint="default"/>
        </w:rPr>
        <w:t>73,905,401.00</w:t>
      </w:r>
      <w:r>
        <w:rPr/>
        <w:t>元。</w:t>
      </w:r>
    </w:p>
    <w:p>
      <w:pPr>
        <w:pStyle w:val="BodyText"/>
        <w:spacing w:line="300" w:lineRule="auto" w:before="11"/>
        <w:ind w:right="1129" w:firstLine="360"/>
        <w:jc w:val="both"/>
      </w:pPr>
      <w:r>
        <w:rPr>
          <w:spacing w:val="-2"/>
        </w:rPr>
        <w:t>经中国证券监督管理委员会证监许可</w:t>
      </w:r>
      <w:r>
        <w:rPr>
          <w:rFonts w:ascii="Times New Roman" w:hAnsi="Times New Roman" w:cs="Times New Roman" w:eastAsia="Times New Roman" w:hint="default"/>
          <w:spacing w:val="-2"/>
        </w:rPr>
        <w:t>[2010]438</w:t>
      </w:r>
      <w:r>
        <w:rPr>
          <w:spacing w:val="-2"/>
        </w:rPr>
        <w:t>号文核准，</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月本公司向社会首次公开发行人民币普通股股票</w:t>
      </w:r>
      <w:r>
        <w:rPr>
          <w:rFonts w:ascii="Times New Roman" w:hAnsi="Times New Roman" w:cs="Times New Roman" w:eastAsia="Times New Roman" w:hint="default"/>
          <w:spacing w:val="-2"/>
        </w:rPr>
        <w:t>5,600</w:t>
      </w:r>
      <w:r>
        <w:rPr>
          <w:rFonts w:ascii="Times New Roman" w:hAnsi="Times New Roman" w:cs="Times New Roman" w:eastAsia="Times New Roman" w:hint="default"/>
        </w:rPr>
        <w:t> </w:t>
      </w:r>
      <w:r>
        <w:rPr>
          <w:spacing w:val="-3"/>
        </w:rPr>
        <w:t>万股（每股面值</w:t>
      </w:r>
      <w:r>
        <w:rPr>
          <w:rFonts w:ascii="Times New Roman" w:hAnsi="Times New Roman" w:cs="Times New Roman" w:eastAsia="Times New Roman" w:hint="default"/>
          <w:spacing w:val="-3"/>
        </w:rPr>
        <w:t>1</w:t>
      </w:r>
      <w:r>
        <w:rPr>
          <w:spacing w:val="-3"/>
        </w:rPr>
        <w:t>元），增加注册资本</w:t>
      </w:r>
      <w:r>
        <w:rPr>
          <w:rFonts w:ascii="Times New Roman" w:hAnsi="Times New Roman" w:cs="Times New Roman" w:eastAsia="Times New Roman" w:hint="default"/>
          <w:spacing w:val="-3"/>
        </w:rPr>
        <w:t>56,000,000.00</w:t>
      </w:r>
      <w:r>
        <w:rPr>
          <w:spacing w:val="-3"/>
        </w:rPr>
        <w:t>元。信永中和会计师事务所对本公司首次公开发行人民币普通股股票的资</w:t>
      </w:r>
      <w:r>
        <w:rPr>
          <w:spacing w:val="-40"/>
        </w:rPr>
        <w:t> </w:t>
      </w:r>
      <w:r>
        <w:rPr>
          <w:spacing w:val="-40"/>
        </w:rPr>
      </w:r>
      <w:r>
        <w:rPr>
          <w:spacing w:val="-1"/>
        </w:rPr>
        <w:t>金到位情况进行了审验，并于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7</w:t>
      </w:r>
      <w:r>
        <w:rPr>
          <w:spacing w:val="-1"/>
        </w:rPr>
        <w:t>日出具</w:t>
      </w:r>
      <w:r>
        <w:rPr>
          <w:rFonts w:ascii="Times New Roman" w:hAnsi="Times New Roman" w:cs="Times New Roman" w:eastAsia="Times New Roman" w:hint="default"/>
          <w:spacing w:val="-1"/>
        </w:rPr>
        <w:t>“XYZH/2009A7057</w:t>
      </w:r>
      <w:r>
        <w:rPr>
          <w:spacing w:val="-1"/>
        </w:rPr>
        <w:t>号</w:t>
      </w:r>
      <w:r>
        <w:rPr>
          <w:rFonts w:ascii="Times New Roman" w:hAnsi="Times New Roman" w:cs="Times New Roman" w:eastAsia="Times New Roman" w:hint="default"/>
          <w:spacing w:val="-1"/>
        </w:rPr>
        <w:t>”</w:t>
      </w:r>
      <w:r>
        <w:rPr>
          <w:spacing w:val="-1"/>
        </w:rPr>
        <w:t>验资报告。</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9</w:t>
      </w:r>
      <w:r>
        <w:rPr>
          <w:spacing w:val="-1"/>
        </w:rPr>
        <w:t>日，本公司取得了北京市工商</w:t>
      </w:r>
      <w:r>
        <w:rPr>
          <w:spacing w:val="-53"/>
        </w:rPr>
        <w:t> </w:t>
      </w:r>
      <w:r>
        <w:rPr>
          <w:spacing w:val="-53"/>
        </w:rPr>
      </w:r>
      <w:r>
        <w:rPr/>
        <w:t>行政管理局换发的《企业法人营业执照》，变更后的注册资本为</w:t>
      </w:r>
      <w:r>
        <w:rPr>
          <w:rFonts w:ascii="Times New Roman" w:hAnsi="Times New Roman" w:cs="Times New Roman" w:eastAsia="Times New Roman" w:hint="default"/>
        </w:rPr>
        <w:t>400,229,579.00</w:t>
      </w:r>
      <w:r>
        <w:rPr/>
        <w:t>元。</w:t>
      </w:r>
    </w:p>
    <w:p>
      <w:pPr>
        <w:pStyle w:val="BodyText"/>
        <w:spacing w:line="300" w:lineRule="auto" w:before="13"/>
        <w:ind w:right="0" w:firstLine="360"/>
        <w:jc w:val="left"/>
      </w:pPr>
      <w:r>
        <w:rPr>
          <w:spacing w:val="-3"/>
        </w:rPr>
        <w:t>经深圳证券交易所《关于北京四维图新科技股份有限公司人民币普通股股票上市的通知》（深证上</w:t>
      </w:r>
      <w:r>
        <w:rPr>
          <w:rFonts w:ascii="Times New Roman" w:hAnsi="Times New Roman" w:cs="Times New Roman" w:eastAsia="Times New Roman" w:hint="default"/>
          <w:spacing w:val="-3"/>
        </w:rPr>
        <w:t>[2010]151</w:t>
      </w:r>
      <w:r>
        <w:rPr>
          <w:spacing w:val="-3"/>
        </w:rPr>
        <w:t>号）同意，</w:t>
      </w:r>
      <w:r>
        <w:rPr/>
        <w:t> </w:t>
      </w:r>
      <w:r>
        <w:rPr>
          <w:spacing w:val="-3"/>
        </w:rPr>
        <w:t>本公司首次公开发行的人民币普通股股票于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18</w:t>
      </w:r>
      <w:r>
        <w:rPr>
          <w:spacing w:val="-3"/>
        </w:rPr>
        <w:t>日在深圳证券交易所上市，股票简称</w:t>
      </w:r>
      <w:r>
        <w:rPr>
          <w:rFonts w:ascii="Times New Roman" w:hAnsi="Times New Roman" w:cs="Times New Roman" w:eastAsia="Times New Roman" w:hint="default"/>
          <w:spacing w:val="-3"/>
        </w:rPr>
        <w:t>“</w:t>
      </w:r>
      <w:r>
        <w:rPr>
          <w:spacing w:val="-3"/>
        </w:rPr>
        <w:t>四维图新</w:t>
      </w:r>
      <w:r>
        <w:rPr>
          <w:rFonts w:ascii="Times New Roman" w:hAnsi="Times New Roman" w:cs="Times New Roman" w:eastAsia="Times New Roman" w:hint="default"/>
          <w:spacing w:val="-3"/>
        </w:rPr>
        <w:t>”</w:t>
      </w:r>
      <w:r>
        <w:rPr>
          <w:spacing w:val="-3"/>
        </w:rPr>
        <w:t>，股票代码</w:t>
      </w:r>
      <w:r>
        <w:rPr>
          <w:rFonts w:ascii="Times New Roman" w:hAnsi="Times New Roman" w:cs="Times New Roman" w:eastAsia="Times New Roman" w:hint="default"/>
          <w:spacing w:val="-3"/>
        </w:rPr>
        <w:t>“002405”</w:t>
      </w:r>
      <w:r>
        <w:rPr>
          <w:spacing w:val="-3"/>
        </w:rPr>
        <w:t>。</w:t>
      </w:r>
    </w:p>
    <w:p>
      <w:pPr>
        <w:pStyle w:val="BodyText"/>
        <w:spacing w:line="300" w:lineRule="auto" w:before="13"/>
        <w:ind w:right="1128" w:firstLine="360"/>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日，经本公司</w:t>
      </w:r>
      <w:r>
        <w:rPr>
          <w:rFonts w:ascii="Times New Roman" w:hAnsi="Times New Roman" w:cs="Times New Roman" w:eastAsia="Times New Roman" w:hint="default"/>
          <w:spacing w:val="-2"/>
        </w:rPr>
        <w:t>2010</w:t>
      </w:r>
      <w:r>
        <w:rPr>
          <w:spacing w:val="-2"/>
        </w:rPr>
        <w:t>年度股东大会审议批准，本公司以资本公积向全体股东每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2</w:t>
      </w:r>
      <w:r>
        <w:rPr>
          <w:spacing w:val="-2"/>
        </w:rPr>
        <w:t>股，转增后公司注册</w:t>
      </w:r>
      <w:r>
        <w:rPr/>
        <w:t> </w:t>
      </w:r>
      <w:r>
        <w:rPr>
          <w:spacing w:val="2"/>
        </w:rPr>
        <w:t>资本由</w:t>
      </w:r>
      <w:r>
        <w:rPr>
          <w:rFonts w:ascii="Times New Roman" w:hAnsi="Times New Roman" w:cs="Times New Roman" w:eastAsia="Times New Roman" w:hint="default"/>
          <w:spacing w:val="2"/>
        </w:rPr>
        <w:t>400,229,579.00</w:t>
      </w:r>
      <w:r>
        <w:rPr>
          <w:spacing w:val="2"/>
        </w:rPr>
        <w:t>元增加至</w:t>
      </w:r>
      <w:r>
        <w:rPr>
          <w:rFonts w:ascii="Times New Roman" w:hAnsi="Times New Roman" w:cs="Times New Roman" w:eastAsia="Times New Roman" w:hint="default"/>
          <w:spacing w:val="2"/>
        </w:rPr>
        <w:t>480,275,494.00</w:t>
      </w:r>
      <w:r>
        <w:rPr>
          <w:spacing w:val="2"/>
        </w:rPr>
        <w:t>元。本公司本次资本公积转增资本已经信永中和会计师事务所审验，并出具</w:t>
      </w:r>
      <w:r>
        <w:rPr>
          <w:spacing w:val="-75"/>
        </w:rPr>
        <w:t> </w:t>
      </w:r>
      <w:r>
        <w:rPr>
          <w:spacing w:val="-75"/>
        </w:rPr>
      </w:r>
      <w:r>
        <w:rPr>
          <w:rFonts w:ascii="Times New Roman" w:hAnsi="Times New Roman" w:cs="Times New Roman" w:eastAsia="Times New Roman" w:hint="default"/>
        </w:rPr>
        <w:t>“XYZH/2010A7046</w:t>
      </w:r>
      <w:r>
        <w:rPr/>
        <w:t>号</w:t>
      </w:r>
      <w:r>
        <w:rPr>
          <w:rFonts w:ascii="Times New Roman" w:hAnsi="Times New Roman" w:cs="Times New Roman" w:eastAsia="Times New Roman" w:hint="default"/>
        </w:rPr>
        <w:t>”</w:t>
      </w:r>
      <w:r>
        <w:rPr/>
        <w:t>验资报告予以确认。</w:t>
      </w:r>
    </w:p>
    <w:p>
      <w:pPr>
        <w:pStyle w:val="BodyText"/>
        <w:spacing w:line="300" w:lineRule="auto" w:before="13"/>
        <w:ind w:right="1128" w:firstLine="360"/>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日，经本公司</w:t>
      </w:r>
      <w:r>
        <w:rPr>
          <w:rFonts w:ascii="Times New Roman" w:hAnsi="Times New Roman" w:cs="Times New Roman" w:eastAsia="Times New Roman" w:hint="default"/>
          <w:spacing w:val="-2"/>
        </w:rPr>
        <w:t>2011</w:t>
      </w:r>
      <w:r>
        <w:rPr>
          <w:spacing w:val="-2"/>
        </w:rPr>
        <w:t>年度股东大会审议批准，本公司以资本公积向全体股东每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2</w:t>
      </w:r>
      <w:r>
        <w:rPr>
          <w:spacing w:val="-2"/>
        </w:rPr>
        <w:t>股，转增后公司注册</w:t>
      </w:r>
      <w:r>
        <w:rPr/>
        <w:t> </w:t>
      </w:r>
      <w:r>
        <w:rPr>
          <w:spacing w:val="2"/>
        </w:rPr>
        <w:t>资本由</w:t>
      </w:r>
      <w:r>
        <w:rPr>
          <w:rFonts w:ascii="Times New Roman" w:hAnsi="Times New Roman" w:cs="Times New Roman" w:eastAsia="Times New Roman" w:hint="default"/>
          <w:spacing w:val="2"/>
        </w:rPr>
        <w:t>480,275,494.00</w:t>
      </w:r>
      <w:r>
        <w:rPr>
          <w:spacing w:val="2"/>
        </w:rPr>
        <w:t>元增加至</w:t>
      </w:r>
      <w:r>
        <w:rPr>
          <w:rFonts w:ascii="Times New Roman" w:hAnsi="Times New Roman" w:cs="Times New Roman" w:eastAsia="Times New Roman" w:hint="default"/>
          <w:spacing w:val="2"/>
        </w:rPr>
        <w:t>576,330,592.00</w:t>
      </w:r>
      <w:r>
        <w:rPr>
          <w:spacing w:val="2"/>
        </w:rPr>
        <w:t>元。本公司本次资本公积转增资本已经信永中和会计师事务所审验，并出具</w:t>
      </w:r>
      <w:r>
        <w:rPr>
          <w:spacing w:val="-75"/>
        </w:rPr>
        <w:t> </w:t>
      </w:r>
      <w:r>
        <w:rPr>
          <w:spacing w:val="-75"/>
        </w:rPr>
      </w:r>
      <w:r>
        <w:rPr>
          <w:rFonts w:ascii="Times New Roman" w:hAnsi="Times New Roman" w:cs="Times New Roman" w:eastAsia="Times New Roman" w:hint="default"/>
        </w:rPr>
        <w:t>“XYZH/2012A7017</w:t>
      </w:r>
      <w:r>
        <w:rPr/>
        <w:t>号</w:t>
      </w:r>
      <w:r>
        <w:rPr>
          <w:rFonts w:ascii="Times New Roman" w:hAnsi="Times New Roman" w:cs="Times New Roman" w:eastAsia="Times New Roman" w:hint="default"/>
        </w:rPr>
        <w:t>”</w:t>
      </w:r>
      <w:r>
        <w:rPr/>
        <w:t>验资报告予以确认。</w:t>
      </w:r>
    </w:p>
    <w:p>
      <w:pPr>
        <w:pStyle w:val="BodyText"/>
        <w:spacing w:line="300" w:lineRule="auto" w:before="13"/>
        <w:ind w:right="1128" w:firstLine="360"/>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日，经本公司</w:t>
      </w:r>
      <w:r>
        <w:rPr>
          <w:rFonts w:ascii="Times New Roman" w:hAnsi="Times New Roman" w:cs="Times New Roman" w:eastAsia="Times New Roman" w:hint="default"/>
          <w:spacing w:val="-2"/>
        </w:rPr>
        <w:t>2012</w:t>
      </w:r>
      <w:r>
        <w:rPr>
          <w:spacing w:val="-2"/>
        </w:rPr>
        <w:t>年度股东大会审议批准，本公司以资本公积向全体股东每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2</w:t>
      </w:r>
      <w:r>
        <w:rPr>
          <w:spacing w:val="-2"/>
        </w:rPr>
        <w:t>股，转增后公司注册</w:t>
      </w:r>
      <w:r>
        <w:rPr/>
        <w:t> </w:t>
      </w:r>
      <w:r>
        <w:rPr>
          <w:spacing w:val="2"/>
        </w:rPr>
        <w:t>资本由</w:t>
      </w:r>
      <w:r>
        <w:rPr>
          <w:rFonts w:ascii="Times New Roman" w:hAnsi="Times New Roman" w:cs="Times New Roman" w:eastAsia="Times New Roman" w:hint="default"/>
          <w:spacing w:val="2"/>
        </w:rPr>
        <w:t>576,330,592.00</w:t>
      </w:r>
      <w:r>
        <w:rPr>
          <w:spacing w:val="2"/>
        </w:rPr>
        <w:t>元增加至</w:t>
      </w:r>
      <w:r>
        <w:rPr>
          <w:rFonts w:ascii="Times New Roman" w:hAnsi="Times New Roman" w:cs="Times New Roman" w:eastAsia="Times New Roman" w:hint="default"/>
          <w:spacing w:val="2"/>
        </w:rPr>
        <w:t>691,596,710.00</w:t>
      </w:r>
      <w:r>
        <w:rPr>
          <w:spacing w:val="2"/>
        </w:rPr>
        <w:t>元。本公司本次资本公积转增资本已经信永中和会计师事务所审验，并出具</w:t>
      </w:r>
      <w:r>
        <w:rPr>
          <w:spacing w:val="-75"/>
        </w:rPr>
        <w:t> </w:t>
      </w:r>
      <w:r>
        <w:rPr>
          <w:spacing w:val="-75"/>
        </w:rPr>
      </w:r>
      <w:r>
        <w:rPr>
          <w:rFonts w:ascii="Times New Roman" w:hAnsi="Times New Roman" w:cs="Times New Roman" w:eastAsia="Times New Roman" w:hint="default"/>
        </w:rPr>
        <w:t>“XYZH/2012A4086</w:t>
      </w:r>
      <w:r>
        <w:rPr/>
        <w:t>号</w:t>
      </w:r>
      <w:r>
        <w:rPr>
          <w:rFonts w:ascii="Times New Roman" w:hAnsi="Times New Roman" w:cs="Times New Roman" w:eastAsia="Times New Roman" w:hint="default"/>
        </w:rPr>
        <w:t>”</w:t>
      </w:r>
      <w:r>
        <w:rPr/>
        <w:t>验资报告予以确认。</w:t>
      </w:r>
    </w:p>
    <w:p>
      <w:pPr>
        <w:pStyle w:val="BodyText"/>
        <w:spacing w:line="300" w:lineRule="auto" w:before="13"/>
        <w:ind w:right="1135"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日，中国四维测绘技术有限公司与深圳市腾讯产业投资基金有限公司签署了股份转让协议，转让中国四维 测绘技术有限公司持有的本公司股份</w:t>
      </w:r>
      <w:r>
        <w:rPr>
          <w:rFonts w:ascii="Times New Roman" w:hAnsi="Times New Roman" w:cs="Times New Roman" w:eastAsia="Times New Roman" w:hint="default"/>
        </w:rPr>
        <w:t>78,000,000.00</w:t>
      </w:r>
      <w:r>
        <w:rPr/>
        <w:t>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日，公司收到中国四维测绘技术有限公司转来的中国证</w:t>
      </w:r>
      <w:r>
        <w:rPr>
          <w:spacing w:val="-50"/>
        </w:rPr>
        <w:t> </w:t>
      </w:r>
      <w:r>
        <w:rPr>
          <w:spacing w:val="-50"/>
        </w:rPr>
      </w:r>
      <w:r>
        <w:rPr/>
        <w:t>券登记结算有限责任公司深圳分公司出具的过户登记确认书，确认过户登记手续于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日办理完毕。</w:t>
      </w:r>
    </w:p>
    <w:p>
      <w:pPr>
        <w:pStyle w:val="BodyText"/>
        <w:spacing w:line="300" w:lineRule="auto" w:before="13"/>
        <w:ind w:right="1130" w:firstLine="360"/>
        <w:jc w:val="both"/>
      </w:pPr>
      <w:r>
        <w:rPr>
          <w:spacing w:val="-5"/>
        </w:rPr>
        <w:t>经本公司</w:t>
      </w:r>
      <w:r>
        <w:rPr>
          <w:rFonts w:ascii="Times New Roman" w:hAnsi="Times New Roman" w:cs="Times New Roman" w:eastAsia="Times New Roman" w:hint="default"/>
          <w:spacing w:val="-5"/>
        </w:rPr>
        <w:t>2015</w:t>
      </w:r>
      <w:r>
        <w:rPr>
          <w:spacing w:val="-5"/>
        </w:rPr>
        <w:t>年第一次临时股东大会审议通过的《北京四维图新科技股份有限公司限制性股票激励计划（草案修订稿）》</w:t>
      </w:r>
      <w:r>
        <w:rPr/>
        <w:t> </w:t>
      </w:r>
      <w:r>
        <w:rPr>
          <w:spacing w:val="-2"/>
        </w:rPr>
        <w:t>及其摘要、第三届董事会第十三次会议审议通过的《关于向激励对象授予限制性股票的议案》、《关于调整限制性股票激励</w:t>
      </w:r>
    </w:p>
    <w:p>
      <w:pPr>
        <w:spacing w:after="0" w:line="300" w:lineRule="auto"/>
        <w:jc w:val="both"/>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28"/>
        <w:jc w:val="both"/>
      </w:pPr>
      <w:r>
        <w:rPr/>
        <w:t>计划授予价格的议案》，本公司以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日为授予日，按</w:t>
      </w:r>
      <w:r>
        <w:rPr>
          <w:rFonts w:ascii="Times New Roman" w:hAnsi="Times New Roman" w:cs="Times New Roman" w:eastAsia="Times New Roman" w:hint="default"/>
        </w:rPr>
        <w:t>11.279</w:t>
      </w:r>
      <w:r>
        <w:rPr/>
        <w:t>元</w:t>
      </w:r>
      <w:r>
        <w:rPr>
          <w:rFonts w:ascii="Times New Roman" w:hAnsi="Times New Roman" w:cs="Times New Roman" w:eastAsia="Times New Roman" w:hint="default"/>
        </w:rPr>
        <w:t>/</w:t>
      </w:r>
      <w:r>
        <w:rPr/>
        <w:t>股授予价格，向</w:t>
      </w:r>
      <w:r>
        <w:rPr>
          <w:rFonts w:ascii="Times New Roman" w:hAnsi="Times New Roman" w:cs="Times New Roman" w:eastAsia="Times New Roman" w:hint="default"/>
        </w:rPr>
        <w:t>482</w:t>
      </w:r>
      <w:r>
        <w:rPr/>
        <w:t>名激励对象授予</w:t>
      </w:r>
      <w:r>
        <w:rPr>
          <w:rFonts w:ascii="Times New Roman" w:hAnsi="Times New Roman" w:cs="Times New Roman" w:eastAsia="Times New Roman" w:hint="default"/>
        </w:rPr>
        <w:t>1,780.68</w:t>
      </w:r>
      <w:r>
        <w:rPr/>
        <w:t>万股限 </w:t>
      </w:r>
      <w:r>
        <w:rPr>
          <w:spacing w:val="-2"/>
        </w:rPr>
        <w:t>制性股票。此次变更实际增加股本</w:t>
      </w:r>
      <w:r>
        <w:rPr>
          <w:rFonts w:ascii="Times New Roman" w:hAnsi="Times New Roman" w:cs="Times New Roman" w:eastAsia="Times New Roman" w:hint="default"/>
          <w:spacing w:val="-2"/>
        </w:rPr>
        <w:t>17,806,800.00</w:t>
      </w:r>
      <w:r>
        <w:rPr>
          <w:spacing w:val="-2"/>
        </w:rPr>
        <w:t>元，其余</w:t>
      </w:r>
      <w:r>
        <w:rPr>
          <w:rFonts w:ascii="Times New Roman" w:hAnsi="Times New Roman" w:cs="Times New Roman" w:eastAsia="Times New Roman" w:hint="default"/>
          <w:spacing w:val="-2"/>
        </w:rPr>
        <w:t>183,036,097.20</w:t>
      </w:r>
      <w:r>
        <w:rPr>
          <w:spacing w:val="-2"/>
        </w:rPr>
        <w:t>元作为股本溢价，变更后的股本为</w:t>
      </w:r>
      <w:r>
        <w:rPr>
          <w:rFonts w:ascii="Times New Roman" w:hAnsi="Times New Roman" w:cs="Times New Roman" w:eastAsia="Times New Roman" w:hint="default"/>
          <w:spacing w:val="-2"/>
        </w:rPr>
        <w:t>709,403,510.00</w:t>
      </w:r>
      <w:r>
        <w:rPr>
          <w:spacing w:val="-2"/>
        </w:rPr>
        <w:t>元。</w:t>
      </w:r>
      <w:r>
        <w:rPr>
          <w:spacing w:val="-81"/>
        </w:rPr>
        <w:t> </w:t>
      </w:r>
      <w:r>
        <w:rPr/>
        <w:t>此次变更业经信永中和会计师事务所（特殊普通合伙）出具</w:t>
      </w:r>
      <w:r>
        <w:rPr>
          <w:rFonts w:ascii="Times New Roman" w:hAnsi="Times New Roman" w:cs="Times New Roman" w:eastAsia="Times New Roman" w:hint="default"/>
        </w:rPr>
        <w:t>XYZH/2015BJA70103</w:t>
      </w:r>
      <w:r>
        <w:rPr/>
        <w:t>号《验资报告》予以审验。</w:t>
      </w:r>
    </w:p>
    <w:p>
      <w:pPr>
        <w:pStyle w:val="BodyText"/>
        <w:spacing w:line="300" w:lineRule="auto" w:before="13"/>
        <w:ind w:right="1128" w:firstLine="360"/>
        <w:jc w:val="both"/>
      </w:pPr>
      <w:r>
        <w:rPr>
          <w:spacing w:val="-5"/>
        </w:rPr>
        <w:t>经本公司</w:t>
      </w:r>
      <w:r>
        <w:rPr>
          <w:rFonts w:ascii="Times New Roman" w:hAnsi="Times New Roman" w:cs="Times New Roman" w:eastAsia="Times New Roman" w:hint="default"/>
          <w:spacing w:val="-5"/>
        </w:rPr>
        <w:t>2015</w:t>
      </w:r>
      <w:r>
        <w:rPr>
          <w:spacing w:val="-5"/>
        </w:rPr>
        <w:t>年第一次临时股东大会审议通过的《北京四维图新科技股份有限公司限制性股票激励计划（草案修订稿）》</w:t>
      </w:r>
      <w:r>
        <w:rPr/>
        <w:t> 及其摘要、第三届董事会第十五次会议审议通过的《关于向激励对象授予预留限制性股票的议案》，本公司以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rFonts w:ascii="Times New Roman" w:hAnsi="Times New Roman" w:cs="Times New Roman" w:eastAsia="Times New Roman" w:hint="default"/>
          <w:spacing w:val="-37"/>
        </w:rPr>
        <w:t> </w:t>
      </w:r>
      <w:r>
        <w:rPr/>
        <w:t>日为授予日，按</w:t>
      </w:r>
      <w:r>
        <w:rPr>
          <w:rFonts w:ascii="Times New Roman" w:hAnsi="Times New Roman" w:cs="Times New Roman" w:eastAsia="Times New Roman" w:hint="default"/>
        </w:rPr>
        <w:t>13.87</w:t>
      </w:r>
      <w:r>
        <w:rPr/>
        <w:t>元</w:t>
      </w:r>
      <w:r>
        <w:rPr>
          <w:rFonts w:ascii="Times New Roman" w:hAnsi="Times New Roman" w:cs="Times New Roman" w:eastAsia="Times New Roman" w:hint="default"/>
        </w:rPr>
        <w:t>/</w:t>
      </w:r>
      <w:r>
        <w:rPr/>
        <w:t>股授予价格，向</w:t>
      </w:r>
      <w:r>
        <w:rPr>
          <w:rFonts w:ascii="Times New Roman" w:hAnsi="Times New Roman" w:cs="Times New Roman" w:eastAsia="Times New Roman" w:hint="default"/>
        </w:rPr>
        <w:t>77</w:t>
      </w:r>
      <w:r>
        <w:rPr/>
        <w:t>名激励对象授予</w:t>
      </w:r>
      <w:r>
        <w:rPr>
          <w:rFonts w:ascii="Times New Roman" w:hAnsi="Times New Roman" w:cs="Times New Roman" w:eastAsia="Times New Roman" w:hint="default"/>
        </w:rPr>
        <w:t>203.30</w:t>
      </w:r>
      <w:r>
        <w:rPr/>
        <w:t>万股限制性股票。此次变更实际增加股本</w:t>
      </w:r>
      <w:r>
        <w:rPr>
          <w:rFonts w:ascii="Times New Roman" w:hAnsi="Times New Roman" w:cs="Times New Roman" w:eastAsia="Times New Roman" w:hint="default"/>
        </w:rPr>
        <w:t>2,033,000.00</w:t>
      </w:r>
      <w:r>
        <w:rPr/>
        <w:t>元， </w:t>
      </w:r>
      <w:r>
        <w:rPr>
          <w:spacing w:val="-4"/>
        </w:rPr>
        <w:t>其余</w:t>
      </w:r>
      <w:r>
        <w:rPr>
          <w:rFonts w:ascii="Times New Roman" w:hAnsi="Times New Roman" w:cs="Times New Roman" w:eastAsia="Times New Roman" w:hint="default"/>
          <w:spacing w:val="-4"/>
        </w:rPr>
        <w:t>26,164,710.00</w:t>
      </w:r>
      <w:r>
        <w:rPr>
          <w:spacing w:val="-4"/>
        </w:rPr>
        <w:t>元作为股本溢价，变更后的股本为</w:t>
      </w:r>
      <w:r>
        <w:rPr>
          <w:rFonts w:ascii="Times New Roman" w:hAnsi="Times New Roman" w:cs="Times New Roman" w:eastAsia="Times New Roman" w:hint="default"/>
          <w:spacing w:val="-4"/>
        </w:rPr>
        <w:t>711,436,510.00</w:t>
      </w:r>
      <w:r>
        <w:rPr>
          <w:spacing w:val="-4"/>
        </w:rPr>
        <w:t>元。此次变更业经信永中和会计师事务所（特殊普通合伙）</w:t>
      </w:r>
      <w:r>
        <w:rPr>
          <w:spacing w:val="-84"/>
        </w:rPr>
        <w:t> </w:t>
      </w:r>
      <w:r>
        <w:rPr>
          <w:spacing w:val="-84"/>
        </w:rPr>
      </w:r>
      <w:r>
        <w:rPr/>
        <w:t>出具</w:t>
      </w:r>
      <w:r>
        <w:rPr>
          <w:rFonts w:ascii="Times New Roman" w:hAnsi="Times New Roman" w:cs="Times New Roman" w:eastAsia="Times New Roman" w:hint="default"/>
        </w:rPr>
        <w:t>XYZH/2015BJA70117</w:t>
      </w:r>
      <w:r>
        <w:rPr/>
        <w:t>号《验资报告》予以审验。</w:t>
      </w:r>
    </w:p>
    <w:p>
      <w:pPr>
        <w:pStyle w:val="BodyText"/>
        <w:spacing w:line="300" w:lineRule="auto" w:before="13"/>
        <w:ind w:right="1128" w:firstLine="360"/>
        <w:jc w:val="both"/>
      </w:pPr>
      <w:r>
        <w:rPr>
          <w:spacing w:val="-2"/>
        </w:rPr>
        <w:t>经本公司</w:t>
      </w:r>
      <w:r>
        <w:rPr>
          <w:rFonts w:ascii="Times New Roman" w:hAnsi="Times New Roman" w:cs="Times New Roman" w:eastAsia="Times New Roman" w:hint="default"/>
          <w:spacing w:val="-2"/>
        </w:rPr>
        <w:t>2016</w:t>
      </w:r>
      <w:r>
        <w:rPr>
          <w:spacing w:val="-2"/>
        </w:rPr>
        <w:t>年第三届董事会第十九次会议审议通过的《关于回购注销部分限制性股票的议案》，公司申请减少注册资</w:t>
      </w:r>
      <w:r>
        <w:rPr/>
        <w:t> </w:t>
      </w:r>
      <w:r>
        <w:rPr>
          <w:spacing w:val="-2"/>
        </w:rPr>
        <w:t>本人民币</w:t>
      </w:r>
      <w:r>
        <w:rPr>
          <w:rFonts w:ascii="Times New Roman" w:hAnsi="Times New Roman" w:cs="Times New Roman" w:eastAsia="Times New Roman" w:hint="default"/>
          <w:spacing w:val="-2"/>
        </w:rPr>
        <w:t>279,000.00</w:t>
      </w:r>
      <w:r>
        <w:rPr>
          <w:spacing w:val="-2"/>
        </w:rPr>
        <w:t>元，回购有限售条件股份</w:t>
      </w:r>
      <w:r>
        <w:rPr>
          <w:rFonts w:ascii="Times New Roman" w:hAnsi="Times New Roman" w:cs="Times New Roman" w:eastAsia="Times New Roman" w:hint="default"/>
          <w:spacing w:val="-2"/>
        </w:rPr>
        <w:t>279,000</w:t>
      </w:r>
      <w:r>
        <w:rPr>
          <w:spacing w:val="-2"/>
        </w:rPr>
        <w:t>股后予以注销，注册资本由</w:t>
      </w:r>
      <w:r>
        <w:rPr>
          <w:rFonts w:ascii="Times New Roman" w:hAnsi="Times New Roman" w:cs="Times New Roman" w:eastAsia="Times New Roman" w:hint="default"/>
          <w:spacing w:val="-2"/>
        </w:rPr>
        <w:t>711,436,510.00</w:t>
      </w:r>
      <w:r>
        <w:rPr>
          <w:spacing w:val="-2"/>
        </w:rPr>
        <w:t>元减少至</w:t>
      </w:r>
      <w:r>
        <w:rPr>
          <w:rFonts w:ascii="Times New Roman" w:hAnsi="Times New Roman" w:cs="Times New Roman" w:eastAsia="Times New Roman" w:hint="default"/>
          <w:spacing w:val="-2"/>
        </w:rPr>
        <w:t>711,157,510.00</w:t>
      </w:r>
      <w:r>
        <w:rPr>
          <w:spacing w:val="-2"/>
        </w:rPr>
        <w:t>元。此</w:t>
      </w:r>
      <w:r>
        <w:rPr>
          <w:spacing w:val="-75"/>
        </w:rPr>
        <w:t> </w:t>
      </w:r>
      <w:r>
        <w:rPr>
          <w:spacing w:val="-75"/>
        </w:rPr>
      </w:r>
      <w:r>
        <w:rPr/>
        <w:t>次变更业经信永中和会计师事务所（特殊普通合伙）出具</w:t>
      </w:r>
      <w:r>
        <w:rPr>
          <w:rFonts w:ascii="Times New Roman" w:hAnsi="Times New Roman" w:cs="Times New Roman" w:eastAsia="Times New Roman" w:hint="default"/>
        </w:rPr>
        <w:t>“XYZH/2015BJA70178”</w:t>
      </w:r>
      <w:r>
        <w:rPr/>
        <w:t>号验资报告予以审验。</w:t>
      </w:r>
    </w:p>
    <w:p>
      <w:pPr>
        <w:pStyle w:val="BodyText"/>
        <w:spacing w:line="300" w:lineRule="auto" w:before="13"/>
        <w:ind w:right="1131"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日，经本公司</w:t>
      </w:r>
      <w:r>
        <w:rPr>
          <w:rFonts w:ascii="Times New Roman" w:hAnsi="Times New Roman" w:cs="Times New Roman" w:eastAsia="Times New Roman" w:hint="default"/>
        </w:rPr>
        <w:t>2015</w:t>
      </w:r>
      <w:r>
        <w:rPr/>
        <w:t>年度股东大会审议批准，本公司以资本公积金向全体股东每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股，转增后本公司 注册资本由</w:t>
      </w:r>
      <w:r>
        <w:rPr>
          <w:rFonts w:ascii="Times New Roman" w:hAnsi="Times New Roman" w:cs="Times New Roman" w:eastAsia="Times New Roman" w:hint="default"/>
        </w:rPr>
        <w:t>711,157,510.00</w:t>
      </w:r>
      <w:r>
        <w:rPr/>
        <w:t>元增加至</w:t>
      </w:r>
      <w:r>
        <w:rPr>
          <w:rFonts w:ascii="Times New Roman" w:hAnsi="Times New Roman" w:cs="Times New Roman" w:eastAsia="Times New Roman" w:hint="default"/>
        </w:rPr>
        <w:t>1,066,736,265.00</w:t>
      </w:r>
      <w:r>
        <w:rPr/>
        <w:t>元。</w:t>
      </w:r>
    </w:p>
    <w:p>
      <w:pPr>
        <w:pStyle w:val="BodyText"/>
        <w:spacing w:line="304" w:lineRule="auto" w:before="13"/>
        <w:ind w:right="1034" w:firstLine="360"/>
        <w:jc w:val="left"/>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15</w:t>
      </w:r>
      <w:r>
        <w:rPr>
          <w:spacing w:val="-2"/>
        </w:rPr>
        <w:t>日，根据本公司</w:t>
      </w:r>
      <w:r>
        <w:rPr>
          <w:rFonts w:ascii="Times New Roman" w:hAnsi="Times New Roman" w:cs="Times New Roman" w:eastAsia="Times New Roman" w:hint="default"/>
          <w:spacing w:val="-2"/>
        </w:rPr>
        <w:t>2015</w:t>
      </w:r>
      <w:r>
        <w:rPr>
          <w:spacing w:val="-2"/>
        </w:rPr>
        <w:t>年第一次临时股东大会审议通过的《北京四维图新科技股份有限公司限制性股票激励</w:t>
      </w:r>
      <w:r>
        <w:rPr/>
        <w:t> 计划（草案修订稿）》及其摘要、公司第三届董事会第二十五次会议审议通过的《关于回购注销部分限制性股票的议案》，</w:t>
      </w:r>
      <w:r>
        <w:rPr>
          <w:spacing w:val="-83"/>
        </w:rPr>
        <w:t> </w:t>
      </w:r>
      <w:r>
        <w:rPr>
          <w:spacing w:val="-83"/>
        </w:rPr>
      </w:r>
      <w:r>
        <w:rPr>
          <w:spacing w:val="7"/>
        </w:rPr>
        <w:t>本公司申请减少注册资本人民币</w:t>
      </w:r>
      <w:r>
        <w:rPr>
          <w:rFonts w:ascii="Times New Roman" w:hAnsi="Times New Roman" w:cs="Times New Roman" w:eastAsia="Times New Roman" w:hint="default"/>
          <w:spacing w:val="7"/>
        </w:rPr>
        <w:t>209,000.00</w:t>
      </w:r>
      <w:r>
        <w:rPr>
          <w:spacing w:val="7"/>
        </w:rPr>
        <w:t>元， </w:t>
      </w:r>
      <w:r>
        <w:rPr>
          <w:spacing w:val="8"/>
        </w:rPr>
        <w:t>回购有限售条件股份</w:t>
      </w:r>
      <w:r>
        <w:rPr>
          <w:rFonts w:ascii="Times New Roman" w:hAnsi="Times New Roman" w:cs="Times New Roman" w:eastAsia="Times New Roman" w:hint="default"/>
          <w:spacing w:val="8"/>
        </w:rPr>
        <w:t>209,000.00</w:t>
      </w:r>
      <w:r>
        <w:rPr>
          <w:spacing w:val="8"/>
        </w:rPr>
        <w:t>股后予以注销</w:t>
      </w:r>
      <w:r>
        <w:rPr>
          <w:rFonts w:ascii="Times New Roman" w:hAnsi="Times New Roman" w:cs="Times New Roman" w:eastAsia="Times New Roman" w:hint="default"/>
          <w:spacing w:val="8"/>
        </w:rPr>
        <w:t>,</w:t>
      </w:r>
      <w:r>
        <w:rPr>
          <w:spacing w:val="8"/>
        </w:rPr>
        <w:t>变更后本公司的股本为</w:t>
      </w:r>
      <w:r>
        <w:rPr>
          <w:spacing w:val="-83"/>
        </w:rPr>
        <w:t> </w:t>
      </w:r>
      <w:r>
        <w:rPr>
          <w:spacing w:val="-83"/>
        </w:rPr>
      </w:r>
      <w:r>
        <w:rPr>
          <w:rFonts w:ascii="Times New Roman" w:hAnsi="Times New Roman" w:cs="Times New Roman" w:eastAsia="Times New Roman" w:hint="default"/>
        </w:rPr>
        <w:t>1,066,527,265.00</w:t>
      </w:r>
      <w:r>
        <w:rPr/>
        <w:t>元。此次变更业经信永中和会计师事务所（特殊普通合伙）出具</w:t>
      </w:r>
      <w:r>
        <w:rPr>
          <w:rFonts w:ascii="Times New Roman" w:hAnsi="Times New Roman" w:cs="Times New Roman" w:eastAsia="Times New Roman" w:hint="default"/>
        </w:rPr>
        <w:t>“XYZH/2016BJA70264”</w:t>
      </w:r>
      <w:r>
        <w:rPr>
          <w:rFonts w:ascii="Times New Roman" w:hAnsi="Times New Roman" w:cs="Times New Roman" w:eastAsia="Times New Roman" w:hint="default"/>
          <w:spacing w:val="18"/>
        </w:rPr>
        <w:t> </w:t>
      </w:r>
      <w:r>
        <w:rPr/>
        <w:t>号验资报告予以审 验。</w:t>
      </w:r>
    </w:p>
    <w:p>
      <w:pPr>
        <w:pStyle w:val="BodyText"/>
        <w:spacing w:line="304" w:lineRule="auto" w:before="28"/>
        <w:ind w:right="1129"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7</w:t>
      </w:r>
      <w:r>
        <w:rPr>
          <w:spacing w:val="-2"/>
        </w:rPr>
        <w:t>日，根据本公司</w:t>
      </w:r>
      <w:r>
        <w:rPr>
          <w:rFonts w:ascii="Times New Roman" w:hAnsi="Times New Roman" w:cs="Times New Roman" w:eastAsia="Times New Roman" w:hint="default"/>
          <w:spacing w:val="-2"/>
        </w:rPr>
        <w:t>2016</w:t>
      </w:r>
      <w:r>
        <w:rPr>
          <w:spacing w:val="-2"/>
        </w:rPr>
        <w:t>年第三届董事会第二十一次会议、</w:t>
      </w:r>
      <w:r>
        <w:rPr>
          <w:rFonts w:ascii="Times New Roman" w:hAnsi="Times New Roman" w:cs="Times New Roman" w:eastAsia="Times New Roman" w:hint="default"/>
          <w:spacing w:val="-2"/>
        </w:rPr>
        <w:t>2015</w:t>
      </w:r>
      <w:r>
        <w:rPr>
          <w:spacing w:val="-2"/>
        </w:rPr>
        <w:t>年度股东大会审议批准，并经中国证券监督管理</w:t>
      </w:r>
      <w:r>
        <w:rPr/>
        <w:t> 委员会《关于核准北京四维图新科技股份有限公司向合肥高新科技创业投资有限公司等发行股份购买资产并募集配套资金</w:t>
      </w:r>
      <w:r>
        <w:rPr>
          <w:spacing w:val="-11"/>
        </w:rPr>
        <w:t> </w:t>
      </w:r>
      <w:r>
        <w:rPr>
          <w:spacing w:val="-11"/>
        </w:rPr>
      </w:r>
      <w:r>
        <w:rPr>
          <w:spacing w:val="-1"/>
        </w:rPr>
        <w:t>的批复》（证监许可</w:t>
      </w:r>
      <w:r>
        <w:rPr>
          <w:rFonts w:ascii="Times New Roman" w:hAnsi="Times New Roman" w:cs="Times New Roman" w:eastAsia="Times New Roman" w:hint="default"/>
          <w:spacing w:val="-1"/>
        </w:rPr>
        <w:t>[2017]22</w:t>
      </w:r>
      <w:r>
        <w:rPr>
          <w:spacing w:val="-1"/>
        </w:rPr>
        <w:t>号）的核准，同意本公司向合肥高新科技创业投资有限公司、宁波杰康投资管理合伙企业（有</w:t>
      </w:r>
      <w:r>
        <w:rPr>
          <w:spacing w:val="-57"/>
        </w:rPr>
        <w:t> </w:t>
      </w:r>
      <w:r>
        <w:rPr>
          <w:spacing w:val="-57"/>
        </w:rPr>
      </w:r>
      <w:r>
        <w:rPr>
          <w:spacing w:val="-2"/>
        </w:rPr>
        <w:t>限合伙）、宁波杰浩投资管理合伙企业（有限合伙）、宁波杰朗投资管理合伙企业（有限合伙）、宁波杰晟投资管理合伙企</w:t>
      </w:r>
      <w:r>
        <w:rPr>
          <w:spacing w:val="-65"/>
        </w:rPr>
        <w:t> </w:t>
      </w:r>
      <w:r>
        <w:rPr>
          <w:spacing w:val="-65"/>
        </w:rPr>
      </w:r>
      <w:r>
        <w:rPr>
          <w:spacing w:val="-2"/>
        </w:rPr>
        <w:t>业（有限合伙）共</w:t>
      </w:r>
      <w:r>
        <w:rPr>
          <w:rFonts w:ascii="Times New Roman" w:hAnsi="Times New Roman" w:cs="Times New Roman" w:eastAsia="Times New Roman" w:hint="default"/>
          <w:spacing w:val="-2"/>
        </w:rPr>
        <w:t>5</w:t>
      </w:r>
      <w:r>
        <w:rPr>
          <w:spacing w:val="-2"/>
        </w:rPr>
        <w:t>位交易对方共计发行</w:t>
      </w:r>
      <w:r>
        <w:rPr>
          <w:rFonts w:ascii="Times New Roman" w:hAnsi="Times New Roman" w:cs="Times New Roman" w:eastAsia="Times New Roman" w:hint="default"/>
          <w:spacing w:val="-2"/>
        </w:rPr>
        <w:t>19,418,723</w:t>
      </w:r>
      <w:r>
        <w:rPr>
          <w:spacing w:val="-2"/>
        </w:rPr>
        <w:t>股新股购买其持有的合肥杰发科技有限公司（原名杰发科技（合肥）有限</w:t>
      </w:r>
      <w:r>
        <w:rPr>
          <w:spacing w:val="-54"/>
        </w:rPr>
        <w:t> </w:t>
      </w:r>
      <w:r>
        <w:rPr>
          <w:spacing w:val="-54"/>
        </w:rPr>
      </w:r>
      <w:r>
        <w:rPr>
          <w:spacing w:val="-3"/>
        </w:rPr>
        <w:t>公司，以下简称杰发科技）股权。本公司本次实际发行数量为</w:t>
      </w:r>
      <w:r>
        <w:rPr>
          <w:rFonts w:ascii="Times New Roman" w:hAnsi="Times New Roman" w:cs="Times New Roman" w:eastAsia="Times New Roman" w:hint="default"/>
          <w:spacing w:val="-3"/>
        </w:rPr>
        <w:t>19,418,723</w:t>
      </w:r>
      <w:r>
        <w:rPr>
          <w:spacing w:val="-3"/>
        </w:rPr>
        <w:t>股新股，股票的每股面值人民币</w:t>
      </w:r>
      <w:r>
        <w:rPr>
          <w:rFonts w:ascii="Times New Roman" w:hAnsi="Times New Roman" w:cs="Times New Roman" w:eastAsia="Times New Roman" w:hint="default"/>
          <w:spacing w:val="-3"/>
        </w:rPr>
        <w:t>1.00</w:t>
      </w:r>
      <w:r>
        <w:rPr>
          <w:spacing w:val="-3"/>
        </w:rPr>
        <w:t>元，发行价格为</w:t>
      </w:r>
      <w:r>
        <w:rPr>
          <w:spacing w:val="-38"/>
        </w:rPr>
        <w:t> </w:t>
      </w:r>
      <w:r>
        <w:rPr>
          <w:spacing w:val="-38"/>
        </w:rPr>
      </w:r>
      <w:r>
        <w:rPr>
          <w:spacing w:val="-2"/>
        </w:rPr>
        <w:t>每股人民币</w:t>
      </w:r>
      <w:r>
        <w:rPr>
          <w:rFonts w:ascii="Times New Roman" w:hAnsi="Times New Roman" w:cs="Times New Roman" w:eastAsia="Times New Roman" w:hint="default"/>
          <w:spacing w:val="-2"/>
        </w:rPr>
        <w:t>17.02</w:t>
      </w:r>
      <w:r>
        <w:rPr>
          <w:spacing w:val="-2"/>
        </w:rPr>
        <w:t>元，本次实际增加股本人民币</w:t>
      </w:r>
      <w:r>
        <w:rPr>
          <w:rFonts w:ascii="Times New Roman" w:hAnsi="Times New Roman" w:cs="Times New Roman" w:eastAsia="Times New Roman" w:hint="default"/>
          <w:spacing w:val="-2"/>
        </w:rPr>
        <w:t>19,418,723.00</w:t>
      </w:r>
      <w:r>
        <w:rPr>
          <w:spacing w:val="-2"/>
        </w:rPr>
        <w:t>元，变更后的股本为</w:t>
      </w:r>
      <w:r>
        <w:rPr>
          <w:rFonts w:ascii="Times New Roman" w:hAnsi="Times New Roman" w:cs="Times New Roman" w:eastAsia="Times New Roman" w:hint="default"/>
          <w:spacing w:val="-2"/>
        </w:rPr>
        <w:t>1,085,945,988.00</w:t>
      </w:r>
      <w:r>
        <w:rPr>
          <w:spacing w:val="-2"/>
        </w:rPr>
        <w:t>元。此次变更业经信永中和</w:t>
      </w:r>
      <w:r>
        <w:rPr>
          <w:spacing w:val="-43"/>
        </w:rPr>
        <w:t> </w:t>
      </w:r>
      <w:r>
        <w:rPr>
          <w:spacing w:val="-43"/>
        </w:rPr>
      </w:r>
      <w:r>
        <w:rPr/>
        <w:t>会计师事务所（特殊普通合伙）出具</w:t>
      </w:r>
      <w:r>
        <w:rPr>
          <w:rFonts w:ascii="Times New Roman" w:hAnsi="Times New Roman" w:cs="Times New Roman" w:eastAsia="Times New Roman" w:hint="default"/>
        </w:rPr>
        <w:t>“XYZH/2017BJA70061”</w:t>
      </w:r>
      <w:r>
        <w:rPr>
          <w:rFonts w:ascii="Times New Roman" w:hAnsi="Times New Roman" w:cs="Times New Roman" w:eastAsia="Times New Roman" w:hint="default"/>
          <w:spacing w:val="24"/>
        </w:rPr>
        <w:t> </w:t>
      </w:r>
      <w:r>
        <w:rPr/>
        <w:t>号验资报告予以审验。</w:t>
      </w:r>
    </w:p>
    <w:p>
      <w:pPr>
        <w:pStyle w:val="BodyText"/>
        <w:spacing w:line="304" w:lineRule="auto" w:before="9"/>
        <w:ind w:right="113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日，根据本公司</w:t>
      </w:r>
      <w:r>
        <w:rPr>
          <w:rFonts w:ascii="Times New Roman" w:hAnsi="Times New Roman" w:cs="Times New Roman" w:eastAsia="Times New Roman" w:hint="default"/>
        </w:rPr>
        <w:t>2016</w:t>
      </w:r>
      <w:r>
        <w:rPr/>
        <w:t>年第三届董事会第二十一次会议、</w:t>
      </w:r>
      <w:r>
        <w:rPr>
          <w:rFonts w:ascii="Times New Roman" w:hAnsi="Times New Roman" w:cs="Times New Roman" w:eastAsia="Times New Roman" w:hint="default"/>
        </w:rPr>
        <w:t>2015</w:t>
      </w:r>
      <w:r>
        <w:rPr/>
        <w:t>年度股东大会审议批准，并经中国证券监督管 理委员会《关于核准北京四维图新科技股份有限公司向合肥高新科技创业投资有限公司等发行股份购买资产并募集配套资</w:t>
      </w:r>
      <w:r>
        <w:rPr>
          <w:spacing w:val="-11"/>
        </w:rPr>
        <w:t> </w:t>
      </w:r>
      <w:r>
        <w:rPr>
          <w:spacing w:val="-11"/>
        </w:rPr>
      </w:r>
      <w:r>
        <w:rPr>
          <w:spacing w:val="-1"/>
        </w:rPr>
        <w:t>金的批复》（证监许可</w:t>
      </w:r>
      <w:r>
        <w:rPr>
          <w:rFonts w:ascii="Times New Roman" w:hAnsi="Times New Roman" w:cs="Times New Roman" w:eastAsia="Times New Roman" w:hint="default"/>
          <w:spacing w:val="-1"/>
        </w:rPr>
        <w:t>[2017]22</w:t>
      </w:r>
      <w:r>
        <w:rPr>
          <w:spacing w:val="-1"/>
        </w:rPr>
        <w:t>号）的核准，同意本公司非公开发行不超过</w:t>
      </w:r>
      <w:r>
        <w:rPr>
          <w:rFonts w:ascii="Times New Roman" w:hAnsi="Times New Roman" w:cs="Times New Roman" w:eastAsia="Times New Roman" w:hint="default"/>
          <w:spacing w:val="-1"/>
        </w:rPr>
        <w:t>223,266,740</w:t>
      </w:r>
      <w:r>
        <w:rPr>
          <w:spacing w:val="-1"/>
        </w:rPr>
        <w:t>股新股。本公司本次实际发行数量为</w:t>
      </w:r>
      <w:r>
        <w:rPr>
          <w:spacing w:val="-58"/>
        </w:rPr>
        <w:t> </w:t>
      </w:r>
      <w:r>
        <w:rPr>
          <w:spacing w:val="-58"/>
        </w:rPr>
      </w:r>
      <w:r>
        <w:rPr>
          <w:rFonts w:ascii="Times New Roman" w:hAnsi="Times New Roman" w:cs="Times New Roman" w:eastAsia="Times New Roman" w:hint="default"/>
          <w:spacing w:val="-2"/>
        </w:rPr>
        <w:t>196,923,025</w:t>
      </w:r>
      <w:r>
        <w:rPr>
          <w:spacing w:val="-2"/>
        </w:rPr>
        <w:t>股新股，股票的每股面值人民币</w:t>
      </w:r>
      <w:r>
        <w:rPr>
          <w:rFonts w:ascii="Times New Roman" w:hAnsi="Times New Roman" w:cs="Times New Roman" w:eastAsia="Times New Roman" w:hint="default"/>
          <w:spacing w:val="-2"/>
        </w:rPr>
        <w:t>1.00</w:t>
      </w:r>
      <w:r>
        <w:rPr>
          <w:spacing w:val="-2"/>
        </w:rPr>
        <w:t>元，发行价格为每股人民币</w:t>
      </w:r>
      <w:r>
        <w:rPr>
          <w:rFonts w:ascii="Times New Roman" w:hAnsi="Times New Roman" w:cs="Times New Roman" w:eastAsia="Times New Roman" w:hint="default"/>
          <w:spacing w:val="-2"/>
        </w:rPr>
        <w:t>17.02</w:t>
      </w:r>
      <w:r>
        <w:rPr>
          <w:spacing w:val="-2"/>
        </w:rPr>
        <w:t>元，本次实际增加股本人民币</w:t>
      </w:r>
      <w:r>
        <w:rPr>
          <w:rFonts w:ascii="Times New Roman" w:hAnsi="Times New Roman" w:cs="Times New Roman" w:eastAsia="Times New Roman" w:hint="default"/>
          <w:spacing w:val="-2"/>
        </w:rPr>
        <w:t>196,923,025.00</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spacing w:val="-2"/>
        </w:rPr>
        <w:t>元，变更后的股本为</w:t>
      </w:r>
      <w:r>
        <w:rPr>
          <w:rFonts w:ascii="Times New Roman" w:hAnsi="Times New Roman" w:cs="Times New Roman" w:eastAsia="Times New Roman" w:hint="default"/>
          <w:spacing w:val="-2"/>
        </w:rPr>
        <w:t>1,282,869,013.00</w:t>
      </w:r>
      <w:r>
        <w:rPr>
          <w:spacing w:val="-2"/>
        </w:rPr>
        <w:t>元。此次变更业经信永中和会计师事务所（特殊普通合伙）出具</w:t>
      </w:r>
      <w:r>
        <w:rPr>
          <w:rFonts w:ascii="Times New Roman" w:hAnsi="Times New Roman" w:cs="Times New Roman" w:eastAsia="Times New Roman" w:hint="default"/>
          <w:spacing w:val="-2"/>
        </w:rPr>
        <w:t>“XYZH/2017BJA70066”</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号验资报告予以审验。</w:t>
      </w:r>
    </w:p>
    <w:p>
      <w:pPr>
        <w:pStyle w:val="BodyText"/>
        <w:spacing w:line="300" w:lineRule="auto" w:before="28"/>
        <w:ind w:right="113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日，根据本公司第三届董事会第二十八次会议审议通过的《关于回购注销部分限制性股票的议案》，本公 </w:t>
      </w:r>
      <w:r>
        <w:rPr>
          <w:spacing w:val="15"/>
        </w:rPr>
        <w:t>司申请减少注册资本人民币</w:t>
      </w:r>
      <w:r>
        <w:rPr>
          <w:spacing w:val="-69"/>
        </w:rPr>
        <w:t> </w:t>
      </w:r>
      <w:r>
        <w:rPr>
          <w:rFonts w:ascii="Times New Roman" w:hAnsi="Times New Roman" w:cs="Times New Roman" w:eastAsia="Times New Roman" w:hint="default"/>
        </w:rPr>
        <w:t>254,000.00</w:t>
      </w:r>
      <w:r>
        <w:rPr>
          <w:rFonts w:ascii="Times New Roman" w:hAnsi="Times New Roman" w:cs="Times New Roman" w:eastAsia="Times New Roman" w:hint="default"/>
          <w:spacing w:val="2"/>
        </w:rPr>
        <w:t> </w:t>
      </w:r>
      <w:r>
        <w:rPr>
          <w:spacing w:val="8"/>
        </w:rPr>
        <w:t>元，</w:t>
      </w:r>
      <w:r>
        <w:rPr>
          <w:spacing w:val="18"/>
        </w:rPr>
        <w:t> </w:t>
      </w:r>
      <w:r>
        <w:rPr>
          <w:spacing w:val="15"/>
        </w:rPr>
        <w:t>回购有限售条件股份</w:t>
      </w:r>
      <w:r>
        <w:rPr>
          <w:spacing w:val="-72"/>
        </w:rPr>
        <w:t> </w:t>
      </w:r>
      <w:r>
        <w:rPr>
          <w:rFonts w:ascii="Times New Roman" w:hAnsi="Times New Roman" w:cs="Times New Roman" w:eastAsia="Times New Roman" w:hint="default"/>
        </w:rPr>
        <w:t>254,000</w:t>
      </w:r>
      <w:r>
        <w:rPr>
          <w:rFonts w:ascii="Times New Roman" w:hAnsi="Times New Roman" w:cs="Times New Roman" w:eastAsia="Times New Roman" w:hint="default"/>
          <w:spacing w:val="3"/>
        </w:rPr>
        <w:t> </w:t>
      </w:r>
      <w:r>
        <w:rPr>
          <w:spacing w:val="13"/>
        </w:rPr>
        <w:t>股后予以注销，</w:t>
      </w:r>
      <w:r>
        <w:rPr>
          <w:spacing w:val="18"/>
        </w:rPr>
        <w:t> </w:t>
      </w:r>
      <w:r>
        <w:rPr>
          <w:spacing w:val="15"/>
        </w:rPr>
        <w:t>变更后本公司的股本为</w:t>
      </w:r>
      <w:r>
        <w:rPr/>
        <w:t> </w:t>
      </w:r>
      <w:r>
        <w:rPr>
          <w:rFonts w:ascii="Times New Roman" w:hAnsi="Times New Roman" w:cs="Times New Roman" w:eastAsia="Times New Roman" w:hint="default"/>
        </w:rPr>
        <w:t>1,282,615,013.00</w:t>
      </w:r>
      <w:r>
        <w:rPr/>
        <w:t>元。此次变更业经信永中和会计师事务所（特殊普通合伙）出具</w:t>
      </w:r>
      <w:r>
        <w:rPr>
          <w:rFonts w:ascii="Times New Roman" w:hAnsi="Times New Roman" w:cs="Times New Roman" w:eastAsia="Times New Roman" w:hint="default"/>
        </w:rPr>
        <w:t>“XYZH/2017BJA70231”</w:t>
      </w:r>
      <w:r>
        <w:rPr>
          <w:rFonts w:ascii="Times New Roman" w:hAnsi="Times New Roman" w:cs="Times New Roman" w:eastAsia="Times New Roman" w:hint="default"/>
          <w:spacing w:val="9"/>
        </w:rPr>
        <w:t> </w:t>
      </w:r>
      <w:r>
        <w:rPr/>
        <w:t>号验资报告予以审 验。</w:t>
      </w:r>
    </w:p>
    <w:p>
      <w:pPr>
        <w:pStyle w:val="BodyText"/>
        <w:spacing w:line="300" w:lineRule="auto" w:before="31"/>
        <w:ind w:right="0"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日，根据本公司第四届董事会第七次会议审议通过的《关于回购注销部分限制性股票的议案》，本公司申 </w:t>
      </w:r>
      <w:r>
        <w:rPr>
          <w:spacing w:val="-2"/>
        </w:rPr>
        <w:t>请减少注册资本人民币</w:t>
      </w:r>
      <w:r>
        <w:rPr>
          <w:rFonts w:ascii="Times New Roman" w:hAnsi="Times New Roman" w:cs="Times New Roman" w:eastAsia="Times New Roman" w:hint="default"/>
          <w:spacing w:val="-2"/>
        </w:rPr>
        <w:t>190,500.00</w:t>
      </w:r>
      <w:r>
        <w:rPr>
          <w:spacing w:val="-2"/>
        </w:rPr>
        <w:t>元，回购有限售条件股份</w:t>
      </w:r>
      <w:r>
        <w:rPr>
          <w:rFonts w:ascii="Times New Roman" w:hAnsi="Times New Roman" w:cs="Times New Roman" w:eastAsia="Times New Roman" w:hint="default"/>
          <w:spacing w:val="-2"/>
        </w:rPr>
        <w:t>190,500</w:t>
      </w:r>
      <w:r>
        <w:rPr>
          <w:spacing w:val="-2"/>
        </w:rPr>
        <w:t>股后予以注销，变更后本公司的股本为</w:t>
      </w:r>
      <w:r>
        <w:rPr>
          <w:rFonts w:ascii="Times New Roman" w:hAnsi="Times New Roman" w:cs="Times New Roman" w:eastAsia="Times New Roman" w:hint="default"/>
          <w:spacing w:val="-2"/>
        </w:rPr>
        <w:t>1,282,424,513.00</w:t>
      </w:r>
      <w:r>
        <w:rPr>
          <w:spacing w:val="-2"/>
        </w:rPr>
        <w:t>元。</w:t>
      </w:r>
      <w:r>
        <w:rPr>
          <w:spacing w:val="-79"/>
        </w:rPr>
        <w:t> </w:t>
      </w:r>
      <w:r>
        <w:rPr/>
        <w:t>此次变更业经信永中和会计师事务所（特殊普通合伙）出具</w:t>
      </w:r>
      <w:r>
        <w:rPr>
          <w:rFonts w:ascii="Times New Roman" w:hAnsi="Times New Roman" w:cs="Times New Roman" w:eastAsia="Times New Roman" w:hint="default"/>
        </w:rPr>
        <w:t>“XYZH/2018BJA70221”</w:t>
      </w:r>
      <w:r>
        <w:rPr>
          <w:rFonts w:ascii="Times New Roman" w:hAnsi="Times New Roman" w:cs="Times New Roman" w:eastAsia="Times New Roman" w:hint="default"/>
          <w:spacing w:val="21"/>
        </w:rPr>
        <w:t> </w:t>
      </w:r>
      <w:r>
        <w:rPr/>
        <w:t>号验资报告予以审验。</w:t>
      </w:r>
    </w:p>
    <w:p>
      <w:pPr>
        <w:pStyle w:val="BodyText"/>
        <w:spacing w:line="300" w:lineRule="auto" w:before="13"/>
        <w:ind w:right="0" w:firstLine="360"/>
        <w:jc w:val="left"/>
      </w:pPr>
      <w:r>
        <w:rPr>
          <w:spacing w:val="-2"/>
        </w:rPr>
        <w:t>经本公司</w:t>
      </w:r>
      <w:r>
        <w:rPr>
          <w:rFonts w:ascii="Times New Roman" w:hAnsi="Times New Roman" w:cs="Times New Roman" w:eastAsia="Times New Roman" w:hint="default"/>
          <w:spacing w:val="-2"/>
        </w:rPr>
        <w:t>2018</w:t>
      </w:r>
      <w:r>
        <w:rPr>
          <w:spacing w:val="-2"/>
        </w:rPr>
        <w:t>年第一次临时股东大会审议通过的《北京四维图新科技股份有限公司</w:t>
      </w:r>
      <w:r>
        <w:rPr>
          <w:rFonts w:ascii="Times New Roman" w:hAnsi="Times New Roman" w:cs="Times New Roman" w:eastAsia="Times New Roman" w:hint="default"/>
          <w:spacing w:val="-2"/>
        </w:rPr>
        <w:t>2018</w:t>
      </w:r>
      <w:r>
        <w:rPr>
          <w:spacing w:val="-2"/>
        </w:rPr>
        <w:t>年度限制性股票激励计划（草案</w:t>
      </w:r>
      <w:r>
        <w:rPr/>
        <w:t> 修订稿）》、第四届董事会第九次会议审议通过的《关于向</w:t>
      </w:r>
      <w:r>
        <w:rPr>
          <w:rFonts w:ascii="Times New Roman" w:hAnsi="Times New Roman" w:cs="Times New Roman" w:eastAsia="Times New Roman" w:hint="default"/>
        </w:rPr>
        <w:t>2018</w:t>
      </w:r>
      <w:r>
        <w:rPr/>
        <w:t>年限制性股票激励计划激励对象首次授予限制性股票的议</w:t>
      </w:r>
      <w:r>
        <w:rPr>
          <w:spacing w:val="-1"/>
        </w:rPr>
        <w:t> </w:t>
      </w:r>
      <w:r>
        <w:rPr>
          <w:spacing w:val="-1"/>
        </w:rPr>
      </w:r>
      <w:r>
        <w:rPr>
          <w:spacing w:val="-4"/>
        </w:rPr>
        <w:t>案》，本公司以</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11</w:t>
      </w:r>
      <w:r>
        <w:rPr>
          <w:spacing w:val="-4"/>
        </w:rPr>
        <w:t>日为授予日，按</w:t>
      </w:r>
      <w:r>
        <w:rPr>
          <w:rFonts w:ascii="Times New Roman" w:hAnsi="Times New Roman" w:cs="Times New Roman" w:eastAsia="Times New Roman" w:hint="default"/>
          <w:spacing w:val="-4"/>
        </w:rPr>
        <w:t>12.15</w:t>
      </w:r>
      <w:r>
        <w:rPr>
          <w:spacing w:val="-4"/>
        </w:rPr>
        <w:t>元</w:t>
      </w:r>
      <w:r>
        <w:rPr>
          <w:rFonts w:ascii="Times New Roman" w:hAnsi="Times New Roman" w:cs="Times New Roman" w:eastAsia="Times New Roman" w:hint="default"/>
          <w:spacing w:val="-4"/>
        </w:rPr>
        <w:t>/</w:t>
      </w:r>
      <w:r>
        <w:rPr>
          <w:spacing w:val="-4"/>
        </w:rPr>
        <w:t>股授予价格，拟向</w:t>
      </w:r>
      <w:r>
        <w:rPr>
          <w:rFonts w:ascii="Times New Roman" w:hAnsi="Times New Roman" w:cs="Times New Roman" w:eastAsia="Times New Roman" w:hint="default"/>
          <w:spacing w:val="-4"/>
        </w:rPr>
        <w:t>385</w:t>
      </w:r>
      <w:r>
        <w:rPr>
          <w:spacing w:val="-4"/>
        </w:rPr>
        <w:t>名激励对象授予</w:t>
      </w:r>
      <w:r>
        <w:rPr>
          <w:rFonts w:ascii="Times New Roman" w:hAnsi="Times New Roman" w:cs="Times New Roman" w:eastAsia="Times New Roman" w:hint="default"/>
          <w:spacing w:val="-4"/>
        </w:rPr>
        <w:t>2,945.00</w:t>
      </w:r>
      <w:r>
        <w:rPr>
          <w:spacing w:val="-4"/>
        </w:rPr>
        <w:t>万股限制性股票。截至</w:t>
      </w:r>
      <w:r>
        <w:rPr>
          <w:rFonts w:ascii="Times New Roman" w:hAnsi="Times New Roman" w:cs="Times New Roman" w:eastAsia="Times New Roman" w:hint="default"/>
          <w:spacing w:val="-4"/>
        </w:rPr>
        <w:t>2018</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日止，本公司已收到</w:t>
      </w:r>
      <w:r>
        <w:rPr>
          <w:rFonts w:ascii="Times New Roman" w:hAnsi="Times New Roman" w:cs="Times New Roman" w:eastAsia="Times New Roman" w:hint="default"/>
          <w:spacing w:val="-2"/>
        </w:rPr>
        <w:t>360</w:t>
      </w:r>
      <w:r>
        <w:rPr>
          <w:spacing w:val="-2"/>
        </w:rPr>
        <w:t>名激励对象缴付的</w:t>
      </w:r>
      <w:r>
        <w:rPr>
          <w:rFonts w:ascii="Times New Roman" w:hAnsi="Times New Roman" w:cs="Times New Roman" w:eastAsia="Times New Roman" w:hint="default"/>
          <w:spacing w:val="-2"/>
        </w:rPr>
        <w:t>27,046,469</w:t>
      </w:r>
      <w:r>
        <w:rPr>
          <w:spacing w:val="-2"/>
        </w:rPr>
        <w:t>股限制性股票的出资款人民币</w:t>
      </w:r>
      <w:r>
        <w:rPr>
          <w:rFonts w:ascii="Times New Roman" w:hAnsi="Times New Roman" w:cs="Times New Roman" w:eastAsia="Times New Roman" w:hint="default"/>
          <w:spacing w:val="-2"/>
        </w:rPr>
        <w:t>328,614,598.35</w:t>
      </w:r>
      <w:r>
        <w:rPr>
          <w:spacing w:val="-2"/>
        </w:rPr>
        <w:t>元，均以货币出资，</w:t>
      </w:r>
      <w:r>
        <w:rPr>
          <w:spacing w:val="-87"/>
        </w:rPr>
        <w:t> </w:t>
      </w:r>
      <w:r>
        <w:rPr>
          <w:spacing w:val="-87"/>
        </w:rPr>
      </w:r>
      <w:r>
        <w:rPr>
          <w:spacing w:val="-2"/>
        </w:rPr>
        <w:t>其余</w:t>
      </w:r>
      <w:r>
        <w:rPr>
          <w:rFonts w:ascii="Times New Roman" w:hAnsi="Times New Roman" w:cs="Times New Roman" w:eastAsia="Times New Roman" w:hint="default"/>
          <w:spacing w:val="-2"/>
        </w:rPr>
        <w:t>25</w:t>
      </w:r>
      <w:r>
        <w:rPr>
          <w:spacing w:val="-2"/>
        </w:rPr>
        <w:t>名激励对象放弃本次限制性股权激励资格。本次实际增加股本人民币</w:t>
      </w:r>
      <w:r>
        <w:rPr>
          <w:rFonts w:ascii="Times New Roman" w:hAnsi="Times New Roman" w:cs="Times New Roman" w:eastAsia="Times New Roman" w:hint="default"/>
          <w:spacing w:val="-2"/>
        </w:rPr>
        <w:t>27,046,469.00</w:t>
      </w:r>
      <w:r>
        <w:rPr>
          <w:spacing w:val="-2"/>
        </w:rPr>
        <w:t>元，其余</w:t>
      </w:r>
      <w:r>
        <w:rPr>
          <w:rFonts w:ascii="Times New Roman" w:hAnsi="Times New Roman" w:cs="Times New Roman" w:eastAsia="Times New Roman" w:hint="default"/>
          <w:spacing w:val="-2"/>
        </w:rPr>
        <w:t>301,568,129.35</w:t>
      </w:r>
      <w:r>
        <w:rPr>
          <w:spacing w:val="-2"/>
        </w:rPr>
        <w:t>元作为股本</w:t>
      </w:r>
    </w:p>
    <w:p>
      <w:pPr>
        <w:spacing w:after="0" w:line="30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0"/>
        <w:jc w:val="left"/>
      </w:pPr>
      <w:r>
        <w:rPr>
          <w:spacing w:val="-3"/>
        </w:rPr>
        <w:t>溢价，变更后的股本为</w:t>
      </w:r>
      <w:r>
        <w:rPr>
          <w:rFonts w:ascii="Times New Roman" w:hAnsi="Times New Roman" w:cs="Times New Roman" w:eastAsia="Times New Roman" w:hint="default"/>
          <w:spacing w:val="-3"/>
        </w:rPr>
        <w:t>1,309,470,982.00</w:t>
      </w:r>
      <w:r>
        <w:rPr>
          <w:spacing w:val="-3"/>
        </w:rPr>
        <w:t>元。此次变更业经信永中和会计师事务所（特殊普通合伙）出具</w:t>
      </w:r>
      <w:r>
        <w:rPr>
          <w:rFonts w:ascii="Times New Roman" w:hAnsi="Times New Roman" w:cs="Times New Roman" w:eastAsia="Times New Roman" w:hint="default"/>
          <w:spacing w:val="-3"/>
        </w:rPr>
        <w:t>XYZH/2018BJA70228</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号《验资报告》予以审验。</w:t>
      </w:r>
    </w:p>
    <w:p>
      <w:pPr>
        <w:pStyle w:val="BodyText"/>
        <w:spacing w:line="240" w:lineRule="auto" w:before="31"/>
        <w:ind w:left="513" w:right="0"/>
        <w:jc w:val="left"/>
      </w:pPr>
      <w:r>
        <w:rPr/>
        <w:t>经本公司</w:t>
      </w:r>
      <w:r>
        <w:rPr>
          <w:rFonts w:ascii="Times New Roman" w:hAnsi="Times New Roman" w:cs="Times New Roman" w:eastAsia="Times New Roman" w:hint="default"/>
        </w:rPr>
        <w:t>2018</w:t>
      </w:r>
      <w:r>
        <w:rPr/>
        <w:t>年第一次临时股东大会审议通过的《关于</w:t>
      </w:r>
      <w:r>
        <w:rPr>
          <w:rFonts w:ascii="Times New Roman" w:hAnsi="Times New Roman" w:cs="Times New Roman" w:eastAsia="Times New Roman" w:hint="default"/>
        </w:rPr>
        <w:t>&lt;</w:t>
      </w:r>
      <w:r>
        <w:rPr/>
        <w:t>北京四维图新科技股份有限公司</w:t>
      </w:r>
      <w:r>
        <w:rPr>
          <w:rFonts w:ascii="Times New Roman" w:hAnsi="Times New Roman" w:cs="Times New Roman" w:eastAsia="Times New Roman" w:hint="default"/>
        </w:rPr>
        <w:t>2018</w:t>
      </w:r>
      <w:r>
        <w:rPr/>
        <w:t>年度限制性股票激励计划</w:t>
      </w:r>
    </w:p>
    <w:p>
      <w:pPr>
        <w:pStyle w:val="BodyText"/>
        <w:spacing w:line="300" w:lineRule="auto" w:before="63"/>
        <w:ind w:right="0"/>
        <w:jc w:val="left"/>
      </w:pPr>
      <w:r>
        <w:rPr>
          <w:spacing w:val="-7"/>
        </w:rPr>
        <w:t>（草案修订稿）</w:t>
      </w:r>
      <w:r>
        <w:rPr>
          <w:rFonts w:ascii="Times New Roman" w:hAnsi="Times New Roman" w:cs="Times New Roman" w:eastAsia="Times New Roman" w:hint="default"/>
          <w:spacing w:val="-7"/>
        </w:rPr>
        <w:t>&gt;</w:t>
      </w:r>
      <w:r>
        <w:rPr>
          <w:spacing w:val="-7"/>
        </w:rPr>
        <w:t>及其摘要的议案》、第四届董事会第十六次会议审议通过的《关于向激励对象授予预留限制性股票的议案》，</w:t>
      </w:r>
      <w:r>
        <w:rPr>
          <w:spacing w:val="-62"/>
        </w:rPr>
        <w:t> </w:t>
      </w:r>
      <w:r>
        <w:rPr>
          <w:spacing w:val="-62"/>
        </w:rPr>
      </w:r>
      <w:r>
        <w:rPr/>
        <w:t>公司以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日为授予日，按</w:t>
      </w:r>
      <w:r>
        <w:rPr>
          <w:rFonts w:ascii="Times New Roman" w:hAnsi="Times New Roman" w:cs="Times New Roman" w:eastAsia="Times New Roman" w:hint="default"/>
        </w:rPr>
        <w:t>12.80</w:t>
      </w:r>
      <w:r>
        <w:rPr/>
        <w:t>元</w:t>
      </w:r>
      <w:r>
        <w:rPr>
          <w:rFonts w:ascii="Times New Roman" w:hAnsi="Times New Roman" w:cs="Times New Roman" w:eastAsia="Times New Roman" w:hint="default"/>
        </w:rPr>
        <w:t>/</w:t>
      </w:r>
      <w:r>
        <w:rPr/>
        <w:t>股授予价格，拟向</w:t>
      </w:r>
      <w:r>
        <w:rPr>
          <w:rFonts w:ascii="Times New Roman" w:hAnsi="Times New Roman" w:cs="Times New Roman" w:eastAsia="Times New Roman" w:hint="default"/>
        </w:rPr>
        <w:t>61</w:t>
      </w:r>
      <w:r>
        <w:rPr/>
        <w:t>名激励对象授予</w:t>
      </w:r>
      <w:r>
        <w:rPr>
          <w:rFonts w:ascii="Times New Roman" w:hAnsi="Times New Roman" w:cs="Times New Roman" w:eastAsia="Times New Roman" w:hint="default"/>
        </w:rPr>
        <w:t>155.00</w:t>
      </w:r>
      <w:r>
        <w:rPr/>
        <w:t>万股限制性股票。截至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日止，公司已收到</w:t>
      </w:r>
      <w:r>
        <w:rPr>
          <w:rFonts w:ascii="Times New Roman" w:hAnsi="Times New Roman" w:cs="Times New Roman" w:eastAsia="Times New Roman" w:hint="default"/>
        </w:rPr>
        <w:t>56</w:t>
      </w:r>
      <w:r>
        <w:rPr/>
        <w:t>名激励对象缴付的</w:t>
      </w:r>
      <w:r>
        <w:rPr>
          <w:rFonts w:ascii="Times New Roman" w:hAnsi="Times New Roman" w:cs="Times New Roman" w:eastAsia="Times New Roman" w:hint="default"/>
        </w:rPr>
        <w:t>1,475,300</w:t>
      </w:r>
      <w:r>
        <w:rPr/>
        <w:t>股限制性股票的出资款人民币</w:t>
      </w:r>
      <w:r>
        <w:rPr>
          <w:rFonts w:ascii="Times New Roman" w:hAnsi="Times New Roman" w:cs="Times New Roman" w:eastAsia="Times New Roman" w:hint="default"/>
        </w:rPr>
        <w:t>18,883,840.00</w:t>
      </w:r>
      <w:r>
        <w:rPr/>
        <w:t>元（其中有</w:t>
      </w:r>
      <w:r>
        <w:rPr>
          <w:rFonts w:ascii="Times New Roman" w:hAnsi="Times New Roman" w:cs="Times New Roman" w:eastAsia="Times New Roman" w:hint="default"/>
        </w:rPr>
        <w:t>6</w:t>
      </w:r>
      <w:r>
        <w:rPr/>
        <w:t>名激励对象为部分</w:t>
      </w:r>
      <w:r>
        <w:rPr>
          <w:spacing w:val="-49"/>
        </w:rPr>
        <w:t> </w:t>
      </w:r>
      <w:r>
        <w:rPr>
          <w:spacing w:val="-49"/>
        </w:rPr>
      </w:r>
      <w:r>
        <w:rPr>
          <w:spacing w:val="2"/>
        </w:rPr>
        <w:t>认购），均以货币出资，其余</w:t>
      </w:r>
      <w:r>
        <w:rPr>
          <w:rFonts w:ascii="Times New Roman" w:hAnsi="Times New Roman" w:cs="Times New Roman" w:eastAsia="Times New Roman" w:hint="default"/>
          <w:spacing w:val="2"/>
        </w:rPr>
        <w:t>5</w:t>
      </w:r>
      <w:r>
        <w:rPr>
          <w:spacing w:val="2"/>
        </w:rPr>
        <w:t>名激励对象放弃本次限制性股权激励资格。本次实际增加股本人民币</w:t>
      </w:r>
      <w:r>
        <w:rPr>
          <w:rFonts w:ascii="Times New Roman" w:hAnsi="Times New Roman" w:cs="Times New Roman" w:eastAsia="Times New Roman" w:hint="default"/>
          <w:spacing w:val="2"/>
        </w:rPr>
        <w:t>1,475,300.00</w:t>
      </w:r>
      <w:r>
        <w:rPr>
          <w:spacing w:val="2"/>
        </w:rPr>
        <w:t>元，其余</w:t>
      </w:r>
      <w:r>
        <w:rPr>
          <w:spacing w:val="-81"/>
        </w:rPr>
        <w:t> </w:t>
      </w:r>
      <w:r>
        <w:rPr>
          <w:rFonts w:ascii="Times New Roman" w:hAnsi="Times New Roman" w:cs="Times New Roman" w:eastAsia="Times New Roman" w:hint="default"/>
        </w:rPr>
        <w:t>17,408,540.00</w:t>
      </w:r>
      <w:r>
        <w:rPr/>
        <w:t>元作为股本溢价，变更后的股本为</w:t>
      </w:r>
      <w:r>
        <w:rPr>
          <w:rFonts w:ascii="Times New Roman" w:hAnsi="Times New Roman" w:cs="Times New Roman" w:eastAsia="Times New Roman" w:hint="default"/>
        </w:rPr>
        <w:t>1,310,946,282.00</w:t>
      </w:r>
      <w:r>
        <w:rPr/>
        <w:t>元。此次变更业经信永中和会计师事务所（特殊普通合伙）</w:t>
      </w:r>
      <w:r>
        <w:rPr>
          <w:spacing w:val="-52"/>
        </w:rPr>
        <w:t> </w:t>
      </w:r>
      <w:r>
        <w:rPr>
          <w:spacing w:val="-52"/>
        </w:rPr>
      </w:r>
      <w:r>
        <w:rPr/>
        <w:t>出具</w:t>
      </w:r>
      <w:r>
        <w:rPr>
          <w:rFonts w:ascii="Times New Roman" w:hAnsi="Times New Roman" w:cs="Times New Roman" w:eastAsia="Times New Roman" w:hint="default"/>
        </w:rPr>
        <w:t>XYZH/2019BJA70246</w:t>
      </w:r>
      <w:r>
        <w:rPr/>
        <w:t>号《验资报告》予以审验。</w:t>
      </w:r>
    </w:p>
    <w:p>
      <w:pPr>
        <w:pStyle w:val="BodyText"/>
        <w:spacing w:line="300" w:lineRule="auto" w:before="13"/>
        <w:ind w:right="1129" w:firstLine="360"/>
        <w:jc w:val="both"/>
      </w:pPr>
      <w:r>
        <w:rPr/>
        <w:t>经本公司于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日分别召开的第四届董事会第十二次会议及</w:t>
      </w:r>
      <w:r>
        <w:rPr>
          <w:rFonts w:ascii="Times New Roman" w:hAnsi="Times New Roman" w:cs="Times New Roman" w:eastAsia="Times New Roman" w:hint="default"/>
        </w:rPr>
        <w:t>2018</w:t>
      </w:r>
      <w:r>
        <w:rPr/>
        <w:t>年第三次临时股东大会审议 </w:t>
      </w:r>
      <w:r>
        <w:rPr>
          <w:spacing w:val="-2"/>
        </w:rPr>
        <w:t>通过的《关于公司回购股份的预案》，公司自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13</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5</w:t>
      </w:r>
      <w:r>
        <w:rPr>
          <w:spacing w:val="-2"/>
        </w:rPr>
        <w:t>日通过回购专用证券账户以集中竞价交易方式累</w:t>
      </w:r>
      <w:r>
        <w:rPr>
          <w:spacing w:val="-58"/>
        </w:rPr>
        <w:t> </w:t>
      </w:r>
      <w:r>
        <w:rPr>
          <w:spacing w:val="-58"/>
        </w:rPr>
      </w:r>
      <w:r>
        <w:rPr/>
        <w:t>计回购股份数量共计</w:t>
      </w:r>
      <w:r>
        <w:rPr>
          <w:rFonts w:ascii="Times New Roman" w:hAnsi="Times New Roman" w:cs="Times New Roman" w:eastAsia="Times New Roman" w:hint="default"/>
        </w:rPr>
        <w:t>1,962,700</w:t>
      </w:r>
      <w:r>
        <w:rPr/>
        <w:t>股，并已在中国证券登记结算有限责任公司深圳分公司办理完毕上述</w:t>
      </w:r>
      <w:r>
        <w:rPr>
          <w:rFonts w:ascii="Times New Roman" w:hAnsi="Times New Roman" w:cs="Times New Roman" w:eastAsia="Times New Roman" w:hint="default"/>
        </w:rPr>
        <w:t>1,962,700</w:t>
      </w:r>
      <w:r>
        <w:rPr/>
        <w:t>股回购股份注</w:t>
      </w:r>
      <w:r>
        <w:rPr>
          <w:spacing w:val="-13"/>
        </w:rPr>
        <w:t> </w:t>
      </w:r>
      <w:r>
        <w:rPr>
          <w:spacing w:val="-13"/>
        </w:rPr>
      </w:r>
      <w:r>
        <w:rPr/>
        <w:t>销手续。此次注销完成后的股本由</w:t>
      </w:r>
      <w:r>
        <w:rPr>
          <w:rFonts w:ascii="Times New Roman" w:hAnsi="Times New Roman" w:cs="Times New Roman" w:eastAsia="Times New Roman" w:hint="default"/>
        </w:rPr>
        <w:t>1,310,946,282.00</w:t>
      </w:r>
      <w:r>
        <w:rPr/>
        <w:t>元减少至</w:t>
      </w:r>
      <w:r>
        <w:rPr>
          <w:rFonts w:ascii="Times New Roman" w:hAnsi="Times New Roman" w:cs="Times New Roman" w:eastAsia="Times New Roman" w:hint="default"/>
        </w:rPr>
        <w:t>1,308,983,582.00</w:t>
      </w:r>
      <w:r>
        <w:rPr/>
        <w:t>元。</w:t>
      </w:r>
    </w:p>
    <w:p>
      <w:pPr>
        <w:pStyle w:val="BodyText"/>
        <w:spacing w:line="309" w:lineRule="auto" w:before="13"/>
        <w:ind w:right="1130" w:firstLine="360"/>
        <w:jc w:val="both"/>
      </w:pPr>
      <w:r>
        <w:rPr>
          <w:spacing w:val="-2"/>
        </w:rPr>
        <w:t>根据本公司第四届董事会第十四次会议审议通过的《关于回购注销部分限制性股票的议案》，本公司申请减少注册资本</w:t>
      </w:r>
      <w:r>
        <w:rPr/>
        <w:t> </w:t>
      </w:r>
      <w:r>
        <w:rPr>
          <w:spacing w:val="-1"/>
        </w:rPr>
        <w:t>人民币</w:t>
      </w:r>
      <w:r>
        <w:rPr>
          <w:rFonts w:ascii="Times New Roman" w:hAnsi="Times New Roman" w:cs="Times New Roman" w:eastAsia="Times New Roman" w:hint="default"/>
          <w:spacing w:val="-1"/>
        </w:rPr>
        <w:t>673,122.00</w:t>
      </w:r>
      <w:r>
        <w:rPr>
          <w:spacing w:val="-1"/>
        </w:rPr>
        <w:t>元，回购有限售条件股份</w:t>
      </w:r>
      <w:r>
        <w:rPr>
          <w:rFonts w:ascii="Times New Roman" w:hAnsi="Times New Roman" w:cs="Times New Roman" w:eastAsia="Times New Roman" w:hint="default"/>
          <w:spacing w:val="-1"/>
        </w:rPr>
        <w:t>673,122</w:t>
      </w:r>
      <w:r>
        <w:rPr>
          <w:spacing w:val="-1"/>
        </w:rPr>
        <w:t>股后予以注销，变更后本公司的股本为</w:t>
      </w:r>
      <w:r>
        <w:rPr>
          <w:rFonts w:ascii="Times New Roman" w:hAnsi="Times New Roman" w:cs="Times New Roman" w:eastAsia="Times New Roman" w:hint="default"/>
          <w:spacing w:val="-1"/>
        </w:rPr>
        <w:t>1,308,310,460.00</w:t>
      </w:r>
      <w:r>
        <w:rPr>
          <w:spacing w:val="-1"/>
        </w:rPr>
        <w:t>元。此次变更业经</w:t>
      </w:r>
      <w:r>
        <w:rPr>
          <w:spacing w:val="-71"/>
        </w:rPr>
        <w:t> </w:t>
      </w:r>
      <w:r>
        <w:rPr>
          <w:spacing w:val="-71"/>
        </w:rPr>
      </w:r>
      <w:r>
        <w:rPr/>
        <w:t>信永中和会计师事务所（特殊普通合伙）出具</w:t>
      </w:r>
      <w:r>
        <w:rPr>
          <w:rFonts w:ascii="Times New Roman" w:hAnsi="Times New Roman" w:cs="Times New Roman" w:eastAsia="Times New Roman" w:hint="default"/>
        </w:rPr>
        <w:t>“XYZH/2018BJA70221”</w:t>
      </w:r>
      <w:r>
        <w:rPr>
          <w:rFonts w:ascii="Times New Roman" w:hAnsi="Times New Roman" w:cs="Times New Roman" w:eastAsia="Times New Roman" w:hint="default"/>
          <w:spacing w:val="24"/>
        </w:rPr>
        <w:t> </w:t>
      </w:r>
      <w:r>
        <w:rPr/>
        <w:t>号验资报告予以审验。</w:t>
      </w:r>
    </w:p>
    <w:p>
      <w:pPr>
        <w:pStyle w:val="BodyText"/>
        <w:spacing w:line="300" w:lineRule="auto" w:before="5"/>
        <w:ind w:right="1126"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13</w:t>
      </w:r>
      <w:r>
        <w:rPr>
          <w:spacing w:val="-2"/>
        </w:rPr>
        <w:t>日，经本公司</w:t>
      </w:r>
      <w:r>
        <w:rPr>
          <w:rFonts w:ascii="Times New Roman" w:hAnsi="Times New Roman" w:cs="Times New Roman" w:eastAsia="Times New Roman" w:hint="default"/>
          <w:spacing w:val="-2"/>
        </w:rPr>
        <w:t>2018</w:t>
      </w:r>
      <w:r>
        <w:rPr>
          <w:spacing w:val="-2"/>
        </w:rPr>
        <w:t>年度股东大会审议批准，本公司以资本公积金向全体股东每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股，转增后本公司</w:t>
      </w:r>
      <w:r>
        <w:rPr/>
        <w:t> 注册资本由</w:t>
      </w:r>
      <w:r>
        <w:rPr>
          <w:rFonts w:ascii="Times New Roman" w:hAnsi="Times New Roman" w:cs="Times New Roman" w:eastAsia="Times New Roman" w:hint="default"/>
        </w:rPr>
        <w:t>1,308,310,460.00</w:t>
      </w:r>
      <w:r>
        <w:rPr/>
        <w:t>元增加至</w:t>
      </w:r>
      <w:r>
        <w:rPr>
          <w:rFonts w:ascii="Times New Roman" w:hAnsi="Times New Roman" w:cs="Times New Roman" w:eastAsia="Times New Roman" w:hint="default"/>
        </w:rPr>
        <w:t>1,962,465,690.00</w:t>
      </w:r>
      <w:r>
        <w:rPr/>
        <w:t>元。</w:t>
      </w:r>
    </w:p>
    <w:p>
      <w:pPr>
        <w:pStyle w:val="BodyText"/>
        <w:spacing w:line="300" w:lineRule="auto" w:before="13"/>
        <w:ind w:right="1131" w:firstLine="360"/>
        <w:jc w:val="both"/>
      </w:pPr>
      <w:r>
        <w:rPr/>
        <w:t>根据本公司</w:t>
      </w:r>
      <w:r>
        <w:rPr>
          <w:rFonts w:ascii="Times New Roman" w:hAnsi="Times New Roman" w:cs="Times New Roman" w:eastAsia="Times New Roman" w:hint="default"/>
        </w:rPr>
        <w:t>2019</w:t>
      </w:r>
      <w:r>
        <w:rPr/>
        <w:t>年第一次临时股东大会及第四届董事会第十九次会议审议通过的《关于回购注销部分限制性股票的议 </w:t>
      </w:r>
      <w:r>
        <w:rPr>
          <w:spacing w:val="-1"/>
        </w:rPr>
        <w:t>案》，本公司申请减少注册资本人民币</w:t>
      </w:r>
      <w:r>
        <w:rPr>
          <w:rFonts w:ascii="Times New Roman" w:hAnsi="Times New Roman" w:cs="Times New Roman" w:eastAsia="Times New Roman" w:hint="default"/>
          <w:spacing w:val="-1"/>
        </w:rPr>
        <w:t>850,020.00</w:t>
      </w:r>
      <w:r>
        <w:rPr>
          <w:spacing w:val="-1"/>
        </w:rPr>
        <w:t>元，回购有限售条件股份</w:t>
      </w:r>
      <w:r>
        <w:rPr>
          <w:rFonts w:ascii="Times New Roman" w:hAnsi="Times New Roman" w:cs="Times New Roman" w:eastAsia="Times New Roman" w:hint="default"/>
          <w:spacing w:val="-1"/>
        </w:rPr>
        <w:t>850,020</w:t>
      </w:r>
      <w:r>
        <w:rPr>
          <w:spacing w:val="-1"/>
        </w:rPr>
        <w:t>股后予以注销，变更后公司的股本为人民</w:t>
      </w:r>
      <w:r>
        <w:rPr>
          <w:spacing w:val="-72"/>
        </w:rPr>
        <w:t> </w:t>
      </w:r>
      <w:r>
        <w:rPr>
          <w:spacing w:val="-72"/>
        </w:rPr>
      </w:r>
      <w:r>
        <w:rPr/>
        <w:t>币</w:t>
      </w:r>
      <w:r>
        <w:rPr>
          <w:rFonts w:ascii="Times New Roman" w:hAnsi="Times New Roman" w:cs="Times New Roman" w:eastAsia="Times New Roman" w:hint="default"/>
        </w:rPr>
        <w:t>1,961,563,170.00</w:t>
      </w:r>
      <w:r>
        <w:rPr/>
        <w:t>元。此次变更业经信永中和会计师事务所（特殊普通合伙）出具</w:t>
      </w:r>
      <w:r>
        <w:rPr>
          <w:rFonts w:ascii="Times New Roman" w:hAnsi="Times New Roman" w:cs="Times New Roman" w:eastAsia="Times New Roman" w:hint="default"/>
        </w:rPr>
        <w:t>“XYZH/2019BJA70377”</w:t>
      </w:r>
      <w:r>
        <w:rPr>
          <w:rFonts w:ascii="Times New Roman" w:hAnsi="Times New Roman" w:cs="Times New Roman" w:eastAsia="Times New Roman" w:hint="default"/>
          <w:spacing w:val="8"/>
        </w:rPr>
        <w:t> </w:t>
      </w:r>
      <w:r>
        <w:rPr/>
        <w:t>号验资报告予以 审验。</w:t>
      </w:r>
    </w:p>
    <w:p>
      <w:pPr>
        <w:pStyle w:val="BodyText"/>
        <w:spacing w:line="300" w:lineRule="auto" w:before="72"/>
        <w:ind w:right="1133" w:firstLine="288"/>
        <w:jc w:val="both"/>
      </w:pPr>
      <w:r>
        <w:rPr>
          <w:spacing w:val="-3"/>
        </w:rPr>
        <w:t>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日，公司股本总额</w:t>
      </w:r>
      <w:r>
        <w:rPr>
          <w:rFonts w:ascii="Times New Roman" w:hAnsi="Times New Roman" w:cs="Times New Roman" w:eastAsia="Times New Roman" w:hint="default"/>
          <w:spacing w:val="-3"/>
        </w:rPr>
        <w:t>1,961,563,170.00</w:t>
      </w:r>
      <w:r>
        <w:rPr>
          <w:spacing w:val="-3"/>
        </w:rPr>
        <w:t>元，股份总数</w:t>
      </w:r>
      <w:r>
        <w:rPr>
          <w:rFonts w:ascii="Times New Roman" w:hAnsi="Times New Roman" w:cs="Times New Roman" w:eastAsia="Times New Roman" w:hint="default"/>
          <w:spacing w:val="-3"/>
        </w:rPr>
        <w:t>1,961,563,170</w:t>
      </w:r>
      <w:r>
        <w:rPr>
          <w:spacing w:val="-3"/>
        </w:rPr>
        <w:t>股，其中有限售条件股份</w:t>
      </w:r>
      <w:r>
        <w:rPr>
          <w:rFonts w:ascii="Times New Roman" w:hAnsi="Times New Roman" w:cs="Times New Roman" w:eastAsia="Times New Roman" w:hint="default"/>
          <w:spacing w:val="-3"/>
        </w:rPr>
        <w:t>386,012,962</w:t>
      </w:r>
      <w:r>
        <w:rPr>
          <w:spacing w:val="-3"/>
        </w:rPr>
        <w:t>股， </w:t>
      </w:r>
      <w:r>
        <w:rPr/>
        <w:t>占股份总数的</w:t>
      </w:r>
      <w:r>
        <w:rPr>
          <w:rFonts w:ascii="Times New Roman" w:hAnsi="Times New Roman" w:cs="Times New Roman" w:eastAsia="Times New Roman" w:hint="default"/>
        </w:rPr>
        <w:t>19.68%</w:t>
      </w:r>
      <w:r>
        <w:rPr/>
        <w:t>；无限售条件股份</w:t>
      </w:r>
      <w:r>
        <w:rPr>
          <w:rFonts w:ascii="Times New Roman" w:hAnsi="Times New Roman" w:cs="Times New Roman" w:eastAsia="Times New Roman" w:hint="default"/>
        </w:rPr>
        <w:t>1,575,550,208</w:t>
      </w:r>
      <w:r>
        <w:rPr/>
        <w:t>股，占股份总数的</w:t>
      </w:r>
      <w:r>
        <w:rPr>
          <w:rFonts w:ascii="Times New Roman" w:hAnsi="Times New Roman" w:cs="Times New Roman" w:eastAsia="Times New Roman" w:hint="default"/>
        </w:rPr>
        <w:t>80.32%</w:t>
      </w:r>
      <w:r>
        <w:rPr/>
        <w:t>。</w:t>
      </w:r>
    </w:p>
    <w:p>
      <w:pPr>
        <w:pStyle w:val="BodyText"/>
        <w:spacing w:line="316" w:lineRule="auto" w:before="51"/>
        <w:ind w:right="1130" w:firstLine="360"/>
        <w:jc w:val="both"/>
      </w:pPr>
      <w:r>
        <w:rPr>
          <w:spacing w:val="-5"/>
        </w:rPr>
        <w:t>本公司法定代表人：吴劲风；经营范围：第二类增值电信业务中的信息服务业务；开发、生产导航电子地图、计算机软、</w:t>
      </w:r>
      <w:r>
        <w:rPr/>
        <w:t> </w:t>
      </w:r>
      <w:r>
        <w:rPr>
          <w:spacing w:val="-2"/>
        </w:rPr>
        <w:t>硬件；开发智能交通、航空航天遥感、地理信息系统、自动制图、地图编制、互联网地图服务、设备管理、测绘工程、个人</w:t>
      </w:r>
      <w:r>
        <w:rPr>
          <w:spacing w:val="-70"/>
        </w:rPr>
        <w:t> </w:t>
      </w:r>
      <w:r>
        <w:rPr>
          <w:spacing w:val="-70"/>
        </w:rPr>
      </w:r>
      <w:r>
        <w:rPr/>
        <w:t>数字助理的技术及产品；销售自产产品；技术进出口、货物进出口。</w:t>
      </w:r>
    </w:p>
    <w:p>
      <w:pPr>
        <w:pStyle w:val="BodyText"/>
        <w:spacing w:line="316" w:lineRule="auto" w:before="19"/>
        <w:ind w:right="1134" w:firstLine="360"/>
        <w:jc w:val="both"/>
      </w:pPr>
      <w:r>
        <w:rPr>
          <w:spacing w:val="-2"/>
        </w:rPr>
        <w:t>股东大会是本公司的权力机构，依法行使公司经营方针、筹资、投资、利润分配等重大事项决议权。董事会对股东大会</w:t>
      </w:r>
      <w:r>
        <w:rPr/>
        <w:t> 负责，依法行使公司的经营决策权；经理层负责组织实施股东大会、董事会决议事项，主持企业的生产经营管理工作。</w:t>
      </w:r>
    </w:p>
    <w:p>
      <w:pPr>
        <w:pStyle w:val="BodyText"/>
        <w:spacing w:line="309" w:lineRule="auto" w:before="19"/>
        <w:ind w:right="1128" w:firstLine="360"/>
        <w:jc w:val="both"/>
      </w:pPr>
      <w:r>
        <w:rPr>
          <w:spacing w:val="-2"/>
        </w:rPr>
        <w:t>本集团合并财务报表范围包括上海纳维信息技术有限公司、北京世纪高通科技有限公司、合肥杰发科技有限公司等</w:t>
      </w:r>
      <w:r>
        <w:rPr>
          <w:rFonts w:ascii="Times New Roman" w:hAnsi="Times New Roman" w:cs="Times New Roman" w:eastAsia="Times New Roman" w:hint="default"/>
          <w:spacing w:val="-2"/>
        </w:rPr>
        <w:t>19</w:t>
      </w:r>
      <w:r>
        <w:rPr>
          <w:spacing w:val="-2"/>
        </w:rPr>
        <w:t>家</w:t>
      </w:r>
      <w:r>
        <w:rPr/>
        <w:t> </w:t>
      </w:r>
      <w:r>
        <w:rPr>
          <w:spacing w:val="-2"/>
        </w:rPr>
        <w:t>公司。与上年相比，本年合并财务报表范围因投资设立增加合肥四维图新科技有限公司和北京满电出行科技有限公司，因注</w:t>
      </w:r>
      <w:r>
        <w:rPr>
          <w:spacing w:val="-66"/>
        </w:rPr>
        <w:t> </w:t>
      </w:r>
      <w:r>
        <w:rPr>
          <w:spacing w:val="-66"/>
        </w:rPr>
      </w:r>
      <w:r>
        <w:rPr/>
        <w:t>销减少图新投资（香港）科技有限公司，因第三方增资丧失控制权减少北京六分科技有限公司。</w:t>
      </w:r>
    </w:p>
    <w:p>
      <w:pPr>
        <w:pStyle w:val="BodyText"/>
        <w:spacing w:line="240" w:lineRule="auto" w:before="24"/>
        <w:ind w:left="513" w:right="0"/>
        <w:jc w:val="left"/>
      </w:pPr>
      <w:r>
        <w:rPr/>
        <w:t>报告期合并范围的变化详见本附注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及本附注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相关内容。</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四、财务报表的编制基础</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134" w:firstLine="360"/>
        <w:jc w:val="both"/>
      </w:pPr>
      <w:r>
        <w:rPr>
          <w:spacing w:val="-2"/>
        </w:rPr>
        <w:t>本集团财务报表以持续经营为基础，根据实际发生的交易和事项，按照财政部颁布的《企业会计准则》及相关规定，并</w:t>
      </w:r>
      <w:r>
        <w:rPr/>
        <w:t> 基于本附注</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所述会计政策和会计估计编制。</w:t>
      </w:r>
    </w:p>
    <w:p>
      <w:pPr>
        <w:spacing w:after="0" w:line="316" w:lineRule="auto"/>
        <w:jc w:val="both"/>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0" w:firstLine="360"/>
        <w:jc w:val="left"/>
      </w:pPr>
      <w:r>
        <w:rPr>
          <w:spacing w:val="-2"/>
        </w:rPr>
        <w:t>本集团有近期获利经营的历史且有财务资源支持，自本报告期末至少</w:t>
      </w:r>
      <w:r>
        <w:rPr>
          <w:rFonts w:ascii="Times New Roman" w:hAnsi="Times New Roman" w:cs="Times New Roman" w:eastAsia="Times New Roman" w:hint="default"/>
          <w:spacing w:val="-2"/>
        </w:rPr>
        <w:t>12</w:t>
      </w:r>
      <w:r>
        <w:rPr>
          <w:spacing w:val="-2"/>
        </w:rPr>
        <w:t>个月内具备持续经营能力，无影响持续经营能力</w:t>
      </w:r>
      <w:r>
        <w:rPr/>
        <w:t> 的重大事项，因此本财务报表以持续经营假设为基础编制。</w:t>
      </w:r>
    </w:p>
    <w:p>
      <w:pPr>
        <w:spacing w:line="240" w:lineRule="auto" w:before="13"/>
        <w:rPr>
          <w:rFonts w:ascii="宋体" w:hAnsi="宋体" w:cs="宋体" w:eastAsia="宋体" w:hint="default"/>
          <w:sz w:val="15"/>
          <w:szCs w:val="15"/>
        </w:rPr>
      </w:pPr>
    </w:p>
    <w:p>
      <w:pPr>
        <w:pStyle w:val="Heading2"/>
        <w:spacing w:line="240" w:lineRule="auto"/>
        <w:ind w:right="0"/>
        <w:jc w:val="left"/>
        <w:rPr>
          <w:b w:val="0"/>
          <w:bCs w:val="0"/>
        </w:rPr>
      </w:pPr>
      <w:r>
        <w:rPr/>
        <w:t>五、重要会计政策及会计估计</w:t>
      </w:r>
      <w:r>
        <w:rPr>
          <w:b w:val="0"/>
          <w:bCs w:val="0"/>
        </w:rPr>
      </w:r>
    </w:p>
    <w:p>
      <w:pPr>
        <w:pStyle w:val="BodyText"/>
        <w:spacing w:line="430" w:lineRule="atLeast" w:before="122"/>
        <w:ind w:left="513" w:right="0" w:hanging="361"/>
        <w:jc w:val="left"/>
      </w:pPr>
      <w:r>
        <w:rPr/>
        <w:t>具体会计政策和会计估计提示： </w:t>
      </w:r>
      <w:r>
        <w:rPr>
          <w:spacing w:val="-2"/>
        </w:rPr>
        <w:t>本集团根据实际生产经营特点制定的具体会计政策和会计估计包括应收款项坏账准备的确认和计量、发出存货计量、固</w:t>
      </w:r>
    </w:p>
    <w:p>
      <w:pPr>
        <w:pStyle w:val="BodyText"/>
        <w:spacing w:line="240" w:lineRule="auto" w:before="76"/>
        <w:ind w:right="0"/>
        <w:jc w:val="left"/>
      </w:pPr>
      <w:r>
        <w:rPr/>
        <w:t>定资产分类及折旧方法、无形资产摊销、收入确认和计量等。</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513" w:right="0"/>
        <w:jc w:val="left"/>
      </w:pPr>
      <w:r>
        <w:rPr/>
        <w:t>本财务报表符合企业会计准则的要求，真实、完整地反映了本公司及本集团的财务状况、经营成果和现金流量等有关信</w:t>
      </w:r>
    </w:p>
    <w:p>
      <w:pPr>
        <w:pStyle w:val="BodyText"/>
        <w:spacing w:line="240" w:lineRule="auto" w:before="76"/>
        <w:ind w:right="0"/>
        <w:jc w:val="left"/>
      </w:pPr>
      <w:r>
        <w:rPr/>
        <w:t>息。</w:t>
      </w:r>
    </w:p>
    <w:p>
      <w:pPr>
        <w:spacing w:line="240" w:lineRule="auto" w:before="6"/>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13" w:right="0"/>
        <w:jc w:val="left"/>
      </w:pPr>
      <w:r>
        <w:rPr/>
        <w:t>本集团的会计期间为公历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3" w:right="0"/>
        <w:jc w:val="left"/>
      </w:pPr>
      <w:r>
        <w:rPr/>
        <w:t>不适用</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13" w:right="0"/>
        <w:jc w:val="left"/>
      </w:pPr>
      <w:r>
        <w:rPr/>
        <w:t>本集团以人民币为记账本位币。</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32" w:firstLine="360"/>
        <w:jc w:val="right"/>
      </w:pPr>
      <w:r>
        <w:rPr>
          <w:spacing w:val="-2"/>
        </w:rPr>
        <w:t>本集团作为合并方，在同一控制下企业合并中取得的资产和负债，在合并日按被合并方在最终控制方合并报表中的账面</w:t>
      </w:r>
      <w:r>
        <w:rPr/>
        <w:t> </w:t>
      </w:r>
      <w:r>
        <w:rPr>
          <w:spacing w:val="-5"/>
        </w:rPr>
        <w:t>价值计量。取得的净资产账面价值与支付的合并对价账面价值的差额，调整资本公积；资本公积不足冲减的，调整留存收益。</w:t>
      </w:r>
    </w:p>
    <w:p>
      <w:pPr>
        <w:pStyle w:val="BodyText"/>
        <w:spacing w:line="319" w:lineRule="auto" w:before="139"/>
        <w:ind w:right="1129" w:firstLine="360"/>
        <w:jc w:val="both"/>
      </w:pPr>
      <w:r>
        <w:rPr>
          <w:spacing w:val="-2"/>
        </w:rPr>
        <w:t>在非同一控制下企业合并中取得的被购买方可辨认资产、负债及或有负债在收购日以公允价值计量。合并成本为本集团</w:t>
      </w:r>
      <w:r>
        <w:rPr/>
        <w:t> </w:t>
      </w:r>
      <w:r>
        <w:rPr>
          <w:spacing w:val="-2"/>
        </w:rPr>
        <w:t>在购买日为取得对被购买方的控制权而支付的现金或非现金资产、发行或承担的负债、发行的权益性证券等的公允价值以及</w:t>
      </w:r>
      <w:r>
        <w:rPr>
          <w:spacing w:val="-64"/>
        </w:rPr>
        <w:t> </w:t>
      </w:r>
      <w:r>
        <w:rPr>
          <w:spacing w:val="-64"/>
        </w:rPr>
      </w:r>
      <w:r>
        <w:rPr>
          <w:spacing w:val="-5"/>
        </w:rPr>
        <w:t>在企业合并中发生的各项直接相关费用之和（通过多次交易分步实现的企业合并，其合并成本为每一单项交易的成本之和）。</w:t>
      </w:r>
      <w:r>
        <w:rPr>
          <w:spacing w:val="-75"/>
        </w:rPr>
        <w:t> </w:t>
      </w:r>
      <w:r>
        <w:rPr>
          <w:spacing w:val="-75"/>
        </w:rPr>
      </w:r>
      <w:r>
        <w:rPr>
          <w:spacing w:val="-2"/>
        </w:rPr>
        <w:t>合并成本大于合并中取得的被购买方可辨认净资产公允价值份额的差额，确认为商誉；合并成本小于合并中取得的被购买方</w:t>
      </w:r>
      <w:r>
        <w:rPr>
          <w:spacing w:val="-64"/>
        </w:rPr>
        <w:t> </w:t>
      </w:r>
      <w:r>
        <w:rPr>
          <w:spacing w:val="-64"/>
        </w:rPr>
      </w:r>
      <w:r>
        <w:rPr>
          <w:spacing w:val="-2"/>
        </w:rPr>
        <w:t>可辨认净资产公允价值份额的，首先对合并中取得的各项可辨认资产、负债及或有负债的公允价值、以及合并对价的非现金</w:t>
      </w:r>
      <w:r>
        <w:rPr>
          <w:spacing w:val="-63"/>
        </w:rPr>
        <w:t> </w:t>
      </w:r>
      <w:r>
        <w:rPr>
          <w:spacing w:val="-63"/>
        </w:rPr>
      </w:r>
      <w:r>
        <w:rPr>
          <w:spacing w:val="-2"/>
        </w:rPr>
        <w:t>资产或发行的权益性证券等的公允价值进行复核，经复核后，合并成本仍小于合并中取得的被购买方可辨认净资产公允价值</w:t>
      </w:r>
      <w:r>
        <w:rPr>
          <w:spacing w:val="-64"/>
        </w:rPr>
        <w:t> </w:t>
      </w:r>
      <w:r>
        <w:rPr>
          <w:spacing w:val="-64"/>
        </w:rPr>
      </w:r>
      <w:r>
        <w:rPr/>
        <w:t>份额的，将其差额计入合并当期营业外收入。</w:t>
      </w:r>
    </w:p>
    <w:p>
      <w:pPr>
        <w:spacing w:line="240" w:lineRule="auto" w:before="7"/>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92" w:right="0"/>
        <w:jc w:val="left"/>
      </w:pPr>
      <w:r>
        <w:rPr/>
        <w:t>本集团将所有控制的子公司纳入合并财务报表范围。</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6" w:firstLine="439"/>
        <w:jc w:val="both"/>
      </w:pPr>
      <w:r>
        <w:rPr/>
        <w:t>在编制合并财务报表时，子公司与本公司采用的会计政策或会计期间不一致的，按照本公司的会计政策或会计期间对 子公司财务报表进行必要的调整。</w:t>
      </w:r>
    </w:p>
    <w:p>
      <w:pPr>
        <w:spacing w:line="240" w:lineRule="auto" w:before="10"/>
        <w:rPr>
          <w:rFonts w:ascii="宋体" w:hAnsi="宋体" w:cs="宋体" w:eastAsia="宋体" w:hint="default"/>
          <w:sz w:val="19"/>
          <w:szCs w:val="19"/>
        </w:rPr>
      </w:pPr>
    </w:p>
    <w:p>
      <w:pPr>
        <w:pStyle w:val="BodyText"/>
        <w:spacing w:line="309" w:lineRule="auto"/>
        <w:ind w:right="1131" w:firstLine="439"/>
        <w:jc w:val="both"/>
      </w:pPr>
      <w:r>
        <w:rPr/>
        <w:t>合并范围内的所有重大内部交易、往来余额及未实现利润在合并报表编制时予以抵销。子公司的所有者权益中不属于 母公司的份额以及当期净损益、其他综合收益及综合收益总额中属于少数股东权益的份额，分别在合并财务报表</w:t>
      </w:r>
      <w:r>
        <w:rPr>
          <w:rFonts w:ascii="Times New Roman" w:hAnsi="Times New Roman" w:cs="Times New Roman" w:eastAsia="Times New Roman" w:hint="default"/>
        </w:rPr>
        <w:t>“</w:t>
      </w:r>
      <w:r>
        <w:rPr/>
        <w:t>少数股东</w:t>
      </w:r>
      <w:r>
        <w:rPr>
          <w:spacing w:val="-73"/>
        </w:rPr>
        <w:t> </w:t>
      </w:r>
      <w:r>
        <w:rPr>
          <w:spacing w:val="-73"/>
        </w:rPr>
      </w:r>
      <w:r>
        <w:rPr/>
        <w:t>权益、少数股东损益、归属于少数股东的其他综合收益及归属于少数股东的综合收益总额</w:t>
      </w:r>
      <w:r>
        <w:rPr>
          <w:rFonts w:ascii="Times New Roman" w:hAnsi="Times New Roman" w:cs="Times New Roman" w:eastAsia="Times New Roman" w:hint="default"/>
        </w:rPr>
        <w:t>”</w:t>
      </w:r>
      <w:r>
        <w:rPr/>
        <w:t>项目列示。</w:t>
      </w:r>
    </w:p>
    <w:p>
      <w:pPr>
        <w:spacing w:line="240" w:lineRule="auto" w:before="9"/>
        <w:rPr>
          <w:rFonts w:ascii="宋体" w:hAnsi="宋体" w:cs="宋体" w:eastAsia="宋体" w:hint="default"/>
          <w:sz w:val="18"/>
          <w:szCs w:val="18"/>
        </w:rPr>
      </w:pPr>
    </w:p>
    <w:p>
      <w:pPr>
        <w:pStyle w:val="BodyText"/>
        <w:spacing w:line="316" w:lineRule="auto"/>
        <w:ind w:right="1134" w:firstLine="439"/>
        <w:jc w:val="both"/>
      </w:pPr>
      <w:r>
        <w:rPr/>
        <w:t>对于同一控制下企业合并取得的子公司，其经营成果和现金流量自合并当期期初纳入合并财务报表。编制比较合并财 务报表时，对上年财务报表的相关项目进行调整，视同合并后形成的报告主体自最终控制方开始控制时点起一直存在。</w:t>
      </w:r>
    </w:p>
    <w:p>
      <w:pPr>
        <w:spacing w:line="240" w:lineRule="auto" w:before="10"/>
        <w:rPr>
          <w:rFonts w:ascii="宋体" w:hAnsi="宋体" w:cs="宋体" w:eastAsia="宋体" w:hint="default"/>
          <w:sz w:val="19"/>
          <w:szCs w:val="19"/>
        </w:rPr>
      </w:pPr>
    </w:p>
    <w:p>
      <w:pPr>
        <w:pStyle w:val="BodyText"/>
        <w:spacing w:line="319" w:lineRule="auto"/>
        <w:ind w:right="1129" w:firstLine="439"/>
        <w:jc w:val="both"/>
      </w:pPr>
      <w:r>
        <w:rPr/>
        <w:t>通过多次交易分步取得同一控制下被投资单位的股权，最终形成企业合并，编制合并报表时，视同在最终控制方开始 </w:t>
      </w:r>
      <w:r>
        <w:rPr>
          <w:spacing w:val="-2"/>
        </w:rPr>
        <w:t>控制时即以目前的状态存在进行调整，在编制比较报表时，以不早于本集团和被合并方同处于最终控制方的控制之下的时点</w:t>
      </w:r>
      <w:r>
        <w:rPr>
          <w:spacing w:val="-64"/>
        </w:rPr>
        <w:t> </w:t>
      </w:r>
      <w:r>
        <w:rPr>
          <w:spacing w:val="-64"/>
        </w:rPr>
      </w:r>
      <w:r>
        <w:rPr>
          <w:spacing w:val="-2"/>
        </w:rPr>
        <w:t>为限，将被合并方的有关资产、负债并入本集团合并财务报表的比较报表中，并将合并而增加的净资产在比较报表中调整所</w:t>
      </w:r>
      <w:r>
        <w:rPr>
          <w:spacing w:val="-63"/>
        </w:rPr>
        <w:t> </w:t>
      </w:r>
      <w:r>
        <w:rPr>
          <w:spacing w:val="-63"/>
        </w:rPr>
      </w:r>
      <w:r>
        <w:rPr>
          <w:spacing w:val="-2"/>
        </w:rPr>
        <w:t>有者权益项下的相关项目。为避免对被合并方净资产的价值进行重复计算，本集团在达到合并之前持有的长期股权投资，在</w:t>
      </w:r>
      <w:r>
        <w:rPr>
          <w:spacing w:val="-62"/>
        </w:rPr>
        <w:t> </w:t>
      </w:r>
      <w:r>
        <w:rPr>
          <w:spacing w:val="-62"/>
        </w:rPr>
      </w:r>
      <w:r>
        <w:rPr/>
        <w:t>取得原股权之日与本集团和被合并方处于同一方最终控制之日孰晚日起至合并日之间已确认有关损益、其他综合收益和其</w:t>
      </w:r>
      <w:r>
        <w:rPr>
          <w:spacing w:val="-11"/>
        </w:rPr>
        <w:t> </w:t>
      </w:r>
      <w:r>
        <w:rPr>
          <w:spacing w:val="-11"/>
        </w:rPr>
      </w:r>
      <w:r>
        <w:rPr/>
        <w:t>他净资产变动，应分别冲减比较报表期间的期初留存收益和当期损益。</w:t>
      </w:r>
    </w:p>
    <w:p>
      <w:pPr>
        <w:spacing w:line="240" w:lineRule="auto" w:before="8"/>
        <w:rPr>
          <w:rFonts w:ascii="宋体" w:hAnsi="宋体" w:cs="宋体" w:eastAsia="宋体" w:hint="default"/>
          <w:sz w:val="19"/>
          <w:szCs w:val="19"/>
        </w:rPr>
      </w:pPr>
    </w:p>
    <w:p>
      <w:pPr>
        <w:pStyle w:val="BodyText"/>
        <w:spacing w:line="316" w:lineRule="auto"/>
        <w:ind w:right="1136" w:firstLine="439"/>
        <w:jc w:val="both"/>
      </w:pPr>
      <w:r>
        <w:rPr/>
        <w:t>对于非同一控制下企业合并取得子公司，经营成果和现金流量自本集团取得控制权之日起纳入合并财务报表。在编制 合并财务报表时，以购买日确定的各项可辨认资产、负债及或有负债的公允价值为基础对子公司的财务报表进行调整。</w:t>
      </w:r>
    </w:p>
    <w:p>
      <w:pPr>
        <w:spacing w:line="240" w:lineRule="auto" w:before="10"/>
        <w:rPr>
          <w:rFonts w:ascii="宋体" w:hAnsi="宋体" w:cs="宋体" w:eastAsia="宋体" w:hint="default"/>
          <w:sz w:val="19"/>
          <w:szCs w:val="19"/>
        </w:rPr>
      </w:pPr>
    </w:p>
    <w:p>
      <w:pPr>
        <w:pStyle w:val="BodyText"/>
        <w:spacing w:line="319" w:lineRule="auto"/>
        <w:ind w:right="1130" w:firstLine="439"/>
        <w:jc w:val="both"/>
      </w:pPr>
      <w:r>
        <w:rPr/>
        <w:t>通过多次交易分步取得非同一控制下被投资单位的股权，最终形成企业合并，编制合并报表时，对于购买日之前持有 </w:t>
      </w:r>
      <w:r>
        <w:rPr>
          <w:spacing w:val="-2"/>
        </w:rPr>
        <w:t>的被购买方的股权，按照该股权在购买日的公允价值进行重新计量，公允价值与其账面价值的差额计入当期投资收益；与其</w:t>
      </w:r>
      <w:r>
        <w:rPr>
          <w:spacing w:val="-63"/>
        </w:rPr>
        <w:t> </w:t>
      </w:r>
      <w:r>
        <w:rPr>
          <w:spacing w:val="-63"/>
        </w:rPr>
      </w:r>
      <w:r>
        <w:rPr/>
        <w:t>相关的购买日之前持有的被购买方的股权涉及权益法核算下的其他综合收益以及除净损益、其他综合收益和利润分配外的</w:t>
      </w:r>
      <w:r>
        <w:rPr>
          <w:spacing w:val="-11"/>
        </w:rPr>
        <w:t> </w:t>
      </w:r>
      <w:r>
        <w:rPr>
          <w:spacing w:val="-11"/>
        </w:rPr>
      </w:r>
      <w:r>
        <w:rPr>
          <w:spacing w:val="-2"/>
        </w:rPr>
        <w:t>其他所有者权益变动，在购买日所属当期转为投资损益，由于被投资方重新计量设定受益计划净负债或净资产变动而产生的</w:t>
      </w:r>
      <w:r>
        <w:rPr>
          <w:spacing w:val="-64"/>
        </w:rPr>
        <w:t> </w:t>
      </w:r>
      <w:r>
        <w:rPr>
          <w:spacing w:val="-64"/>
        </w:rPr>
      </w:r>
      <w:r>
        <w:rPr/>
        <w:t>其他综合收益除外。</w:t>
      </w:r>
    </w:p>
    <w:p>
      <w:pPr>
        <w:spacing w:line="240" w:lineRule="auto" w:before="8"/>
        <w:rPr>
          <w:rFonts w:ascii="宋体" w:hAnsi="宋体" w:cs="宋体" w:eastAsia="宋体" w:hint="default"/>
          <w:sz w:val="19"/>
          <w:szCs w:val="19"/>
        </w:rPr>
      </w:pPr>
    </w:p>
    <w:p>
      <w:pPr>
        <w:pStyle w:val="BodyText"/>
        <w:spacing w:line="316" w:lineRule="auto"/>
        <w:ind w:right="1132" w:firstLine="442"/>
        <w:jc w:val="both"/>
      </w:pPr>
      <w:r>
        <w:rPr/>
        <w:t>本集团在不丧失控制权的情况下部分处置对子公司的长期股权投资，在合并财务报表中，处置价款与处置长期股权投 </w:t>
      </w:r>
      <w:r>
        <w:rPr>
          <w:spacing w:val="-2"/>
        </w:rPr>
        <w:t>资相对应享有子公司自购买日或合并日开始持续计算的净资产份额之间的差额，调整资本溢价或股本溢价，资本公积不足冲</w:t>
      </w:r>
      <w:r>
        <w:rPr>
          <w:spacing w:val="-63"/>
        </w:rPr>
        <w:t> </w:t>
      </w:r>
      <w:r>
        <w:rPr>
          <w:spacing w:val="-63"/>
        </w:rPr>
      </w:r>
      <w:r>
        <w:rPr/>
        <w:t>减的，调整留存收益。</w:t>
      </w:r>
    </w:p>
    <w:p>
      <w:pPr>
        <w:spacing w:line="240" w:lineRule="auto" w:before="10"/>
        <w:rPr>
          <w:rFonts w:ascii="宋体" w:hAnsi="宋体" w:cs="宋体" w:eastAsia="宋体" w:hint="default"/>
          <w:sz w:val="19"/>
          <w:szCs w:val="19"/>
        </w:rPr>
      </w:pPr>
    </w:p>
    <w:p>
      <w:pPr>
        <w:pStyle w:val="BodyText"/>
        <w:spacing w:line="316" w:lineRule="auto"/>
        <w:ind w:right="1133" w:firstLine="442"/>
        <w:jc w:val="both"/>
      </w:pPr>
      <w:r>
        <w:rPr/>
        <w:t>本集团因处置部分股权投资等原因丧失了对被投资方的控制权的，在编制合并财务报表时，对于剩余股权，按照其在 </w:t>
      </w:r>
      <w:r>
        <w:rPr>
          <w:spacing w:val="-2"/>
        </w:rPr>
        <w:t>丧失控制权日的公允价值进行重新计量。处置股权取得的对价与剩余股权公允价值之和，减去按原持股比例计算应享有原有</w:t>
      </w:r>
      <w:r>
        <w:rPr>
          <w:spacing w:val="-64"/>
        </w:rPr>
        <w:t> </w:t>
      </w:r>
      <w:r>
        <w:rPr>
          <w:spacing w:val="-64"/>
        </w:rPr>
      </w:r>
      <w:r>
        <w:rPr>
          <w:spacing w:val="-2"/>
        </w:rPr>
        <w:t>子公司自购买日或合并日开始持续计算的净资产的份额之间的差额，计入丧失控制权当期的投资损益，同时冲减商誉。与原</w:t>
      </w:r>
      <w:r>
        <w:rPr>
          <w:spacing w:val="-65"/>
        </w:rPr>
        <w:t> </w:t>
      </w:r>
      <w:r>
        <w:rPr>
          <w:spacing w:val="-65"/>
        </w:rPr>
      </w:r>
      <w:r>
        <w:rPr/>
        <w:t>有子公司股权投资相关的其他综合收益等，在丧失控制权时转为当期投资损益。</w:t>
      </w:r>
    </w:p>
    <w:p>
      <w:pPr>
        <w:spacing w:line="240" w:lineRule="auto" w:before="11"/>
        <w:rPr>
          <w:rFonts w:ascii="宋体" w:hAnsi="宋体" w:cs="宋体" w:eastAsia="宋体" w:hint="default"/>
          <w:sz w:val="19"/>
          <w:szCs w:val="19"/>
        </w:rPr>
      </w:pPr>
    </w:p>
    <w:p>
      <w:pPr>
        <w:pStyle w:val="BodyText"/>
        <w:spacing w:line="316" w:lineRule="auto"/>
        <w:ind w:right="1133" w:firstLine="442"/>
        <w:jc w:val="both"/>
      </w:pPr>
      <w:r>
        <w:rPr/>
        <w:t>本集团通过多次交易分步处置对子公司股权投资直至丧失控制权的，如果处置对子公司股权投资直至丧失控制权的各 </w:t>
      </w:r>
      <w:r>
        <w:rPr>
          <w:spacing w:val="-2"/>
        </w:rPr>
        <w:t>项交易属于一揽子交易的，应当将各项交易作为一项处置子公司并丧失控制权的交易进行会计处理；但是，在丧失控制权之</w:t>
      </w:r>
      <w:r>
        <w:rPr>
          <w:spacing w:val="-66"/>
        </w:rPr>
        <w:t> </w:t>
      </w:r>
      <w:r>
        <w:rPr>
          <w:spacing w:val="-66"/>
        </w:rPr>
      </w:r>
      <w:r>
        <w:rPr>
          <w:spacing w:val="-2"/>
        </w:rPr>
        <w:t>前每一次处置价款与处置投资对应的享有该子公司净资产份额的差额，在合并财务报表中确认为其他综合收益，在丧失控制</w:t>
      </w:r>
      <w:r>
        <w:rPr>
          <w:spacing w:val="-64"/>
        </w:rPr>
        <w:t> </w:t>
      </w:r>
      <w:r>
        <w:rPr>
          <w:spacing w:val="-64"/>
        </w:rPr>
      </w:r>
      <w:r>
        <w:rPr/>
        <w:t>权时一并转入丧失控制权当期的投资损益。</w:t>
      </w: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3" w:right="0"/>
        <w:jc w:val="left"/>
      </w:pP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364" w:firstLine="300"/>
        <w:jc w:val="left"/>
      </w:pPr>
      <w:r>
        <w:rPr/>
        <w:t>本集团现金流量表之现金指库存现金以及可以随时用于支付的存款。现金流量表之现金等价物指持有期限不超过</w:t>
      </w:r>
      <w:r>
        <w:rPr>
          <w:rFonts w:ascii="Times New Roman" w:hAnsi="Times New Roman" w:cs="Times New Roman" w:eastAsia="Times New Roman" w:hint="default"/>
        </w:rPr>
        <w:t>3</w:t>
      </w:r>
      <w:r>
        <w:rPr/>
        <w:t>个 月、流动性强、易于转换为已知金额现金且价值变动风险很小的投资。</w:t>
      </w:r>
    </w:p>
    <w:p>
      <w:pPr>
        <w:spacing w:line="240" w:lineRule="auto" w:before="8"/>
        <w:rPr>
          <w:rFonts w:ascii="宋体" w:hAnsi="宋体" w:cs="宋体" w:eastAsia="宋体" w:hint="default"/>
          <w:sz w:val="18"/>
          <w:szCs w:val="18"/>
        </w:rPr>
      </w:pPr>
    </w:p>
    <w:p>
      <w:pPr>
        <w:pStyle w:val="Heading4"/>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pStyle w:val="BodyText"/>
        <w:spacing w:line="420" w:lineRule="atLeast" w:before="163"/>
        <w:ind w:left="513" w:right="1121"/>
        <w:jc w:val="left"/>
      </w:pPr>
      <w:r>
        <w:rPr/>
        <w:t>（</w:t>
      </w:r>
      <w:r>
        <w:rPr>
          <w:rFonts w:ascii="Times New Roman" w:hAnsi="Times New Roman" w:cs="Times New Roman" w:eastAsia="Times New Roman" w:hint="default"/>
        </w:rPr>
        <w:t>1</w:t>
      </w:r>
      <w:r>
        <w:rPr/>
        <w:t>）外币交易 </w:t>
      </w:r>
      <w:r>
        <w:rPr>
          <w:spacing w:val="-2"/>
        </w:rPr>
        <w:t>本集团外币交易按交易发生日的即期汇率将外币金额折算为人民币金额。于资产负债表日，外币货币性项目采用资产负</w:t>
      </w:r>
    </w:p>
    <w:p>
      <w:pPr>
        <w:pStyle w:val="BodyText"/>
        <w:spacing w:line="316" w:lineRule="auto" w:before="76"/>
        <w:ind w:right="0"/>
        <w:jc w:val="left"/>
      </w:pPr>
      <w:r>
        <w:rPr/>
        <w:t>债表日的即期汇率折算为人民币，所产生的折算差额除了为购建或生产符合资本化条件的资产而借入的外币专门借款产生</w:t>
      </w:r>
      <w:r>
        <w:rPr>
          <w:spacing w:val="-11"/>
        </w:rPr>
        <w:t> </w:t>
      </w:r>
      <w:r>
        <w:rPr>
          <w:spacing w:val="-11"/>
        </w:rPr>
      </w:r>
      <w:r>
        <w:rPr/>
        <w:t>的汇兑差额按资本化的原则处理外，直接计入当期损益。</w:t>
      </w:r>
    </w:p>
    <w:p>
      <w:pPr>
        <w:pStyle w:val="BodyText"/>
        <w:spacing w:line="432" w:lineRule="exact" w:before="4"/>
        <w:ind w:left="513" w:right="0"/>
        <w:jc w:val="left"/>
      </w:pPr>
      <w:r>
        <w:rPr/>
        <w:t>（</w:t>
      </w:r>
      <w:r>
        <w:rPr>
          <w:rFonts w:ascii="Times New Roman" w:hAnsi="Times New Roman" w:cs="Times New Roman" w:eastAsia="Times New Roman" w:hint="default"/>
        </w:rPr>
        <w:t>2</w:t>
      </w:r>
      <w:r>
        <w:rPr/>
        <w:t>）外币财务报表的折算 </w:t>
      </w:r>
      <w:r>
        <w:rPr>
          <w:spacing w:val="-2"/>
        </w:rPr>
        <w:t>外币资产负债表中资产、负债类项目采用资产负债表日的即期汇率折算；所有者权益类项目除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外，均按业</w:t>
      </w:r>
    </w:p>
    <w:p>
      <w:pPr>
        <w:pStyle w:val="BodyText"/>
        <w:spacing w:line="316" w:lineRule="auto" w:before="15"/>
        <w:ind w:right="1130"/>
        <w:jc w:val="both"/>
      </w:pPr>
      <w:r>
        <w:rPr>
          <w:spacing w:val="-2"/>
        </w:rPr>
        <w:t>务发生时的即期汇率折算；利润表中的收入与费用项目，采用交易发生日的即期汇率折算。上述折算产生的外币报表折算差</w:t>
      </w:r>
      <w:r>
        <w:rPr>
          <w:spacing w:val="-63"/>
        </w:rPr>
        <w:t> </w:t>
      </w:r>
      <w:r>
        <w:rPr>
          <w:spacing w:val="-63"/>
        </w:rPr>
      </w:r>
      <w:r>
        <w:rPr>
          <w:spacing w:val="-2"/>
        </w:rPr>
        <w:t>额，在所有者权益项目下单独列示。外币现金流量采用现金流量发生日的即期汇率折算。汇率变动对现金的影响额，在现金</w:t>
      </w:r>
      <w:r>
        <w:rPr>
          <w:spacing w:val="-65"/>
        </w:rPr>
        <w:t> </w:t>
      </w:r>
      <w:r>
        <w:rPr>
          <w:spacing w:val="-65"/>
        </w:rPr>
      </w:r>
      <w:r>
        <w:rPr/>
        <w:t>流量表中单独列示。</w:t>
      </w:r>
    </w:p>
    <w:p>
      <w:pPr>
        <w:spacing w:line="240" w:lineRule="auto" w:before="9"/>
        <w:rPr>
          <w:rFonts w:ascii="宋体" w:hAnsi="宋体" w:cs="宋体" w:eastAsia="宋体" w:hint="default"/>
          <w:sz w:val="17"/>
          <w:szCs w:val="17"/>
        </w:rPr>
      </w:pPr>
    </w:p>
    <w:p>
      <w:pPr>
        <w:pStyle w:val="Heading4"/>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3" w:right="0"/>
        <w:jc w:val="left"/>
        <w:rPr>
          <w:rFonts w:ascii="宋体" w:hAnsi="宋体" w:cs="宋体" w:eastAsia="宋体" w:hint="default"/>
        </w:rPr>
      </w:pPr>
      <w:r>
        <w:rPr/>
        <w:t>本集团成为金融工具合同的一方时确认一项金融资产或金融负债。</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441" w:lineRule="auto"/>
        <w:ind w:left="513" w:right="6474"/>
        <w:jc w:val="left"/>
        <w:rPr>
          <w:rFonts w:ascii="宋体" w:hAnsi="宋体" w:cs="宋体" w:eastAsia="宋体" w:hint="default"/>
        </w:rPr>
      </w:pPr>
      <w:r>
        <w:rPr/>
        <w:t>（</w:t>
      </w:r>
      <w:r>
        <w:rPr>
          <w:rFonts w:ascii="宋体" w:hAnsi="宋体" w:cs="宋体" w:eastAsia="宋体" w:hint="default"/>
        </w:rPr>
        <w:t>1</w:t>
      </w:r>
      <w:r>
        <w:rPr/>
        <w:t>）金融资产</w:t>
      </w:r>
      <w:r>
        <w:rPr>
          <w:rFonts w:ascii="宋体" w:hAnsi="宋体" w:cs="宋体" w:eastAsia="宋体" w:hint="default"/>
        </w:rPr>
        <w:t> 1</w:t>
      </w:r>
      <w:r>
        <w:rPr/>
        <w:t>）金融资产分类、确认依据和计量方法</w:t>
      </w:r>
      <w:r>
        <w:rPr>
          <w:rFonts w:ascii="宋体" w:hAnsi="宋体" w:cs="宋体" w:eastAsia="宋体" w:hint="default"/>
        </w:rPr>
        <w:t> </w:t>
      </w:r>
    </w:p>
    <w:p>
      <w:pPr>
        <w:pStyle w:val="BodyText"/>
        <w:spacing w:line="316" w:lineRule="auto" w:before="45"/>
        <w:ind w:right="1172" w:firstLine="360"/>
        <w:jc w:val="both"/>
        <w:rPr>
          <w:rFonts w:ascii="宋体" w:hAnsi="宋体" w:cs="宋体" w:eastAsia="宋体" w:hint="default"/>
        </w:rPr>
      </w:pPr>
      <w:r>
        <w:rPr>
          <w:spacing w:val="-3"/>
        </w:rPr>
        <w:t>本集团根据管理金融资产的业务模式和金融资产的合同现金流特征，将金融资产分类为以摊余成本计量的金融资产、以</w:t>
      </w:r>
      <w:r>
        <w:rPr>
          <w:spacing w:val="-41"/>
        </w:rPr>
        <w:t> </w:t>
      </w:r>
      <w:r>
        <w:rPr/>
        <w:t>公允价值计量且其变动计入其他综合收益的金融资产、以公允价值计量且其变动计入当期损益的金融资产。</w:t>
      </w:r>
      <w:r>
        <w:rPr>
          <w:rFonts w:ascii="宋体" w:hAnsi="宋体" w:cs="宋体" w:eastAsia="宋体" w:hint="default"/>
        </w:rPr>
        <w:t> </w:t>
      </w:r>
    </w:p>
    <w:p>
      <w:pPr>
        <w:pStyle w:val="BodyText"/>
        <w:spacing w:line="316" w:lineRule="auto" w:before="139"/>
        <w:ind w:right="1128" w:firstLine="360"/>
        <w:jc w:val="both"/>
        <w:rPr>
          <w:rFonts w:ascii="宋体" w:hAnsi="宋体" w:cs="宋体" w:eastAsia="宋体" w:hint="default"/>
        </w:rPr>
      </w:pPr>
      <w:r>
        <w:rPr/>
        <w:t>本集团将同时符合下列条件的金融资产分类为以摊余成本计量的金融资产：①管理该金融资产的业务模式是以收取合 </w:t>
      </w:r>
      <w:r>
        <w:rPr>
          <w:spacing w:val="-2"/>
        </w:rPr>
        <w:t>同现金流量为目标。②该金融资产的合同条款规定，在特定日期产生的现金流量，仅为对本金和以未偿付本金金额为基础的</w:t>
      </w:r>
      <w:r>
        <w:rPr>
          <w:spacing w:val="-62"/>
        </w:rPr>
        <w:t> </w:t>
      </w:r>
      <w:r>
        <w:rPr>
          <w:spacing w:val="-62"/>
        </w:rPr>
      </w:r>
      <w:r>
        <w:rPr>
          <w:spacing w:val="-2"/>
        </w:rPr>
        <w:t>利息的支付。此类金融资产按照公允价值进行初始计量，相关交易费用计入初始确认金额；以摊余成本进行后续计量。除被</w:t>
      </w:r>
      <w:r>
        <w:rPr>
          <w:spacing w:val="-64"/>
        </w:rPr>
        <w:t> </w:t>
      </w:r>
      <w:r>
        <w:rPr>
          <w:spacing w:val="-64"/>
        </w:rPr>
      </w:r>
      <w:r>
        <w:rPr>
          <w:spacing w:val="-2"/>
        </w:rPr>
        <w:t>指定为被套期项目的，按照实际利率法摊销初始金额与到期金额之间的差额，其摊销、减值、汇兑损益以及终止确认时产生</w:t>
      </w:r>
      <w:r>
        <w:rPr>
          <w:spacing w:val="-62"/>
        </w:rPr>
        <w:t> </w:t>
      </w:r>
      <w:r>
        <w:rPr>
          <w:spacing w:val="-62"/>
        </w:rPr>
      </w:r>
      <w:r>
        <w:rPr/>
        <w:t>的利得或损失，计入当期损益。</w:t>
      </w:r>
      <w:r>
        <w:rPr>
          <w:rFonts w:ascii="宋体" w:hAnsi="宋体" w:cs="宋体" w:eastAsia="宋体" w:hint="default"/>
        </w:rPr>
        <w:t> </w:t>
      </w:r>
    </w:p>
    <w:p>
      <w:pPr>
        <w:pStyle w:val="BodyText"/>
        <w:spacing w:line="319" w:lineRule="auto" w:before="139"/>
        <w:ind w:right="1127" w:firstLine="360"/>
        <w:jc w:val="both"/>
        <w:rPr>
          <w:rFonts w:ascii="宋体" w:hAnsi="宋体" w:cs="宋体" w:eastAsia="宋体" w:hint="default"/>
        </w:rPr>
      </w:pPr>
      <w:r>
        <w:rPr/>
        <w:t>本集团将同时符合下列条件的金融资产分类为以公允价值计量且其变动计入其他综合收益的金融资产：①管理该金融 </w:t>
      </w:r>
      <w:r>
        <w:rPr>
          <w:spacing w:val="-2"/>
        </w:rPr>
        <w:t>资产的业务模式既以收取合同现金流量为目标又以出售该金融资产为目标。②该金融资产的合同条款规定，在特定日期产生</w:t>
      </w:r>
      <w:r>
        <w:rPr>
          <w:spacing w:val="-63"/>
        </w:rPr>
        <w:t> </w:t>
      </w:r>
      <w:r>
        <w:rPr>
          <w:spacing w:val="-63"/>
        </w:rPr>
      </w:r>
      <w:r>
        <w:rPr>
          <w:spacing w:val="-2"/>
        </w:rPr>
        <w:t>的现金流量，仅为对本金和以未偿付本金金额为基础的利息的支付。此类金融资产按照公允价值进行初始计量，相关交易费</w:t>
      </w:r>
      <w:r>
        <w:rPr>
          <w:spacing w:val="-61"/>
        </w:rPr>
        <w:t> </w:t>
      </w:r>
      <w:r>
        <w:rPr>
          <w:spacing w:val="-61"/>
        </w:rPr>
      </w:r>
      <w:r>
        <w:rPr>
          <w:spacing w:val="-2"/>
        </w:rPr>
        <w:t>用计入初始确认金额。除被指定为被套期项目的，此类金融资产，除信用减值损失或利得、汇兑损益和按照实际利率法计算</w:t>
      </w:r>
      <w:r>
        <w:rPr>
          <w:spacing w:val="-65"/>
        </w:rPr>
        <w:t> </w:t>
      </w:r>
      <w:r>
        <w:rPr>
          <w:spacing w:val="-65"/>
        </w:rPr>
      </w:r>
      <w:r>
        <w:rPr>
          <w:spacing w:val="-2"/>
        </w:rPr>
        <w:t>的该金融资产利息之外，所产生的其他利得或损失，均计入其他综合收益；金融资产终止确认时，之前计入其他综合收益的</w:t>
      </w:r>
      <w:r>
        <w:rPr>
          <w:spacing w:val="-65"/>
        </w:rPr>
        <w:t> </w:t>
      </w:r>
      <w:r>
        <w:rPr>
          <w:spacing w:val="-65"/>
        </w:rPr>
      </w:r>
      <w:r>
        <w:rPr/>
        <w:t>累计利得或损失应当从其他综合收益中转出，计入当期损益。</w:t>
      </w:r>
      <w:r>
        <w:rPr>
          <w:rFonts w:ascii="宋体" w:hAnsi="宋体" w:cs="宋体" w:eastAsia="宋体" w:hint="default"/>
        </w:rPr>
        <w:t> </w:t>
      </w:r>
    </w:p>
    <w:p>
      <w:pPr>
        <w:pStyle w:val="BodyText"/>
        <w:spacing w:line="316" w:lineRule="auto" w:before="137"/>
        <w:ind w:right="1128" w:firstLine="360"/>
        <w:jc w:val="both"/>
        <w:rPr>
          <w:rFonts w:ascii="宋体" w:hAnsi="宋体" w:cs="宋体" w:eastAsia="宋体" w:hint="default"/>
        </w:rPr>
      </w:pPr>
      <w:r>
        <w:rPr>
          <w:spacing w:val="-2"/>
        </w:rPr>
        <w:t>本集团按照实际利率法确认利息收入。利息收入根据金融资产账面余额乘以实际利率计算确定，但下列情况除外：①对</w:t>
      </w:r>
      <w:r>
        <w:rPr/>
        <w:t> </w:t>
      </w:r>
      <w:r>
        <w:rPr>
          <w:spacing w:val="-2"/>
        </w:rPr>
        <w:t>于购入或源生的已发生信用减值的金融资产，自初始确认起，按照该金融资产的摊余成本和经信用调整的实际利率计算确定</w:t>
      </w:r>
      <w:r>
        <w:rPr>
          <w:spacing w:val="-62"/>
        </w:rPr>
        <w:t> </w:t>
      </w:r>
      <w:r>
        <w:rPr>
          <w:spacing w:val="-62"/>
        </w:rPr>
      </w:r>
      <w:r>
        <w:rPr>
          <w:spacing w:val="-2"/>
        </w:rPr>
        <w:t>其利息收入。②对于购入或源生的未发生信用减值、但在后续期间成为已发生信用减值的金融资产，在后续期间，按照该金</w:t>
      </w:r>
      <w:r>
        <w:rPr>
          <w:spacing w:val="-64"/>
        </w:rPr>
        <w:t> </w:t>
      </w:r>
      <w:r>
        <w:rPr>
          <w:spacing w:val="-64"/>
        </w:rPr>
      </w:r>
      <w:r>
        <w:rPr/>
        <w:t>融资产的摊余成本和实际利率计算确定其利息收入。</w:t>
      </w:r>
      <w:r>
        <w:rPr>
          <w:rFonts w:ascii="宋体" w:hAnsi="宋体" w:cs="宋体" w:eastAsia="宋体" w:hint="default"/>
        </w:rPr>
        <w:t> </w:t>
      </w:r>
    </w:p>
    <w:p>
      <w:pPr>
        <w:pStyle w:val="BodyText"/>
        <w:spacing w:line="316" w:lineRule="auto" w:before="138"/>
        <w:ind w:right="1130" w:firstLine="360"/>
        <w:jc w:val="both"/>
      </w:pPr>
      <w:r>
        <w:rPr>
          <w:spacing w:val="-2"/>
        </w:rPr>
        <w:t>本集团将非交易性权益工具投资指定为以公允价值计量且其变动计入其他综合收益的金融资产。该指定一经作出，不得</w:t>
      </w:r>
      <w:r>
        <w:rPr/>
        <w:t> </w:t>
      </w:r>
      <w:r>
        <w:rPr>
          <w:spacing w:val="-2"/>
        </w:rPr>
        <w:t>撤销。本集团指定的以公允价值计量且其变动计入其他综合收益的非交易性权益工具投资，按照公允价值进行初始计量，相</w:t>
      </w:r>
    </w:p>
    <w:p>
      <w:pPr>
        <w:spacing w:after="0" w:line="316" w:lineRule="auto"/>
        <w:jc w:val="both"/>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1"/>
        <w:jc w:val="both"/>
        <w:rPr>
          <w:rFonts w:ascii="宋体" w:hAnsi="宋体" w:cs="宋体" w:eastAsia="宋体" w:hint="default"/>
        </w:rPr>
      </w:pPr>
      <w:r>
        <w:rPr>
          <w:spacing w:val="-5"/>
        </w:rPr>
        <w:t>关交易费用计入初始确认金额；除了获得股利（属于投资成本收回部分的除外）计入当期损益外，其他相关的利得和损失（包</w:t>
      </w:r>
      <w:r>
        <w:rPr>
          <w:spacing w:val="-79"/>
        </w:rPr>
        <w:t> </w:t>
      </w:r>
      <w:r>
        <w:rPr>
          <w:spacing w:val="-79"/>
        </w:rPr>
      </w:r>
      <w:r>
        <w:rPr>
          <w:spacing w:val="-2"/>
        </w:rPr>
        <w:t>括汇兑损益）均计入其他综合收益，且后续不得转入当期损益。当其终止确认时，之前计入其他综合收益的累计利得或损失</w:t>
      </w:r>
      <w:r>
        <w:rPr>
          <w:spacing w:val="-64"/>
        </w:rPr>
        <w:t> </w:t>
      </w:r>
      <w:r>
        <w:rPr>
          <w:spacing w:val="-64"/>
        </w:rPr>
      </w:r>
      <w:r>
        <w:rPr/>
        <w:t>从其他综合收益中转出，计入留存收益。</w:t>
      </w:r>
      <w:r>
        <w:rPr>
          <w:rFonts w:ascii="宋体" w:hAnsi="宋体" w:cs="宋体" w:eastAsia="宋体" w:hint="default"/>
        </w:rPr>
        <w:t> </w:t>
      </w:r>
    </w:p>
    <w:p>
      <w:pPr>
        <w:pStyle w:val="BodyText"/>
        <w:spacing w:line="316" w:lineRule="auto" w:before="139"/>
        <w:ind w:right="1128" w:firstLine="360"/>
        <w:jc w:val="both"/>
        <w:rPr>
          <w:rFonts w:ascii="宋体" w:hAnsi="宋体" w:cs="宋体" w:eastAsia="宋体" w:hint="default"/>
        </w:rPr>
      </w:pPr>
      <w:r>
        <w:rPr/>
        <w:t>除上述分类为以摊余成本计量的金融资产和分类为以公允价值计量且其变动计入其他综合收益的金融资产之外的金融 资产</w:t>
      </w:r>
      <w:r>
        <w:rPr>
          <w:rFonts w:ascii="宋体" w:hAnsi="宋体" w:cs="宋体" w:eastAsia="宋体" w:hint="default"/>
        </w:rPr>
        <w:t>,</w:t>
      </w:r>
      <w:r>
        <w:rPr/>
        <w:t>本集团将其分类为以公允价值计量且其变动计入当期损益的金融资产。此类金融资产按照公允价值进行初始计量，相</w:t>
      </w:r>
      <w:r>
        <w:rPr>
          <w:spacing w:val="-82"/>
        </w:rPr>
        <w:t> </w:t>
      </w:r>
      <w:r>
        <w:rPr>
          <w:spacing w:val="-82"/>
        </w:rPr>
      </w:r>
      <w:r>
        <w:rPr/>
        <w:t>关交易费用直接计入当期损益。此类金融资产的利得或损失，计入当期损益。</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367" w:lineRule="auto"/>
        <w:ind w:right="1125" w:firstLine="360"/>
        <w:jc w:val="both"/>
        <w:rPr>
          <w:rFonts w:ascii="宋体" w:hAnsi="宋体" w:cs="宋体" w:eastAsia="宋体" w:hint="default"/>
        </w:rPr>
      </w:pPr>
      <w:r>
        <w:rPr/>
        <w:t>本集团在非同一控制下的企业合并中确认的或有对价构成金融资产的，该金融资产分类为以公允价值计量且其变动计</w:t>
      </w:r>
      <w:r>
        <w:rPr>
          <w:spacing w:val="2"/>
        </w:rPr>
        <w:t> </w:t>
      </w:r>
      <w:r>
        <w:rPr/>
        <w:t>入当期损益的金融资产。</w:t>
      </w:r>
      <w:r>
        <w:rPr>
          <w:rFonts w:ascii="宋体" w:hAnsi="宋体" w:cs="宋体" w:eastAsia="宋体" w:hint="default"/>
        </w:rPr>
        <w:t> </w:t>
      </w:r>
    </w:p>
    <w:p>
      <w:pPr>
        <w:spacing w:line="240" w:lineRule="auto" w:before="2"/>
        <w:rPr>
          <w:rFonts w:ascii="宋体" w:hAnsi="宋体" w:cs="宋体" w:eastAsia="宋体" w:hint="default"/>
          <w:sz w:val="14"/>
          <w:szCs w:val="14"/>
        </w:rPr>
      </w:pPr>
    </w:p>
    <w:p>
      <w:pPr>
        <w:pStyle w:val="BodyText"/>
        <w:spacing w:line="367" w:lineRule="auto"/>
        <w:ind w:right="1132" w:firstLine="360"/>
        <w:jc w:val="both"/>
        <w:rPr>
          <w:rFonts w:ascii="宋体" w:hAnsi="宋体" w:cs="宋体" w:eastAsia="宋体" w:hint="default"/>
        </w:rPr>
      </w:pPr>
      <w:r>
        <w:rPr>
          <w:spacing w:val="-2"/>
        </w:rPr>
        <w:t>在初始确认时，为能够消除或显著减少会计错配，本集团可以将金融资产指定为以公允价值计量且其变动计入当期损益</w:t>
      </w:r>
      <w:r>
        <w:rPr/>
        <w:t> 的金融资产。</w:t>
      </w:r>
      <w:r>
        <w:rPr>
          <w:rFonts w:ascii="宋体" w:hAnsi="宋体" w:cs="宋体" w:eastAsia="宋体" w:hint="default"/>
        </w:rPr>
        <w:t> </w:t>
      </w:r>
    </w:p>
    <w:p>
      <w:pPr>
        <w:spacing w:line="240" w:lineRule="auto" w:before="2"/>
        <w:rPr>
          <w:rFonts w:ascii="宋体" w:hAnsi="宋体" w:cs="宋体" w:eastAsia="宋体" w:hint="default"/>
          <w:sz w:val="14"/>
          <w:szCs w:val="14"/>
        </w:rPr>
      </w:pPr>
    </w:p>
    <w:p>
      <w:pPr>
        <w:pStyle w:val="BodyText"/>
        <w:spacing w:line="420" w:lineRule="auto"/>
        <w:ind w:left="513" w:right="1704"/>
        <w:jc w:val="left"/>
        <w:rPr>
          <w:rFonts w:ascii="宋体" w:hAnsi="宋体" w:cs="宋体" w:eastAsia="宋体" w:hint="default"/>
        </w:rPr>
      </w:pPr>
      <w:r>
        <w:rPr/>
        <w:t>本集团在改变管理金融资产的业务模式时，对所有受影响的相关金融资产进行重分类。</w:t>
      </w:r>
      <w:r>
        <w:rPr>
          <w:rFonts w:ascii="宋体" w:hAnsi="宋体" w:cs="宋体" w:eastAsia="宋体" w:hint="default"/>
        </w:rPr>
        <w:t> 2</w:t>
      </w:r>
      <w:r>
        <w:rPr/>
        <w:t>）金融资产转移的确认依据和计量方法</w:t>
      </w:r>
      <w:r>
        <w:rPr>
          <w:rFonts w:ascii="宋体" w:hAnsi="宋体" w:cs="宋体" w:eastAsia="宋体" w:hint="default"/>
        </w:rPr>
        <w:t> </w:t>
      </w:r>
    </w:p>
    <w:p>
      <w:pPr>
        <w:pStyle w:val="BodyText"/>
        <w:spacing w:line="316" w:lineRule="auto" w:before="61"/>
        <w:ind w:right="1129" w:firstLine="360"/>
        <w:jc w:val="both"/>
        <w:rPr>
          <w:rFonts w:ascii="宋体" w:hAnsi="宋体" w:cs="宋体" w:eastAsia="宋体" w:hint="default"/>
        </w:rPr>
      </w:pPr>
      <w:r>
        <w:rPr>
          <w:spacing w:val="-2"/>
        </w:rPr>
        <w:t>本集团将满足下列条件之一的金融资产予以终止确认：①收取该金融资产现金流量的合同权利终止；②金融资产发生转</w:t>
      </w:r>
      <w:r>
        <w:rPr/>
        <w:t> </w:t>
      </w:r>
      <w:r>
        <w:rPr>
          <w:spacing w:val="-2"/>
        </w:rPr>
        <w:t>移，本集团转移了金融资产所有权上几乎所有风险和报酬；③金融资产发生转移，本集团既没有转移也没有保留金融资产所</w:t>
      </w:r>
      <w:r>
        <w:rPr>
          <w:spacing w:val="-62"/>
        </w:rPr>
        <w:t> </w:t>
      </w:r>
      <w:r>
        <w:rPr>
          <w:spacing w:val="-62"/>
        </w:rPr>
      </w:r>
      <w:r>
        <w:rPr/>
        <w:t>有权上几乎所有风险和报酬，且未保留对该金融资产控制的。</w:t>
      </w:r>
      <w:r>
        <w:rPr>
          <w:rFonts w:ascii="宋体" w:hAnsi="宋体" w:cs="宋体" w:eastAsia="宋体" w:hint="default"/>
        </w:rPr>
        <w:t> </w:t>
      </w:r>
    </w:p>
    <w:p>
      <w:pPr>
        <w:pStyle w:val="BodyText"/>
        <w:spacing w:line="316" w:lineRule="auto" w:before="139"/>
        <w:ind w:right="1132" w:firstLine="360"/>
        <w:jc w:val="both"/>
        <w:rPr>
          <w:rFonts w:ascii="宋体" w:hAnsi="宋体" w:cs="宋体" w:eastAsia="宋体" w:hint="default"/>
        </w:rPr>
      </w:pPr>
      <w:r>
        <w:rPr>
          <w:spacing w:val="-2"/>
        </w:rPr>
        <w:t>金融资产整体转移满足终止确认条件的，将所转移金融资产的账面价值，与因转移而收到的对价及原直接计入其他综合</w:t>
      </w:r>
      <w:r>
        <w:rPr/>
        <w:t> 收益的公允价值变动累计额中对应终止确认部分的金额（涉及转移的金融资产的合同条款规定，在特定日期产生的现金流</w:t>
      </w:r>
      <w:r>
        <w:rPr>
          <w:spacing w:val="-4"/>
        </w:rPr>
        <w:t> </w:t>
      </w:r>
      <w:r>
        <w:rPr>
          <w:spacing w:val="-4"/>
        </w:rPr>
      </w:r>
      <w:r>
        <w:rPr/>
        <w:t>量，仅为对本金和以未偿付本金金额为基础的利息的支付）之和的差额计入当期损益。</w:t>
      </w:r>
      <w:r>
        <w:rPr>
          <w:rFonts w:ascii="宋体" w:hAnsi="宋体" w:cs="宋体" w:eastAsia="宋体" w:hint="default"/>
        </w:rPr>
        <w:t> </w:t>
      </w:r>
    </w:p>
    <w:p>
      <w:pPr>
        <w:pStyle w:val="BodyText"/>
        <w:spacing w:line="316" w:lineRule="auto" w:before="139"/>
        <w:ind w:right="1034" w:firstLine="360"/>
        <w:jc w:val="left"/>
        <w:rPr>
          <w:rFonts w:ascii="宋体" w:hAnsi="宋体" w:cs="宋体" w:eastAsia="宋体" w:hint="default"/>
        </w:rPr>
      </w:pPr>
      <w:r>
        <w:rPr/>
        <w:t>金融资产部分转移满足终止确认条件的，将所转移金融资产整体的账面价值，在终止确认部分和未终止确认部分之间， 按照各自的相对公允价值进行分摊，并将因转移而收到的对价及应分摊至终止确认部分的原计入其他综合收益的公允价值</w:t>
      </w:r>
      <w:r>
        <w:rPr>
          <w:spacing w:val="-11"/>
        </w:rPr>
        <w:t> </w:t>
      </w:r>
      <w:r>
        <w:rPr>
          <w:spacing w:val="-11"/>
        </w:rPr>
      </w:r>
      <w:r>
        <w:rPr>
          <w:spacing w:val="-2"/>
        </w:rPr>
        <w:t>变动累计额中对应终止确认部分的金额（涉及转移的金融资产的合同条款规定，在特定日期产生的现金流量，仅为对本金和</w:t>
      </w:r>
      <w:r>
        <w:rPr>
          <w:spacing w:val="-62"/>
        </w:rPr>
        <w:t> </w:t>
      </w:r>
      <w:r>
        <w:rPr>
          <w:spacing w:val="-62"/>
        </w:rPr>
      </w:r>
      <w:r>
        <w:rPr/>
        <w:t>以未偿付本金金额为基础的利息的支付）之和，与分摊的前述金融资产整体账面价值的差额计入当期损益。</w:t>
      </w:r>
      <w:r>
        <w:rPr>
          <w:rFonts w:ascii="宋体" w:hAnsi="宋体" w:cs="宋体" w:eastAsia="宋体" w:hint="default"/>
        </w:rPr>
        <w:t> </w:t>
      </w:r>
    </w:p>
    <w:p>
      <w:pPr>
        <w:pStyle w:val="BodyText"/>
        <w:spacing w:line="439" w:lineRule="auto" w:before="139"/>
        <w:ind w:left="513" w:right="6474"/>
        <w:jc w:val="left"/>
        <w:rPr>
          <w:rFonts w:ascii="宋体" w:hAnsi="宋体" w:cs="宋体" w:eastAsia="宋体" w:hint="default"/>
        </w:rPr>
      </w:pPr>
      <w:r>
        <w:rPr/>
        <w:t>（</w:t>
      </w:r>
      <w:r>
        <w:rPr>
          <w:rFonts w:ascii="宋体" w:hAnsi="宋体" w:cs="宋体" w:eastAsia="宋体" w:hint="default"/>
        </w:rPr>
        <w:t>2</w:t>
      </w:r>
      <w:r>
        <w:rPr/>
        <w:t>）金融负债</w:t>
      </w:r>
      <w:r>
        <w:rPr>
          <w:rFonts w:ascii="宋体" w:hAnsi="宋体" w:cs="宋体" w:eastAsia="宋体" w:hint="default"/>
        </w:rPr>
        <w:t> 1</w:t>
      </w:r>
      <w:r>
        <w:rPr/>
        <w:t>）金融负债分类、确认依据和计量方法</w:t>
      </w:r>
      <w:r>
        <w:rPr>
          <w:rFonts w:ascii="宋体" w:hAnsi="宋体" w:cs="宋体" w:eastAsia="宋体" w:hint="default"/>
        </w:rPr>
        <w:t> </w:t>
      </w:r>
    </w:p>
    <w:p>
      <w:pPr>
        <w:pStyle w:val="BodyText"/>
        <w:spacing w:line="240" w:lineRule="auto" w:before="47"/>
        <w:ind w:left="513" w:right="0"/>
        <w:jc w:val="left"/>
        <w:rPr>
          <w:rFonts w:ascii="宋体" w:hAnsi="宋体" w:cs="宋体" w:eastAsia="宋体" w:hint="default"/>
        </w:rPr>
      </w:pPr>
      <w:r>
        <w:rPr/>
        <w:t>本集团的金融负债于初始确认时分类为以公允价值计量且其变动计入当期损益的金融负债和其他金融负债。</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1" w:firstLine="360"/>
        <w:jc w:val="both"/>
        <w:rPr>
          <w:rFonts w:ascii="宋体" w:hAnsi="宋体" w:cs="宋体" w:eastAsia="宋体" w:hint="default"/>
        </w:rPr>
      </w:pPr>
      <w:r>
        <w:rPr/>
        <w:t>以公允价值计量且其变动计入当期损益的金融负债，包括交易性金融负债和初始确认时指定为以公允价值计量且其变 </w:t>
      </w:r>
      <w:r>
        <w:rPr>
          <w:spacing w:val="-2"/>
        </w:rPr>
        <w:t>动计入当期损益的金融负债，（相关分类依据参照金融资产分类依据进行披露）。按照公允价值进行后续计量，公允价值变</w:t>
      </w:r>
      <w:r>
        <w:rPr>
          <w:spacing w:val="-66"/>
        </w:rPr>
        <w:t> </w:t>
      </w:r>
      <w:r>
        <w:rPr>
          <w:spacing w:val="-66"/>
        </w:rPr>
      </w:r>
      <w:r>
        <w:rPr/>
        <w:t>动形成的利得或损失以及与该金融负债相关的股利和利息支出计入当期损益。</w:t>
      </w:r>
      <w:r>
        <w:rPr>
          <w:rFonts w:ascii="宋体" w:hAnsi="宋体" w:cs="宋体" w:eastAsia="宋体" w:hint="default"/>
        </w:rPr>
        <w:t> </w:t>
      </w:r>
    </w:p>
    <w:p>
      <w:pPr>
        <w:pStyle w:val="BodyText"/>
        <w:spacing w:line="316" w:lineRule="auto" w:before="139"/>
        <w:ind w:right="1131" w:firstLine="360"/>
        <w:jc w:val="both"/>
        <w:rPr>
          <w:rFonts w:ascii="宋体" w:hAnsi="宋体" w:cs="宋体" w:eastAsia="宋体" w:hint="default"/>
        </w:rPr>
      </w:pPr>
      <w:r>
        <w:rPr>
          <w:spacing w:val="-2"/>
        </w:rPr>
        <w:t>其他金融负债采用实际利率法，按照摊余成本进行后续计量。除下列各项外，本集团将金融负债分类为以摊余成本计量</w:t>
      </w:r>
      <w:r>
        <w:rPr/>
        <w:t> </w:t>
      </w:r>
      <w:r>
        <w:rPr>
          <w:spacing w:val="-2"/>
        </w:rPr>
        <w:t>的金融负债：①以公允价值计量且其变动计入当期损益的金融负债，包括交易性金融负债（含属于金融负债的衍生工具）和</w:t>
      </w:r>
      <w:r>
        <w:rPr>
          <w:spacing w:val="-64"/>
        </w:rPr>
        <w:t> </w:t>
      </w:r>
      <w:r>
        <w:rPr>
          <w:spacing w:val="-64"/>
        </w:rPr>
      </w:r>
      <w:r>
        <w:rPr/>
        <w:t>指定为以公允价值计量且其变动计入当期损益的金融负债。②不符合终止确认条件的金融资产转移或继续涉入被转移金融</w:t>
      </w:r>
      <w:r>
        <w:rPr>
          <w:spacing w:val="-3"/>
        </w:rPr>
        <w:t> </w:t>
      </w:r>
      <w:r>
        <w:rPr>
          <w:spacing w:val="-3"/>
        </w:rPr>
      </w:r>
      <w:r>
        <w:rPr>
          <w:spacing w:val="-2"/>
        </w:rPr>
        <w:t>资产所形成的金融负债。③不属于以上①或②情形的财务担保合同，以及不属于以上①情形的以低于市场利率贷款的贷款承</w:t>
      </w:r>
      <w:r>
        <w:rPr>
          <w:spacing w:val="-64"/>
        </w:rPr>
        <w:t> </w:t>
      </w:r>
      <w:r>
        <w:rPr>
          <w:spacing w:val="-64"/>
        </w:rPr>
      </w:r>
      <w:r>
        <w:rPr/>
        <w:t>诺。</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367" w:lineRule="auto"/>
        <w:ind w:right="1125" w:firstLine="360"/>
        <w:jc w:val="both"/>
        <w:rPr>
          <w:rFonts w:ascii="宋体" w:hAnsi="宋体" w:cs="宋体" w:eastAsia="宋体" w:hint="default"/>
        </w:rPr>
      </w:pPr>
      <w:r>
        <w:rPr/>
        <w:t>本集团将在非同一控制下的企业合并中作为购买方确认的或有对价形成金融负债的，按照以公允价值计量且其变动计</w:t>
      </w:r>
      <w:r>
        <w:rPr>
          <w:spacing w:val="2"/>
        </w:rPr>
        <w:t> </w:t>
      </w:r>
      <w:r>
        <w:rPr/>
        <w:t>入当期损益进行会计处理。</w:t>
      </w:r>
      <w:r>
        <w:rPr>
          <w:rFonts w:ascii="宋体" w:hAnsi="宋体" w:cs="宋体" w:eastAsia="宋体" w:hint="default"/>
        </w:rPr>
        <w:t> </w:t>
      </w:r>
    </w:p>
    <w:p>
      <w:pPr>
        <w:pStyle w:val="BodyText"/>
        <w:spacing w:line="439" w:lineRule="auto" w:before="81"/>
        <w:ind w:left="513" w:right="0"/>
        <w:jc w:val="left"/>
      </w:pPr>
      <w:r>
        <w:rPr>
          <w:rFonts w:ascii="宋体" w:hAnsi="宋体" w:cs="宋体" w:eastAsia="宋体" w:hint="default"/>
        </w:rPr>
        <w:t>2</w:t>
      </w:r>
      <w:r>
        <w:rPr/>
        <w:t>）金融负债终止确认条件</w:t>
      </w:r>
      <w:r>
        <w:rPr>
          <w:rFonts w:ascii="宋体" w:hAnsi="宋体" w:cs="宋体" w:eastAsia="宋体" w:hint="default"/>
        </w:rPr>
        <w:t> </w:t>
      </w:r>
      <w:r>
        <w:rPr>
          <w:spacing w:val="-2"/>
        </w:rPr>
        <w:t>当金融负债的现时义务全部或部分已经解除时，终止确认该金融负债或义务已解除的部分。本集团与债权人之间签订协</w:t>
      </w:r>
    </w:p>
    <w:p>
      <w:pPr>
        <w:spacing w:after="0" w:line="439"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0"/>
        <w:jc w:val="both"/>
        <w:rPr>
          <w:rFonts w:ascii="宋体" w:hAnsi="宋体" w:cs="宋体" w:eastAsia="宋体" w:hint="default"/>
        </w:rPr>
      </w:pPr>
      <w:r>
        <w:rPr>
          <w:spacing w:val="-2"/>
        </w:rPr>
        <w:t>议，以承担新金融负债方式替换现存金融负债，且新金融负债与现存金融负债的合同条款实质上不同的，终止确认现存金融</w:t>
      </w:r>
      <w:r>
        <w:rPr>
          <w:spacing w:val="-63"/>
        </w:rPr>
        <w:t> </w:t>
      </w:r>
      <w:r>
        <w:rPr>
          <w:spacing w:val="-63"/>
        </w:rPr>
      </w:r>
      <w:r>
        <w:rPr>
          <w:spacing w:val="-2"/>
        </w:rPr>
        <w:t>负债，并同时确认新金融负债。本集团对现存金融负债全部或部分的合同条款作出实质性修改的，终止确认现存金融负债或</w:t>
      </w:r>
      <w:r>
        <w:rPr>
          <w:spacing w:val="-63"/>
        </w:rPr>
        <w:t> </w:t>
      </w:r>
      <w:r>
        <w:rPr>
          <w:spacing w:val="-63"/>
        </w:rPr>
      </w:r>
      <w:r>
        <w:rPr>
          <w:spacing w:val="-2"/>
        </w:rPr>
        <w:t>其一部分，同时将修改条款后的金融负债确认为一项新金融负债。终止确认部分的账面价值与支付的对价之间的差额，计入</w:t>
      </w:r>
      <w:r>
        <w:rPr>
          <w:spacing w:val="-63"/>
        </w:rPr>
        <w:t> </w:t>
      </w:r>
      <w:r>
        <w:rPr>
          <w:spacing w:val="-63"/>
        </w:rPr>
      </w:r>
      <w:r>
        <w:rPr/>
        <w:t>当期损益。</w:t>
      </w:r>
      <w:r>
        <w:rPr>
          <w:rFonts w:ascii="宋体" w:hAnsi="宋体" w:cs="宋体" w:eastAsia="宋体" w:hint="default"/>
        </w:rPr>
        <w:t> </w:t>
      </w:r>
    </w:p>
    <w:p>
      <w:pPr>
        <w:pStyle w:val="BodyText"/>
        <w:spacing w:line="432" w:lineRule="exact" w:before="3"/>
        <w:ind w:left="513" w:right="0"/>
        <w:jc w:val="left"/>
      </w:pPr>
      <w:r>
        <w:rPr/>
        <w:t>（</w:t>
      </w:r>
      <w:r>
        <w:rPr>
          <w:rFonts w:ascii="宋体" w:hAnsi="宋体" w:cs="宋体" w:eastAsia="宋体" w:hint="default"/>
        </w:rPr>
        <w:t>3</w:t>
      </w:r>
      <w:r>
        <w:rPr/>
        <w:t>）金融资产和金融负债的公允价值确定方法</w:t>
      </w:r>
      <w:r>
        <w:rPr>
          <w:rFonts w:ascii="宋体" w:hAnsi="宋体" w:cs="宋体" w:eastAsia="宋体" w:hint="default"/>
        </w:rPr>
        <w:t> </w:t>
      </w:r>
      <w:r>
        <w:rPr>
          <w:spacing w:val="-2"/>
        </w:rPr>
        <w:t>本集团以主要市场的价格计量金融资产和金融负债的公允价值，不存在主要市场的，以最有利市场的价格计量金融资产</w:t>
      </w:r>
    </w:p>
    <w:p>
      <w:pPr>
        <w:pStyle w:val="BodyText"/>
        <w:spacing w:line="316" w:lineRule="auto" w:before="15"/>
        <w:ind w:right="1129"/>
        <w:jc w:val="both"/>
        <w:rPr>
          <w:rFonts w:ascii="宋体" w:hAnsi="宋体" w:cs="宋体" w:eastAsia="宋体" w:hint="default"/>
        </w:rPr>
      </w:pPr>
      <w:r>
        <w:rPr>
          <w:spacing w:val="-2"/>
        </w:rPr>
        <w:t>和金融负债的公允价值，并且采用当时适用并且有足够可利用数据和其他信息支持的估值技术。公允价值计量所使用的输入</w:t>
      </w:r>
      <w:r>
        <w:rPr>
          <w:spacing w:val="-64"/>
        </w:rPr>
        <w:t> </w:t>
      </w:r>
      <w:r>
        <w:rPr>
          <w:spacing w:val="-64"/>
        </w:rPr>
      </w:r>
      <w:r>
        <w:rPr>
          <w:spacing w:val="-2"/>
        </w:rPr>
        <w:t>值分为三个层次，即第一层次输入值是计量日能够取得的相同资产或负债在活跃市场上未经调整的报价；第二层次输入值是</w:t>
      </w:r>
      <w:r>
        <w:rPr>
          <w:spacing w:val="-64"/>
        </w:rPr>
        <w:t> </w:t>
      </w:r>
      <w:r>
        <w:rPr>
          <w:spacing w:val="-64"/>
        </w:rPr>
      </w:r>
      <w:r>
        <w:rPr>
          <w:spacing w:val="-2"/>
        </w:rPr>
        <w:t>除第一层次输入值外相关资产或负债直接或间接可观察的输入值；第三层次输入值是相关资产或负债的不可观察输入值。本</w:t>
      </w:r>
      <w:r>
        <w:rPr>
          <w:spacing w:val="-64"/>
        </w:rPr>
        <w:t> </w:t>
      </w:r>
      <w:r>
        <w:rPr>
          <w:spacing w:val="-64"/>
        </w:rPr>
      </w:r>
      <w:r>
        <w:rPr>
          <w:spacing w:val="-2"/>
        </w:rPr>
        <w:t>集团优先使用第一层次输入值，最后再使用第三层次输入值，公允价值计量结果所属的层次，由对公允价值计量整体而言具</w:t>
      </w:r>
      <w:r>
        <w:rPr>
          <w:spacing w:val="-62"/>
        </w:rPr>
        <w:t> </w:t>
      </w:r>
      <w:r>
        <w:rPr>
          <w:spacing w:val="-62"/>
        </w:rPr>
      </w:r>
      <w:r>
        <w:rPr/>
        <w:t>有重大意义的输入值所属的最低层次决定。</w:t>
      </w:r>
      <w:r>
        <w:rPr>
          <w:rFonts w:ascii="宋体" w:hAnsi="宋体" w:cs="宋体" w:eastAsia="宋体" w:hint="default"/>
        </w:rPr>
        <w:t> </w:t>
      </w:r>
    </w:p>
    <w:p>
      <w:pPr>
        <w:pStyle w:val="BodyText"/>
        <w:spacing w:line="316" w:lineRule="auto" w:before="139"/>
        <w:ind w:right="1130" w:firstLine="360"/>
        <w:jc w:val="both"/>
        <w:rPr>
          <w:rFonts w:ascii="宋体" w:hAnsi="宋体" w:cs="宋体" w:eastAsia="宋体" w:hint="default"/>
        </w:rPr>
      </w:pPr>
      <w:r>
        <w:rPr>
          <w:spacing w:val="-2"/>
        </w:rPr>
        <w:t>本集团对权益工具的投资以公允价值计量。但在有限情况下，如果用以确定公允价值的近期信息不足，或者公允价值的</w:t>
      </w:r>
      <w:r>
        <w:rPr/>
        <w:t> </w:t>
      </w:r>
      <w:r>
        <w:rPr>
          <w:spacing w:val="-2"/>
        </w:rPr>
        <w:t>可能估计金额分布范围很广，而成本代表了该范围内对公允价值的最佳估计的，该成本可代表其在该分布范围内对公允价值</w:t>
      </w:r>
      <w:r>
        <w:rPr>
          <w:spacing w:val="-64"/>
        </w:rPr>
        <w:t> </w:t>
      </w:r>
      <w:r>
        <w:rPr>
          <w:spacing w:val="-64"/>
        </w:rPr>
      </w:r>
      <w:r>
        <w:rPr/>
        <w:t>的恰当估计。</w:t>
      </w:r>
      <w:r>
        <w:rPr>
          <w:rFonts w:ascii="宋体" w:hAnsi="宋体" w:cs="宋体" w:eastAsia="宋体" w:hint="default"/>
        </w:rPr>
        <w:t> </w:t>
      </w:r>
    </w:p>
    <w:p>
      <w:pPr>
        <w:pStyle w:val="BodyText"/>
        <w:spacing w:line="432" w:lineRule="exact" w:before="3"/>
        <w:ind w:left="513" w:right="0"/>
        <w:jc w:val="left"/>
      </w:pPr>
      <w:r>
        <w:rPr/>
        <w:t>（</w:t>
      </w:r>
      <w:r>
        <w:rPr>
          <w:rFonts w:ascii="宋体" w:hAnsi="宋体" w:cs="宋体" w:eastAsia="宋体" w:hint="default"/>
        </w:rPr>
        <w:t>4</w:t>
      </w:r>
      <w:r>
        <w:rPr/>
        <w:t>）金融资产和金融负债的抵销</w:t>
      </w:r>
      <w:r>
        <w:rPr>
          <w:rFonts w:ascii="宋体" w:hAnsi="宋体" w:cs="宋体" w:eastAsia="宋体" w:hint="default"/>
        </w:rPr>
        <w:t> </w:t>
      </w:r>
      <w:r>
        <w:rPr>
          <w:spacing w:val="-2"/>
        </w:rPr>
        <w:t>本集团的金融资产和金融负债在资产负债表内分别列示，不相互抵销。但同时满足下列条件时，以相互抵销后的净额在</w:t>
      </w:r>
    </w:p>
    <w:p>
      <w:pPr>
        <w:pStyle w:val="BodyText"/>
        <w:spacing w:line="316" w:lineRule="auto" w:before="15"/>
        <w:ind w:right="1131"/>
        <w:jc w:val="both"/>
        <w:rPr>
          <w:rFonts w:ascii="宋体" w:hAnsi="宋体" w:cs="宋体" w:eastAsia="宋体" w:hint="default"/>
        </w:rPr>
      </w:pPr>
      <w:r>
        <w:rPr>
          <w:spacing w:val="-2"/>
        </w:rPr>
        <w:t>资产负债表内列示：（</w:t>
      </w:r>
      <w:r>
        <w:rPr>
          <w:rFonts w:ascii="宋体" w:hAnsi="宋体" w:cs="宋体" w:eastAsia="宋体" w:hint="default"/>
          <w:spacing w:val="-2"/>
        </w:rPr>
        <w:t>1</w:t>
      </w:r>
      <w:r>
        <w:rPr>
          <w:spacing w:val="-2"/>
        </w:rPr>
        <w:t>）本集团具有抵销已确认金额的法定权利，且该种法定权利是当前可执行的；（</w:t>
      </w:r>
      <w:r>
        <w:rPr>
          <w:rFonts w:ascii="宋体" w:hAnsi="宋体" w:cs="宋体" w:eastAsia="宋体" w:hint="default"/>
          <w:spacing w:val="-2"/>
        </w:rPr>
        <w:t>2</w:t>
      </w:r>
      <w:r>
        <w:rPr>
          <w:spacing w:val="-2"/>
        </w:rPr>
        <w:t>）本集团计划以净</w:t>
      </w:r>
      <w:r>
        <w:rPr>
          <w:spacing w:val="-64"/>
        </w:rPr>
        <w:t> </w:t>
      </w:r>
      <w:r>
        <w:rPr>
          <w:spacing w:val="-64"/>
        </w:rPr>
      </w:r>
      <w:r>
        <w:rPr/>
        <w:t>额结算，或同时变现该金融资产和清偿该金融负债。</w:t>
      </w:r>
      <w:r>
        <w:rPr>
          <w:rFonts w:ascii="宋体" w:hAnsi="宋体" w:cs="宋体" w:eastAsia="宋体" w:hint="default"/>
        </w:rPr>
        <w:t> </w:t>
      </w:r>
    </w:p>
    <w:p>
      <w:pPr>
        <w:pStyle w:val="BodyText"/>
        <w:spacing w:line="432" w:lineRule="exact" w:before="3"/>
        <w:ind w:left="513" w:right="1123"/>
        <w:jc w:val="left"/>
      </w:pPr>
      <w:r>
        <w:rPr/>
        <w:t>（</w:t>
      </w:r>
      <w:r>
        <w:rPr>
          <w:rFonts w:ascii="宋体" w:hAnsi="宋体" w:cs="宋体" w:eastAsia="宋体" w:hint="default"/>
        </w:rPr>
        <w:t>5</w:t>
      </w:r>
      <w:r>
        <w:rPr/>
        <w:t>）金融负债与权益工具的区分及相关处理方法</w:t>
      </w:r>
      <w:r>
        <w:rPr>
          <w:rFonts w:ascii="宋体" w:hAnsi="宋体" w:cs="宋体" w:eastAsia="宋体" w:hint="default"/>
        </w:rPr>
        <w:t> </w:t>
      </w:r>
      <w:r>
        <w:rPr/>
        <w:t>本集团按照以下原则区分金融负债与权益工具：（</w:t>
      </w:r>
      <w:r>
        <w:rPr>
          <w:rFonts w:ascii="宋体" w:hAnsi="宋体" w:cs="宋体" w:eastAsia="宋体" w:hint="default"/>
        </w:rPr>
        <w:t>1</w:t>
      </w:r>
      <w:r>
        <w:rPr/>
        <w:t>）如果本集团不能无条件地避免以交付现金或其他金融资产来履行</w:t>
      </w:r>
    </w:p>
    <w:p>
      <w:pPr>
        <w:pStyle w:val="BodyText"/>
        <w:spacing w:line="316" w:lineRule="auto" w:before="15"/>
        <w:ind w:right="1129"/>
        <w:jc w:val="both"/>
        <w:rPr>
          <w:rFonts w:ascii="宋体" w:hAnsi="宋体" w:cs="宋体" w:eastAsia="宋体" w:hint="default"/>
        </w:rPr>
      </w:pPr>
      <w:r>
        <w:rPr>
          <w:spacing w:val="-2"/>
        </w:rPr>
        <w:t>一项合同义务，则该合同义务符合金融负债的定义。有些金融工具虽然没有明确地包含交付现金或其他金融资产义务的条款</w:t>
      </w:r>
      <w:r>
        <w:rPr>
          <w:spacing w:val="-64"/>
        </w:rPr>
        <w:t> </w:t>
      </w:r>
      <w:r>
        <w:rPr>
          <w:spacing w:val="-64"/>
        </w:rPr>
      </w:r>
      <w:r>
        <w:rPr/>
        <w:t>和条件，但有可能通过其他条款和条件间接地形成合同义务。（</w:t>
      </w:r>
      <w:r>
        <w:rPr>
          <w:rFonts w:ascii="宋体" w:hAnsi="宋体" w:cs="宋体" w:eastAsia="宋体" w:hint="default"/>
        </w:rPr>
        <w:t>2</w:t>
      </w:r>
      <w:r>
        <w:rPr/>
        <w:t>）如果一项金融工具须用或可用本集团自身权益工具进行</w:t>
      </w:r>
      <w:r>
        <w:rPr>
          <w:spacing w:val="-83"/>
        </w:rPr>
        <w:t> </w:t>
      </w:r>
      <w:r>
        <w:rPr>
          <w:spacing w:val="-83"/>
        </w:rPr>
      </w:r>
      <w:r>
        <w:rPr>
          <w:spacing w:val="-2"/>
        </w:rPr>
        <w:t>结算，需要考虑用于结算该工具的本集团自身权益工具，是作为现金或其他金融资产的替代品，还是为了使该工具持有方享</w:t>
      </w:r>
      <w:r>
        <w:rPr>
          <w:spacing w:val="-62"/>
        </w:rPr>
        <w:t> </w:t>
      </w:r>
      <w:r>
        <w:rPr>
          <w:spacing w:val="-62"/>
        </w:rPr>
      </w:r>
      <w:r>
        <w:rPr>
          <w:spacing w:val="-2"/>
        </w:rPr>
        <w:t>有在发行方扣除所有负债后的资产中的剩余权益。如果是前者，该工具是发行方的金融负债；如果是后者，该工具是发行方</w:t>
      </w:r>
      <w:r>
        <w:rPr>
          <w:spacing w:val="-64"/>
        </w:rPr>
        <w:t> </w:t>
      </w:r>
      <w:r>
        <w:rPr>
          <w:spacing w:val="-64"/>
        </w:rPr>
      </w:r>
      <w:r>
        <w:rPr>
          <w:spacing w:val="-2"/>
        </w:rPr>
        <w:t>的权益工具。在某些情况下，一项金融工具合同规定本集团须用或可用自身权益工具结算该金融工具，其中合同权利或合同</w:t>
      </w:r>
      <w:r>
        <w:rPr>
          <w:spacing w:val="-65"/>
        </w:rPr>
        <w:t> </w:t>
      </w:r>
      <w:r>
        <w:rPr>
          <w:spacing w:val="-65"/>
        </w:rPr>
      </w:r>
      <w:r>
        <w:rPr/>
        <w:t>义务的金额等于可获取或需交付的自身权益工具的数量乘以其结算时的公允价值，则无论该合同权利或义务的金额是固定</w:t>
      </w:r>
      <w:r>
        <w:rPr>
          <w:spacing w:val="-11"/>
        </w:rPr>
        <w:t> </w:t>
      </w:r>
      <w:r>
        <w:rPr>
          <w:spacing w:val="-11"/>
        </w:rPr>
      </w:r>
      <w:r>
        <w:rPr>
          <w:spacing w:val="-2"/>
        </w:rPr>
        <w:t>的，还是完全或部分地基于除本集团自身权益工具的市场价格以外的变量（例如利率、某种商品的价格或某项金融工具的价</w:t>
      </w:r>
      <w:r>
        <w:rPr>
          <w:spacing w:val="-66"/>
        </w:rPr>
        <w:t> </w:t>
      </w:r>
      <w:r>
        <w:rPr>
          <w:spacing w:val="-66"/>
        </w:rPr>
      </w:r>
      <w:r>
        <w:rPr/>
        <w:t>格）的变动而变动，该合同分类为金融负债。</w:t>
      </w:r>
      <w:r>
        <w:rPr>
          <w:rFonts w:ascii="宋体" w:hAnsi="宋体" w:cs="宋体" w:eastAsia="宋体" w:hint="default"/>
        </w:rPr>
        <w:t> </w:t>
      </w:r>
    </w:p>
    <w:p>
      <w:pPr>
        <w:pStyle w:val="BodyText"/>
        <w:spacing w:line="319" w:lineRule="auto" w:before="139"/>
        <w:ind w:right="1132" w:firstLine="360"/>
        <w:jc w:val="both"/>
        <w:rPr>
          <w:rFonts w:ascii="宋体" w:hAnsi="宋体" w:cs="宋体" w:eastAsia="宋体" w:hint="default"/>
        </w:rPr>
      </w:pPr>
      <w:r>
        <w:rPr>
          <w:spacing w:val="-2"/>
        </w:rPr>
        <w:t>本集团在合并报表中对金融工具（或其组成部分）进行分类时，考虑了集团成员和金融工具持有方之间达成的所有条款</w:t>
      </w:r>
      <w:r>
        <w:rPr/>
        <w:t> </w:t>
      </w:r>
      <w:r>
        <w:rPr>
          <w:spacing w:val="-2"/>
        </w:rPr>
        <w:t>和条件。如果集团作为一个整体由于该工具而承担了交付现金、其他金融资产或者以其他导致该工具成为金融负债的方式进</w:t>
      </w:r>
      <w:r>
        <w:rPr>
          <w:spacing w:val="-64"/>
        </w:rPr>
        <w:t> </w:t>
      </w:r>
      <w:r>
        <w:rPr>
          <w:spacing w:val="-64"/>
        </w:rPr>
      </w:r>
      <w:r>
        <w:rPr/>
        <w:t>行结算的义务，则该工具应当分类为金融负债。</w:t>
      </w:r>
      <w:r>
        <w:rPr>
          <w:rFonts w:ascii="宋体" w:hAnsi="宋体" w:cs="宋体" w:eastAsia="宋体" w:hint="default"/>
        </w:rPr>
        <w:t> </w:t>
      </w:r>
    </w:p>
    <w:p>
      <w:pPr>
        <w:pStyle w:val="BodyText"/>
        <w:spacing w:line="316" w:lineRule="auto" w:before="137"/>
        <w:ind w:right="1133" w:firstLine="360"/>
        <w:jc w:val="both"/>
        <w:rPr>
          <w:rFonts w:ascii="宋体" w:hAnsi="宋体" w:cs="宋体" w:eastAsia="宋体" w:hint="default"/>
        </w:rPr>
      </w:pPr>
      <w:r>
        <w:rPr>
          <w:spacing w:val="-2"/>
        </w:rPr>
        <w:t>金融工具或其组成部分属于金融负债的，相关利息、股利（或股息）、利得或损失，以及赎回或再融资产生的利得或损</w:t>
      </w:r>
      <w:r>
        <w:rPr/>
        <w:t> 失等，本集团计入当期损益。</w:t>
      </w:r>
      <w:r>
        <w:rPr>
          <w:rFonts w:ascii="宋体" w:hAnsi="宋体" w:cs="宋体" w:eastAsia="宋体" w:hint="default"/>
        </w:rPr>
        <w:t> </w:t>
      </w:r>
    </w:p>
    <w:p>
      <w:pPr>
        <w:pStyle w:val="BodyText"/>
        <w:spacing w:line="316" w:lineRule="auto" w:before="139"/>
        <w:ind w:right="1133" w:firstLine="360"/>
        <w:jc w:val="both"/>
        <w:rPr>
          <w:rFonts w:ascii="宋体" w:hAnsi="宋体" w:cs="宋体" w:eastAsia="宋体" w:hint="default"/>
        </w:rPr>
      </w:pPr>
      <w:r>
        <w:rPr>
          <w:spacing w:val="-2"/>
        </w:rPr>
        <w:t>金融工具或其组成部分属于权益工具的，其发行（含再融资）、回购、出售或注销时，本集团作为权益的变动处理，不</w:t>
      </w:r>
      <w:r>
        <w:rPr/>
        <w:t> 确认权益工具的公允价值变动。</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Heading4"/>
        <w:spacing w:line="240" w:lineRule="auto"/>
        <w:ind w:right="0"/>
        <w:jc w:val="both"/>
        <w:rPr>
          <w:b w:val="0"/>
          <w:bCs w:val="0"/>
        </w:rPr>
      </w:pPr>
      <w:r>
        <w:rPr>
          <w:rFonts w:ascii="Times New Roman" w:hAnsi="Times New Roman" w:cs="Times New Roman" w:eastAsia="Times New Roman" w:hint="default"/>
        </w:rPr>
        <w:t>11</w:t>
      </w:r>
      <w:r>
        <w:rPr/>
        <w:t>、应收票据</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041" w:firstLine="360"/>
        <w:jc w:val="both"/>
        <w:rPr>
          <w:rFonts w:ascii="宋体" w:hAnsi="宋体" w:cs="宋体" w:eastAsia="宋体" w:hint="default"/>
        </w:rPr>
      </w:pPr>
      <w:r>
        <w:rPr>
          <w:spacing w:val="-2"/>
        </w:rPr>
        <w:t>对于应收票据，本集团考虑所有合理且有依据的信息，包括前瞻性信息，以单项或组合的方式对上述应收款项预期信用</w:t>
      </w:r>
      <w:r>
        <w:rPr/>
        <w:t> </w:t>
      </w:r>
      <w:r>
        <w:rPr>
          <w:spacing w:val="-5"/>
        </w:rPr>
        <w:t>损失进行估计，并采用预期信用损失的简化模型，始终按照整个存续期的预期信用损失计量损失准备，计提方法见应收账款。</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12</w:t>
      </w:r>
      <w:r>
        <w:rPr/>
        <w:t>、应收账款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34" w:firstLine="360"/>
        <w:jc w:val="both"/>
        <w:rPr>
          <w:rFonts w:ascii="宋体" w:hAnsi="宋体" w:cs="宋体" w:eastAsia="宋体" w:hint="default"/>
        </w:rPr>
      </w:pPr>
      <w:r>
        <w:rPr/>
        <w:t>本集团对于《企业会计准则第</w:t>
      </w:r>
      <w:r>
        <w:rPr>
          <w:rFonts w:ascii="宋体" w:hAnsi="宋体" w:cs="宋体" w:eastAsia="宋体" w:hint="default"/>
        </w:rPr>
        <w:t>14</w:t>
      </w:r>
      <w:r>
        <w:rPr/>
        <w:t>号</w:t>
      </w:r>
      <w:r>
        <w:rPr>
          <w:rFonts w:ascii="宋体" w:hAnsi="宋体" w:cs="宋体" w:eastAsia="宋体" w:hint="default"/>
        </w:rPr>
        <w:t>-</w:t>
      </w:r>
      <w:r>
        <w:rPr/>
        <w:t>收入准则》规范的交易形成且不含重大融资成分的应收账款，始终按照相当于整个 存续期内预期信用损失的金额计量其损失准备。</w:t>
      </w:r>
      <w:r>
        <w:rPr>
          <w:rFonts w:ascii="宋体" w:hAnsi="宋体" w:cs="宋体" w:eastAsia="宋体" w:hint="default"/>
        </w:rPr>
        <w:t> </w:t>
      </w:r>
    </w:p>
    <w:p>
      <w:pPr>
        <w:pStyle w:val="BodyText"/>
        <w:spacing w:line="316" w:lineRule="auto" w:before="139"/>
        <w:ind w:right="1125" w:firstLine="360"/>
        <w:jc w:val="both"/>
        <w:rPr>
          <w:rFonts w:ascii="宋体" w:hAnsi="宋体" w:cs="宋体" w:eastAsia="宋体" w:hint="default"/>
        </w:rPr>
      </w:pPr>
      <w:r>
        <w:rPr/>
        <w:t>信用风险自初始确认后是否显著增加的判断。本集团通过比较金融工具在初始确认时所确定的预计存续期内的违约概</w:t>
      </w:r>
      <w:r>
        <w:rPr>
          <w:spacing w:val="2"/>
        </w:rPr>
        <w:t> </w:t>
      </w:r>
      <w:r>
        <w:rPr>
          <w:spacing w:val="-2"/>
        </w:rPr>
        <w:t>率额该工具在资产负债表日所确定的预计存续期内的违约概率，来判定金融工具信用风险是否显著增加。但是，如果本集团</w:t>
      </w:r>
      <w:r>
        <w:rPr>
          <w:spacing w:val="-66"/>
        </w:rPr>
        <w:t> </w:t>
      </w:r>
      <w:r>
        <w:rPr>
          <w:spacing w:val="-66"/>
        </w:rPr>
      </w:r>
      <w:r>
        <w:rPr>
          <w:spacing w:val="-2"/>
        </w:rPr>
        <w:t>确定金融工具在资产负债表日只具有较低的信用风险的，可以假设该金融工具的信用风险自初始确认后并未显著增加。通常</w:t>
      </w:r>
      <w:r>
        <w:rPr>
          <w:spacing w:val="-64"/>
        </w:rPr>
        <w:t> </w:t>
      </w:r>
      <w:r>
        <w:rPr>
          <w:spacing w:val="-64"/>
        </w:rPr>
      </w:r>
      <w:r>
        <w:rPr>
          <w:spacing w:val="-2"/>
        </w:rPr>
        <w:t>情况下，如果逾期超过</w:t>
      </w:r>
      <w:r>
        <w:rPr>
          <w:rFonts w:ascii="宋体" w:hAnsi="宋体" w:cs="宋体" w:eastAsia="宋体" w:hint="default"/>
          <w:spacing w:val="-2"/>
        </w:rPr>
        <w:t>30</w:t>
      </w:r>
      <w:r>
        <w:rPr>
          <w:spacing w:val="-2"/>
        </w:rPr>
        <w:t>日，则表明金融工具的信用风险已经显著增加。除非本集团在无须付出不必要的额外成本或努力的</w:t>
      </w:r>
      <w:r>
        <w:rPr>
          <w:spacing w:val="-64"/>
        </w:rPr>
        <w:t> </w:t>
      </w:r>
      <w:r>
        <w:rPr>
          <w:spacing w:val="-64"/>
        </w:rPr>
      </w:r>
      <w:r>
        <w:rPr>
          <w:spacing w:val="-2"/>
        </w:rPr>
        <w:t>情况下即可获得合理且有依据的信息，证明即使逾期超过</w:t>
      </w:r>
      <w:r>
        <w:rPr>
          <w:rFonts w:ascii="宋体" w:hAnsi="宋体" w:cs="宋体" w:eastAsia="宋体" w:hint="default"/>
          <w:spacing w:val="-2"/>
        </w:rPr>
        <w:t>30</w:t>
      </w:r>
      <w:r>
        <w:rPr>
          <w:spacing w:val="-2"/>
        </w:rPr>
        <w:t>日，信用风险自初始确认后仍未显著增加。在确定信用风险自初</w:t>
      </w:r>
      <w:r>
        <w:rPr>
          <w:spacing w:val="-61"/>
        </w:rPr>
        <w:t> </w:t>
      </w:r>
      <w:r>
        <w:rPr>
          <w:spacing w:val="-61"/>
        </w:rPr>
      </w:r>
      <w:r>
        <w:rPr/>
        <w:t>始确认后是否显著增加时，本集团考虑无须付出不必要的额外成本或努力即可获得的合理且有依据的信息，包括前瞻性信</w:t>
      </w:r>
      <w:r>
        <w:rPr>
          <w:spacing w:val="-11"/>
        </w:rPr>
        <w:t> </w:t>
      </w:r>
      <w:r>
        <w:rPr>
          <w:spacing w:val="-11"/>
        </w:rPr>
      </w:r>
      <w:r>
        <w:rPr>
          <w:spacing w:val="-2"/>
        </w:rPr>
        <w:t>息。集团考虑的信息包括：①债务人未能按合同到期日支付本金和利息的情况；②已发生的或预期的金融工具的外部或内部</w:t>
      </w:r>
      <w:r>
        <w:rPr>
          <w:spacing w:val="-65"/>
        </w:rPr>
        <w:t> </w:t>
      </w:r>
      <w:r>
        <w:rPr>
          <w:spacing w:val="-65"/>
        </w:rPr>
      </w:r>
      <w:r>
        <w:rPr/>
        <w:t>信用评级</w:t>
      </w:r>
      <w:r>
        <w:rPr>
          <w:spacing w:val="-39"/>
        </w:rPr>
        <w:t> </w:t>
      </w:r>
      <w:r>
        <w:rPr>
          <w:rFonts w:ascii="宋体" w:hAnsi="宋体" w:cs="宋体" w:eastAsia="宋体" w:hint="default"/>
          <w:spacing w:val="-39"/>
        </w:rPr>
      </w:r>
      <w:r>
        <w:rPr>
          <w:rFonts w:ascii="宋体" w:hAnsi="宋体" w:cs="宋体" w:eastAsia="宋体" w:hint="default"/>
        </w:rPr>
        <w:t>(</w:t>
      </w:r>
      <w:r>
        <w:rPr/>
        <w:t>如有</w:t>
      </w:r>
      <w:r>
        <w:rPr>
          <w:rFonts w:ascii="宋体" w:hAnsi="宋体" w:cs="宋体" w:eastAsia="宋体" w:hint="default"/>
        </w:rPr>
        <w:t>)</w:t>
      </w:r>
      <w:r>
        <w:rPr>
          <w:rFonts w:ascii="宋体" w:hAnsi="宋体" w:cs="宋体" w:eastAsia="宋体" w:hint="default"/>
          <w:spacing w:val="-39"/>
        </w:rPr>
        <w:t> </w:t>
      </w:r>
      <w:r>
        <w:rPr/>
        <w:t>的严重恶化；③已发生的或预期的债务人经营成果的严重恶化；④现存的或预期的技术、市场、经济或法 律环境变化，并将对债务人对本集团的还款能力产生重大不利影响。</w:t>
      </w:r>
      <w:r>
        <w:rPr>
          <w:rFonts w:ascii="宋体" w:hAnsi="宋体" w:cs="宋体" w:eastAsia="宋体" w:hint="default"/>
        </w:rPr>
        <w:t> </w:t>
      </w:r>
    </w:p>
    <w:p>
      <w:pPr>
        <w:pStyle w:val="BodyText"/>
        <w:spacing w:line="316" w:lineRule="auto" w:before="139"/>
        <w:ind w:right="1034" w:firstLine="360"/>
        <w:jc w:val="left"/>
        <w:rPr>
          <w:rFonts w:ascii="宋体" w:hAnsi="宋体" w:cs="宋体" w:eastAsia="宋体" w:hint="default"/>
        </w:rPr>
      </w:pPr>
      <w:r>
        <w:rPr/>
        <w:t>以组合为基础的评估。对于应收账款，本集团在单项工具层面无法以合理成本获得关于信用风险显著增加的充分证据， </w:t>
      </w:r>
      <w:r>
        <w:rPr>
          <w:spacing w:val="-2"/>
        </w:rPr>
        <w:t>而在组合的基础上评估信用风险是否显著增加是可行，所以本集团按照应收款项的客户性质为共同风险特征，对应收账款进</w:t>
      </w:r>
      <w:r>
        <w:rPr>
          <w:spacing w:val="-64"/>
        </w:rPr>
        <w:t> </w:t>
      </w:r>
      <w:r>
        <w:rPr>
          <w:spacing w:val="-64"/>
        </w:rPr>
      </w:r>
      <w:r>
        <w:rPr/>
        <w:t>行分组并以组合为基础考虑评估信用风险是否显著增加。</w:t>
      </w:r>
      <w:r>
        <w:rPr>
          <w:rFonts w:ascii="宋体" w:hAnsi="宋体" w:cs="宋体" w:eastAsia="宋体" w:hint="default"/>
        </w:rPr>
        <w:t> </w:t>
      </w:r>
    </w:p>
    <w:p>
      <w:pPr>
        <w:pStyle w:val="BodyText"/>
        <w:spacing w:line="316" w:lineRule="auto" w:before="139"/>
        <w:ind w:right="1133" w:firstLine="360"/>
        <w:jc w:val="both"/>
        <w:rPr>
          <w:rFonts w:ascii="宋体" w:hAnsi="宋体" w:cs="宋体" w:eastAsia="宋体" w:hint="default"/>
        </w:rPr>
      </w:pPr>
      <w:r>
        <w:rPr>
          <w:spacing w:val="-2"/>
        </w:rPr>
        <w:t>预期信用损失计量。预期信用损失，是指以发生违约的风险为权重的金融工具信用损失的加权平均值。信用损失，是指</w:t>
      </w:r>
      <w:r>
        <w:rPr/>
        <w:t> </w:t>
      </w:r>
      <w:r>
        <w:rPr>
          <w:spacing w:val="-2"/>
        </w:rPr>
        <w:t>本集团按照原实际利率折现的、根据合同应收的所有合同现金流量与预期收取的所有现金流量之间的差额，即全部现金短缺</w:t>
      </w:r>
      <w:r>
        <w:rPr>
          <w:spacing w:val="-64"/>
        </w:rPr>
        <w:t> </w:t>
      </w:r>
      <w:r>
        <w:rPr>
          <w:spacing w:val="-64"/>
        </w:rPr>
      </w:r>
      <w:r>
        <w:rPr/>
        <w:t>的现值。</w:t>
      </w:r>
      <w:r>
        <w:rPr>
          <w:rFonts w:ascii="宋体" w:hAnsi="宋体" w:cs="宋体" w:eastAsia="宋体" w:hint="default"/>
        </w:rPr>
        <w:t> </w:t>
      </w:r>
    </w:p>
    <w:p>
      <w:pPr>
        <w:pStyle w:val="BodyText"/>
        <w:spacing w:line="316" w:lineRule="auto" w:before="139"/>
        <w:ind w:right="1131" w:firstLine="360"/>
        <w:jc w:val="both"/>
        <w:rPr>
          <w:rFonts w:ascii="宋体" w:hAnsi="宋体" w:cs="宋体" w:eastAsia="宋体" w:hint="default"/>
        </w:rPr>
      </w:pPr>
      <w:r>
        <w:rPr>
          <w:spacing w:val="-2"/>
        </w:rPr>
        <w:t>本集团在资产负债表日计算应收账款预期信用损失，如果该预期信用损失大于当前应收账款减值准备的账面金额，本集</w:t>
      </w:r>
      <w:r>
        <w:rPr/>
        <w:t> 团将其差额确认为应收账款减值损失。相反，本集团将差额确认为减值利得。</w:t>
      </w:r>
      <w:r>
        <w:rPr>
          <w:rFonts w:ascii="宋体" w:hAnsi="宋体" w:cs="宋体" w:eastAsia="宋体" w:hint="default"/>
        </w:rPr>
        <w:t> </w:t>
      </w:r>
    </w:p>
    <w:p>
      <w:pPr>
        <w:pStyle w:val="BodyText"/>
        <w:spacing w:line="316" w:lineRule="auto" w:before="139"/>
        <w:ind w:right="1131" w:firstLine="360"/>
        <w:jc w:val="both"/>
        <w:rPr>
          <w:rFonts w:ascii="宋体" w:hAnsi="宋体" w:cs="宋体" w:eastAsia="宋体" w:hint="default"/>
        </w:rPr>
      </w:pPr>
      <w:r>
        <w:rPr>
          <w:spacing w:val="-2"/>
        </w:rPr>
        <w:t>本集团实际发生信用损失，认定相关应收账款无法收回，经批准予以核销的，根据批准的核销金额，若核销金额大于已</w:t>
      </w:r>
      <w:r>
        <w:rPr/>
        <w:t> 计提的损失准备，按期差额计入当期损益。</w:t>
      </w:r>
      <w:r>
        <w:rPr>
          <w:rFonts w:ascii="宋体" w:hAnsi="宋体" w:cs="宋体" w:eastAsia="宋体" w:hint="default"/>
        </w:rPr>
        <w:t> </w:t>
      </w:r>
    </w:p>
    <w:p>
      <w:pPr>
        <w:pStyle w:val="BodyText"/>
        <w:spacing w:line="316" w:lineRule="auto" w:before="139"/>
        <w:ind w:right="1132" w:firstLine="360"/>
        <w:jc w:val="both"/>
        <w:rPr>
          <w:rFonts w:ascii="宋体" w:hAnsi="宋体" w:cs="宋体" w:eastAsia="宋体" w:hint="default"/>
        </w:rPr>
      </w:pPr>
      <w:r>
        <w:rPr>
          <w:spacing w:val="-2"/>
        </w:rPr>
        <w:t>本集团将该应收账款按类似信用风险特征划分为若干组合，在组合基础上基于所有合理且有依据的信息（包括前瞻性信</w:t>
      </w:r>
      <w:r>
        <w:rPr/>
        <w:t> 息）计算预期信用损失，确定组合的依据如下：</w:t>
      </w:r>
      <w:r>
        <w:rPr>
          <w:rFonts w:ascii="宋体" w:hAnsi="宋体" w:cs="宋体" w:eastAsia="宋体" w:hint="default"/>
          <w:spacing w:val="1"/>
        </w:rPr>
        <w:t> </w:t>
      </w:r>
      <w:r>
        <w:rPr>
          <w:rFonts w:ascii="宋体" w:hAnsi="宋体" w:cs="宋体" w:eastAsia="宋体" w:hint="default"/>
        </w:rPr>
        <w:t> </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 </w:t>
      </w:r>
      <w:r>
        <w:rPr>
          <w:spacing w:val="12"/>
        </w:rPr>
        <w:t> </w:t>
      </w:r>
      <w:r>
        <w:rPr/>
        <w:t>单项金额重大并单独计提坏账准备的应收款项</w:t>
      </w:r>
      <w:r>
        <w:rPr>
          <w:b w:val="0"/>
          <w:bCs w:val="0"/>
        </w:rPr>
      </w:r>
    </w:p>
    <w:p>
      <w:pPr>
        <w:spacing w:line="240" w:lineRule="auto" w:before="12"/>
        <w:rPr>
          <w:rFonts w:ascii="Microsoft JhengHei" w:hAnsi="Microsoft JhengHei" w:cs="Microsoft JhengHei" w:eastAsia="Microsoft JhengHei" w:hint="default"/>
          <w:b/>
          <w:bCs/>
          <w:sz w:val="19"/>
          <w:szCs w:val="19"/>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万元的应收款项视为重大应收款项</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7"/>
        <w:rPr>
          <w:rFonts w:ascii="Microsoft JhengHei" w:hAnsi="Microsoft JhengHei" w:cs="Microsoft JhengHei" w:eastAsia="Microsoft JhengHei" w:hint="default"/>
          <w:b/>
          <w:bCs/>
          <w:sz w:val="15"/>
          <w:szCs w:val="15"/>
        </w:rPr>
      </w:pPr>
    </w:p>
    <w:p>
      <w:pPr>
        <w:pStyle w:val="Heading6"/>
        <w:spacing w:line="300" w:lineRule="exact"/>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5"/>
        <w:rPr>
          <w:rFonts w:ascii="Microsoft JhengHei" w:hAnsi="Microsoft JhengHei" w:cs="Microsoft JhengHei" w:eastAsia="Microsoft JhengHei" w:hint="default"/>
          <w:b/>
          <w:bCs/>
          <w:sz w:val="19"/>
          <w:szCs w:val="19"/>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以应收款项的账龄为信用风险特征划分组合</w:t>
            </w:r>
          </w:p>
        </w:tc>
      </w:tr>
    </w:tbl>
    <w:p>
      <w:pPr>
        <w:spacing w:line="240" w:lineRule="auto" w:before="16"/>
        <w:rPr>
          <w:rFonts w:ascii="Microsoft JhengHei" w:hAnsi="Microsoft JhengHei" w:cs="Microsoft JhengHei" w:eastAsia="Microsoft JhengHei" w:hint="default"/>
          <w:b/>
          <w:bCs/>
          <w:sz w:val="4"/>
          <w:szCs w:val="4"/>
        </w:rPr>
      </w:pPr>
    </w:p>
    <w:p>
      <w:pPr>
        <w:pStyle w:val="BodyText"/>
        <w:spacing w:line="240" w:lineRule="auto" w:before="44"/>
        <w:ind w:left="513" w:right="0"/>
        <w:jc w:val="left"/>
      </w:pPr>
      <w:r>
        <w:rPr/>
        <w:t>本集团根据以前年度的实际信用损失，并考虑本年的前瞻性信息，计量应收账款的预期信用损失的会计估计政策为：</w:t>
      </w:r>
    </w:p>
    <w:p>
      <w:pPr>
        <w:pStyle w:val="BodyText"/>
        <w:tabs>
          <w:tab w:pos="573" w:val="left" w:leader="none"/>
        </w:tabs>
        <w:spacing w:line="240" w:lineRule="auto" w:before="76"/>
        <w:ind w:right="0"/>
        <w:jc w:val="left"/>
        <w:rPr>
          <w:rFonts w:ascii="宋体" w:hAnsi="宋体" w:cs="宋体" w:eastAsia="宋体" w:hint="default"/>
        </w:rPr>
      </w:pPr>
      <w:r>
        <w:rPr>
          <w:rFonts w:ascii="宋体"/>
        </w:rPr>
        <w:t> </w:t>
        <w:tab/>
        <w:t> </w:t>
      </w:r>
    </w:p>
    <w:p>
      <w:pPr>
        <w:spacing w:line="240" w:lineRule="auto" w:before="5"/>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1374"/>
        <w:gridCol w:w="1376"/>
        <w:gridCol w:w="1375"/>
        <w:gridCol w:w="1376"/>
        <w:gridCol w:w="1375"/>
        <w:gridCol w:w="1376"/>
        <w:gridCol w:w="1373"/>
      </w:tblGrid>
      <w:tr>
        <w:trPr>
          <w:trHeight w:val="538" w:hRule="exact"/>
        </w:trPr>
        <w:tc>
          <w:tcPr>
            <w:tcW w:w="13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91" w:right="0"/>
              <w:jc w:val="center"/>
              <w:rPr>
                <w:rFonts w:ascii="宋体" w:hAnsi="宋体" w:cs="宋体" w:eastAsia="宋体" w:hint="default"/>
                <w:sz w:val="18"/>
                <w:szCs w:val="18"/>
              </w:rPr>
            </w:pPr>
            <w:r>
              <w:rPr>
                <w:rFonts w:ascii="宋体"/>
                <w:sz w:val="18"/>
              </w:rPr>
              <w:t> </w:t>
            </w:r>
          </w:p>
        </w:tc>
        <w:tc>
          <w:tcPr>
            <w:tcW w:w="13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187"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z w:val="18"/>
                <w:szCs w:val="18"/>
              </w:rPr>
              <w:t>1</w:t>
            </w:r>
            <w:r>
              <w:rPr>
                <w:rFonts w:ascii="宋体" w:hAnsi="宋体" w:cs="宋体" w:eastAsia="宋体" w:hint="default"/>
                <w:sz w:val="18"/>
                <w:szCs w:val="18"/>
              </w:rPr>
              <w:t>年以内</w:t>
            </w:r>
            <w:r>
              <w:rPr>
                <w:rFonts w:ascii="宋体" w:hAnsi="宋体" w:cs="宋体" w:eastAsia="宋体" w:hint="default"/>
                <w:sz w:val="18"/>
                <w:szCs w:val="18"/>
              </w:rPr>
              <w:t> </w:t>
            </w:r>
          </w:p>
        </w:tc>
        <w:tc>
          <w:tcPr>
            <w:tcW w:w="13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275"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z w:val="18"/>
                <w:szCs w:val="18"/>
              </w:rPr>
              <w:t>1-2</w:t>
            </w:r>
            <w:r>
              <w:rPr>
                <w:rFonts w:ascii="宋体" w:hAnsi="宋体" w:cs="宋体" w:eastAsia="宋体" w:hint="default"/>
                <w:sz w:val="18"/>
                <w:szCs w:val="18"/>
              </w:rPr>
              <w:t>年</w:t>
            </w:r>
            <w:r>
              <w:rPr>
                <w:rFonts w:ascii="宋体" w:hAnsi="宋体" w:cs="宋体" w:eastAsia="宋体" w:hint="default"/>
                <w:sz w:val="18"/>
                <w:szCs w:val="18"/>
              </w:rPr>
              <w:t> </w:t>
            </w:r>
          </w:p>
        </w:tc>
        <w:tc>
          <w:tcPr>
            <w:tcW w:w="13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273"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z w:val="18"/>
                <w:szCs w:val="18"/>
              </w:rPr>
              <w:t>2-3</w:t>
            </w:r>
            <w:r>
              <w:rPr>
                <w:rFonts w:ascii="宋体" w:hAnsi="宋体" w:cs="宋体" w:eastAsia="宋体" w:hint="default"/>
                <w:sz w:val="18"/>
                <w:szCs w:val="18"/>
              </w:rPr>
              <w:t>年</w:t>
            </w:r>
            <w:r>
              <w:rPr>
                <w:rFonts w:ascii="宋体" w:hAnsi="宋体" w:cs="宋体" w:eastAsia="宋体" w:hint="default"/>
                <w:sz w:val="18"/>
                <w:szCs w:val="18"/>
              </w:rPr>
              <w:t> </w:t>
            </w:r>
          </w:p>
        </w:tc>
        <w:tc>
          <w:tcPr>
            <w:tcW w:w="13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275"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z w:val="18"/>
                <w:szCs w:val="18"/>
              </w:rPr>
              <w:t>3-4</w:t>
            </w:r>
            <w:r>
              <w:rPr>
                <w:rFonts w:ascii="宋体" w:hAnsi="宋体" w:cs="宋体" w:eastAsia="宋体" w:hint="default"/>
                <w:sz w:val="18"/>
                <w:szCs w:val="18"/>
              </w:rPr>
              <w:t>年</w:t>
            </w:r>
            <w:r>
              <w:rPr>
                <w:rFonts w:ascii="宋体" w:hAnsi="宋体" w:cs="宋体" w:eastAsia="宋体" w:hint="default"/>
                <w:sz w:val="18"/>
                <w:szCs w:val="18"/>
              </w:rPr>
              <w:t> </w:t>
            </w:r>
          </w:p>
        </w:tc>
        <w:tc>
          <w:tcPr>
            <w:tcW w:w="13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273"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z w:val="18"/>
                <w:szCs w:val="18"/>
              </w:rPr>
              <w:t>4-5</w:t>
            </w:r>
            <w:r>
              <w:rPr>
                <w:rFonts w:ascii="宋体" w:hAnsi="宋体" w:cs="宋体" w:eastAsia="宋体" w:hint="default"/>
                <w:sz w:val="18"/>
                <w:szCs w:val="18"/>
              </w:rPr>
              <w:t>年</w:t>
            </w:r>
            <w:r>
              <w:rPr>
                <w:rFonts w:ascii="宋体" w:hAnsi="宋体" w:cs="宋体" w:eastAsia="宋体" w:hint="default"/>
                <w:sz w:val="18"/>
                <w:szCs w:val="18"/>
              </w:rPr>
              <w:t> </w:t>
            </w:r>
          </w:p>
        </w:tc>
        <w:tc>
          <w:tcPr>
            <w:tcW w:w="1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182"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z w:val="18"/>
                <w:szCs w:val="18"/>
              </w:rPr>
              <w:t>5</w:t>
            </w:r>
            <w:r>
              <w:rPr>
                <w:rFonts w:ascii="宋体" w:hAnsi="宋体" w:cs="宋体" w:eastAsia="宋体" w:hint="default"/>
                <w:sz w:val="18"/>
                <w:szCs w:val="18"/>
              </w:rPr>
              <w:t>年以上</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52" w:type="dxa"/>
        <w:tblLayout w:type="fixed"/>
        <w:tblCellMar>
          <w:top w:w="0" w:type="dxa"/>
          <w:left w:w="0" w:type="dxa"/>
          <w:bottom w:w="0" w:type="dxa"/>
          <w:right w:w="0" w:type="dxa"/>
        </w:tblCellMar>
        <w:tblLook w:val="01E0"/>
      </w:tblPr>
      <w:tblGrid>
        <w:gridCol w:w="1376"/>
        <w:gridCol w:w="1376"/>
        <w:gridCol w:w="1375"/>
        <w:gridCol w:w="1376"/>
        <w:gridCol w:w="1375"/>
        <w:gridCol w:w="1376"/>
        <w:gridCol w:w="1373"/>
      </w:tblGrid>
      <w:tr>
        <w:trPr>
          <w:trHeight w:val="543" w:hRule="exact"/>
        </w:trPr>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50" w:right="-40"/>
              <w:jc w:val="left"/>
              <w:rPr>
                <w:rFonts w:ascii="宋体" w:hAnsi="宋体" w:cs="宋体" w:eastAsia="宋体" w:hint="default"/>
                <w:sz w:val="18"/>
                <w:szCs w:val="18"/>
              </w:rPr>
            </w:pPr>
            <w:r>
              <w:rPr>
                <w:rFonts w:ascii="宋体" w:hAnsi="宋体" w:cs="宋体" w:eastAsia="宋体" w:hint="default"/>
                <w:sz w:val="18"/>
                <w:szCs w:val="18"/>
              </w:rPr>
              <w:t>违约综合损失率</w:t>
            </w:r>
            <w:r>
              <w:rPr>
                <w:rFonts w:ascii="宋体" w:hAnsi="宋体" w:cs="宋体" w:eastAsia="宋体" w:hint="default"/>
                <w:sz w:val="18"/>
                <w:szCs w:val="18"/>
              </w:rPr>
              <w:t> </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55" w:right="0"/>
              <w:jc w:val="left"/>
              <w:rPr>
                <w:rFonts w:ascii="宋体" w:hAnsi="宋体" w:cs="宋体" w:eastAsia="宋体" w:hint="default"/>
                <w:sz w:val="18"/>
                <w:szCs w:val="18"/>
              </w:rPr>
            </w:pPr>
            <w:r>
              <w:rPr>
                <w:rFonts w:ascii="宋体"/>
                <w:sz w:val="18"/>
              </w:rPr>
              <w:t>0.86% </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10" w:right="0"/>
              <w:jc w:val="left"/>
              <w:rPr>
                <w:rFonts w:ascii="宋体" w:hAnsi="宋体" w:cs="宋体" w:eastAsia="宋体" w:hint="default"/>
                <w:sz w:val="18"/>
                <w:szCs w:val="18"/>
              </w:rPr>
            </w:pPr>
            <w:r>
              <w:rPr>
                <w:rFonts w:ascii="宋体"/>
                <w:sz w:val="18"/>
              </w:rPr>
              <w:t>26.81% </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10" w:right="0"/>
              <w:jc w:val="left"/>
              <w:rPr>
                <w:rFonts w:ascii="宋体" w:hAnsi="宋体" w:cs="宋体" w:eastAsia="宋体" w:hint="default"/>
                <w:sz w:val="18"/>
                <w:szCs w:val="18"/>
              </w:rPr>
            </w:pPr>
            <w:r>
              <w:rPr>
                <w:rFonts w:ascii="宋体"/>
                <w:sz w:val="18"/>
              </w:rPr>
              <w:t>30.15% </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10" w:right="0"/>
              <w:jc w:val="left"/>
              <w:rPr>
                <w:rFonts w:ascii="宋体" w:hAnsi="宋体" w:cs="宋体" w:eastAsia="宋体" w:hint="default"/>
                <w:sz w:val="18"/>
                <w:szCs w:val="18"/>
              </w:rPr>
            </w:pPr>
            <w:r>
              <w:rPr>
                <w:rFonts w:ascii="宋体"/>
                <w:sz w:val="18"/>
              </w:rPr>
              <w:t>44.25% </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10" w:right="0"/>
              <w:jc w:val="left"/>
              <w:rPr>
                <w:rFonts w:ascii="宋体" w:hAnsi="宋体" w:cs="宋体" w:eastAsia="宋体" w:hint="default"/>
                <w:sz w:val="18"/>
                <w:szCs w:val="18"/>
              </w:rPr>
            </w:pPr>
            <w:r>
              <w:rPr>
                <w:rFonts w:ascii="宋体"/>
                <w:sz w:val="18"/>
              </w:rPr>
              <w:t>66.72% </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62" w:right="0"/>
              <w:jc w:val="left"/>
              <w:rPr>
                <w:rFonts w:ascii="宋体" w:hAnsi="宋体" w:cs="宋体" w:eastAsia="宋体" w:hint="default"/>
                <w:sz w:val="18"/>
                <w:szCs w:val="18"/>
              </w:rPr>
            </w:pPr>
            <w:r>
              <w:rPr>
                <w:rFonts w:ascii="宋体"/>
                <w:sz w:val="18"/>
              </w:rPr>
              <w:t>100.00% </w:t>
            </w:r>
          </w:p>
        </w:tc>
      </w:tr>
    </w:tbl>
    <w:p>
      <w:pPr>
        <w:spacing w:line="240" w:lineRule="auto" w:before="7"/>
        <w:rPr>
          <w:rFonts w:ascii="宋体" w:hAnsi="宋体" w:cs="宋体" w:eastAsia="宋体" w:hint="default"/>
          <w:sz w:val="20"/>
          <w:szCs w:val="20"/>
        </w:rPr>
      </w:pPr>
    </w:p>
    <w:p>
      <w:pPr>
        <w:pStyle w:val="Heading6"/>
        <w:spacing w:line="300" w:lineRule="exact"/>
        <w:ind w:right="0"/>
        <w:jc w:val="left"/>
        <w:rPr>
          <w:b w:val="0"/>
          <w:bCs w:val="0"/>
        </w:rPr>
      </w:pPr>
      <w:r>
        <w:rPr/>
        <w:pict>
          <v:group style="position:absolute;margin-left:125.540001pt;margin-top:-40.569626pt;width:69.3pt;height:26.45pt;mso-position-horizontal-relative:page;mso-position-vertical-relative:paragraph;z-index:-1405312" coordorigin="2511,-811" coordsize="1386,529">
            <v:group style="position:absolute;left:2523;top:-811;width:1364;height:10" coordorigin="2523,-811" coordsize="1364,10">
              <v:shape style="position:absolute;left:2523;top:-811;width:1364;height:10" coordorigin="2523,-811" coordsize="1364,10" path="m2523,-802l3886,-802,3886,-811,2523,-811,2523,-802xe" filled="true" fillcolor="#ffffff" stroked="false">
                <v:path arrowok="t"/>
                <v:fill type="solid"/>
              </v:shape>
            </v:group>
            <v:group style="position:absolute;left:2523;top:-408;width:1364;height:125" coordorigin="2523,-408" coordsize="1364,125">
              <v:shape style="position:absolute;left:2523;top:-408;width:1364;height:125" coordorigin="2523,-408" coordsize="1364,125" path="m2523,-283l3886,-283,3886,-408,2523,-408,2523,-283xe" filled="true" fillcolor="#ffffff" stroked="false">
                <v:path arrowok="t"/>
                <v:fill type="solid"/>
              </v:shape>
            </v:group>
            <v:group style="position:absolute;left:2528;top:-802;width:1357;height:395" coordorigin="2528,-802" coordsize="1357,395">
              <v:shape style="position:absolute;left:2528;top:-802;width:1357;height:395" coordorigin="2528,-802" coordsize="1357,395" path="m2528,-408l3884,-408,3884,-802,2528,-802,2528,-408xe" filled="true" fillcolor="#ffffff" stroked="false">
                <v:path arrowok="t"/>
                <v:fill type="solid"/>
              </v:shape>
            </v:group>
            <v:group style="position:absolute;left:2523;top:-807;width:1362;height:2" coordorigin="2523,-807" coordsize="1362,2">
              <v:shape style="position:absolute;left:2523;top:-807;width:1362;height:2" coordorigin="2523,-807" coordsize="1362,0" path="m2523,-807l3884,-807e" filled="false" stroked="true" strokeweight=".48pt" strokecolor="#ffffff">
                <v:path arrowok="t"/>
              </v:shape>
            </v:group>
            <v:group style="position:absolute;left:2516;top:-288;width:1376;height:2" coordorigin="2516,-288" coordsize="1376,2">
              <v:shape style="position:absolute;left:2516;top:-288;width:1376;height:2" coordorigin="2516,-288" coordsize="1376,0" path="m2516,-288l3891,-288e" filled="false" stroked="true" strokeweight=".48pt" strokecolor="#ffffff">
                <v:path arrowok="t"/>
              </v:shape>
            </v:group>
            <w10:wrap type="none"/>
          </v:group>
        </w:pict>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5"/>
        <w:rPr>
          <w:rFonts w:ascii="Microsoft JhengHei" w:hAnsi="Microsoft JhengHei" w:cs="Microsoft JhengHei" w:eastAsia="Microsoft JhengHei" w:hint="default"/>
          <w:b/>
          <w:bCs/>
          <w:sz w:val="19"/>
          <w:szCs w:val="19"/>
        </w:rPr>
      </w:pPr>
    </w:p>
    <w:tbl>
      <w:tblPr>
        <w:tblW w:w="0" w:type="auto"/>
        <w:jc w:val="left"/>
        <w:tblInd w:w="181" w:type="dxa"/>
        <w:tblLayout w:type="fixed"/>
        <w:tblCellMar>
          <w:top w:w="0" w:type="dxa"/>
          <w:left w:w="0" w:type="dxa"/>
          <w:bottom w:w="0" w:type="dxa"/>
          <w:right w:w="0" w:type="dxa"/>
        </w:tblCellMar>
        <w:tblLook w:val="01E0"/>
      </w:tblPr>
      <w:tblGrid>
        <w:gridCol w:w="4254"/>
        <w:gridCol w:w="5315"/>
      </w:tblGrid>
      <w:tr>
        <w:trPr>
          <w:trHeight w:val="715"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0"/>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单项金额不重大且按照组合计提坏账准备不能反映其风险特征的应 收款项</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10"/>
        <w:rPr>
          <w:rFonts w:ascii="Microsoft JhengHei" w:hAnsi="Microsoft JhengHei" w:cs="Microsoft JhengHei" w:eastAsia="Microsoft JhengHei" w:hint="default"/>
          <w:b/>
          <w:bCs/>
          <w:sz w:val="14"/>
          <w:szCs w:val="14"/>
        </w:rPr>
      </w:pPr>
    </w:p>
    <w:p>
      <w:pPr>
        <w:pStyle w:val="Heading4"/>
        <w:spacing w:line="335" w:lineRule="exact"/>
        <w:ind w:right="0"/>
        <w:jc w:val="left"/>
        <w:rPr>
          <w:b w:val="0"/>
          <w:bCs w:val="0"/>
        </w:rPr>
      </w:pPr>
      <w:r>
        <w:rPr>
          <w:rFonts w:ascii="Times New Roman" w:hAnsi="Times New Roman" w:cs="Times New Roman" w:eastAsia="Times New Roman" w:hint="default"/>
        </w:rPr>
        <w:t>13</w:t>
      </w:r>
      <w:r>
        <w:rPr/>
        <w:t>、应收款项融资</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不适用</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14</w:t>
      </w:r>
      <w:r>
        <w:rPr/>
        <w:t>、其他应收款</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231" w:firstLine="360"/>
        <w:jc w:val="both"/>
      </w:pPr>
      <w:r>
        <w:rPr/>
        <w:t>对于其他应收款，本集团考虑所有合理且有依据的信息，包括前瞻性信息，以单项或组合的方式对上述应收款项预期 信用损失进行估计，并采用预期信用损失的简化模型，始终按照整个存续期的预期信用损失计量损失准备，计提方法见应 收账款。</w:t>
      </w: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15</w:t>
      </w:r>
      <w:r>
        <w:rPr/>
        <w:t>、存货</w:t>
      </w:r>
      <w:r>
        <w:rPr>
          <w:b w:val="0"/>
          <w:bCs w:val="0"/>
        </w:rPr>
      </w:r>
    </w:p>
    <w:p>
      <w:pPr>
        <w:pStyle w:val="BodyText"/>
        <w:spacing w:line="430" w:lineRule="atLeast" w:before="142"/>
        <w:ind w:left="513" w:right="1118"/>
        <w:jc w:val="left"/>
      </w:pPr>
      <w:r>
        <w:rPr/>
        <w:t>本集团存货主要包括原材料、低值易耗品、在产品、库存商品、劳务成本等。 </w:t>
      </w:r>
      <w:r>
        <w:rPr>
          <w:spacing w:val="-5"/>
        </w:rPr>
        <w:t>存货实行永续盘存制，存货在取得时按实际成本计价，存货成本包括采购成本、加工成本和其他成本；领用或发出存货，</w:t>
      </w:r>
    </w:p>
    <w:p>
      <w:pPr>
        <w:pStyle w:val="BodyText"/>
        <w:spacing w:line="240" w:lineRule="auto" w:before="76"/>
        <w:ind w:right="0"/>
        <w:jc w:val="left"/>
      </w:pPr>
      <w:r>
        <w:rPr/>
        <w:t>采用加权平均法确定其实际成本。低值易耗品和包装物采用一次转销法进行摊销。</w:t>
      </w:r>
    </w:p>
    <w:p>
      <w:pPr>
        <w:spacing w:line="240" w:lineRule="auto" w:before="0"/>
        <w:rPr>
          <w:rFonts w:ascii="宋体" w:hAnsi="宋体" w:cs="宋体" w:eastAsia="宋体" w:hint="default"/>
          <w:sz w:val="15"/>
          <w:szCs w:val="15"/>
        </w:rPr>
      </w:pPr>
    </w:p>
    <w:p>
      <w:pPr>
        <w:pStyle w:val="BodyText"/>
        <w:spacing w:line="316" w:lineRule="auto"/>
        <w:ind w:right="1034" w:firstLine="360"/>
        <w:jc w:val="left"/>
      </w:pPr>
      <w:r>
        <w:rPr/>
        <w:t>年末存货按成本与可变现净值孰低原则计价，对于存货因遭受毁损、全部或部分陈旧过时或销售价格低于成本等原因， </w:t>
      </w:r>
      <w:r>
        <w:rPr>
          <w:spacing w:val="-2"/>
        </w:rPr>
        <w:t>预计其成本不可收回的部分，提取存货跌价准备。库存商品及大宗原材料的存货跌价准备按单个存货项目的成本高于其可变</w:t>
      </w:r>
      <w:r>
        <w:rPr>
          <w:spacing w:val="-64"/>
        </w:rPr>
        <w:t> </w:t>
      </w:r>
      <w:r>
        <w:rPr>
          <w:spacing w:val="-64"/>
        </w:rPr>
      </w:r>
      <w:r>
        <w:rPr/>
        <w:t>现净值的差额提取；其他数量繁多、单价较低的原辅材料按类别提取存货跌价准备。</w:t>
      </w:r>
    </w:p>
    <w:p>
      <w:pPr>
        <w:pStyle w:val="BodyText"/>
        <w:spacing w:line="316" w:lineRule="auto" w:before="139"/>
        <w:ind w:right="1132" w:firstLine="360"/>
        <w:jc w:val="both"/>
      </w:pPr>
      <w:r>
        <w:rPr>
          <w:spacing w:val="-2"/>
        </w:rPr>
        <w:t>库存商品、在产品和用于出售的材料等直接用于出售的商品存货，其可变现净值按该存货的估计售价减去估计的销售费</w:t>
      </w:r>
      <w:r>
        <w:rPr/>
        <w:t> </w:t>
      </w:r>
      <w:r>
        <w:rPr>
          <w:spacing w:val="-2"/>
        </w:rPr>
        <w:t>用和相关税费后的金额确定；用于生产而持有的材料存货，其可变现净值按所生产的产成品的估计售价减去至完工时估计将</w:t>
      </w:r>
      <w:r>
        <w:rPr>
          <w:spacing w:val="-64"/>
        </w:rPr>
        <w:t> </w:t>
      </w:r>
      <w:r>
        <w:rPr>
          <w:spacing w:val="-64"/>
        </w:rPr>
      </w:r>
      <w:r>
        <w:rPr/>
        <w:t>要发生的成本、估计的销售费用和相关税费后的金额确定。</w:t>
      </w: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16</w:t>
      </w:r>
      <w:r>
        <w:rPr/>
        <w:t>、合同资产</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t>不适用</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17</w:t>
      </w:r>
      <w:r>
        <w:rPr/>
        <w:t>、合同成本</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不适用</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18</w:t>
      </w:r>
      <w:r>
        <w:rPr/>
        <w:t>、持有待售资产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both"/>
        <w:rPr>
          <w:b w:val="0"/>
          <w:bCs w:val="0"/>
        </w:rPr>
      </w:pPr>
      <w:r>
        <w:rPr>
          <w:rFonts w:ascii="Times New Roman" w:hAnsi="Times New Roman" w:cs="Times New Roman" w:eastAsia="Times New Roman" w:hint="default"/>
        </w:rPr>
        <w:t>19</w:t>
      </w:r>
      <w:r>
        <w:rPr/>
        <w:t>、债权投资</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不适用</w:t>
      </w:r>
    </w:p>
    <w:p>
      <w:pPr>
        <w:spacing w:line="240" w:lineRule="auto" w:before="1"/>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20</w:t>
      </w:r>
      <w:r>
        <w:rPr/>
        <w:t>、其他债权投资</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both"/>
      </w:pPr>
      <w:r>
        <w:rPr/>
        <w:t>不适用</w:t>
      </w:r>
    </w:p>
    <w:p>
      <w:pPr>
        <w:spacing w:line="240" w:lineRule="auto" w:before="1"/>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21</w:t>
      </w:r>
      <w:r>
        <w:rPr/>
        <w:t>、长期应收款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不适用</w:t>
      </w:r>
    </w:p>
    <w:p>
      <w:pPr>
        <w:spacing w:line="240" w:lineRule="auto" w:before="2"/>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22</w:t>
      </w:r>
      <w:r>
        <w:rPr/>
        <w:t>、长期股权投资</w:t>
      </w:r>
      <w:r>
        <w:rPr>
          <w:b w:val="0"/>
          <w:bCs w:val="0"/>
        </w:rPr>
      </w:r>
    </w:p>
    <w:p>
      <w:pPr>
        <w:pStyle w:val="BodyText"/>
        <w:spacing w:line="550" w:lineRule="atLeast" w:before="19"/>
        <w:ind w:left="592" w:right="1134"/>
        <w:jc w:val="left"/>
      </w:pPr>
      <w:r>
        <w:rPr/>
        <w:t>本集团长期股权投资主要是对子公司的投资、对联营企业的投资和对合营企业的投资。 本集团对共同控制的判断依据是所有参与方或参与方组合集体控制该安排，并且该安排相关活动的政策必须经过这些</w:t>
      </w:r>
    </w:p>
    <w:p>
      <w:pPr>
        <w:pStyle w:val="BodyText"/>
        <w:spacing w:line="240" w:lineRule="auto" w:before="76"/>
        <w:ind w:right="0"/>
        <w:jc w:val="both"/>
      </w:pPr>
      <w:r>
        <w:rPr/>
        <w:t>集体控制该安排的参与方一致同意。</w:t>
      </w:r>
    </w:p>
    <w:p>
      <w:pPr>
        <w:spacing w:line="240" w:lineRule="auto" w:before="2"/>
        <w:rPr>
          <w:rFonts w:ascii="宋体" w:hAnsi="宋体" w:cs="宋体" w:eastAsia="宋体" w:hint="default"/>
          <w:sz w:val="24"/>
          <w:szCs w:val="24"/>
        </w:rPr>
      </w:pPr>
    </w:p>
    <w:p>
      <w:pPr>
        <w:pStyle w:val="BodyText"/>
        <w:spacing w:line="307" w:lineRule="auto"/>
        <w:ind w:right="1130" w:firstLine="439"/>
        <w:jc w:val="both"/>
      </w:pPr>
      <w:r>
        <w:rPr>
          <w:spacing w:val="-2"/>
        </w:rPr>
        <w:t>本集团直接或通过子公司间接拥有被投资单位</w:t>
      </w:r>
      <w:r>
        <w:rPr>
          <w:rFonts w:ascii="Times New Roman" w:hAnsi="Times New Roman" w:cs="Times New Roman" w:eastAsia="Times New Roman" w:hint="default"/>
          <w:spacing w:val="-2"/>
        </w:rPr>
        <w:t>20%</w:t>
      </w:r>
      <w:r>
        <w:rPr>
          <w:spacing w:val="-2"/>
        </w:rPr>
        <w:t>（含）以上但低于</w:t>
      </w:r>
      <w:r>
        <w:rPr>
          <w:rFonts w:ascii="Times New Roman" w:hAnsi="Times New Roman" w:cs="Times New Roman" w:eastAsia="Times New Roman" w:hint="default"/>
          <w:spacing w:val="-2"/>
        </w:rPr>
        <w:t>50%</w:t>
      </w:r>
      <w:r>
        <w:rPr>
          <w:spacing w:val="-2"/>
        </w:rPr>
        <w:t>的表决权时，通常认为对被投资单位具有重大</w:t>
      </w:r>
      <w:r>
        <w:rPr/>
        <w:t> </w:t>
      </w:r>
      <w:r>
        <w:rPr>
          <w:spacing w:val="-1"/>
        </w:rPr>
        <w:t>影响。持有被投资单位</w:t>
      </w:r>
      <w:r>
        <w:rPr>
          <w:rFonts w:ascii="Times New Roman" w:hAnsi="Times New Roman" w:cs="Times New Roman" w:eastAsia="Times New Roman" w:hint="default"/>
          <w:spacing w:val="-1"/>
        </w:rPr>
        <w:t>20%</w:t>
      </w:r>
      <w:r>
        <w:rPr>
          <w:spacing w:val="-1"/>
        </w:rPr>
        <w:t>以下表决权的，还需要综合考虑在被投资单位的董事会或类似权力机构中派有代表、或参与被投</w:t>
      </w:r>
      <w:r>
        <w:rPr/>
        <w:t> </w:t>
      </w:r>
      <w:r>
        <w:rPr>
          <w:spacing w:val="-2"/>
        </w:rPr>
        <w:t>资单位财务和经营政策制定过程、或与被投资单位之间发生重要交易、或向被投资单位派出管理人员、或向被投资单位提供</w:t>
      </w:r>
      <w:r>
        <w:rPr>
          <w:spacing w:val="-63"/>
        </w:rPr>
        <w:t> </w:t>
      </w:r>
      <w:r>
        <w:rPr>
          <w:spacing w:val="-63"/>
        </w:rPr>
      </w:r>
      <w:r>
        <w:rPr/>
        <w:t>关键技术资料等事实和情况判断对被投资单位具有重大影响。</w:t>
      </w:r>
    </w:p>
    <w:p>
      <w:pPr>
        <w:spacing w:line="240" w:lineRule="auto" w:before="5"/>
        <w:rPr>
          <w:rFonts w:ascii="宋体" w:hAnsi="宋体" w:cs="宋体" w:eastAsia="宋体" w:hint="default"/>
          <w:sz w:val="20"/>
          <w:szCs w:val="20"/>
        </w:rPr>
      </w:pPr>
    </w:p>
    <w:p>
      <w:pPr>
        <w:pStyle w:val="BodyText"/>
        <w:spacing w:line="316" w:lineRule="auto"/>
        <w:ind w:right="1134" w:firstLine="439"/>
        <w:jc w:val="both"/>
      </w:pPr>
      <w:r>
        <w:rPr/>
        <w:t>对被投资单位形成控制的，为本集团的子公司。通过同一控制下的企业合并取得的长期股权投资，在合并日按照取得 被合并方在最终控制方合并报表中净资产的账面价值的份额作为长期股权投资的初始投资成本。被合并方在合并日的净资 产账面价值为负数的，长期股权投资成本按零确定。</w:t>
      </w:r>
    </w:p>
    <w:p>
      <w:pPr>
        <w:spacing w:line="240" w:lineRule="auto" w:before="10"/>
        <w:rPr>
          <w:rFonts w:ascii="宋体" w:hAnsi="宋体" w:cs="宋体" w:eastAsia="宋体" w:hint="default"/>
          <w:sz w:val="19"/>
          <w:szCs w:val="19"/>
        </w:rPr>
      </w:pPr>
    </w:p>
    <w:p>
      <w:pPr>
        <w:pStyle w:val="BodyText"/>
        <w:spacing w:line="316" w:lineRule="auto"/>
        <w:ind w:right="1133" w:firstLine="439"/>
        <w:jc w:val="both"/>
      </w:pPr>
      <w:r>
        <w:rPr/>
        <w:t>通过多次交易分步取得同一控制下被投资单位的股权，最终形成企业合并的，属于一揽子交易的，本集团将各项交易 </w:t>
      </w:r>
      <w:r>
        <w:rPr>
          <w:spacing w:val="-2"/>
        </w:rPr>
        <w:t>作为一项取得控制权的交易进行会计处理。不属于一揽子交易的，在合并日，根据合并后享有被合并方净资产在最终控制方</w:t>
      </w:r>
      <w:r>
        <w:rPr>
          <w:spacing w:val="-66"/>
        </w:rPr>
        <w:t> </w:t>
      </w:r>
      <w:r>
        <w:rPr>
          <w:spacing w:val="-66"/>
        </w:rPr>
      </w:r>
      <w:r>
        <w:rPr/>
        <w:t>合并财务报表中的账面价值的份额作为长期股权投资的初始投资成本。初始投资成本与达到合并前的长期股权投资账面价</w:t>
      </w:r>
      <w:r>
        <w:rPr>
          <w:spacing w:val="-11"/>
        </w:rPr>
        <w:t> </w:t>
      </w:r>
      <w:r>
        <w:rPr>
          <w:spacing w:val="-11"/>
        </w:rPr>
      </w:r>
      <w:r>
        <w:rPr/>
        <w:t>值加上合并日进一步取得股份新支付对价的账面价值之和的差额，调整资本公积，资本公积不足冲减的，冲减留存收益。</w:t>
      </w:r>
    </w:p>
    <w:p>
      <w:pPr>
        <w:pStyle w:val="BodyText"/>
        <w:spacing w:line="552" w:lineRule="exact" w:before="27"/>
        <w:ind w:left="592" w:right="1134"/>
        <w:jc w:val="left"/>
      </w:pPr>
      <w:r>
        <w:rPr/>
        <w:t>通过非同一控制下的企业合并取得的长期股权投资，以合并成本作为初始投资成本。 通过多次交易分步取得非同一控制下被投资单位的股权，最终形成企业合并的，属于一揽子交易的，本集团将各项交</w:t>
      </w:r>
    </w:p>
    <w:p>
      <w:pPr>
        <w:pStyle w:val="BodyText"/>
        <w:spacing w:line="316" w:lineRule="auto"/>
        <w:ind w:right="1130"/>
        <w:jc w:val="both"/>
      </w:pPr>
      <w:r>
        <w:rPr/>
        <w:t>易作为一项取得控制权的交易进行会计处理。不属于一揽子交易的，按照原持有的股权投资账面价值加上新增投资成本之</w:t>
      </w:r>
      <w:r>
        <w:rPr>
          <w:spacing w:val="-11"/>
        </w:rPr>
        <w:t> </w:t>
      </w:r>
      <w:r>
        <w:rPr>
          <w:spacing w:val="-11"/>
        </w:rPr>
      </w:r>
      <w:r>
        <w:rPr>
          <w:spacing w:val="-2"/>
        </w:rPr>
        <w:t>和，作为改按成本法核算的初始投资成本。购买日之前持有的股权采用权益法核算的，原权益法核算的相关其他综合收益暂</w:t>
      </w:r>
      <w:r>
        <w:rPr>
          <w:spacing w:val="-63"/>
        </w:rPr>
        <w:t> </w:t>
      </w:r>
      <w:r>
        <w:rPr>
          <w:spacing w:val="-63"/>
        </w:rPr>
      </w:r>
      <w:r>
        <w:rPr>
          <w:spacing w:val="-2"/>
        </w:rPr>
        <w:t>不做调整，在处置该项投资时采用与被投资单位直接处置相关资产或负债相同的基础进行会计处理。购买日之前持有的股权</w:t>
      </w:r>
      <w:r>
        <w:rPr>
          <w:spacing w:val="-64"/>
        </w:rPr>
        <w:t> </w:t>
      </w:r>
      <w:r>
        <w:rPr>
          <w:spacing w:val="-64"/>
        </w:rPr>
      </w:r>
      <w:r>
        <w:rPr/>
        <w:t>在可供出售金融资产中采用公允价值核算的，原计入其他综合收益的累计公允价值变动在合并日转入当期投资损益。</w:t>
      </w:r>
    </w:p>
    <w:p>
      <w:pPr>
        <w:spacing w:line="240" w:lineRule="auto" w:before="10"/>
        <w:rPr>
          <w:rFonts w:ascii="宋体" w:hAnsi="宋体" w:cs="宋体" w:eastAsia="宋体" w:hint="default"/>
          <w:sz w:val="19"/>
          <w:szCs w:val="19"/>
        </w:rPr>
      </w:pPr>
    </w:p>
    <w:p>
      <w:pPr>
        <w:pStyle w:val="BodyText"/>
        <w:spacing w:line="316" w:lineRule="auto"/>
        <w:ind w:right="1034" w:firstLine="439"/>
        <w:jc w:val="left"/>
      </w:pPr>
      <w:r>
        <w:rPr/>
        <w:t>除上述通过企业合并取得的长期股权投资外，以支付现金取得的长期股权投资，按照实际支付的购买价款作为投资成 本；以发行权益性证券取得的长期股权投资，按照发行权益性证券的公允价值作为投资成本；投资者投入的长期股权投资，</w:t>
      </w:r>
      <w:r>
        <w:rPr>
          <w:spacing w:val="-83"/>
        </w:rPr>
        <w:t> </w:t>
      </w:r>
      <w:r>
        <w:rPr>
          <w:spacing w:val="-83"/>
        </w:rPr>
      </w:r>
      <w:r>
        <w:rPr/>
        <w:t>按照投资合同或协议约定的价值作为投资成本。</w:t>
      </w:r>
    </w:p>
    <w:p>
      <w:pPr>
        <w:spacing w:line="240" w:lineRule="auto" w:before="10"/>
        <w:rPr>
          <w:rFonts w:ascii="宋体" w:hAnsi="宋体" w:cs="宋体" w:eastAsia="宋体" w:hint="default"/>
          <w:sz w:val="19"/>
          <w:szCs w:val="19"/>
        </w:rPr>
      </w:pPr>
    </w:p>
    <w:p>
      <w:pPr>
        <w:pStyle w:val="BodyText"/>
        <w:spacing w:line="240" w:lineRule="auto"/>
        <w:ind w:left="592" w:right="0"/>
        <w:jc w:val="left"/>
      </w:pPr>
      <w:r>
        <w:rPr/>
        <w:t>本集团对子公司投资采用成本法核算，对合营企业及联营企业投资采用权益法核算。</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6" w:firstLine="439"/>
        <w:jc w:val="both"/>
      </w:pPr>
      <w:r>
        <w:rPr/>
        <w:t>后续计量采用成本法核算的长期股权投资，在追加投资时，按照追加投资支付的成本额公允价值及发生的相关交易费 用增加长期股权投资成本的账面价值。被投资单位宣告分派的现金股利或利润，按照应享有的金额确认为当期投资收益。</w:t>
      </w:r>
    </w:p>
    <w:p>
      <w:pPr>
        <w:spacing w:line="240" w:lineRule="auto" w:before="10"/>
        <w:rPr>
          <w:rFonts w:ascii="宋体" w:hAnsi="宋体" w:cs="宋体" w:eastAsia="宋体" w:hint="default"/>
          <w:sz w:val="19"/>
          <w:szCs w:val="19"/>
        </w:rPr>
      </w:pPr>
    </w:p>
    <w:p>
      <w:pPr>
        <w:pStyle w:val="BodyText"/>
        <w:spacing w:line="316" w:lineRule="auto"/>
        <w:ind w:right="1034" w:firstLine="439"/>
        <w:jc w:val="left"/>
      </w:pPr>
      <w:r>
        <w:rPr/>
        <w:t>后续计量采用权益法核算的长期股权投资，随着被他投资单位所有者权益的变动相应调整增加或减少长期股权投资的 账面价值。其中在确认应享有被投资单位净损益的份额时，以取得投资时被投资单位各项可辨认资产等的公允价值为基础，</w:t>
      </w:r>
      <w:r>
        <w:rPr>
          <w:spacing w:val="-83"/>
        </w:rPr>
        <w:t> </w:t>
      </w:r>
      <w:r>
        <w:rPr>
          <w:spacing w:val="-83"/>
        </w:rPr>
      </w:r>
      <w:r>
        <w:rPr/>
        <w:t>按照本集团的会计政策及会计期间，并抵销与联营企业及合营企业之间发生的内部交易损益按照持股比例计算归属于投资</w:t>
      </w:r>
      <w:r>
        <w:rPr>
          <w:spacing w:val="-11"/>
        </w:rPr>
        <w:t> </w:t>
      </w:r>
      <w:r>
        <w:rPr>
          <w:spacing w:val="-11"/>
        </w:rPr>
      </w:r>
      <w:r>
        <w:rPr/>
        <w:t>企业的部分，对被投资单位的净利润进行调整后确认。</w:t>
      </w:r>
    </w:p>
    <w:p>
      <w:pPr>
        <w:spacing w:line="240" w:lineRule="auto" w:before="10"/>
        <w:rPr>
          <w:rFonts w:ascii="宋体" w:hAnsi="宋体" w:cs="宋体" w:eastAsia="宋体" w:hint="default"/>
          <w:sz w:val="19"/>
          <w:szCs w:val="19"/>
        </w:rPr>
      </w:pPr>
    </w:p>
    <w:p>
      <w:pPr>
        <w:pStyle w:val="BodyText"/>
        <w:spacing w:line="316" w:lineRule="auto"/>
        <w:ind w:right="1134" w:firstLine="439"/>
        <w:jc w:val="both"/>
      </w:pPr>
      <w:r>
        <w:rPr/>
        <w:t>处置长期股权投资，其账面价值与实际取得价款的差额，计入当期投资收益。采用权益法核算的长期股权投资，因被 投资单位除净损益以外所有者权益的其他变动而计入所有者权益的，处置该项投资时将原计入所有者权益的部分按相应比</w:t>
      </w:r>
      <w:r>
        <w:rPr>
          <w:spacing w:val="-11"/>
        </w:rPr>
        <w:t> </w:t>
      </w:r>
      <w:r>
        <w:rPr>
          <w:spacing w:val="-11"/>
        </w:rPr>
      </w:r>
      <w:r>
        <w:rPr/>
        <w:t>例转入当期投资损益。</w:t>
      </w:r>
    </w:p>
    <w:p>
      <w:pPr>
        <w:spacing w:line="240" w:lineRule="auto" w:before="11"/>
        <w:rPr>
          <w:rFonts w:ascii="宋体" w:hAnsi="宋体" w:cs="宋体" w:eastAsia="宋体" w:hint="default"/>
          <w:sz w:val="19"/>
          <w:szCs w:val="19"/>
        </w:rPr>
      </w:pPr>
    </w:p>
    <w:p>
      <w:pPr>
        <w:pStyle w:val="BodyText"/>
        <w:spacing w:line="316" w:lineRule="auto"/>
        <w:ind w:right="1133" w:firstLine="439"/>
        <w:jc w:val="both"/>
      </w:pPr>
      <w:r>
        <w:rPr/>
        <w:t>因处置部分股权投资等原因丧失了对被投资单位的共同控制或重大影响的，处置后的剩余股权改按可供出售金融资产 </w:t>
      </w:r>
      <w:r>
        <w:rPr>
          <w:spacing w:val="-2"/>
        </w:rPr>
        <w:t>核算，剩余股权在丧失共同控制或重大影响之日的公允价值与账面价值之间的差额计入当期损益。原股权投资因采用权益法</w:t>
      </w:r>
      <w:r>
        <w:rPr>
          <w:spacing w:val="-64"/>
        </w:rPr>
        <w:t> </w:t>
      </w:r>
      <w:r>
        <w:rPr>
          <w:spacing w:val="-64"/>
        </w:rPr>
      </w:r>
      <w:r>
        <w:rPr/>
        <w:t>核算而确认的其他综合收益，在终止采用权益法核算时采用与被投资单位直接处置相关资产或负债相同的基础进行会计处</w:t>
      </w:r>
      <w:r>
        <w:rPr>
          <w:spacing w:val="-11"/>
        </w:rPr>
        <w:t> </w:t>
      </w:r>
      <w:r>
        <w:rPr>
          <w:spacing w:val="-11"/>
        </w:rPr>
      </w:r>
      <w:r>
        <w:rPr/>
        <w:t>理。</w:t>
      </w:r>
    </w:p>
    <w:p>
      <w:pPr>
        <w:spacing w:line="240" w:lineRule="auto" w:before="10"/>
        <w:rPr>
          <w:rFonts w:ascii="宋体" w:hAnsi="宋体" w:cs="宋体" w:eastAsia="宋体" w:hint="default"/>
          <w:sz w:val="19"/>
          <w:szCs w:val="19"/>
        </w:rPr>
      </w:pPr>
    </w:p>
    <w:p>
      <w:pPr>
        <w:pStyle w:val="BodyText"/>
        <w:spacing w:line="316" w:lineRule="auto"/>
        <w:ind w:right="1133" w:firstLine="439"/>
        <w:jc w:val="both"/>
      </w:pPr>
      <w:r>
        <w:rPr/>
        <w:t>因处置部分长期股权投资丧失了对被投资单位控制的，处置后的剩余股权能够对被投资单位实施共同控制或施加重大 </w:t>
      </w:r>
      <w:r>
        <w:rPr>
          <w:spacing w:val="-2"/>
        </w:rPr>
        <w:t>影响的，改按权益法核算，处置股权账面价值和处置对价的差额计入投资收益，并对该剩余股权视同自取得时即采用权益法</w:t>
      </w:r>
      <w:r>
        <w:rPr>
          <w:spacing w:val="-66"/>
        </w:rPr>
        <w:t> </w:t>
      </w:r>
      <w:r>
        <w:rPr>
          <w:spacing w:val="-66"/>
        </w:rPr>
      </w:r>
      <w:r>
        <w:rPr>
          <w:spacing w:val="-2"/>
        </w:rPr>
        <w:t>核算进行调整；处置后的剩余股权不能对被投资单位实施共同控制或施加重大影响的，改按可供出售金融资产的有关规定进</w:t>
      </w:r>
      <w:r>
        <w:rPr>
          <w:spacing w:val="-64"/>
        </w:rPr>
        <w:t> </w:t>
      </w:r>
      <w:r>
        <w:rPr>
          <w:spacing w:val="-64"/>
        </w:rPr>
      </w:r>
      <w:r>
        <w:rPr>
          <w:spacing w:val="-2"/>
        </w:rPr>
        <w:t>行会计处理，处置股权账面价值和处置对价的差额计入投资收益，剩余股权在丧失控制之日的公允价值与账面价值间的差额</w:t>
      </w:r>
      <w:r>
        <w:rPr>
          <w:spacing w:val="-64"/>
        </w:rPr>
        <w:t> </w:t>
      </w:r>
      <w:r>
        <w:rPr>
          <w:spacing w:val="-64"/>
        </w:rPr>
      </w:r>
      <w:r>
        <w:rPr/>
        <w:t>计入当期投资损益。</w:t>
      </w:r>
    </w:p>
    <w:p>
      <w:pPr>
        <w:spacing w:line="240" w:lineRule="auto" w:before="10"/>
        <w:rPr>
          <w:rFonts w:ascii="宋体" w:hAnsi="宋体" w:cs="宋体" w:eastAsia="宋体" w:hint="default"/>
          <w:sz w:val="19"/>
          <w:szCs w:val="19"/>
        </w:rPr>
      </w:pPr>
    </w:p>
    <w:p>
      <w:pPr>
        <w:pStyle w:val="BodyText"/>
        <w:spacing w:line="307" w:lineRule="auto"/>
        <w:ind w:right="1133" w:firstLine="439"/>
        <w:jc w:val="both"/>
      </w:pPr>
      <w:r>
        <w:rPr>
          <w:spacing w:val="-2"/>
        </w:rPr>
        <w:t>本集团对于分步处置股权至丧失控股权的各项交易不属于一揽子交易的，对每一项交易分别进行会计处理。属于</w:t>
      </w:r>
      <w:r>
        <w:rPr>
          <w:rFonts w:ascii="Times New Roman" w:hAnsi="Times New Roman" w:cs="Times New Roman" w:eastAsia="Times New Roman" w:hint="default"/>
          <w:spacing w:val="-2"/>
        </w:rPr>
        <w:t>“</w:t>
      </w:r>
      <w:r>
        <w:rPr>
          <w:spacing w:val="-2"/>
        </w:rPr>
        <w:t>一揽</w:t>
      </w:r>
      <w:r>
        <w:rPr/>
        <w:t> 子交易</w:t>
      </w:r>
      <w:r>
        <w:rPr>
          <w:rFonts w:ascii="Times New Roman" w:hAnsi="Times New Roman" w:cs="Times New Roman" w:eastAsia="Times New Roman" w:hint="default"/>
        </w:rPr>
        <w:t>”</w:t>
      </w:r>
      <w:r>
        <w:rPr/>
        <w:t>的，将各项交易作为一项处置子公司并丧失控制权的交易进行会计处理，但是，在丧失控制权之前每一次交易处置</w:t>
      </w:r>
      <w:r>
        <w:rPr>
          <w:spacing w:val="-76"/>
        </w:rPr>
        <w:t> </w:t>
      </w:r>
      <w:r>
        <w:rPr>
          <w:spacing w:val="-76"/>
        </w:rPr>
      </w:r>
      <w:r>
        <w:rPr>
          <w:spacing w:val="-2"/>
        </w:rPr>
        <w:t>价款与所处置的股权对应的长期股权投资账面价值之间的差额，确认为其他综合收益，到丧失控制权时再一并转入丧失控制</w:t>
      </w:r>
      <w:r>
        <w:rPr>
          <w:spacing w:val="-64"/>
        </w:rPr>
        <w:t> </w:t>
      </w:r>
      <w:r>
        <w:rPr>
          <w:spacing w:val="-64"/>
        </w:rPr>
      </w:r>
      <w:r>
        <w:rPr/>
        <w:t>权的当期损益。</w:t>
      </w:r>
    </w:p>
    <w:p>
      <w:pPr>
        <w:spacing w:line="240" w:lineRule="auto" w:before="3"/>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23</w:t>
      </w:r>
      <w:r>
        <w:rPr/>
        <w:t>、投资性房地产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8954"/>
        <w:jc w:val="left"/>
      </w:pPr>
      <w:r>
        <w:rPr/>
        <w:t>投资性房地产计量模式 不适用</w:t>
      </w:r>
    </w:p>
    <w:p>
      <w:pPr>
        <w:spacing w:line="240" w:lineRule="auto" w:before="5"/>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24</w:t>
      </w:r>
      <w:r>
        <w:rPr/>
        <w:t>、固定资产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231" w:firstLine="360"/>
        <w:jc w:val="both"/>
      </w:pPr>
      <w:r>
        <w:rPr/>
        <w:t>本集团固定资产是指同时具有以下特征，即为生产商品、提供劳务、出租（不包括出租的房屋及建筑物）或经营管理 而持有的，使用年限超过一年的有形资产。固定资产在与其有关的经济利益很可能流入本集团、且其成本能够可靠计量时 予以确认。</w:t>
      </w: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68"/>
              <w:jc w:val="right"/>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97"/>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1.9%-3.17%</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5"/>
        <w:rPr>
          <w:rFonts w:ascii="Microsoft JhengHei" w:hAnsi="Microsoft JhengHei" w:cs="Microsoft JhengHei" w:eastAsia="Microsoft JhengHei" w:hint="default"/>
          <w:b/>
          <w:bCs/>
          <w:sz w:val="21"/>
          <w:szCs w:val="21"/>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楼宇设备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4.75%-11.875%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19%-31.67%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构筑物及其他设备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6.33%-31.67%</w:t>
            </w:r>
          </w:p>
        </w:tc>
      </w:tr>
    </w:tbl>
    <w:p>
      <w:pPr>
        <w:spacing w:line="240" w:lineRule="auto" w:before="10"/>
        <w:rPr>
          <w:rFonts w:ascii="Microsoft JhengHei" w:hAnsi="Microsoft JhengHei" w:cs="Microsoft JhengHei" w:eastAsia="Microsoft JhengHei" w:hint="default"/>
          <w:b/>
          <w:bCs/>
          <w:sz w:val="14"/>
          <w:szCs w:val="14"/>
        </w:rPr>
      </w:pPr>
    </w:p>
    <w:p>
      <w:pPr>
        <w:pStyle w:val="Heading4"/>
        <w:spacing w:line="335" w:lineRule="exact"/>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不适用</w:t>
      </w:r>
    </w:p>
    <w:p>
      <w:pPr>
        <w:spacing w:line="240" w:lineRule="auto" w:before="12"/>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25</w:t>
      </w:r>
      <w:r>
        <w:rPr/>
        <w:t>、在建工程</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214" w:firstLine="360"/>
        <w:jc w:val="left"/>
      </w:pPr>
      <w:r>
        <w:rPr/>
        <w:t>在建工程在达到预定可使用状态之日起，根据工程预算、造价或工程实际成本等，按估计的价值结转固定资产，次月 起开始计提折旧，待办理了竣工决算手续后再对固定资产原值差异进行调整。</w:t>
      </w:r>
    </w:p>
    <w:p>
      <w:pPr>
        <w:spacing w:line="240" w:lineRule="auto" w:before="9"/>
        <w:rPr>
          <w:rFonts w:ascii="宋体" w:hAnsi="宋体" w:cs="宋体" w:eastAsia="宋体" w:hint="default"/>
          <w:sz w:val="17"/>
          <w:szCs w:val="17"/>
        </w:rPr>
      </w:pPr>
    </w:p>
    <w:p>
      <w:pPr>
        <w:pStyle w:val="Heading4"/>
        <w:spacing w:line="240" w:lineRule="auto"/>
        <w:ind w:right="0"/>
        <w:jc w:val="both"/>
        <w:rPr>
          <w:b w:val="0"/>
          <w:bCs w:val="0"/>
        </w:rPr>
      </w:pPr>
      <w:r>
        <w:rPr>
          <w:rFonts w:ascii="Times New Roman" w:hAnsi="Times New Roman" w:cs="Times New Roman" w:eastAsia="Times New Roman" w:hint="default"/>
        </w:rPr>
        <w:t>26</w:t>
      </w:r>
      <w:r>
        <w:rPr/>
        <w:t>、借款费用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4" w:lineRule="auto"/>
        <w:ind w:right="1127" w:firstLine="439"/>
        <w:jc w:val="both"/>
      </w:pPr>
      <w:r>
        <w:rPr/>
        <w:t>发生的可直接归属于需要经过</w:t>
      </w:r>
      <w:r>
        <w:rPr>
          <w:rFonts w:ascii="Times New Roman" w:hAnsi="Times New Roman" w:cs="Times New Roman" w:eastAsia="Times New Roman" w:hint="default"/>
        </w:rPr>
        <w:t>1</w:t>
      </w:r>
      <w:r>
        <w:rPr/>
        <w:t>年以上的购建或者生产活动才能达到预定可使用或者可销售状态的固定资产、投资性</w:t>
      </w:r>
      <w:r>
        <w:rPr>
          <w:spacing w:val="2"/>
        </w:rPr>
        <w:t> </w:t>
      </w:r>
      <w:r>
        <w:rPr>
          <w:spacing w:val="-2"/>
        </w:rPr>
        <w:t>房地产和存货等的借款费用，在资产支出已经发生、借款费用已经发生、为使资产达到预定可使用或可销售状态所必要的购</w:t>
      </w:r>
      <w:r>
        <w:rPr>
          <w:spacing w:val="-63"/>
        </w:rPr>
        <w:t> </w:t>
      </w:r>
      <w:r>
        <w:rPr>
          <w:spacing w:val="-63"/>
        </w:rPr>
      </w:r>
      <w:r>
        <w:rPr>
          <w:spacing w:val="-5"/>
        </w:rPr>
        <w:t>建或生产活动已经开始时，开始资本化；当购建或生产符合资本化条件的资产达到预定可使用或可销售状态时，停止资本化，</w:t>
      </w:r>
      <w:r>
        <w:rPr>
          <w:spacing w:val="-76"/>
        </w:rPr>
        <w:t> </w:t>
      </w:r>
      <w:r>
        <w:rPr>
          <w:spacing w:val="-76"/>
        </w:rPr>
      </w:r>
      <w:r>
        <w:rPr>
          <w:spacing w:val="-2"/>
        </w:rPr>
        <w:t>其后发生的借款费用计入当期损益。如果符合资本化条件的资产在购建或者生产过程中发生非正常中断、且中断时间连续超</w:t>
      </w:r>
      <w:r>
        <w:rPr>
          <w:spacing w:val="-64"/>
        </w:rPr>
        <w:t> </w:t>
      </w:r>
      <w:r>
        <w:rPr>
          <w:spacing w:val="-64"/>
        </w:rPr>
      </w:r>
      <w:r>
        <w:rPr/>
        <w:t>过</w:t>
      </w:r>
      <w:r>
        <w:rPr>
          <w:rFonts w:ascii="Times New Roman" w:hAnsi="Times New Roman" w:cs="Times New Roman" w:eastAsia="Times New Roman" w:hint="default"/>
        </w:rPr>
        <w:t>3</w:t>
      </w:r>
      <w:r>
        <w:rPr/>
        <w:t>个月，暂停借款费用的资本化，直至资产的购建或生产活动重新开始。</w:t>
      </w:r>
    </w:p>
    <w:p>
      <w:pPr>
        <w:pStyle w:val="BodyText"/>
        <w:spacing w:line="316" w:lineRule="auto" w:before="121"/>
        <w:ind w:right="1139"/>
        <w:jc w:val="both"/>
      </w:pPr>
      <w:r>
        <w:rPr/>
        <w:t>专门借款当期实际发生的利息费用，扣除尚未动用的借款资金存入银行取得的利息收入或进行暂时性投资取得的投资收益</w:t>
      </w:r>
      <w:r>
        <w:rPr>
          <w:spacing w:val="-6"/>
        </w:rPr>
        <w:t> </w:t>
      </w:r>
      <w:r>
        <w:rPr>
          <w:spacing w:val="-6"/>
        </w:rPr>
      </w:r>
      <w:r>
        <w:rPr/>
        <w:t>后的金额予以资本化；一般借款根据累计资产支出超过专门借款部分的资产支出加权平均数乘以所占用一般借款的资本化</w:t>
      </w:r>
      <w:r>
        <w:rPr>
          <w:spacing w:val="-11"/>
        </w:rPr>
        <w:t> </w:t>
      </w:r>
      <w:r>
        <w:rPr>
          <w:spacing w:val="-11"/>
        </w:rPr>
      </w:r>
      <w:r>
        <w:rPr/>
        <w:t>率，确定资本化金额。资本化率根据一般借款加权平均利率计算确定。</w:t>
      </w:r>
    </w:p>
    <w:p>
      <w:pPr>
        <w:spacing w:line="240" w:lineRule="auto" w:before="7"/>
        <w:rPr>
          <w:rFonts w:ascii="宋体" w:hAnsi="宋体" w:cs="宋体" w:eastAsia="宋体" w:hint="default"/>
          <w:sz w:val="17"/>
          <w:szCs w:val="17"/>
        </w:rPr>
      </w:pPr>
    </w:p>
    <w:p>
      <w:pPr>
        <w:pStyle w:val="Heading4"/>
        <w:spacing w:line="240" w:lineRule="auto"/>
        <w:ind w:right="0"/>
        <w:jc w:val="both"/>
        <w:rPr>
          <w:b w:val="0"/>
          <w:bCs w:val="0"/>
        </w:rPr>
      </w:pPr>
      <w:r>
        <w:rPr>
          <w:rFonts w:ascii="Times New Roman" w:hAnsi="Times New Roman" w:cs="Times New Roman" w:eastAsia="Times New Roman" w:hint="default"/>
        </w:rPr>
        <w:t>27</w:t>
      </w:r>
      <w:r>
        <w:rPr/>
        <w:t>、生物资产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不适用</w:t>
      </w:r>
    </w:p>
    <w:p>
      <w:pPr>
        <w:spacing w:line="240" w:lineRule="auto" w:before="1"/>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28</w:t>
      </w:r>
      <w:r>
        <w:rPr/>
        <w:t>、油气资产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不适用</w:t>
      </w:r>
    </w:p>
    <w:p>
      <w:pPr>
        <w:spacing w:line="240" w:lineRule="auto" w:before="2"/>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29</w:t>
      </w:r>
      <w:r>
        <w:rPr/>
        <w:t>、使用权资产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both"/>
      </w:pPr>
      <w:r>
        <w:rPr/>
        <w:t>不适用</w:t>
      </w:r>
    </w:p>
    <w:p>
      <w:pPr>
        <w:spacing w:line="240" w:lineRule="auto" w:before="1"/>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30</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130" w:firstLine="439"/>
        <w:jc w:val="both"/>
      </w:pPr>
      <w:r>
        <w:rPr/>
        <w:t>本集团无形资产包括土地使用权、软件、非专利技术、特许权、数据使用权等。按取得时的实际成本计量，其中，购 </w:t>
      </w:r>
      <w:r>
        <w:rPr>
          <w:spacing w:val="-2"/>
        </w:rPr>
        <w:t>入的无形资产，按实际支付的价款和相关的其他支出作为实际成本；投资者投入的无形资产，按投资合同或协议约定的价值</w:t>
      </w:r>
    </w:p>
    <w:p>
      <w:pPr>
        <w:spacing w:after="0" w:line="316" w:lineRule="auto"/>
        <w:jc w:val="both"/>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2"/>
        </w:rPr>
        <w:t>确定实际成本，但合同或协议约定价值不公允的，按公允价值确定实际成本；对非同一控制下合并中取得被购买方拥有的但</w:t>
      </w:r>
      <w:r>
        <w:rPr>
          <w:spacing w:val="-63"/>
        </w:rPr>
        <w:t> </w:t>
      </w:r>
      <w:r>
        <w:rPr>
          <w:spacing w:val="-63"/>
        </w:rPr>
      </w:r>
      <w:r>
        <w:rPr/>
        <w:t>在其财务报表中未确认的无形资产，在对被购买方资产进行初始确认时，按公允价值确认为无形资产。</w:t>
      </w:r>
    </w:p>
    <w:p>
      <w:pPr>
        <w:pStyle w:val="BodyText"/>
        <w:spacing w:line="316" w:lineRule="auto" w:before="139"/>
        <w:ind w:right="1133" w:firstLine="439"/>
        <w:jc w:val="both"/>
      </w:pPr>
      <w:r>
        <w:rPr/>
        <w:t>对使用寿命有限的无形资产，按预计使用年限、合同规定的受益年限和法律规定的有效年限三者中最短者分期平均摊 </w:t>
      </w:r>
      <w:r>
        <w:rPr>
          <w:spacing w:val="-2"/>
        </w:rPr>
        <w:t>销。摊销金额按其受益对象计入相关资产成本和当期损益。对使用寿命有限的无形资产的预计使用寿命及摊销方法于每年年</w:t>
      </w:r>
      <w:r>
        <w:rPr>
          <w:spacing w:val="-64"/>
        </w:rPr>
        <w:t> </w:t>
      </w:r>
      <w:r>
        <w:rPr>
          <w:spacing w:val="-64"/>
        </w:rPr>
      </w:r>
      <w:r>
        <w:rPr/>
        <w:t>度终了进行复核，如发生改变，则作为会计估计变更处理。</w:t>
      </w:r>
    </w:p>
    <w:p>
      <w:pPr>
        <w:pStyle w:val="BodyText"/>
        <w:spacing w:line="316" w:lineRule="auto" w:before="139"/>
        <w:ind w:right="1135" w:firstLine="439"/>
        <w:jc w:val="left"/>
      </w:pPr>
      <w:r>
        <w:rPr/>
        <w:t>在每个会计期间，本集团对使用寿命不确定的无形资产的预计使用寿命进行复核，如有证据表明无形资产的使用寿命 是有限的，则估计其使用寿命并在预计使用寿命内摊销。</w:t>
      </w: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1040" w:firstLine="458"/>
        <w:jc w:val="left"/>
      </w:pPr>
      <w:r>
        <w:rPr>
          <w:spacing w:val="-2"/>
        </w:rPr>
        <w:t>研究开发支出根据其性质以及研发活动最终形成无形资产是否具有较大不确定性，分为研究阶段支出和开发阶段支出。</w:t>
      </w:r>
      <w:r>
        <w:rPr/>
        <w:t> 研究阶段的支出，于发生时计入当期损益；开发阶段的支出，同时满足下列条件的，确认为无形资产：</w:t>
      </w:r>
    </w:p>
    <w:p>
      <w:pPr>
        <w:pStyle w:val="BodyText"/>
        <w:spacing w:line="240" w:lineRule="auto" w:before="137"/>
        <w:ind w:left="592" w:right="0"/>
        <w:jc w:val="left"/>
      </w:pPr>
      <w:r>
        <w:rPr>
          <w:rFonts w:ascii="Times New Roman" w:hAnsi="Times New Roman" w:cs="Times New Roman" w:eastAsia="Times New Roman" w:hint="default"/>
        </w:rPr>
        <w:t>1</w:t>
      </w:r>
      <w:r>
        <w:rPr/>
        <w:t>）完成该无形资产以使其能够使用或出售在技术上具有可行性；</w:t>
      </w:r>
    </w:p>
    <w:p>
      <w:pPr>
        <w:spacing w:line="240" w:lineRule="auto" w:before="13"/>
        <w:rPr>
          <w:rFonts w:ascii="宋体" w:hAnsi="宋体" w:cs="宋体" w:eastAsia="宋体" w:hint="default"/>
          <w:sz w:val="13"/>
          <w:szCs w:val="13"/>
        </w:rPr>
      </w:pPr>
    </w:p>
    <w:p>
      <w:pPr>
        <w:pStyle w:val="BodyText"/>
        <w:spacing w:line="240" w:lineRule="auto"/>
        <w:ind w:left="592" w:right="0"/>
        <w:jc w:val="left"/>
      </w:pPr>
      <w:r>
        <w:rPr>
          <w:rFonts w:ascii="Times New Roman" w:hAnsi="Times New Roman" w:cs="Times New Roman" w:eastAsia="Times New Roman" w:hint="default"/>
        </w:rPr>
        <w:t>2</w:t>
      </w:r>
      <w:r>
        <w:rPr/>
        <w:t>）具有完成该无形资产并使用或出售的意图；</w:t>
      </w:r>
    </w:p>
    <w:p>
      <w:pPr>
        <w:spacing w:line="240" w:lineRule="auto" w:before="13"/>
        <w:rPr>
          <w:rFonts w:ascii="宋体" w:hAnsi="宋体" w:cs="宋体" w:eastAsia="宋体" w:hint="default"/>
          <w:sz w:val="13"/>
          <w:szCs w:val="13"/>
        </w:rPr>
      </w:pPr>
    </w:p>
    <w:p>
      <w:pPr>
        <w:pStyle w:val="BodyText"/>
        <w:spacing w:line="240" w:lineRule="auto"/>
        <w:ind w:left="592" w:right="0"/>
        <w:jc w:val="left"/>
      </w:pPr>
      <w:r>
        <w:rPr>
          <w:rFonts w:ascii="Times New Roman" w:hAnsi="Times New Roman" w:cs="Times New Roman" w:eastAsia="Times New Roman" w:hint="default"/>
        </w:rPr>
        <w:t>3</w:t>
      </w:r>
      <w:r>
        <w:rPr/>
        <w:t>）运用该无形资产生产的产品存在市场或无形资产自身存在市场；</w:t>
      </w:r>
    </w:p>
    <w:p>
      <w:pPr>
        <w:spacing w:line="240" w:lineRule="auto" w:before="13"/>
        <w:rPr>
          <w:rFonts w:ascii="宋体" w:hAnsi="宋体" w:cs="宋体" w:eastAsia="宋体" w:hint="default"/>
          <w:sz w:val="13"/>
          <w:szCs w:val="13"/>
        </w:rPr>
      </w:pPr>
    </w:p>
    <w:p>
      <w:pPr>
        <w:pStyle w:val="BodyText"/>
        <w:spacing w:line="240" w:lineRule="auto"/>
        <w:ind w:left="592" w:right="0"/>
        <w:jc w:val="left"/>
      </w:pP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420" w:lineRule="atLeast" w:before="12"/>
        <w:ind w:left="594" w:right="1132" w:firstLine="9"/>
        <w:jc w:val="left"/>
      </w:pPr>
      <w:r>
        <w:rPr>
          <w:rFonts w:ascii="Times New Roman" w:hAnsi="Times New Roman" w:cs="Times New Roman" w:eastAsia="Times New Roman" w:hint="default"/>
        </w:rPr>
        <w:t>5</w:t>
      </w:r>
      <w:r>
        <w:rPr/>
        <w:t>）归属于该无形资产开发阶段的支出能够可靠地计量。 不满足上述条件的开发阶段的支出，于发生时计入当期损益。前期已计入损益的开发支出不在以后期间确认为资产。</w:t>
      </w:r>
    </w:p>
    <w:p>
      <w:pPr>
        <w:pStyle w:val="BodyText"/>
        <w:spacing w:line="240" w:lineRule="auto" w:before="76"/>
        <w:ind w:right="0"/>
        <w:jc w:val="left"/>
      </w:pPr>
      <w:r>
        <w:rPr/>
        <w:t>已资本化的开发阶段的支出在资产负债表上列示为开发支出，自该项目达到预定可使用状态之日起开始摊销。</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31</w:t>
      </w:r>
      <w:r>
        <w:rPr/>
        <w:t>、长期资产减值</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134" w:firstLine="439"/>
        <w:jc w:val="both"/>
      </w:pPr>
      <w:r>
        <w:rPr/>
        <w:t>本集团于每一资产负债表日对长期股权投资、采用成本模式计量的固定资产、使用寿命有限的无形资产等项目进行检 </w:t>
      </w:r>
      <w:r>
        <w:rPr>
          <w:spacing w:val="-2"/>
        </w:rPr>
        <w:t>查，当存在下列迹象时，本集团进行减值测试。对商誉和使用寿命不确定的无形资产，无论是否存在减值迹象，每期末均进</w:t>
      </w:r>
      <w:r>
        <w:rPr>
          <w:spacing w:val="-67"/>
        </w:rPr>
        <w:t> </w:t>
      </w:r>
      <w:r>
        <w:rPr>
          <w:spacing w:val="-67"/>
        </w:rPr>
      </w:r>
      <w:r>
        <w:rPr/>
        <w:t>行减值测试。</w:t>
      </w:r>
    </w:p>
    <w:p>
      <w:pPr>
        <w:pStyle w:val="BodyText"/>
        <w:spacing w:line="316" w:lineRule="auto" w:before="139"/>
        <w:ind w:right="0" w:firstLine="439"/>
        <w:jc w:val="left"/>
      </w:pPr>
      <w:r>
        <w:rPr/>
        <w:t>减值测试后，若该资产的账面价值超过其可收回金额，其差额确认为减值损失，上述资产的减值损失一经确认，在以 后会计期间不予转回。</w:t>
      </w:r>
    </w:p>
    <w:p>
      <w:pPr>
        <w:pStyle w:val="BodyText"/>
        <w:spacing w:line="240" w:lineRule="auto" w:before="139"/>
        <w:ind w:left="592" w:right="0"/>
        <w:jc w:val="left"/>
      </w:pPr>
      <w:r>
        <w:rPr/>
        <w:t>出现减值的迹象如下：</w:t>
      </w:r>
    </w:p>
    <w:p>
      <w:pPr>
        <w:spacing w:line="240" w:lineRule="auto" w:before="0"/>
        <w:rPr>
          <w:rFonts w:ascii="宋体" w:hAnsi="宋体" w:cs="宋体" w:eastAsia="宋体" w:hint="default"/>
          <w:sz w:val="15"/>
          <w:szCs w:val="15"/>
        </w:rPr>
      </w:pPr>
    </w:p>
    <w:p>
      <w:pPr>
        <w:pStyle w:val="BodyText"/>
        <w:spacing w:line="240" w:lineRule="auto"/>
        <w:ind w:left="611" w:right="0"/>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p>
    <w:p>
      <w:pPr>
        <w:spacing w:line="240" w:lineRule="auto" w:before="0"/>
        <w:rPr>
          <w:rFonts w:ascii="宋体" w:hAnsi="宋体" w:cs="宋体" w:eastAsia="宋体" w:hint="default"/>
          <w:sz w:val="14"/>
          <w:szCs w:val="14"/>
        </w:rPr>
      </w:pPr>
    </w:p>
    <w:p>
      <w:pPr>
        <w:pStyle w:val="BodyText"/>
        <w:spacing w:line="300" w:lineRule="auto"/>
        <w:ind w:right="1130" w:firstLine="458"/>
        <w:jc w:val="left"/>
      </w:pPr>
      <w:r>
        <w:rPr>
          <w:spacing w:val="-2"/>
        </w:rPr>
        <w:t>（</w:t>
      </w:r>
      <w:r>
        <w:rPr>
          <w:rFonts w:ascii="Times New Roman" w:hAnsi="Times New Roman" w:cs="Times New Roman" w:eastAsia="Times New Roman" w:hint="default"/>
          <w:spacing w:val="-2"/>
        </w:rPr>
        <w:t>2</w:t>
      </w:r>
      <w:r>
        <w:rPr>
          <w:spacing w:val="-2"/>
        </w:rPr>
        <w:t>）公司经营所处的经济、技术或者法律等环境以及资产所处的市场在当期或者将在近期发生重大变化，从而对公司</w:t>
      </w:r>
      <w:r>
        <w:rPr/>
        <w:t> 产生不利影响；</w:t>
      </w:r>
    </w:p>
    <w:p>
      <w:pPr>
        <w:pStyle w:val="BodyText"/>
        <w:spacing w:line="300" w:lineRule="auto" w:before="151"/>
        <w:ind w:right="1130" w:firstLine="458"/>
        <w:jc w:val="left"/>
      </w:pPr>
      <w:r>
        <w:rPr>
          <w:spacing w:val="-2"/>
        </w:rPr>
        <w:t>（</w:t>
      </w:r>
      <w:r>
        <w:rPr>
          <w:rFonts w:ascii="Times New Roman" w:hAnsi="Times New Roman" w:cs="Times New Roman" w:eastAsia="Times New Roman" w:hint="default"/>
          <w:spacing w:val="-2"/>
        </w:rPr>
        <w:t>3</w:t>
      </w:r>
      <w:r>
        <w:rPr>
          <w:spacing w:val="-2"/>
        </w:rPr>
        <w:t>）市场利率或者其他市场投资报酬率在当期已经提高，从而影响公司计算资产预计未来现金流量现值的折现率，导</w:t>
      </w:r>
      <w:r>
        <w:rPr/>
        <w:t> 致资产可收回金额大幅度降低；</w:t>
      </w:r>
    </w:p>
    <w:p>
      <w:pPr>
        <w:pStyle w:val="BodyText"/>
        <w:spacing w:line="240" w:lineRule="auto" w:before="151"/>
        <w:ind w:left="611" w:right="0"/>
        <w:jc w:val="left"/>
      </w:pPr>
      <w:r>
        <w:rPr/>
        <w:t>（</w:t>
      </w:r>
      <w:r>
        <w:rPr>
          <w:rFonts w:ascii="Times New Roman" w:hAnsi="Times New Roman" w:cs="Times New Roman" w:eastAsia="Times New Roman" w:hint="default"/>
        </w:rPr>
        <w:t>4</w:t>
      </w:r>
      <w:r>
        <w:rPr/>
        <w:t>）有证据表明资产已经陈旧过时或者其实体已经损坏；</w:t>
      </w:r>
    </w:p>
    <w:p>
      <w:pPr>
        <w:spacing w:line="240" w:lineRule="auto" w:before="13"/>
        <w:rPr>
          <w:rFonts w:ascii="宋体" w:hAnsi="宋体" w:cs="宋体" w:eastAsia="宋体" w:hint="default"/>
          <w:sz w:val="13"/>
          <w:szCs w:val="13"/>
        </w:rPr>
      </w:pPr>
    </w:p>
    <w:p>
      <w:pPr>
        <w:pStyle w:val="BodyText"/>
        <w:spacing w:line="240" w:lineRule="auto"/>
        <w:ind w:left="611" w:right="0"/>
        <w:jc w:val="left"/>
      </w:pPr>
      <w:r>
        <w:rPr/>
        <w:t>（</w:t>
      </w:r>
      <w:r>
        <w:rPr>
          <w:rFonts w:ascii="Times New Roman" w:hAnsi="Times New Roman" w:cs="Times New Roman" w:eastAsia="Times New Roman" w:hint="default"/>
        </w:rPr>
        <w:t>5</w:t>
      </w:r>
      <w:r>
        <w:rPr/>
        <w:t>）资产已经或者将被闲置、终止使用或者计划提前处置；</w:t>
      </w:r>
    </w:p>
    <w:p>
      <w:pPr>
        <w:spacing w:line="240" w:lineRule="auto" w:before="13"/>
        <w:rPr>
          <w:rFonts w:ascii="宋体" w:hAnsi="宋体" w:cs="宋体" w:eastAsia="宋体" w:hint="default"/>
          <w:sz w:val="13"/>
          <w:szCs w:val="13"/>
        </w:rPr>
      </w:pPr>
    </w:p>
    <w:p>
      <w:pPr>
        <w:pStyle w:val="BodyText"/>
        <w:spacing w:line="300" w:lineRule="auto"/>
        <w:ind w:right="1130" w:firstLine="458"/>
        <w:jc w:val="left"/>
      </w:pPr>
      <w:r>
        <w:rPr>
          <w:spacing w:val="-2"/>
        </w:rPr>
        <w:t>（</w:t>
      </w:r>
      <w:r>
        <w:rPr>
          <w:rFonts w:ascii="Times New Roman" w:hAnsi="Times New Roman" w:cs="Times New Roman" w:eastAsia="Times New Roman" w:hint="default"/>
          <w:spacing w:val="-2"/>
        </w:rPr>
        <w:t>6</w:t>
      </w:r>
      <w:r>
        <w:rPr>
          <w:spacing w:val="-2"/>
        </w:rPr>
        <w:t>）公司内部报告的证据表明资产的经济绩效已经低于或者将低于预期，如资产所创造的净现金流量或者实现的营业</w:t>
      </w:r>
      <w:r>
        <w:rPr/>
        <w:t> 利润（或者亏损）远远低于（或者高于）预计金额等；</w:t>
      </w:r>
    </w:p>
    <w:p>
      <w:pPr>
        <w:pStyle w:val="BodyText"/>
        <w:spacing w:line="240" w:lineRule="auto" w:before="151"/>
        <w:ind w:left="611" w:right="0"/>
        <w:jc w:val="left"/>
      </w:pPr>
      <w:r>
        <w:rPr/>
        <w:t>（</w:t>
      </w:r>
      <w:r>
        <w:rPr>
          <w:rFonts w:ascii="Times New Roman" w:hAnsi="Times New Roman" w:cs="Times New Roman" w:eastAsia="Times New Roman" w:hint="default"/>
        </w:rPr>
        <w:t>7</w:t>
      </w:r>
      <w:r>
        <w:rPr/>
        <w:t>）其他表明资产可能已经发生减值的迹象。</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32</w:t>
      </w:r>
      <w:r>
        <w:rPr/>
        <w:t>、长期待摊费用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130" w:firstLine="439"/>
        <w:jc w:val="both"/>
      </w:pPr>
      <w:r>
        <w:rPr/>
        <w:t>本集团的长期待摊费用包括经营租入固定资产改良支出及其他已经支出，但应由当期及以后各期承担的摊销期限在</w:t>
      </w:r>
      <w:r>
        <w:rPr>
          <w:rFonts w:ascii="Times New Roman" w:hAnsi="Times New Roman" w:cs="Times New Roman" w:eastAsia="Times New Roman" w:hint="default"/>
        </w:rPr>
        <w:t>1 </w:t>
      </w:r>
      <w:r>
        <w:rPr/>
        <w:t>年以上（不含</w:t>
      </w:r>
      <w:r>
        <w:rPr>
          <w:rFonts w:ascii="Times New Roman" w:hAnsi="Times New Roman" w:cs="Times New Roman" w:eastAsia="Times New Roman" w:hint="default"/>
        </w:rPr>
        <w:t>1</w:t>
      </w:r>
      <w:r>
        <w:rPr/>
        <w:t>年）的各项费用，该等费用在受益期内平均摊销。如果长期待摊费用项目不能使以后会计期间受益，则将尚</w:t>
      </w:r>
      <w:r>
        <w:rPr>
          <w:spacing w:val="-84"/>
        </w:rPr>
        <w:t> </w:t>
      </w:r>
      <w:r>
        <w:rPr>
          <w:spacing w:val="-84"/>
        </w:rPr>
      </w:r>
      <w:r>
        <w:rPr/>
        <w:t>未摊销的该项目的摊余价值全部转入当期损益。</w:t>
      </w:r>
    </w:p>
    <w:p>
      <w:pPr>
        <w:spacing w:line="240" w:lineRule="auto" w:before="8"/>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33</w:t>
      </w:r>
      <w:r>
        <w:rPr/>
        <w:t>、合同负债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不适用</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34</w:t>
      </w:r>
      <w:r>
        <w:rPr/>
        <w:t>、职工薪酬</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131" w:firstLine="300"/>
        <w:jc w:val="both"/>
      </w:pPr>
      <w:r>
        <w:rPr>
          <w:spacing w:val="-4"/>
        </w:rPr>
        <w:t>短期薪酬具体包括：职工工资、奖金、津贴和补贴，职工福利费，医疗保险费、工伤保险费和生育保险费等社会保险费，</w:t>
      </w:r>
      <w:r>
        <w:rPr/>
        <w:t> </w:t>
      </w:r>
      <w:r>
        <w:rPr>
          <w:spacing w:val="-2"/>
        </w:rPr>
        <w:t>住房公积金，工会经费和职工教育经费，短期带薪缺勤及其他短期薪酬等。本集团在职工提供服务的会计期间，将应付的短</w:t>
      </w:r>
      <w:r>
        <w:rPr>
          <w:spacing w:val="-65"/>
        </w:rPr>
        <w:t> </w:t>
      </w:r>
      <w:r>
        <w:rPr>
          <w:spacing w:val="-65"/>
        </w:rPr>
      </w:r>
      <w:r>
        <w:rPr/>
        <w:t>期薪酬确认为负债，并根据职工提供服务的受益对象计入相关资产成本和费用。</w:t>
      </w: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214" w:firstLine="432"/>
        <w:jc w:val="left"/>
      </w:pPr>
      <w:r>
        <w:rPr/>
        <w:t>离职后福利包括养老保险、年金、失业保险以及其他离职后福利。按照公司承担的风险和义务，分类为设定提存计 划、设定受益计划。对于设定提存计划在根据在资产负债表日为换取职工在会计期间提供的服务而向单独主体缴存的提存 金确认为负债，并按照受益对象计入当期损益或相关资产成本。</w:t>
      </w: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0" w:firstLine="300"/>
        <w:jc w:val="left"/>
      </w:pPr>
      <w:r>
        <w:rPr>
          <w:spacing w:val="-1"/>
        </w:rPr>
        <w:t>辞退福利是指在职工劳动合同到期之前决定解除与职工的劳动关系，或为鼓励职工自愿接受裁减而提出给予补偿的建议，</w:t>
      </w:r>
      <w:r>
        <w:rPr/>
        <w:t> 如果本集团已经制定正式的解除劳动关系计划或提出自愿裁减建议，并即将实施，同时本集团不能单方面撤回解除劳动关系 计划或裁减建议的，确认因解除与职工劳动关系给予补偿产生的预计负债，计入当期损益。</w:t>
      </w: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369" w:right="0"/>
        <w:jc w:val="left"/>
      </w:pPr>
      <w:r>
        <w:rPr/>
        <w:t>其他长期职工福利，是指除短期薪酬、离职后福利、辞退福利之外所有的职工薪酬。</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35</w:t>
      </w:r>
      <w:r>
        <w:rPr/>
        <w:t>、租赁负债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不适用</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36</w:t>
      </w:r>
      <w:r>
        <w:rPr/>
        <w:t>、预计负债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30" w:firstLine="300"/>
        <w:jc w:val="both"/>
      </w:pPr>
      <w:r>
        <w:rPr>
          <w:spacing w:val="-1"/>
        </w:rPr>
        <w:t>当与对外担保、商业承兑汇票贴现、未决诉讼或仲裁、产品质量保证等或有事项相关的业务同时符合以下条件时，本集</w:t>
      </w:r>
      <w:r>
        <w:rPr/>
        <w:t> </w:t>
      </w:r>
      <w:r>
        <w:rPr>
          <w:spacing w:val="-2"/>
        </w:rPr>
        <w:t>团将其确认为负债：该义务是本集团承担的现时义务；该义务的履行很可能导致经济利益流出企业；该义务的金额能够可靠</w:t>
      </w:r>
      <w:r>
        <w:rPr>
          <w:spacing w:val="-63"/>
        </w:rPr>
        <w:t> </w:t>
      </w:r>
      <w:r>
        <w:rPr>
          <w:spacing w:val="-63"/>
        </w:rPr>
      </w:r>
      <w:r>
        <w:rPr/>
        <w:t>地计量。</w:t>
      </w:r>
    </w:p>
    <w:p>
      <w:pPr>
        <w:pStyle w:val="BodyText"/>
        <w:spacing w:line="316" w:lineRule="auto" w:before="138"/>
        <w:ind w:right="1130" w:firstLine="300"/>
        <w:jc w:val="both"/>
      </w:pPr>
      <w:r>
        <w:rPr>
          <w:spacing w:val="-1"/>
        </w:rPr>
        <w:t>预计负债按照履行相关现时义务所需支出的最佳估计数进行初始计量，并综合考虑与或有事项有关的风险、不确定性和</w:t>
      </w:r>
      <w:r>
        <w:rPr/>
        <w:t> </w:t>
      </w:r>
      <w:r>
        <w:rPr>
          <w:spacing w:val="-2"/>
        </w:rPr>
        <w:t>货币时间价值等因素。货币时间价值影响重大的，通过对相关未来现金流出进行折现后确定最佳估计数。每个资产负债表日</w:t>
      </w:r>
    </w:p>
    <w:p>
      <w:pPr>
        <w:spacing w:after="0" w:line="316" w:lineRule="auto"/>
        <w:jc w:val="both"/>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对预计负债的账面价值进行复核，如有改变则对账面价值进行调整以反映当前最佳估计数。</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37</w:t>
      </w:r>
      <w:r>
        <w:rPr/>
        <w:t>、股份支付</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33" w:firstLine="439"/>
        <w:jc w:val="both"/>
      </w:pPr>
      <w:r>
        <w:rPr/>
        <w:t>用以换取职工提供服务的以权益结算的股份支付，以授予职工权益工具在授予日的公允价值计量。该公允价值的金额 </w:t>
      </w:r>
      <w:r>
        <w:rPr>
          <w:spacing w:val="-2"/>
        </w:rPr>
        <w:t>在完成等待期内的服务或达到规定业绩条件才可行权的情况下，在等待期内以对可行权权益工具数量的最佳估计为基础，按</w:t>
      </w:r>
      <w:r>
        <w:rPr>
          <w:spacing w:val="-64"/>
        </w:rPr>
        <w:t> </w:t>
      </w:r>
      <w:r>
        <w:rPr>
          <w:spacing w:val="-64"/>
        </w:rPr>
      </w:r>
      <w:r>
        <w:rPr/>
        <w:t>直线法计算计入相关成本或费用，相应增加资本公积。</w:t>
      </w:r>
    </w:p>
    <w:p>
      <w:pPr>
        <w:pStyle w:val="BodyText"/>
        <w:spacing w:line="319" w:lineRule="auto" w:before="139"/>
        <w:ind w:right="1131" w:firstLine="439"/>
        <w:jc w:val="both"/>
      </w:pPr>
      <w:r>
        <w:rPr/>
        <w:t>以限制性股票方式计算的股份支付，职工出资认购的股票在达到解锁条件并解锁前不得上市流通或转让；如果最终股 </w:t>
      </w:r>
      <w:r>
        <w:rPr>
          <w:spacing w:val="-2"/>
        </w:rPr>
        <w:t>权激励计划规定的解锁条件未能达到，则本集团按照事先约定的价格回购股票。本集团取得职工认购限制性股票支付的款项</w:t>
      </w:r>
      <w:r>
        <w:rPr>
          <w:spacing w:val="-64"/>
        </w:rPr>
        <w:t> </w:t>
      </w:r>
      <w:r>
        <w:rPr>
          <w:spacing w:val="-64"/>
        </w:rPr>
      </w:r>
      <w:r>
        <w:rPr>
          <w:spacing w:val="-2"/>
        </w:rPr>
        <w:t>时，按照取得的认股款确认股本和资本公积（股本溢价），同时就回购义务全额确认一项负债并确认库存股。本集团未达到</w:t>
      </w:r>
      <w:r>
        <w:rPr>
          <w:spacing w:val="-64"/>
        </w:rPr>
        <w:t> </w:t>
      </w:r>
      <w:r>
        <w:rPr>
          <w:spacing w:val="-64"/>
        </w:rPr>
      </w:r>
      <w:r>
        <w:rPr/>
        <w:t>限制性股票解锁条件而需回购股票时，根据回购股票所需支付的金额减少货币资金并冲减已确认的负债，同时根据本附注</w:t>
      </w:r>
      <w:r>
        <w:rPr>
          <w:spacing w:val="-11"/>
        </w:rPr>
        <w:t> </w:t>
      </w:r>
      <w:r>
        <w:rPr>
          <w:spacing w:val="-11"/>
        </w:rPr>
      </w:r>
      <w:r>
        <w:rPr>
          <w:rFonts w:ascii="Times New Roman" w:hAnsi="Times New Roman" w:cs="Times New Roman" w:eastAsia="Times New Roman" w:hint="default"/>
        </w:rPr>
        <w:t>“</w:t>
      </w:r>
      <w:r>
        <w:rPr/>
        <w:t>五</w:t>
      </w:r>
      <w:r>
        <w:rPr>
          <w:rFonts w:ascii="Times New Roman" w:hAnsi="Times New Roman" w:cs="Times New Roman" w:eastAsia="Times New Roman" w:hint="default"/>
        </w:rPr>
        <w:t>.32</w:t>
      </w:r>
      <w:r>
        <w:rPr/>
        <w:t>（</w:t>
      </w:r>
      <w:r>
        <w:rPr>
          <w:rFonts w:ascii="Times New Roman" w:hAnsi="Times New Roman" w:cs="Times New Roman" w:eastAsia="Times New Roman" w:hint="default"/>
        </w:rPr>
        <w:t>2</w:t>
      </w:r>
      <w:r>
        <w:rPr/>
        <w:t>）回购股份</w:t>
      </w:r>
      <w:r>
        <w:rPr>
          <w:rFonts w:ascii="Times New Roman" w:hAnsi="Times New Roman" w:cs="Times New Roman" w:eastAsia="Times New Roman" w:hint="default"/>
        </w:rPr>
        <w:t>”</w:t>
      </w:r>
      <w:r>
        <w:rPr/>
        <w:t>所述，对需注销的限制性股票进行相应的会计处理。</w:t>
      </w:r>
    </w:p>
    <w:p>
      <w:pPr>
        <w:pStyle w:val="BodyText"/>
        <w:spacing w:line="316" w:lineRule="auto" w:before="117"/>
        <w:ind w:right="1128" w:firstLine="439"/>
        <w:jc w:val="both"/>
      </w:pPr>
      <w:r>
        <w:rPr/>
        <w:t>以现金结算的股份支付，按照本集团承担的以股份或其他权益工具为基础确定的负债的公允价值计量。如授予后立即 </w:t>
      </w:r>
      <w:r>
        <w:rPr>
          <w:spacing w:val="-2"/>
        </w:rPr>
        <w:t>可行权，在授予日以承担负债的公允价值计入相关成本或费用，相应增加负债；如需完成等待期内的服务或达到规定业绩条</w:t>
      </w:r>
      <w:r>
        <w:rPr>
          <w:spacing w:val="-66"/>
        </w:rPr>
        <w:t> </w:t>
      </w:r>
      <w:r>
        <w:rPr>
          <w:spacing w:val="-66"/>
        </w:rPr>
      </w:r>
      <w:r>
        <w:rPr>
          <w:spacing w:val="-5"/>
        </w:rPr>
        <w:t>件以后才可行权，在等待期的每个资产负债表日，以对可行权情况的最佳估计为基础，按照本集团承担负债的公允价值金额，</w:t>
      </w:r>
      <w:r>
        <w:rPr>
          <w:spacing w:val="-74"/>
        </w:rPr>
        <w:t> </w:t>
      </w:r>
      <w:r>
        <w:rPr>
          <w:spacing w:val="-74"/>
        </w:rPr>
      </w:r>
      <w:r>
        <w:rPr/>
        <w:t>将当期取得的服务计入成本或费用，相应调整负债。</w:t>
      </w:r>
    </w:p>
    <w:p>
      <w:pPr>
        <w:pStyle w:val="BodyText"/>
        <w:spacing w:line="432" w:lineRule="exact" w:before="3"/>
        <w:ind w:left="592" w:right="1134"/>
        <w:jc w:val="left"/>
      </w:pPr>
      <w:r>
        <w:rPr/>
        <w:t>在相关负债结算前的每个资产负债表日以及结算日，对负债的公允价值重新计量，其变动计入当期损益。 本集团在等待期内取消所授予权益工具的（因未满足可行权条件而被取消的除外），作为加速行权处理，即视同剩余</w:t>
      </w:r>
    </w:p>
    <w:p>
      <w:pPr>
        <w:pStyle w:val="BodyText"/>
        <w:spacing w:line="240" w:lineRule="auto" w:before="15"/>
        <w:ind w:right="0"/>
        <w:jc w:val="left"/>
      </w:pPr>
      <w:r>
        <w:rPr/>
        <w:t>等待期内的股权支付计划已经全部满足可行权条件，在取消所授予权益工具的当期确认剩余等待期内的所有费用。</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38</w:t>
      </w:r>
      <w:r>
        <w:rPr/>
        <w:t>、优先股、永续债等其他金融工具</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t>不适用</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39</w:t>
      </w:r>
      <w:r>
        <w:rPr/>
        <w:t>、收入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412" w:lineRule="auto"/>
        <w:ind w:left="513" w:right="1844" w:hanging="36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本集团的营业收入主要包括销售商品收入、提供劳务收入和让渡资产使用权收入。</w:t>
      </w:r>
    </w:p>
    <w:p>
      <w:pPr>
        <w:pStyle w:val="BodyText"/>
        <w:spacing w:line="240" w:lineRule="auto" w:before="69"/>
        <w:ind w:left="592" w:right="0"/>
        <w:jc w:val="left"/>
      </w:pPr>
      <w:r>
        <w:rPr/>
        <w:t>（</w:t>
      </w:r>
      <w:r>
        <w:rPr>
          <w:rFonts w:ascii="Times New Roman" w:hAnsi="Times New Roman" w:cs="Times New Roman" w:eastAsia="Times New Roman" w:hint="default"/>
        </w:rPr>
        <w:t>1</w:t>
      </w:r>
      <w:r>
        <w:rPr/>
        <w:t>）销售商品收入的确认原则：</w:t>
      </w:r>
    </w:p>
    <w:p>
      <w:pPr>
        <w:spacing w:line="240" w:lineRule="auto" w:before="13"/>
        <w:rPr>
          <w:rFonts w:ascii="宋体" w:hAnsi="宋体" w:cs="宋体" w:eastAsia="宋体" w:hint="default"/>
          <w:sz w:val="13"/>
          <w:szCs w:val="13"/>
        </w:rPr>
      </w:pPr>
    </w:p>
    <w:p>
      <w:pPr>
        <w:pStyle w:val="BodyText"/>
        <w:spacing w:line="319" w:lineRule="auto"/>
        <w:ind w:right="1130" w:firstLine="439"/>
        <w:jc w:val="both"/>
      </w:pPr>
      <w:r>
        <w:rPr/>
        <w:t>本集团在已将商品所有权上的主要风险和报酬转移给购货方、本集团既没有保留通常与所有权相联系的继续管理权、 </w:t>
      </w:r>
      <w:r>
        <w:rPr>
          <w:spacing w:val="-2"/>
        </w:rPr>
        <w:t>也没有对已售出的商品实施有效控制、收入的金额能够可靠地计量、相关的经济利益很可能流入本集团、相关的已发生或将</w:t>
      </w:r>
      <w:r>
        <w:rPr>
          <w:spacing w:val="-63"/>
        </w:rPr>
        <w:t> </w:t>
      </w:r>
      <w:r>
        <w:rPr>
          <w:spacing w:val="-63"/>
        </w:rPr>
      </w:r>
      <w:r>
        <w:rPr/>
        <w:t>发生的成本能够可靠地计量时，确认销售商品收入的实现。</w:t>
      </w:r>
    </w:p>
    <w:p>
      <w:pPr>
        <w:pStyle w:val="BodyText"/>
        <w:spacing w:line="240" w:lineRule="auto" w:before="137"/>
        <w:ind w:left="592" w:right="0"/>
        <w:jc w:val="left"/>
      </w:pPr>
      <w:r>
        <w:rPr/>
        <w:t>本集团销售商品收入主要为导航电子地图及芯片产品、导航软件等销售收入，于产品交付客户所有权转移时确认。</w:t>
      </w:r>
    </w:p>
    <w:p>
      <w:pPr>
        <w:pStyle w:val="BodyText"/>
        <w:spacing w:line="420" w:lineRule="atLeast" w:before="25"/>
        <w:ind w:left="592" w:right="0"/>
        <w:jc w:val="left"/>
      </w:pPr>
      <w:r>
        <w:rPr/>
        <w:t>（</w:t>
      </w:r>
      <w:r>
        <w:rPr>
          <w:rFonts w:ascii="Times New Roman" w:hAnsi="Times New Roman" w:cs="Times New Roman" w:eastAsia="Times New Roman" w:hint="default"/>
        </w:rPr>
        <w:t>2</w:t>
      </w:r>
      <w:r>
        <w:rPr/>
        <w:t>）提供劳务收入的确认原则： </w:t>
      </w:r>
      <w:r>
        <w:rPr>
          <w:spacing w:val="-4"/>
        </w:rPr>
        <w:t>以劳务总收入和总成本能够可靠地计量，与交易相关的经济利益能够流入本集团，劳务的完成程度能够可靠地确定时，</w:t>
      </w:r>
    </w:p>
    <w:p>
      <w:pPr>
        <w:pStyle w:val="BodyText"/>
        <w:spacing w:line="240" w:lineRule="auto" w:before="76"/>
        <w:ind w:right="0"/>
        <w:jc w:val="left"/>
      </w:pPr>
      <w:r>
        <w:rPr/>
        <w:t>确认劳务收入的实现。</w:t>
      </w:r>
    </w:p>
    <w:p>
      <w:pPr>
        <w:spacing w:line="240" w:lineRule="auto" w:before="0"/>
        <w:rPr>
          <w:rFonts w:ascii="宋体" w:hAnsi="宋体" w:cs="宋体" w:eastAsia="宋体" w:hint="default"/>
          <w:sz w:val="15"/>
          <w:szCs w:val="15"/>
        </w:rPr>
      </w:pPr>
    </w:p>
    <w:p>
      <w:pPr>
        <w:pStyle w:val="BodyText"/>
        <w:spacing w:line="316" w:lineRule="auto"/>
        <w:ind w:right="1042" w:firstLine="439"/>
        <w:jc w:val="both"/>
      </w:pPr>
      <w:r>
        <w:rPr/>
        <w:t>在同一年度内开始并完成的劳务，在完成劳务时确认收入；劳务的开始和完成分属不同的会计年度，在提供劳务交易 的结果能够可靠估计的情况下，于资产负债表日按完工百分比法确认相关的劳务收入，完工百分比按已完工作的测量确认。</w:t>
      </w:r>
    </w:p>
    <w:p>
      <w:pPr>
        <w:pStyle w:val="BodyText"/>
        <w:spacing w:line="439" w:lineRule="auto" w:before="138"/>
        <w:ind w:left="592" w:right="3114"/>
        <w:jc w:val="left"/>
      </w:pPr>
      <w:r>
        <w:rPr/>
        <w:t>本集团提供劳务收入主要包括动态交通信息服务、车联网及编译服务、位置大数据服务等。 劳务收入于提供服务期间确认。</w:t>
      </w:r>
    </w:p>
    <w:p>
      <w:pPr>
        <w:spacing w:after="0" w:line="439"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415" w:lineRule="auto" w:before="44"/>
        <w:ind w:left="592" w:right="1674"/>
        <w:jc w:val="left"/>
      </w:pPr>
      <w:r>
        <w:rPr/>
        <w:t>（</w:t>
      </w:r>
      <w:r>
        <w:rPr>
          <w:rFonts w:ascii="Times New Roman" w:hAnsi="Times New Roman" w:cs="Times New Roman" w:eastAsia="Times New Roman" w:hint="default"/>
        </w:rPr>
        <w:t>3</w:t>
      </w:r>
      <w:r>
        <w:rPr/>
        <w:t>）让渡资产使用权收入的确认原则： 以与交易相关的经济利益能够流入本集团，收入的金额能够可靠地计量时，确认让渡资产使用权收入的实现。</w:t>
      </w:r>
    </w:p>
    <w:p>
      <w:pPr>
        <w:pStyle w:val="Heading4"/>
        <w:spacing w:line="240" w:lineRule="auto" w:before="157"/>
        <w:ind w:right="0"/>
        <w:jc w:val="left"/>
        <w:rPr>
          <w:b w:val="0"/>
          <w:bCs w:val="0"/>
        </w:rPr>
      </w:pPr>
      <w:r>
        <w:rPr>
          <w:rFonts w:ascii="Times New Roman" w:hAnsi="Times New Roman" w:cs="Times New Roman" w:eastAsia="Times New Roman" w:hint="default"/>
        </w:rPr>
        <w:t>40</w:t>
      </w:r>
      <w:r>
        <w:rPr/>
        <w:t>、政府补助</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36" w:firstLine="439"/>
        <w:jc w:val="both"/>
      </w:pPr>
      <w:r>
        <w:rPr/>
        <w:t>本集团的政府补助包括从政府无偿取得的货币性资产或非货币性资产。政府补助在本集团能够满足其所附的条件以及 能够收到时予以确认。</w:t>
      </w:r>
    </w:p>
    <w:p>
      <w:pPr>
        <w:pStyle w:val="BodyText"/>
        <w:spacing w:line="316" w:lineRule="auto" w:before="139"/>
        <w:ind w:right="1136" w:firstLine="439"/>
        <w:jc w:val="both"/>
      </w:pPr>
      <w:r>
        <w:rPr/>
        <w:t>政府补助为货币性资产的，按照实际收到的金额计量，对于按照固定的定额标准拨付的补助，按照应收的金额计量； 政府补助为非货币性资产的，按照公允价值计量，公允价值不能可靠取得的，按照名义金额（</w:t>
      </w:r>
      <w:r>
        <w:rPr>
          <w:rFonts w:ascii="Times New Roman" w:hAnsi="Times New Roman" w:cs="Times New Roman" w:eastAsia="Times New Roman" w:hint="default"/>
        </w:rPr>
        <w:t>1</w:t>
      </w:r>
      <w:r>
        <w:rPr/>
        <w:t>元）计量。</w:t>
      </w:r>
    </w:p>
    <w:p>
      <w:pPr>
        <w:pStyle w:val="BodyText"/>
        <w:spacing w:line="319" w:lineRule="auto" w:before="119"/>
        <w:ind w:right="1130" w:firstLine="439"/>
        <w:jc w:val="both"/>
      </w:pPr>
      <w:r>
        <w:rPr/>
        <w:t>本集团取得的政府补助分为与资产相关的政府补助和与收益相关的政府补助。与资产相关的政府补助，是指本集团取 </w:t>
      </w:r>
      <w:r>
        <w:rPr>
          <w:spacing w:val="-2"/>
        </w:rPr>
        <w:t>得的、用于购建或以其他方式形成长期资产的政府补助；与收益相关的政府补助，是指除与资产相关的政府补助之外的政府</w:t>
      </w:r>
      <w:r>
        <w:rPr>
          <w:spacing w:val="-63"/>
        </w:rPr>
        <w:t> </w:t>
      </w:r>
      <w:r>
        <w:rPr>
          <w:spacing w:val="-63"/>
        </w:rPr>
      </w:r>
      <w:r>
        <w:rPr/>
        <w:t>补助。如果政府相关文件中未明确规定补助对象，本集团按照上述原则进行判断。</w:t>
      </w:r>
    </w:p>
    <w:p>
      <w:pPr>
        <w:pStyle w:val="BodyText"/>
        <w:spacing w:line="432" w:lineRule="exact" w:before="1"/>
        <w:ind w:left="592" w:right="0"/>
        <w:jc w:val="left"/>
      </w:pPr>
      <w:r>
        <w:rPr/>
        <w:t>与资产相关的政府补助确认为递延收益，在相关资产使用寿命内按照合理、系统的方法分期计入当期损益。 相关资产在使用寿命结束前被出售、转让、报废或发生毁损的，将尚未分配的相关递延收益余额转入资产处置当期的</w:t>
      </w:r>
    </w:p>
    <w:p>
      <w:pPr>
        <w:pStyle w:val="BodyText"/>
        <w:spacing w:line="240" w:lineRule="auto" w:before="15"/>
        <w:ind w:right="0"/>
        <w:jc w:val="left"/>
      </w:pPr>
      <w:r>
        <w:rPr/>
        <w:t>损益。</w:t>
      </w:r>
    </w:p>
    <w:p>
      <w:pPr>
        <w:spacing w:line="240" w:lineRule="auto" w:before="0"/>
        <w:rPr>
          <w:rFonts w:ascii="宋体" w:hAnsi="宋体" w:cs="宋体" w:eastAsia="宋体" w:hint="default"/>
          <w:sz w:val="15"/>
          <w:szCs w:val="15"/>
        </w:rPr>
      </w:pPr>
    </w:p>
    <w:p>
      <w:pPr>
        <w:pStyle w:val="BodyText"/>
        <w:spacing w:line="316" w:lineRule="auto"/>
        <w:ind w:right="1130" w:firstLine="439"/>
        <w:jc w:val="both"/>
      </w:pPr>
      <w:r>
        <w:rPr/>
        <w:t>与收益相关的政府补助，用于补偿已发生的相关成本费用或损失的，计入当期损益或冲减相关成本；用于补偿以后期 </w:t>
      </w:r>
      <w:r>
        <w:rPr>
          <w:spacing w:val="-2"/>
        </w:rPr>
        <w:t>间的相关成本费用或损失的，确认为递延收益，并在确认相关成本费用或损失的期间计入当期损益。与日常活动相关的政府</w:t>
      </w:r>
      <w:r>
        <w:rPr>
          <w:spacing w:val="-63"/>
        </w:rPr>
        <w:t> </w:t>
      </w:r>
      <w:r>
        <w:rPr>
          <w:spacing w:val="-63"/>
        </w:rPr>
      </w:r>
      <w:r>
        <w:rPr/>
        <w:t>补助，按照经济业务实质，计入其他收益。与日常活动无关的政府补助，计入营业外收支。</w:t>
      </w:r>
    </w:p>
    <w:p>
      <w:pPr>
        <w:pStyle w:val="BodyText"/>
        <w:spacing w:line="316" w:lineRule="auto" w:before="139"/>
        <w:ind w:right="1133" w:firstLine="451"/>
        <w:jc w:val="both"/>
      </w:pPr>
      <w:r>
        <w:rPr/>
        <w:t>已确认的政府补助需要返还时，存在相关递延收益余额的，冲减相关递延收益账面余额，超出部分计入当期损益；属 于其他情况的，直接计入当期损益。</w:t>
      </w:r>
    </w:p>
    <w:p>
      <w:pPr>
        <w:spacing w:line="240" w:lineRule="auto" w:before="7"/>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31" w:firstLine="439"/>
        <w:jc w:val="both"/>
      </w:pPr>
      <w:r>
        <w:rPr/>
        <w:t>本集团递延所得税资产和递延所得税负债根据资产和负债的计税基础与其账面价值的差额（暂时性差异）计算确认。 </w:t>
      </w:r>
      <w:r>
        <w:rPr>
          <w:spacing w:val="-2"/>
        </w:rPr>
        <w:t>对于按照税法规定能够于以后年度抵减应纳税所得额的可抵扣亏损，确认相应的递延所得税资产。对于商誉的初始确认产生</w:t>
      </w:r>
      <w:r>
        <w:rPr>
          <w:spacing w:val="-64"/>
        </w:rPr>
        <w:t> </w:t>
      </w:r>
      <w:r>
        <w:rPr>
          <w:spacing w:val="-64"/>
        </w:rPr>
      </w:r>
      <w:r>
        <w:rPr>
          <w:spacing w:val="-2"/>
        </w:rPr>
        <w:t>的暂时性差异，不确认相应的递延所得税负债。对于既不影响会计利润也不影响应纳税所得额（或可抵扣亏损）的非企业合</w:t>
      </w:r>
      <w:r>
        <w:rPr>
          <w:spacing w:val="-64"/>
        </w:rPr>
        <w:t> </w:t>
      </w:r>
      <w:r>
        <w:rPr>
          <w:spacing w:val="-64"/>
        </w:rPr>
      </w:r>
      <w:r>
        <w:rPr>
          <w:spacing w:val="-2"/>
        </w:rPr>
        <w:t>并的交易中产生的资产或负债的初始确认形成的暂时性差异，不确认相应的递延所得税资产和递延所得税负债。于资产负债</w:t>
      </w:r>
      <w:r>
        <w:rPr>
          <w:spacing w:val="-64"/>
        </w:rPr>
        <w:t> </w:t>
      </w:r>
      <w:r>
        <w:rPr>
          <w:spacing w:val="-64"/>
        </w:rPr>
      </w:r>
      <w:r>
        <w:rPr/>
        <w:t>表日，递延所得税资产和递延所得税负债，按照预期收回该资产或清偿该负债期间的适用税率计量。</w:t>
      </w:r>
    </w:p>
    <w:p>
      <w:pPr>
        <w:pStyle w:val="BodyText"/>
        <w:spacing w:line="316" w:lineRule="auto" w:before="139"/>
        <w:ind w:right="1135" w:firstLine="439"/>
        <w:jc w:val="both"/>
      </w:pPr>
      <w:r>
        <w:rPr/>
        <w:t>本集团以很可能取得用来抵扣可抵扣暂时性差异、可抵扣亏损和税款抵减的未来应纳税所得额为限，确认递延所得税 资产。</w:t>
      </w:r>
    </w:p>
    <w:p>
      <w:pPr>
        <w:spacing w:line="240" w:lineRule="auto" w:before="10"/>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42</w:t>
      </w:r>
      <w:r>
        <w:rPr/>
        <w:t>、租赁</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pStyle w:val="BodyText"/>
        <w:spacing w:line="430" w:lineRule="atLeast" w:before="139"/>
        <w:ind w:left="592" w:right="1134" w:firstLine="40"/>
        <w:jc w:val="left"/>
      </w:pPr>
      <w:r>
        <w:rPr/>
        <w:t>本集团租赁业务为经营租赁。 本集团作为承租方的租金在租赁期内的各个期间按直线法计入相关资产成本或当期损益，本集团作为出租方的租金在</w:t>
      </w:r>
    </w:p>
    <w:p>
      <w:pPr>
        <w:pStyle w:val="BodyText"/>
        <w:spacing w:line="240" w:lineRule="auto" w:before="76"/>
        <w:ind w:right="0"/>
        <w:jc w:val="left"/>
      </w:pPr>
      <w:r>
        <w:rPr/>
        <w:t>租赁期内的各个期间按直线法确认为收入。</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不适用</w:t>
      </w:r>
    </w:p>
    <w:p>
      <w:pPr>
        <w:spacing w:line="240" w:lineRule="auto" w:before="1"/>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43</w:t>
      </w:r>
      <w:r>
        <w:rPr/>
        <w:t>、其他重要的会计政策和会计估计</w:t>
      </w:r>
      <w:r>
        <w:rPr>
          <w:b w:val="0"/>
          <w:bCs w:val="0"/>
        </w:rPr>
      </w:r>
    </w:p>
    <w:p>
      <w:pPr>
        <w:pStyle w:val="BodyText"/>
        <w:spacing w:line="420" w:lineRule="atLeast" w:before="163"/>
        <w:ind w:left="592" w:right="1134" w:hanging="8"/>
        <w:jc w:val="left"/>
      </w:pPr>
      <w:r>
        <w:rPr/>
        <w:t>（</w:t>
      </w:r>
      <w:r>
        <w:rPr>
          <w:rFonts w:ascii="Times New Roman" w:hAnsi="Times New Roman" w:cs="Times New Roman" w:eastAsia="Times New Roman" w:hint="default"/>
        </w:rPr>
        <w:t>1</w:t>
      </w:r>
      <w:r>
        <w:rPr/>
        <w:t>）商誉 商誉为股权投资成本或非同一控制下企业合并成本超过应享有的或企业合并中取得的被投资单位或被购买方可辨认净</w:t>
      </w:r>
    </w:p>
    <w:p>
      <w:pPr>
        <w:pStyle w:val="BodyText"/>
        <w:spacing w:line="240" w:lineRule="auto" w:before="76"/>
        <w:ind w:right="0"/>
        <w:jc w:val="both"/>
      </w:pPr>
      <w:r>
        <w:rPr/>
        <w:t>资产于取得日或购买日的公允价值份额的差额。</w:t>
      </w:r>
    </w:p>
    <w:p>
      <w:pPr>
        <w:spacing w:line="240" w:lineRule="auto" w:before="0"/>
        <w:rPr>
          <w:rFonts w:ascii="宋体" w:hAnsi="宋体" w:cs="宋体" w:eastAsia="宋体" w:hint="default"/>
          <w:sz w:val="15"/>
          <w:szCs w:val="15"/>
        </w:rPr>
      </w:pPr>
    </w:p>
    <w:p>
      <w:pPr>
        <w:pStyle w:val="BodyText"/>
        <w:spacing w:line="316" w:lineRule="auto"/>
        <w:ind w:right="1136" w:firstLine="439"/>
        <w:jc w:val="both"/>
      </w:pPr>
      <w:r>
        <w:rPr/>
        <w:t>与子公司有关的商誉在合并财务报表上单独列示，与联营企业和合营企业有关的商誉，包含在长期股权投资的账面价 值中。</w:t>
      </w:r>
    </w:p>
    <w:p>
      <w:pPr>
        <w:pStyle w:val="BodyText"/>
        <w:spacing w:line="432" w:lineRule="exact" w:before="4"/>
        <w:ind w:left="592" w:right="1121"/>
        <w:jc w:val="left"/>
      </w:pPr>
      <w:r>
        <w:rPr/>
        <w:t>（</w:t>
      </w:r>
      <w:r>
        <w:rPr>
          <w:rFonts w:ascii="Times New Roman" w:hAnsi="Times New Roman" w:cs="Times New Roman" w:eastAsia="Times New Roman" w:hint="default"/>
        </w:rPr>
        <w:t>2</w:t>
      </w:r>
      <w:r>
        <w:rPr/>
        <w:t>）回购股份 </w:t>
      </w:r>
      <w:r>
        <w:rPr>
          <w:spacing w:val="-4"/>
        </w:rPr>
        <w:t>本集团按法定程序报经批准采用收购本集团股票方式减资的，按注销股票面值总额减少股本，购回股票支付的价款（含</w:t>
      </w:r>
    </w:p>
    <w:p>
      <w:pPr>
        <w:pStyle w:val="BodyText"/>
        <w:spacing w:line="316" w:lineRule="auto" w:before="15"/>
        <w:ind w:right="0"/>
        <w:jc w:val="left"/>
      </w:pPr>
      <w:r>
        <w:rPr>
          <w:spacing w:val="-2"/>
        </w:rPr>
        <w:t>交易费用）与股票面值的差额调整所有者权益，超过面值总额的部分，应依次冲减资本公积（股本溢价）、盈余公积和未分</w:t>
      </w:r>
      <w:r>
        <w:rPr>
          <w:spacing w:val="-70"/>
        </w:rPr>
        <w:t> </w:t>
      </w:r>
      <w:r>
        <w:rPr>
          <w:spacing w:val="-70"/>
        </w:rPr>
      </w:r>
      <w:r>
        <w:rPr/>
        <w:t>配利润；低于面值总额的，低于面值总额的部分增加资本公积（股本溢价）。</w:t>
      </w:r>
    </w:p>
    <w:p>
      <w:pPr>
        <w:pStyle w:val="BodyText"/>
        <w:spacing w:line="432" w:lineRule="exact" w:before="3"/>
        <w:ind w:left="592" w:right="1134"/>
        <w:jc w:val="left"/>
      </w:pPr>
      <w:r>
        <w:rPr/>
        <w:t>本集团回购的股份在注销或者转让之前，作为库存股管理，回购股份的全部支出转作库存股成本。 库存股转让时，转让收入高于库存股成本的部分，增加资本公积（股本溢价）；低于库存股成本的部分，依次冲减资</w:t>
      </w:r>
    </w:p>
    <w:p>
      <w:pPr>
        <w:pStyle w:val="BodyText"/>
        <w:spacing w:line="316" w:lineRule="auto" w:before="15"/>
        <w:ind w:right="0"/>
        <w:jc w:val="left"/>
      </w:pPr>
      <w:r>
        <w:rPr>
          <w:spacing w:val="-2"/>
        </w:rPr>
        <w:t>本公积（股本溢价）、盈余公积、未分配利润。因实行股权激励回购本公司股份的，在回购时，按照回购股份的全部支出作</w:t>
      </w:r>
      <w:r>
        <w:rPr>
          <w:spacing w:val="-73"/>
        </w:rPr>
        <w:t> </w:t>
      </w:r>
      <w:r>
        <w:rPr>
          <w:spacing w:val="-73"/>
        </w:rPr>
      </w:r>
      <w:r>
        <w:rPr/>
        <w:t>为库存股处理，同时进行备查登记。</w:t>
      </w:r>
    </w:p>
    <w:p>
      <w:pPr>
        <w:pStyle w:val="BodyText"/>
        <w:spacing w:line="432" w:lineRule="exact" w:before="3"/>
        <w:ind w:left="570" w:right="0" w:firstLine="21"/>
        <w:jc w:val="left"/>
      </w:pPr>
      <w:r>
        <w:rPr/>
        <w:t>（</w:t>
      </w:r>
      <w:r>
        <w:rPr>
          <w:rFonts w:ascii="Times New Roman" w:hAnsi="Times New Roman" w:cs="Times New Roman" w:eastAsia="Times New Roman" w:hint="default"/>
        </w:rPr>
        <w:t>3</w:t>
      </w:r>
      <w:r>
        <w:rPr/>
        <w:t>）所得税的会计核算 所得税的会计核算采用资产负债表债务法。所得税费用包括当期所得税和递延所得税。除将与直接计入股东权益的交</w:t>
      </w:r>
    </w:p>
    <w:p>
      <w:pPr>
        <w:pStyle w:val="BodyText"/>
        <w:spacing w:line="316" w:lineRule="auto" w:before="15"/>
        <w:ind w:right="0"/>
        <w:jc w:val="left"/>
      </w:pPr>
      <w:r>
        <w:rPr>
          <w:spacing w:val="-2"/>
        </w:rPr>
        <w:t>易和事项相关的当期所得税和递延所得税计入股东权益，以及企业合并产生的递延所得税调整商誉的账面价值外，其余的当</w:t>
      </w:r>
      <w:r>
        <w:rPr>
          <w:spacing w:val="-64"/>
        </w:rPr>
        <w:t> </w:t>
      </w:r>
      <w:r>
        <w:rPr>
          <w:spacing w:val="-64"/>
        </w:rPr>
      </w:r>
      <w:r>
        <w:rPr/>
        <w:t>期所得税和递延所得税费用或收益计入当期损益。</w:t>
      </w:r>
    </w:p>
    <w:p>
      <w:pPr>
        <w:pStyle w:val="BodyText"/>
        <w:spacing w:line="316" w:lineRule="auto" w:before="139"/>
        <w:ind w:right="1136" w:firstLine="439"/>
        <w:jc w:val="both"/>
      </w:pPr>
      <w:r>
        <w:rPr/>
        <w:t>当期所得税是指公司按照税务规定计算确定的针对当年发生的交易和事项，应纳给税务部门的金额，即应交所得税； 递延所得税是指按照资产负债表债务法应予确认的递延所得税资产和递延所得税负债在年末应有的金额相对于原已确认金</w:t>
      </w:r>
      <w:r>
        <w:rPr>
          <w:spacing w:val="-11"/>
        </w:rPr>
        <w:t> </w:t>
      </w:r>
      <w:r>
        <w:rPr>
          <w:spacing w:val="-11"/>
        </w:rPr>
      </w:r>
      <w:r>
        <w:rPr/>
        <w:t>额之间的差额。</w:t>
      </w:r>
    </w:p>
    <w:p>
      <w:pPr>
        <w:pStyle w:val="BodyText"/>
        <w:spacing w:line="432" w:lineRule="exact" w:before="3"/>
        <w:ind w:left="592" w:right="1121"/>
        <w:jc w:val="left"/>
      </w:pPr>
      <w:r>
        <w:rPr/>
        <w:t>（</w:t>
      </w:r>
      <w:r>
        <w:rPr>
          <w:rFonts w:ascii="Times New Roman" w:hAnsi="Times New Roman" w:cs="Times New Roman" w:eastAsia="Times New Roman" w:hint="default"/>
        </w:rPr>
        <w:t>4</w:t>
      </w:r>
      <w:r>
        <w:rPr/>
        <w:t>）分部信息 </w:t>
      </w:r>
      <w:r>
        <w:rPr>
          <w:spacing w:val="-4"/>
        </w:rPr>
        <w:t>本集团以内部组织结构、管理要求、内部报告制度为依据确定经营分部，以经营分部为基础确定报告分部。经营分部，</w:t>
      </w:r>
    </w:p>
    <w:p>
      <w:pPr>
        <w:pStyle w:val="BodyText"/>
        <w:spacing w:line="319" w:lineRule="auto" w:before="15"/>
        <w:ind w:right="1130"/>
        <w:jc w:val="both"/>
      </w:pPr>
      <w:r>
        <w:rPr>
          <w:spacing w:val="-2"/>
        </w:rPr>
        <w:t>是指集团内同时满足下列条件的组成部分：该组成部分能够在日常活动中产生收入、发生费用；公司管理层能够定期评价该</w:t>
      </w:r>
      <w:r>
        <w:rPr>
          <w:spacing w:val="-63"/>
        </w:rPr>
        <w:t> </w:t>
      </w:r>
      <w:r>
        <w:rPr>
          <w:spacing w:val="-63"/>
        </w:rPr>
      </w:r>
      <w:r>
        <w:rPr>
          <w:spacing w:val="-2"/>
        </w:rPr>
        <w:t>组成部分的经营成果，以决定向其配置资源、评价其业绩；公司能够取得该组成部分的财务状况、经营成果和现金流量等有</w:t>
      </w:r>
      <w:r>
        <w:rPr>
          <w:spacing w:val="-64"/>
        </w:rPr>
        <w:t> </w:t>
      </w:r>
      <w:r>
        <w:rPr>
          <w:spacing w:val="-64"/>
        </w:rPr>
      </w:r>
      <w:r>
        <w:rPr/>
        <w:t>关会计信息。</w:t>
      </w:r>
    </w:p>
    <w:p>
      <w:pPr>
        <w:pStyle w:val="BodyText"/>
        <w:spacing w:line="432" w:lineRule="exact" w:before="1"/>
        <w:ind w:left="592" w:right="1134"/>
        <w:jc w:val="left"/>
      </w:pPr>
      <w:r>
        <w:rPr/>
        <w:t>公司存在相似经济特征的两个或多个经营分部，合并为一个经营分部。 本集团以数据、算法和算力为核心，以全面技术发展为战略，不断加大内外部资源整合和一站式云平台建设，面向市</w:t>
      </w:r>
    </w:p>
    <w:p>
      <w:pPr>
        <w:pStyle w:val="BodyText"/>
        <w:spacing w:line="316" w:lineRule="auto" w:before="15"/>
        <w:ind w:right="0"/>
        <w:jc w:val="left"/>
        <w:rPr>
          <w:rFonts w:ascii="宋体" w:hAnsi="宋体" w:cs="宋体" w:eastAsia="宋体" w:hint="default"/>
        </w:rPr>
      </w:pPr>
      <w:r>
        <w:rPr>
          <w:spacing w:val="-2"/>
        </w:rPr>
        <w:t>场和客户需求，推动主要业务板块协同发展，打造“智能汽车大脑”，形成“数据</w:t>
      </w:r>
      <w:r>
        <w:rPr>
          <w:rFonts w:ascii="宋体" w:hAnsi="宋体" w:cs="宋体" w:eastAsia="宋体" w:hint="default"/>
          <w:spacing w:val="-2"/>
        </w:rPr>
        <w:t>+</w:t>
      </w:r>
      <w:r>
        <w:rPr>
          <w:spacing w:val="-2"/>
        </w:rPr>
        <w:t>云</w:t>
      </w:r>
      <w:r>
        <w:rPr>
          <w:rFonts w:ascii="宋体" w:hAnsi="宋体" w:cs="宋体" w:eastAsia="宋体" w:hint="default"/>
          <w:spacing w:val="-2"/>
        </w:rPr>
        <w:t>+AI+</w:t>
      </w:r>
      <w:r>
        <w:rPr>
          <w:spacing w:val="-2"/>
        </w:rPr>
        <w:t>芯片</w:t>
      </w:r>
      <w:r>
        <w:rPr>
          <w:rFonts w:ascii="宋体" w:hAnsi="宋体" w:cs="宋体" w:eastAsia="宋体" w:hint="default"/>
          <w:spacing w:val="-2"/>
        </w:rPr>
        <w:t>+</w:t>
      </w:r>
      <w:r>
        <w:rPr>
          <w:spacing w:val="-2"/>
        </w:rPr>
        <w:t>软硬一体化”的综合解决方</w:t>
      </w:r>
      <w:r>
        <w:rPr>
          <w:spacing w:val="-65"/>
        </w:rPr>
        <w:t> </w:t>
      </w:r>
      <w:r>
        <w:rPr>
          <w:spacing w:val="-65"/>
        </w:rPr>
      </w:r>
      <w:r>
        <w:rPr/>
        <w:t>案，生产、定价、销售等环节均密不可分，因此，报告期内本集团无报告分部。</w:t>
      </w:r>
      <w:r>
        <w:rPr>
          <w:rFonts w:ascii="宋体" w:hAnsi="宋体" w:cs="宋体" w:eastAsia="宋体" w:hint="default"/>
        </w:rPr>
        <w:t> </w:t>
      </w:r>
    </w:p>
    <w:p>
      <w:pPr>
        <w:pStyle w:val="BodyText"/>
        <w:spacing w:line="415" w:lineRule="auto" w:before="139"/>
        <w:ind w:left="592" w:right="1134" w:hanging="80"/>
        <w:jc w:val="left"/>
      </w:pPr>
      <w:r>
        <w:rPr/>
        <w:t>（</w:t>
      </w:r>
      <w:r>
        <w:rPr>
          <w:rFonts w:ascii="Times New Roman" w:hAnsi="Times New Roman" w:cs="Times New Roman" w:eastAsia="Times New Roman" w:hint="default"/>
        </w:rPr>
        <w:t>5</w:t>
      </w:r>
      <w:r>
        <w:rPr/>
        <w:t>）终止经营 终止经营，是指本集团满足下列条件之一的、能够单独区分的组成部分，且该组成部分已经处置或划分为持有待售类</w:t>
      </w:r>
    </w:p>
    <w:p>
      <w:pPr>
        <w:pStyle w:val="BodyText"/>
        <w:spacing w:line="194" w:lineRule="exact"/>
        <w:ind w:right="0"/>
        <w:jc w:val="both"/>
      </w:pPr>
      <w:r>
        <w:rPr/>
        <w:t>别：</w:t>
      </w:r>
      <w:r>
        <w:rPr>
          <w:rFonts w:ascii="Times New Roman" w:hAnsi="Times New Roman" w:cs="Times New Roman" w:eastAsia="Times New Roman" w:hint="default"/>
        </w:rPr>
        <w:t>1</w:t>
      </w:r>
      <w:r>
        <w:rPr/>
        <w:t>）该组成部分代表一项独立的主要业务或一个单独的主要经营地区；</w:t>
      </w:r>
      <w:r>
        <w:rPr>
          <w:rFonts w:ascii="Times New Roman" w:hAnsi="Times New Roman" w:cs="Times New Roman" w:eastAsia="Times New Roman" w:hint="default"/>
        </w:rPr>
        <w:t>2</w:t>
      </w:r>
      <w:r>
        <w:rPr/>
        <w:t>）该组成部分是拟对一项独立的主要业务或一个</w:t>
      </w:r>
    </w:p>
    <w:p>
      <w:pPr>
        <w:pStyle w:val="BodyText"/>
        <w:spacing w:line="240" w:lineRule="auto" w:before="63"/>
        <w:ind w:right="0"/>
        <w:jc w:val="both"/>
      </w:pPr>
      <w:r>
        <w:rPr/>
        <w:t>单独的主要经营地区进行处置的一项相关联计划的一部分；</w:t>
      </w:r>
      <w:r>
        <w:rPr>
          <w:rFonts w:ascii="Times New Roman" w:hAnsi="Times New Roman" w:cs="Times New Roman" w:eastAsia="Times New Roman" w:hint="default"/>
        </w:rPr>
        <w:t>3</w:t>
      </w:r>
      <w:r>
        <w:rPr/>
        <w:t>）该组成部分是专为转售而取得的子公司。</w:t>
      </w:r>
    </w:p>
    <w:p>
      <w:pPr>
        <w:spacing w:after="0" w:line="240" w:lineRule="auto"/>
        <w:jc w:val="both"/>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44</w:t>
      </w:r>
      <w:r>
        <w:rPr/>
        <w:t>、重要会计政策和会计估计变更</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4503"/>
        <w:gridCol w:w="2552"/>
        <w:gridCol w:w="2516"/>
      </w:tblGrid>
      <w:tr>
        <w:trPr>
          <w:trHeight w:val="401" w:hRule="exact"/>
        </w:trPr>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9"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3"/>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79"/>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企业会计准则第</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z w:val="18"/>
                <w:szCs w:val="18"/>
              </w:rPr>
              <w:t>金融工具确认和计量</w:t>
            </w:r>
            <w:r>
              <w:rPr>
                <w:rFonts w:ascii="宋体" w:hAnsi="宋体" w:cs="宋体" w:eastAsia="宋体" w:hint="default"/>
                <w:spacing w:val="-92"/>
                <w:sz w:val="18"/>
                <w:szCs w:val="18"/>
              </w:rPr>
              <w:t>》</w:t>
            </w:r>
            <w:r>
              <w:rPr>
                <w:rFonts w:ascii="宋体" w:hAnsi="宋体" w:cs="宋体" w:eastAsia="宋体" w:hint="default"/>
                <w:spacing w:val="-140"/>
                <w:sz w:val="18"/>
                <w:szCs w:val="18"/>
              </w:rPr>
              <w:t>、</w:t>
            </w:r>
            <w:r>
              <w:rPr>
                <w:rFonts w:ascii="宋体" w:hAnsi="宋体" w:cs="宋体" w:eastAsia="宋体" w:hint="default"/>
                <w:sz w:val="18"/>
                <w:szCs w:val="18"/>
              </w:rPr>
              <w:t>《企</w:t>
            </w:r>
            <w:r>
              <w:rPr>
                <w:rFonts w:ascii="宋体" w:hAnsi="宋体" w:cs="宋体" w:eastAsia="宋体" w:hint="default"/>
                <w:sz w:val="18"/>
                <w:szCs w:val="18"/>
              </w:rPr>
              <w:t> 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宋体" w:hAnsi="宋体" w:cs="宋体" w:eastAsia="宋体" w:hint="default"/>
                <w:spacing w:val="-3"/>
                <w:sz w:val="18"/>
                <w:szCs w:val="18"/>
              </w:rPr>
              <w:t>资</w:t>
            </w:r>
            <w:r>
              <w:rPr>
                <w:rFonts w:ascii="宋体" w:hAnsi="宋体" w:cs="宋体" w:eastAsia="宋体" w:hint="default"/>
                <w:sz w:val="18"/>
                <w:szCs w:val="18"/>
              </w:rPr>
              <w:t>产转移</w:t>
            </w:r>
            <w:r>
              <w:rPr>
                <w:rFonts w:ascii="Times New Roman" w:hAnsi="Times New Roman" w:cs="Times New Roman" w:eastAsia="Times New Roman" w:hint="default"/>
                <w:sz w:val="18"/>
                <w:szCs w:val="18"/>
              </w:rPr>
              <w:t>(</w:t>
            </w:r>
            <w:r>
              <w:rPr>
                <w:rFonts w:ascii="宋体" w:hAnsi="宋体" w:cs="宋体" w:eastAsia="宋体" w:hint="default"/>
                <w:sz w:val="18"/>
                <w:szCs w:val="18"/>
              </w:rPr>
              <w:t>修订</w:t>
            </w:r>
            <w:r>
              <w:rPr>
                <w:rFonts w:ascii="Times New Roman" w:hAnsi="Times New Roman" w:cs="Times New Roman" w:eastAsia="Times New Roman" w:hint="default"/>
                <w:sz w:val="18"/>
                <w:szCs w:val="18"/>
              </w:rPr>
              <w:t>)</w:t>
            </w:r>
            <w:r>
              <w:rPr>
                <w:rFonts w:ascii="宋体" w:hAnsi="宋体" w:cs="宋体" w:eastAsia="宋体" w:hint="default"/>
                <w:spacing w:val="-92"/>
                <w:sz w:val="18"/>
                <w:szCs w:val="18"/>
              </w:rPr>
              <w:t>》</w:t>
            </w:r>
            <w:r>
              <w:rPr>
                <w:rFonts w:ascii="宋体" w:hAnsi="宋体" w:cs="宋体" w:eastAsia="宋体" w:hint="default"/>
                <w:spacing w:val="-176"/>
                <w:sz w:val="18"/>
                <w:szCs w:val="18"/>
              </w:rPr>
              <w:t>、</w:t>
            </w:r>
            <w:r>
              <w:rPr>
                <w:rFonts w:ascii="宋体" w:hAnsi="宋体" w:cs="宋体" w:eastAsia="宋体" w:hint="default"/>
                <w:sz w:val="18"/>
                <w:szCs w:val="18"/>
              </w:rPr>
              <w:t>《企业会计</w:t>
            </w:r>
          </w:p>
          <w:p>
            <w:pPr>
              <w:pStyle w:val="TableParagraph"/>
              <w:spacing w:line="240" w:lineRule="auto" w:before="1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准则第 </w:t>
            </w:r>
            <w:r>
              <w:rPr>
                <w:rFonts w:ascii="Times New Roman" w:hAnsi="Times New Roman" w:cs="Times New Roman" w:eastAsia="Times New Roman" w:hint="default"/>
                <w:sz w:val="18"/>
                <w:szCs w:val="18"/>
              </w:rPr>
              <w:t>24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套期会计</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修订</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》及《企业会计准则第</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37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r>
              <w:rPr>
                <w:rFonts w:ascii="Times New Roman" w:hAnsi="Times New Roman" w:cs="Times New Roman" w:eastAsia="Times New Roman" w:hint="default"/>
                <w:sz w:val="18"/>
                <w:szCs w:val="18"/>
              </w:rPr>
              <w:t>(</w:t>
            </w:r>
            <w:r>
              <w:rPr>
                <w:rFonts w:ascii="宋体" w:hAnsi="宋体" w:cs="宋体" w:eastAsia="宋体" w:hint="default"/>
                <w:sz w:val="18"/>
                <w:szCs w:val="18"/>
              </w:rPr>
              <w:t>修订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统称</w:t>
            </w:r>
            <w:r>
              <w:rPr>
                <w:rFonts w:ascii="Times New Roman" w:hAnsi="Times New Roman" w:cs="Times New Roman" w:eastAsia="Times New Roman" w:hint="default"/>
                <w:sz w:val="18"/>
                <w:szCs w:val="18"/>
              </w:rPr>
              <w:t>“</w:t>
            </w:r>
            <w:r>
              <w:rPr>
                <w:rFonts w:ascii="宋体" w:hAnsi="宋体" w:cs="宋体" w:eastAsia="宋体" w:hint="default"/>
                <w:sz w:val="18"/>
                <w:szCs w:val="18"/>
              </w:rPr>
              <w:t>新金融工具准则</w:t>
            </w:r>
            <w:r>
              <w:rPr>
                <w:rFonts w:ascii="Times New Roman" w:hAnsi="Times New Roman" w:cs="Times New Roman" w:eastAsia="Times New Roman" w:hint="default"/>
                <w:sz w:val="18"/>
                <w:szCs w:val="18"/>
              </w:rPr>
              <w: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5"/>
              <w:jc w:val="left"/>
              <w:rPr>
                <w:rFonts w:ascii="宋体" w:hAnsi="宋体" w:cs="宋体" w:eastAsia="宋体" w:hint="default"/>
                <w:sz w:val="18"/>
                <w:szCs w:val="18"/>
              </w:rPr>
            </w:pPr>
            <w:r>
              <w:rPr>
                <w:rFonts w:ascii="宋体" w:hAnsi="宋体" w:cs="宋体" w:eastAsia="宋体" w:hint="default"/>
                <w:spacing w:val="12"/>
                <w:sz w:val="18"/>
                <w:szCs w:val="18"/>
              </w:rPr>
              <w:t>四维图新第四届第二十三次董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事会审批通过</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执行日期：</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13"/>
              <w:jc w:val="center"/>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pacing w:val="-3"/>
                <w:sz w:val="18"/>
                <w:szCs w:val="18"/>
              </w:rPr>
              <w:t>收</w:t>
            </w:r>
            <w:r>
              <w:rPr>
                <w:rFonts w:ascii="宋体" w:hAnsi="宋体" w:cs="宋体" w:eastAsia="宋体" w:hint="default"/>
                <w:sz w:val="18"/>
                <w:szCs w:val="18"/>
              </w:rPr>
              <w:t>入</w:t>
            </w:r>
            <w:r>
              <w:rPr>
                <w:rFonts w:ascii="Times New Roman" w:hAnsi="Times New Roman" w:cs="Times New Roman" w:eastAsia="Times New Roman" w:hint="default"/>
                <w:sz w:val="18"/>
                <w:szCs w:val="18"/>
              </w:rPr>
              <w:t>(</w:t>
            </w:r>
            <w:r>
              <w:rPr>
                <w:rFonts w:ascii="宋体" w:hAnsi="宋体" w:cs="宋体" w:eastAsia="宋体" w:hint="default"/>
                <w:sz w:val="18"/>
                <w:szCs w:val="18"/>
              </w:rPr>
              <w:t>修订</w:t>
            </w:r>
            <w:r>
              <w:rPr>
                <w:rFonts w:ascii="Times New Roman" w:hAnsi="Times New Roman" w:cs="Times New Roman" w:eastAsia="Times New Roman" w:hint="default"/>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新收入准</w:t>
            </w:r>
            <w:r>
              <w:rPr>
                <w:rFonts w:ascii="宋体" w:hAnsi="宋体" w:cs="宋体" w:eastAsia="宋体" w:hint="default"/>
                <w:spacing w:val="2"/>
                <w:sz w:val="18"/>
                <w:szCs w:val="18"/>
              </w:rPr>
              <w:t>则</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
              <w:jc w:val="left"/>
              <w:rPr>
                <w:rFonts w:ascii="宋体" w:hAnsi="宋体" w:cs="宋体" w:eastAsia="宋体" w:hint="default"/>
                <w:sz w:val="18"/>
                <w:szCs w:val="18"/>
              </w:rPr>
            </w:pPr>
            <w:r>
              <w:rPr>
                <w:rFonts w:ascii="宋体" w:hAnsi="宋体" w:cs="宋体" w:eastAsia="宋体" w:hint="default"/>
                <w:spacing w:val="12"/>
                <w:sz w:val="18"/>
                <w:szCs w:val="18"/>
              </w:rPr>
              <w:t>四维图新第四届第二十三次董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事会审批通过</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执行日期：</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9"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《关于修订印发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年度一般企业财务报表格式的通 </w:t>
            </w:r>
            <w:r>
              <w:rPr>
                <w:rFonts w:ascii="宋体" w:hAnsi="宋体" w:cs="宋体" w:eastAsia="宋体" w:hint="default"/>
                <w:spacing w:val="-9"/>
                <w:sz w:val="18"/>
                <w:szCs w:val="18"/>
              </w:rPr>
              <w:t>知》（财会〔</w:t>
            </w:r>
            <w:r>
              <w:rPr>
                <w:rFonts w:ascii="Times New Roman" w:hAnsi="Times New Roman" w:cs="Times New Roman" w:eastAsia="Times New Roman" w:hint="default"/>
                <w:spacing w:val="-9"/>
                <w:sz w:val="18"/>
                <w:szCs w:val="18"/>
              </w:rPr>
              <w:t>2019</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pacing w:val="-19"/>
                <w:sz w:val="18"/>
                <w:szCs w:val="18"/>
              </w:rPr>
              <w:t>号）、《关于修订印发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年度一般 </w:t>
            </w:r>
            <w:r>
              <w:rPr>
                <w:rFonts w:ascii="宋体" w:hAnsi="宋体" w:cs="宋体" w:eastAsia="宋体" w:hint="default"/>
                <w:spacing w:val="-4"/>
                <w:sz w:val="18"/>
                <w:szCs w:val="18"/>
              </w:rPr>
              <w:t>企业财务报表格式的通知》（财会〔</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16</w:t>
            </w:r>
            <w:r>
              <w:rPr>
                <w:rFonts w:ascii="Times New Roman" w:hAnsi="Times New Roman" w:cs="Times New Roman" w:eastAsia="Times New Roman" w:hint="default"/>
                <w:spacing w:val="6"/>
                <w:sz w:val="18"/>
                <w:szCs w:val="18"/>
              </w:rPr>
              <w:t> </w:t>
            </w:r>
            <w:r>
              <w:rPr>
                <w:rFonts w:ascii="宋体" w:hAnsi="宋体" w:cs="宋体" w:eastAsia="宋体" w:hint="default"/>
                <w:spacing w:val="-16"/>
                <w:w w:val="100"/>
                <w:sz w:val="18"/>
                <w:szCs w:val="18"/>
              </w:rPr>
              <w:t>号）（</w:t>
            </w:r>
            <w:r>
              <w:rPr>
                <w:rFonts w:ascii="Times New Roman" w:hAnsi="Times New Roman" w:cs="Times New Roman" w:eastAsia="Times New Roman" w:hint="default"/>
                <w:spacing w:val="-16"/>
                <w:w w:val="100"/>
                <w:sz w:val="18"/>
                <w:szCs w:val="18"/>
              </w:rPr>
              <w:t>“</w:t>
            </w:r>
            <w:r>
              <w:rPr>
                <w:rFonts w:ascii="宋体" w:hAnsi="宋体" w:cs="宋体" w:eastAsia="宋体" w:hint="default"/>
                <w:spacing w:val="-16"/>
                <w:w w:val="100"/>
                <w:sz w:val="18"/>
                <w:szCs w:val="18"/>
              </w:rPr>
              <w:t>新财</w:t>
            </w:r>
            <w:r>
              <w:rPr>
                <w:rFonts w:ascii="宋体" w:hAnsi="宋体" w:cs="宋体" w:eastAsia="宋体" w:hint="default"/>
                <w:sz w:val="18"/>
                <w:szCs w:val="18"/>
              </w:rPr>
              <w:t> 务报表格式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5"/>
              <w:jc w:val="left"/>
              <w:rPr>
                <w:rFonts w:ascii="宋体" w:hAnsi="宋体" w:cs="宋体" w:eastAsia="宋体" w:hint="default"/>
                <w:sz w:val="18"/>
                <w:szCs w:val="18"/>
              </w:rPr>
            </w:pPr>
            <w:r>
              <w:rPr>
                <w:rFonts w:ascii="宋体" w:hAnsi="宋体" w:cs="宋体" w:eastAsia="宋体" w:hint="default"/>
                <w:spacing w:val="12"/>
                <w:sz w:val="18"/>
                <w:szCs w:val="18"/>
              </w:rPr>
              <w:t>四维图新第四届第二十三次董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事会审批通过</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执行日期：</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7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非货币性资产交换 </w:t>
            </w:r>
            <w:r>
              <w:rPr>
                <w:rFonts w:ascii="Times New Roman" w:hAnsi="Times New Roman" w:cs="Times New Roman" w:eastAsia="Times New Roman" w:hint="default"/>
                <w:sz w:val="18"/>
                <w:szCs w:val="18"/>
              </w:rPr>
              <w:t>(</w:t>
            </w:r>
            <w:r>
              <w:rPr>
                <w:rFonts w:ascii="宋体" w:hAnsi="宋体" w:cs="宋体" w:eastAsia="宋体" w:hint="default"/>
                <w:sz w:val="18"/>
                <w:szCs w:val="18"/>
              </w:rPr>
              <w:t>修订</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新非货币性资产交换准则</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
              <w:jc w:val="left"/>
              <w:rPr>
                <w:rFonts w:ascii="宋体" w:hAnsi="宋体" w:cs="宋体" w:eastAsia="宋体" w:hint="default"/>
                <w:sz w:val="18"/>
                <w:szCs w:val="18"/>
              </w:rPr>
            </w:pPr>
            <w:r>
              <w:rPr>
                <w:rFonts w:ascii="宋体" w:hAnsi="宋体" w:cs="宋体" w:eastAsia="宋体" w:hint="default"/>
                <w:spacing w:val="12"/>
                <w:sz w:val="18"/>
                <w:szCs w:val="18"/>
              </w:rPr>
              <w:t>四维图新第四届第二十三次董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事会审批通过</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执行日期：</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71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《企业会计准则第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债务重组</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修订</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
                <w:sz w:val="18"/>
                <w:szCs w:val="18"/>
              </w:rPr>
              <w:t> </w:t>
            </w:r>
            <w:r>
              <w:rPr>
                <w:rFonts w:ascii="宋体" w:hAnsi="宋体" w:cs="宋体" w:eastAsia="宋体" w:hint="default"/>
                <w:spacing w:val="-16"/>
                <w:w w:val="99"/>
                <w:sz w:val="18"/>
                <w:szCs w:val="18"/>
              </w:rPr>
              <w:t>》（</w:t>
            </w:r>
            <w:r>
              <w:rPr>
                <w:rFonts w:ascii="Times New Roman" w:hAnsi="Times New Roman" w:cs="Times New Roman" w:eastAsia="Times New Roman" w:hint="default"/>
                <w:spacing w:val="-16"/>
                <w:w w:val="99"/>
                <w:sz w:val="18"/>
                <w:szCs w:val="18"/>
              </w:rPr>
              <w:t>"</w:t>
            </w:r>
            <w:r>
              <w:rPr>
                <w:rFonts w:ascii="宋体" w:hAnsi="宋体" w:cs="宋体" w:eastAsia="宋体" w:hint="default"/>
                <w:spacing w:val="-16"/>
                <w:w w:val="99"/>
                <w:sz w:val="18"/>
                <w:szCs w:val="18"/>
              </w:rPr>
              <w:t>新债务</w:t>
            </w:r>
            <w:r>
              <w:rPr>
                <w:rFonts w:ascii="宋体" w:hAnsi="宋体" w:cs="宋体" w:eastAsia="宋体" w:hint="default"/>
                <w:sz w:val="18"/>
                <w:szCs w:val="18"/>
              </w:rPr>
              <w:t> 重组准则</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
              <w:jc w:val="left"/>
              <w:rPr>
                <w:rFonts w:ascii="宋体" w:hAnsi="宋体" w:cs="宋体" w:eastAsia="宋体" w:hint="default"/>
                <w:sz w:val="18"/>
                <w:szCs w:val="18"/>
              </w:rPr>
            </w:pPr>
            <w:r>
              <w:rPr>
                <w:rFonts w:ascii="宋体" w:hAnsi="宋体" w:cs="宋体" w:eastAsia="宋体" w:hint="default"/>
                <w:spacing w:val="12"/>
                <w:sz w:val="18"/>
                <w:szCs w:val="18"/>
              </w:rPr>
              <w:t>四维图新第四届第二十三次董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事会审批通过</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执行日期：</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bl>
    <w:p>
      <w:pPr>
        <w:spacing w:line="240" w:lineRule="auto" w:before="8"/>
        <w:rPr>
          <w:rFonts w:ascii="宋体" w:hAnsi="宋体" w:cs="宋体" w:eastAsia="宋体" w:hint="default"/>
          <w:sz w:val="6"/>
          <w:szCs w:val="6"/>
        </w:rPr>
      </w:pPr>
    </w:p>
    <w:p>
      <w:pPr>
        <w:pStyle w:val="BodyText"/>
        <w:spacing w:line="439" w:lineRule="auto" w:before="44"/>
        <w:ind w:left="592" w:right="7974"/>
        <w:jc w:val="left"/>
        <w:rPr>
          <w:rFonts w:ascii="宋体" w:hAnsi="宋体" w:cs="宋体" w:eastAsia="宋体" w:hint="default"/>
        </w:rPr>
      </w:pPr>
      <w:r>
        <w:rPr/>
        <w:t>各项会计政策变更内容如下： </w:t>
      </w:r>
      <w:r>
        <w:rPr>
          <w:rFonts w:ascii="宋体" w:hAnsi="宋体" w:cs="宋体" w:eastAsia="宋体" w:hint="default"/>
        </w:rPr>
        <w:t>1.</w:t>
      </w:r>
      <w:r>
        <w:rPr/>
        <w:t>新金融工具准则</w:t>
      </w:r>
      <w:r>
        <w:rPr>
          <w:rFonts w:ascii="宋体" w:hAnsi="宋体" w:cs="宋体" w:eastAsia="宋体" w:hint="default"/>
        </w:rPr>
        <w:t> </w:t>
      </w:r>
    </w:p>
    <w:p>
      <w:pPr>
        <w:pStyle w:val="BodyText"/>
        <w:spacing w:line="316" w:lineRule="auto" w:before="47"/>
        <w:ind w:right="1134" w:firstLine="439"/>
        <w:jc w:val="both"/>
        <w:rPr>
          <w:rFonts w:ascii="宋体" w:hAnsi="宋体" w:cs="宋体" w:eastAsia="宋体" w:hint="default"/>
        </w:rPr>
      </w:pPr>
      <w:r>
        <w:rPr/>
        <w:t>以企业持有金融资产的“业务模式”和“金融资产合同现金流量特征”作为金融资产分类的判断依据，将金融资产分 类为以摊余成本计量的金融资产、以公允价值计量且其变动计入其他综合收益的金融资产以及以公允价值计量且其变动计</w:t>
      </w:r>
      <w:r>
        <w:rPr>
          <w:spacing w:val="-11"/>
        </w:rPr>
        <w:t> </w:t>
      </w:r>
      <w:r>
        <w:rPr>
          <w:spacing w:val="-11"/>
        </w:rPr>
      </w:r>
      <w:r>
        <w:rPr/>
        <w:t>入当期损益的金融资产三类；</w:t>
      </w:r>
      <w:r>
        <w:rPr>
          <w:rFonts w:ascii="宋体" w:hAnsi="宋体" w:cs="宋体" w:eastAsia="宋体" w:hint="default"/>
          <w:spacing w:val="1"/>
        </w:rPr>
        <w:t> </w:t>
      </w:r>
      <w:r>
        <w:rPr>
          <w:rFonts w:ascii="宋体" w:hAnsi="宋体" w:cs="宋体" w:eastAsia="宋体" w:hint="default"/>
        </w:rPr>
        <w:t> </w:t>
      </w:r>
    </w:p>
    <w:p>
      <w:pPr>
        <w:pStyle w:val="BodyText"/>
        <w:spacing w:line="316" w:lineRule="auto" w:before="139"/>
        <w:ind w:right="1134" w:firstLine="439"/>
        <w:jc w:val="both"/>
        <w:rPr>
          <w:rFonts w:ascii="宋体" w:hAnsi="宋体" w:cs="宋体" w:eastAsia="宋体" w:hint="default"/>
        </w:rPr>
      </w:pPr>
      <w:r>
        <w:rPr/>
        <w:t>将金融资产减值会计处理由“已发生损失法”修改为“预期损失法”，要求考虑金融资产未来预期信用损失情况，从 而更加及时、足额地计提金融资产减值准备；</w:t>
      </w:r>
      <w:r>
        <w:rPr>
          <w:rFonts w:ascii="宋体" w:hAnsi="宋体" w:cs="宋体" w:eastAsia="宋体" w:hint="default"/>
          <w:spacing w:val="1"/>
        </w:rPr>
        <w:t> </w:t>
      </w:r>
      <w:r>
        <w:rPr>
          <w:rFonts w:ascii="宋体" w:hAnsi="宋体" w:cs="宋体" w:eastAsia="宋体" w:hint="default"/>
        </w:rPr>
        <w:t> </w:t>
      </w:r>
    </w:p>
    <w:p>
      <w:pPr>
        <w:pStyle w:val="BodyText"/>
        <w:spacing w:line="316" w:lineRule="auto" w:before="139"/>
        <w:ind w:right="0" w:firstLine="439"/>
        <w:jc w:val="left"/>
        <w:rPr>
          <w:rFonts w:ascii="宋体" w:hAnsi="宋体" w:cs="宋体" w:eastAsia="宋体" w:hint="default"/>
        </w:rPr>
      </w:pPr>
      <w:r>
        <w:rPr/>
        <w:t>调整非交易性权益工具投资的会计处理，允许企业将非交易性权益工具投资指定为以公允价值计量且其变动计入其他 </w:t>
      </w:r>
      <w:r>
        <w:rPr>
          <w:spacing w:val="-2"/>
        </w:rPr>
        <w:t>综合收益进行处理，但该指定不可撤销，且在处置时不得将原计入其他综合收益的累计公允价值变动额结转计入当期损益；</w:t>
      </w:r>
      <w:r>
        <w:rPr>
          <w:rFonts w:ascii="宋体" w:hAnsi="宋体" w:cs="宋体" w:eastAsia="宋体" w:hint="default"/>
          <w:spacing w:val="1"/>
        </w:rPr>
        <w:t> </w:t>
      </w:r>
      <w:r>
        <w:rPr>
          <w:rFonts w:ascii="宋体" w:hAnsi="宋体" w:cs="宋体" w:eastAsia="宋体" w:hint="default"/>
        </w:rPr>
        <w:t> </w:t>
      </w:r>
    </w:p>
    <w:p>
      <w:pPr>
        <w:pStyle w:val="BodyText"/>
        <w:spacing w:line="432" w:lineRule="exact" w:before="4"/>
        <w:ind w:left="592" w:right="1134"/>
        <w:jc w:val="left"/>
      </w:pPr>
      <w:r>
        <w:rPr/>
        <w:t>进一步明确金融资产转移的判断原则及其会计处理；</w:t>
      </w:r>
      <w:r>
        <w:rPr>
          <w:rFonts w:ascii="宋体" w:hAnsi="宋体" w:cs="宋体" w:eastAsia="宋体" w:hint="default"/>
          <w:spacing w:val="1"/>
        </w:rPr>
        <w:t> </w:t>
      </w:r>
      <w:r>
        <w:rPr>
          <w:rFonts w:ascii="宋体" w:hAnsi="宋体" w:cs="宋体" w:eastAsia="宋体" w:hint="default"/>
        </w:rPr>
        <w:t> </w:t>
      </w:r>
      <w:r>
        <w:rPr/>
        <w:t>套期会计准则更加强调套期会计与企业风险管理活动的有机结合，更好地反映企业的风险管理活动。</w:t>
      </w:r>
      <w:r>
        <w:rPr>
          <w:rFonts w:ascii="宋体" w:hAnsi="宋体" w:cs="宋体" w:eastAsia="宋体" w:hint="default"/>
          <w:spacing w:val="1"/>
        </w:rPr>
        <w:t> </w:t>
      </w:r>
      <w:r>
        <w:rPr>
          <w:rFonts w:ascii="宋体" w:hAnsi="宋体" w:cs="宋体" w:eastAsia="宋体" w:hint="default"/>
        </w:rPr>
        <w:t> </w:t>
      </w:r>
      <w:r>
        <w:rPr/>
        <w:t>本集团自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日起执行新金融工具准则，根据新准则衔接规定，无需追溯调整前期比较财务报表数据，执行新</w:t>
      </w:r>
    </w:p>
    <w:p>
      <w:pPr>
        <w:pStyle w:val="BodyText"/>
        <w:spacing w:line="240" w:lineRule="auto" w:before="15"/>
        <w:ind w:right="0"/>
        <w:jc w:val="both"/>
        <w:rPr>
          <w:rFonts w:ascii="宋体" w:hAnsi="宋体" w:cs="宋体" w:eastAsia="宋体" w:hint="default"/>
        </w:rPr>
      </w:pPr>
      <w:r>
        <w:rPr/>
        <w:t>准则的累计影响数调整</w:t>
      </w:r>
      <w:r>
        <w:rPr>
          <w:rFonts w:ascii="Times New Roman" w:hAnsi="Times New Roman" w:cs="Times New Roman" w:eastAsia="Times New Roman" w:hint="default"/>
        </w:rPr>
        <w:t>2019</w:t>
      </w:r>
      <w:r>
        <w:rPr/>
        <w:t>年期初留存收益、其他综合收益及财务报表其他相关项目金额，详见本附注五、</w:t>
      </w:r>
      <w:r>
        <w:rPr>
          <w:rFonts w:ascii="Times New Roman" w:hAnsi="Times New Roman" w:cs="Times New Roman" w:eastAsia="Times New Roman" w:hint="default"/>
        </w:rPr>
        <w:t>44</w:t>
      </w:r>
      <w:r>
        <w:rPr/>
        <w:t>（</w:t>
      </w:r>
      <w:r>
        <w:rPr>
          <w:rFonts w:ascii="Times New Roman" w:hAnsi="Times New Roman" w:cs="Times New Roman" w:eastAsia="Times New Roman" w:hint="default"/>
        </w:rPr>
        <w:t>3</w:t>
      </w:r>
      <w:r>
        <w:rPr/>
        <w:t>）。</w:t>
      </w:r>
      <w:r>
        <w:rPr>
          <w:rFonts w:ascii="宋体" w:hAnsi="宋体" w:cs="宋体" w:eastAsia="宋体" w:hint="default"/>
        </w:rPr>
        <w:t> </w:t>
      </w:r>
    </w:p>
    <w:p>
      <w:pPr>
        <w:pStyle w:val="BodyText"/>
        <w:spacing w:line="432" w:lineRule="exact" w:before="47"/>
        <w:ind w:left="592" w:right="1134"/>
        <w:jc w:val="left"/>
      </w:pPr>
      <w:r>
        <w:rPr>
          <w:rFonts w:ascii="宋体" w:hAnsi="宋体" w:cs="宋体" w:eastAsia="宋体" w:hint="default"/>
        </w:rPr>
        <w:t>2.</w:t>
      </w:r>
      <w:r>
        <w:rPr/>
        <w:t>新收入准则</w:t>
      </w:r>
      <w:r>
        <w:rPr>
          <w:rFonts w:ascii="宋体" w:hAnsi="宋体" w:cs="宋体" w:eastAsia="宋体" w:hint="default"/>
        </w:rPr>
        <w:t> </w:t>
      </w:r>
      <w:r>
        <w:rPr/>
        <w:t>新收入准则将现行收入和建造合同两项准则纳入统一的收入确认模型，采用统一的收入确认模型来规范所有与客户之</w:t>
      </w:r>
    </w:p>
    <w:p>
      <w:pPr>
        <w:pStyle w:val="BodyText"/>
        <w:spacing w:line="316" w:lineRule="auto" w:before="15"/>
        <w:ind w:right="1129"/>
        <w:jc w:val="both"/>
        <w:rPr>
          <w:rFonts w:ascii="宋体" w:hAnsi="宋体" w:cs="宋体" w:eastAsia="宋体" w:hint="default"/>
        </w:rPr>
      </w:pPr>
      <w:r>
        <w:rPr>
          <w:spacing w:val="-2"/>
        </w:rPr>
        <w:t>间的合同产生的收入，并明确“在某一时段内”还是“在某一时点”确认收入；以控制权转移替代风险报酬转移作为收入确</w:t>
      </w:r>
      <w:r>
        <w:rPr>
          <w:spacing w:val="-64"/>
        </w:rPr>
        <w:t> </w:t>
      </w:r>
      <w:r>
        <w:rPr>
          <w:spacing w:val="-64"/>
        </w:rPr>
      </w:r>
      <w:r>
        <w:rPr>
          <w:spacing w:val="-2"/>
        </w:rPr>
        <w:t>认时点的判断标准；对于包含多重交易安排的合同的会计处理提供更明确的指引；对于某些特定交易（或事项）的收入确认</w:t>
      </w:r>
      <w:r>
        <w:rPr>
          <w:spacing w:val="-62"/>
        </w:rPr>
        <w:t> </w:t>
      </w:r>
      <w:r>
        <w:rPr>
          <w:spacing w:val="-62"/>
        </w:rPr>
      </w:r>
      <w:r>
        <w:rPr/>
        <w:t>和计量给出了明确规定。</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5" w:firstLine="439"/>
        <w:jc w:val="left"/>
        <w:rPr>
          <w:rFonts w:ascii="宋体" w:hAnsi="宋体" w:cs="宋体" w:eastAsia="宋体" w:hint="default"/>
        </w:rPr>
      </w:pPr>
      <w:r>
        <w:rPr/>
        <w:t>本集团自</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1</w:t>
      </w:r>
      <w:r>
        <w:rPr/>
        <w:t>日起执行新收入准则，根据新准则衔接规定，无需追溯调整前期比较财务报表数据，执行新准则 的累计影响数调整</w:t>
      </w:r>
      <w:r>
        <w:rPr>
          <w:rFonts w:ascii="宋体" w:hAnsi="宋体" w:cs="宋体" w:eastAsia="宋体" w:hint="default"/>
        </w:rPr>
        <w:t>2019</w:t>
      </w:r>
      <w:r>
        <w:rPr/>
        <w:t>年期初留存收益、其他综合收益及财务报表其他相关项目金额，对可比期间信息不予调整。</w:t>
      </w:r>
      <w:r>
        <w:rPr>
          <w:rFonts w:ascii="宋体" w:hAnsi="宋体" w:cs="宋体" w:eastAsia="宋体" w:hint="default"/>
        </w:rPr>
        <w:t> </w:t>
      </w:r>
    </w:p>
    <w:p>
      <w:pPr>
        <w:pStyle w:val="BodyText"/>
        <w:spacing w:line="432" w:lineRule="exact" w:before="3"/>
        <w:ind w:left="592" w:right="0"/>
        <w:jc w:val="left"/>
      </w:pPr>
      <w:r>
        <w:rPr>
          <w:rFonts w:ascii="宋体" w:hAnsi="宋体" w:cs="宋体" w:eastAsia="宋体" w:hint="default"/>
        </w:rPr>
        <w:t>3.</w:t>
      </w:r>
      <w:r>
        <w:rPr/>
        <w:t>新财务报表格式</w:t>
      </w:r>
      <w:r>
        <w:rPr>
          <w:rFonts w:ascii="宋体" w:hAnsi="宋体" w:cs="宋体" w:eastAsia="宋体" w:hint="default"/>
        </w:rPr>
        <w:t> </w:t>
      </w:r>
      <w:r>
        <w:rPr/>
        <w:t>将原资产负债表中的“应收票据及应收账款”行项目分拆为“应收票据”、“应收账款”、“应收款项融资”三个行</w:t>
      </w:r>
    </w:p>
    <w:p>
      <w:pPr>
        <w:pStyle w:val="BodyText"/>
        <w:spacing w:line="240" w:lineRule="auto" w:before="15"/>
        <w:ind w:right="0"/>
        <w:jc w:val="left"/>
        <w:rPr>
          <w:rFonts w:ascii="宋体" w:hAnsi="宋体" w:cs="宋体" w:eastAsia="宋体" w:hint="default"/>
        </w:rPr>
      </w:pPr>
      <w:r>
        <w:rPr/>
        <w:t>项目；将 </w:t>
      </w:r>
      <w:r>
        <w:rPr>
          <w:rFonts w:ascii="宋体" w:hAnsi="宋体" w:cs="宋体" w:eastAsia="宋体" w:hint="default"/>
        </w:rPr>
      </w:r>
      <w:r>
        <w:rPr/>
        <w:t>“应付票据及应付账款”行项目分拆为“应付票据”、“应付账款”</w:t>
      </w:r>
      <w:r>
        <w:rPr>
          <w:spacing w:val="1"/>
        </w:rPr>
        <w:t> </w:t>
      </w:r>
      <w:r>
        <w:rPr/>
        <w:t>两个行项目；</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35" w:firstLine="439"/>
        <w:jc w:val="left"/>
        <w:rPr>
          <w:rFonts w:ascii="宋体" w:hAnsi="宋体" w:cs="宋体" w:eastAsia="宋体" w:hint="default"/>
        </w:rPr>
      </w:pPr>
      <w:r>
        <w:rPr/>
        <w:t>资产负债表中“递延收益”项目中摊销期限只剩一年或不足一年的，或预计在一年内（含一年）进行摊销的部分，不 再归类为流动负债，仍在该项目中填列；</w:t>
      </w:r>
      <w:r>
        <w:rPr>
          <w:rFonts w:ascii="宋体" w:hAnsi="宋体" w:cs="宋体" w:eastAsia="宋体" w:hint="default"/>
        </w:rPr>
        <w:t> </w:t>
      </w:r>
    </w:p>
    <w:p>
      <w:pPr>
        <w:pStyle w:val="BodyText"/>
        <w:spacing w:line="316" w:lineRule="auto" w:before="139"/>
        <w:ind w:right="0" w:firstLine="439"/>
        <w:jc w:val="left"/>
        <w:rPr>
          <w:rFonts w:ascii="宋体" w:hAnsi="宋体" w:cs="宋体" w:eastAsia="宋体" w:hint="default"/>
        </w:rPr>
      </w:pPr>
      <w:r>
        <w:rPr/>
        <w:t>利润表在原“投资收益”行项目下增加“其中：以摊余成本计量的金融资产终止确认收益”行项目，反映因转让等情 形导致终止确认以摊余成本计量的金融资产而产生的利得或损失；</w:t>
      </w:r>
      <w:r>
        <w:rPr>
          <w:rFonts w:ascii="宋体" w:hAnsi="宋体" w:cs="宋体" w:eastAsia="宋体" w:hint="default"/>
        </w:rPr>
        <w:t> </w:t>
      </w:r>
    </w:p>
    <w:p>
      <w:pPr>
        <w:pStyle w:val="BodyText"/>
        <w:spacing w:line="319" w:lineRule="auto" w:before="139"/>
        <w:ind w:right="1133" w:firstLine="439"/>
        <w:jc w:val="left"/>
        <w:rPr>
          <w:rFonts w:ascii="宋体" w:hAnsi="宋体" w:cs="宋体" w:eastAsia="宋体" w:hint="default"/>
        </w:rPr>
      </w:pPr>
      <w:r>
        <w:rPr/>
        <w:t>利润表“资产减值损失”和“信用减值损失”项目由“减：资产减值损失”、“减：信用减值损失”改为“加：资产 减值损失（损失以“</w:t>
      </w:r>
      <w:r>
        <w:rPr>
          <w:rFonts w:ascii="宋体" w:hAnsi="宋体" w:cs="宋体" w:eastAsia="宋体" w:hint="default"/>
        </w:rPr>
        <w:t>-</w:t>
      </w:r>
      <w:r>
        <w:rPr/>
        <w:t>”号填列）”、“加：信用减值损失（损失以“</w:t>
      </w:r>
      <w:r>
        <w:rPr>
          <w:rFonts w:ascii="宋体" w:hAnsi="宋体" w:cs="宋体" w:eastAsia="宋体" w:hint="default"/>
        </w:rPr>
        <w:t>-</w:t>
      </w:r>
      <w:r>
        <w:rPr/>
        <w:t>”号填列）”。</w:t>
      </w:r>
      <w:r>
        <w:rPr>
          <w:rFonts w:ascii="宋体" w:hAnsi="宋体" w:cs="宋体" w:eastAsia="宋体" w:hint="default"/>
        </w:rPr>
        <w:t> </w:t>
      </w:r>
    </w:p>
    <w:p>
      <w:pPr>
        <w:pStyle w:val="BodyText"/>
        <w:spacing w:line="240" w:lineRule="auto" w:before="137"/>
        <w:ind w:left="592" w:right="0"/>
        <w:jc w:val="left"/>
      </w:pPr>
      <w:r>
        <w:rPr/>
        <w:t>本集团根据新财务报表格式编制</w:t>
      </w:r>
      <w:r>
        <w:rPr>
          <w:rFonts w:ascii="Times New Roman" w:hAnsi="Times New Roman" w:cs="Times New Roman" w:eastAsia="Times New Roman" w:hint="default"/>
        </w:rPr>
        <w:t>2019</w:t>
      </w:r>
      <w:r>
        <w:rPr/>
        <w:t>年度财务报表和调整比较财务报表，调整相关财务报表列报如下：</w:t>
      </w:r>
    </w:p>
    <w:p>
      <w:pPr>
        <w:spacing w:line="240" w:lineRule="auto" w:before="2"/>
        <w:rPr>
          <w:rFonts w:ascii="宋体" w:hAnsi="宋体" w:cs="宋体" w:eastAsia="宋体" w:hint="default"/>
          <w:sz w:val="13"/>
          <w:szCs w:val="13"/>
        </w:rPr>
      </w:pPr>
    </w:p>
    <w:tbl>
      <w:tblPr>
        <w:tblW w:w="0" w:type="auto"/>
        <w:jc w:val="left"/>
        <w:tblInd w:w="164" w:type="dxa"/>
        <w:tblLayout w:type="fixed"/>
        <w:tblCellMar>
          <w:top w:w="0" w:type="dxa"/>
          <w:left w:w="0" w:type="dxa"/>
          <w:bottom w:w="0" w:type="dxa"/>
          <w:right w:w="0" w:type="dxa"/>
        </w:tblCellMar>
        <w:tblLook w:val="01E0"/>
      </w:tblPr>
      <w:tblGrid>
        <w:gridCol w:w="3260"/>
        <w:gridCol w:w="2081"/>
        <w:gridCol w:w="2078"/>
        <w:gridCol w:w="2079"/>
      </w:tblGrid>
      <w:tr>
        <w:trPr>
          <w:trHeight w:val="348" w:hRule="exact"/>
        </w:trPr>
        <w:tc>
          <w:tcPr>
            <w:tcW w:w="326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20"/>
              <w:ind w:left="722"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6239"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377" w:right="0"/>
              <w:jc w:val="left"/>
              <w:rPr>
                <w:rFonts w:ascii="宋体" w:hAnsi="宋体" w:cs="宋体" w:eastAsia="宋体" w:hint="default"/>
                <w:sz w:val="18"/>
                <w:szCs w:val="18"/>
              </w:rPr>
            </w:pPr>
            <w:r>
              <w:rPr>
                <w:rFonts w:ascii="宋体" w:hAnsi="宋体" w:cs="宋体" w:eastAsia="宋体" w:hint="default"/>
                <w:sz w:val="18"/>
                <w:szCs w:val="18"/>
              </w:rPr>
              <w:t>合并财务报表（</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r>
      <w:tr>
        <w:trPr>
          <w:trHeight w:val="346" w:hRule="exact"/>
        </w:trPr>
        <w:tc>
          <w:tcPr>
            <w:tcW w:w="3260" w:type="dxa"/>
            <w:vMerge/>
            <w:tcBorders>
              <w:left w:val="single" w:sz="6" w:space="0" w:color="000000"/>
              <w:bottom w:val="single" w:sz="6" w:space="0" w:color="000000"/>
              <w:right w:val="single" w:sz="6" w:space="0" w:color="000000"/>
            </w:tcBorders>
            <w:shd w:val="clear" w:color="auto" w:fill="D9D9D9"/>
          </w:tcPr>
          <w:p>
            <w:pPr/>
          </w:p>
        </w:tc>
        <w:tc>
          <w:tcPr>
            <w:tcW w:w="20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20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调整数</w:t>
            </w:r>
          </w:p>
        </w:tc>
        <w:tc>
          <w:tcPr>
            <w:tcW w:w="20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48" w:hRule="exact"/>
        </w:trPr>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512,918,341.65</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-512,918,341.65</w:t>
            </w:r>
          </w:p>
        </w:tc>
        <w:tc>
          <w:tcPr>
            <w:tcW w:w="207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81" w:type="dxa"/>
            <w:tcBorders>
              <w:top w:val="single" w:sz="6" w:space="0" w:color="000000"/>
              <w:left w:val="single" w:sz="6" w:space="0" w:color="000000"/>
              <w:bottom w:val="single" w:sz="6" w:space="0" w:color="000000"/>
              <w:right w:val="single" w:sz="6" w:space="0" w:color="000000"/>
            </w:tcBorders>
          </w:tcPr>
          <w:p>
            <w:pP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75,331,342.98</w:t>
            </w:r>
          </w:p>
        </w:tc>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75,331,342.98</w:t>
            </w:r>
          </w:p>
        </w:tc>
      </w:tr>
      <w:tr>
        <w:trPr>
          <w:trHeight w:val="348" w:hRule="exact"/>
        </w:trPr>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81" w:type="dxa"/>
            <w:tcBorders>
              <w:top w:val="single" w:sz="6" w:space="0" w:color="000000"/>
              <w:left w:val="single" w:sz="6" w:space="0" w:color="000000"/>
              <w:bottom w:val="single" w:sz="6" w:space="0" w:color="000000"/>
              <w:right w:val="single" w:sz="6" w:space="0" w:color="000000"/>
            </w:tcBorders>
          </w:tcPr>
          <w:p>
            <w:pP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437,586,998.67</w:t>
            </w:r>
          </w:p>
        </w:tc>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437,586,998.67</w:t>
            </w:r>
          </w:p>
        </w:tc>
      </w:tr>
      <w:tr>
        <w:trPr>
          <w:trHeight w:val="346" w:hRule="exact"/>
        </w:trPr>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156,012,955.30</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-156,012,955.30</w:t>
            </w:r>
          </w:p>
        </w:tc>
        <w:tc>
          <w:tcPr>
            <w:tcW w:w="207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81" w:type="dxa"/>
            <w:tcBorders>
              <w:top w:val="single" w:sz="6" w:space="0" w:color="000000"/>
              <w:left w:val="single" w:sz="6" w:space="0" w:color="000000"/>
              <w:bottom w:val="single" w:sz="6" w:space="0" w:color="000000"/>
              <w:right w:val="single" w:sz="6" w:space="0" w:color="000000"/>
            </w:tcBorders>
          </w:tcPr>
          <w:p>
            <w:pP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25,003,958.62</w:t>
            </w:r>
          </w:p>
        </w:tc>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25,003,958.62</w:t>
            </w:r>
          </w:p>
        </w:tc>
      </w:tr>
      <w:tr>
        <w:trPr>
          <w:trHeight w:val="348" w:hRule="exact"/>
        </w:trPr>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81" w:type="dxa"/>
            <w:tcBorders>
              <w:top w:val="single" w:sz="6" w:space="0" w:color="000000"/>
              <w:left w:val="single" w:sz="6" w:space="0" w:color="000000"/>
              <w:bottom w:val="single" w:sz="6" w:space="0" w:color="000000"/>
              <w:right w:val="single" w:sz="6" w:space="0" w:color="000000"/>
            </w:tcBorders>
          </w:tcPr>
          <w:p>
            <w:pP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131,008,996.68</w:t>
            </w:r>
          </w:p>
        </w:tc>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131,008,996.68</w:t>
            </w:r>
          </w:p>
        </w:tc>
      </w:tr>
      <w:tr>
        <w:trPr>
          <w:trHeight w:val="346" w:hRule="exact"/>
        </w:trPr>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49,217,588.48</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-4,973,085.68</w:t>
            </w:r>
          </w:p>
        </w:tc>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44,244,502.80</w:t>
            </w:r>
          </w:p>
        </w:tc>
      </w:tr>
      <w:tr>
        <w:trPr>
          <w:trHeight w:val="348" w:hRule="exact"/>
        </w:trPr>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30,997,377.49</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4,973,085.68</w:t>
            </w:r>
          </w:p>
        </w:tc>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35,970,463.17</w:t>
            </w:r>
          </w:p>
        </w:tc>
      </w:tr>
      <w:tr>
        <w:trPr>
          <w:trHeight w:val="346" w:hRule="exact"/>
        </w:trPr>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减：资产减值损失</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945,892,718.64</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-945,892,718.64</w:t>
            </w:r>
          </w:p>
        </w:tc>
        <w:tc>
          <w:tcPr>
            <w:tcW w:w="207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加：资产减值损失（损失以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81" w:type="dxa"/>
            <w:tcBorders>
              <w:top w:val="single" w:sz="6" w:space="0" w:color="000000"/>
              <w:left w:val="single" w:sz="6" w:space="0" w:color="000000"/>
              <w:bottom w:val="single" w:sz="6" w:space="0" w:color="000000"/>
              <w:right w:val="single" w:sz="6" w:space="0" w:color="000000"/>
            </w:tcBorders>
          </w:tcPr>
          <w:p>
            <w:pP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-945,892,718.64</w:t>
            </w:r>
          </w:p>
        </w:tc>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-945,892,718.64</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tbl>
      <w:tblPr>
        <w:tblW w:w="0" w:type="auto"/>
        <w:jc w:val="left"/>
        <w:tblInd w:w="164" w:type="dxa"/>
        <w:tblLayout w:type="fixed"/>
        <w:tblCellMar>
          <w:top w:w="0" w:type="dxa"/>
          <w:left w:w="0" w:type="dxa"/>
          <w:bottom w:w="0" w:type="dxa"/>
          <w:right w:w="0" w:type="dxa"/>
        </w:tblCellMar>
        <w:tblLook w:val="01E0"/>
      </w:tblPr>
      <w:tblGrid>
        <w:gridCol w:w="3260"/>
        <w:gridCol w:w="2081"/>
        <w:gridCol w:w="2078"/>
        <w:gridCol w:w="2079"/>
      </w:tblGrid>
      <w:tr>
        <w:trPr>
          <w:trHeight w:val="343" w:hRule="exact"/>
        </w:trPr>
        <w:tc>
          <w:tcPr>
            <w:tcW w:w="326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left="722"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6239"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286" w:right="0"/>
              <w:jc w:val="left"/>
              <w:rPr>
                <w:rFonts w:ascii="宋体" w:hAnsi="宋体" w:cs="宋体" w:eastAsia="宋体" w:hint="default"/>
                <w:sz w:val="18"/>
                <w:szCs w:val="18"/>
              </w:rPr>
            </w:pPr>
            <w:r>
              <w:rPr>
                <w:rFonts w:ascii="宋体" w:hAnsi="宋体" w:cs="宋体" w:eastAsia="宋体" w:hint="default"/>
                <w:sz w:val="18"/>
                <w:szCs w:val="18"/>
              </w:rPr>
              <w:t>母公司财务报表（</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r>
      <w:tr>
        <w:trPr>
          <w:trHeight w:val="346" w:hRule="exact"/>
        </w:trPr>
        <w:tc>
          <w:tcPr>
            <w:tcW w:w="3260" w:type="dxa"/>
            <w:vMerge/>
            <w:tcBorders>
              <w:left w:val="single" w:sz="6" w:space="0" w:color="000000"/>
              <w:bottom w:val="single" w:sz="6" w:space="0" w:color="000000"/>
              <w:right w:val="single" w:sz="6" w:space="0" w:color="000000"/>
            </w:tcBorders>
            <w:shd w:val="clear" w:color="auto" w:fill="D9D9D9"/>
          </w:tcPr>
          <w:p>
            <w:pPr/>
          </w:p>
        </w:tc>
        <w:tc>
          <w:tcPr>
            <w:tcW w:w="20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20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调整数</w:t>
            </w:r>
          </w:p>
        </w:tc>
        <w:tc>
          <w:tcPr>
            <w:tcW w:w="20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48" w:hRule="exact"/>
        </w:trPr>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126,977,477.69</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-126,977,477.69</w:t>
            </w:r>
          </w:p>
        </w:tc>
        <w:tc>
          <w:tcPr>
            <w:tcW w:w="2079"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81" w:type="dxa"/>
            <w:tcBorders>
              <w:top w:val="single" w:sz="6" w:space="0" w:color="000000"/>
              <w:left w:val="single" w:sz="6" w:space="0" w:color="000000"/>
              <w:bottom w:val="single" w:sz="6" w:space="0" w:color="000000"/>
              <w:right w:val="single" w:sz="6" w:space="0" w:color="000000"/>
            </w:tcBorders>
          </w:tcPr>
          <w:p>
            <w:pP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32,144,092.32</w:t>
            </w:r>
          </w:p>
        </w:tc>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32,144,092.32</w:t>
            </w:r>
          </w:p>
        </w:tc>
      </w:tr>
      <w:tr>
        <w:trPr>
          <w:trHeight w:val="346" w:hRule="exact"/>
        </w:trPr>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81" w:type="dxa"/>
            <w:tcBorders>
              <w:top w:val="single" w:sz="6" w:space="0" w:color="000000"/>
              <w:left w:val="single" w:sz="6" w:space="0" w:color="000000"/>
              <w:bottom w:val="single" w:sz="6" w:space="0" w:color="000000"/>
              <w:right w:val="single" w:sz="6" w:space="0" w:color="000000"/>
            </w:tcBorders>
          </w:tcPr>
          <w:p>
            <w:pP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94,833,385.37</w:t>
            </w:r>
          </w:p>
        </w:tc>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94,833,385.37</w:t>
            </w:r>
          </w:p>
        </w:tc>
      </w:tr>
      <w:tr>
        <w:trPr>
          <w:trHeight w:val="348" w:hRule="exact"/>
        </w:trPr>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1,463,687.09</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-1,463,687.09</w:t>
            </w:r>
          </w:p>
        </w:tc>
        <w:tc>
          <w:tcPr>
            <w:tcW w:w="207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81" w:type="dxa"/>
            <w:tcBorders>
              <w:top w:val="single" w:sz="6" w:space="0" w:color="000000"/>
              <w:left w:val="single" w:sz="6" w:space="0" w:color="000000"/>
              <w:bottom w:val="single" w:sz="6" w:space="0" w:color="000000"/>
              <w:right w:val="single" w:sz="6" w:space="0" w:color="000000"/>
            </w:tcBorders>
          </w:tcPr>
          <w:p>
            <w:pP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1,463,687.09</w:t>
            </w:r>
          </w:p>
        </w:tc>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1,463,687.09</w:t>
            </w:r>
          </w:p>
        </w:tc>
      </w:tr>
      <w:tr>
        <w:trPr>
          <w:trHeight w:val="348" w:hRule="exact"/>
        </w:trPr>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38,314,229.49</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-1,698,175.35</w:t>
            </w:r>
          </w:p>
        </w:tc>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36,616,054.14</w:t>
            </w:r>
          </w:p>
        </w:tc>
      </w:tr>
      <w:tr>
        <w:trPr>
          <w:trHeight w:val="348" w:hRule="exact"/>
        </w:trPr>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081" w:type="dxa"/>
            <w:tcBorders>
              <w:top w:val="single" w:sz="6" w:space="0" w:color="000000"/>
              <w:left w:val="single" w:sz="6" w:space="0" w:color="000000"/>
              <w:bottom w:val="single" w:sz="6" w:space="0" w:color="000000"/>
              <w:right w:val="single" w:sz="6" w:space="0" w:color="000000"/>
            </w:tcBorders>
          </w:tcPr>
          <w:p>
            <w:pP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1,698,175.35</w:t>
            </w:r>
          </w:p>
        </w:tc>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1,698,175.35</w:t>
            </w:r>
          </w:p>
        </w:tc>
      </w:tr>
      <w:tr>
        <w:trPr>
          <w:trHeight w:val="346" w:hRule="exact"/>
        </w:trPr>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减：资产减值损失</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631,088,058.48</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-631,088,058.48</w:t>
            </w:r>
          </w:p>
        </w:tc>
        <w:tc>
          <w:tcPr>
            <w:tcW w:w="207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加：资产减值损失（损失以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81" w:type="dxa"/>
            <w:tcBorders>
              <w:top w:val="single" w:sz="6" w:space="0" w:color="000000"/>
              <w:left w:val="single" w:sz="6" w:space="0" w:color="000000"/>
              <w:bottom w:val="single" w:sz="6" w:space="0" w:color="000000"/>
              <w:right w:val="single" w:sz="6" w:space="0" w:color="000000"/>
            </w:tcBorders>
          </w:tcPr>
          <w:p>
            <w:pP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-631,088,058.48</w:t>
            </w:r>
          </w:p>
        </w:tc>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-631,088,058.48</w:t>
            </w:r>
          </w:p>
        </w:tc>
      </w:tr>
    </w:tbl>
    <w:p>
      <w:pPr>
        <w:spacing w:line="240" w:lineRule="auto" w:before="8"/>
        <w:rPr>
          <w:rFonts w:ascii="宋体" w:hAnsi="宋体" w:cs="宋体" w:eastAsia="宋体" w:hint="default"/>
          <w:sz w:val="6"/>
          <w:szCs w:val="6"/>
        </w:rPr>
      </w:pPr>
    </w:p>
    <w:p>
      <w:pPr>
        <w:pStyle w:val="BodyText"/>
        <w:spacing w:line="439" w:lineRule="auto" w:before="44"/>
        <w:ind w:left="592" w:right="1134"/>
        <w:jc w:val="left"/>
      </w:pPr>
      <w:r>
        <w:rPr>
          <w:rFonts w:ascii="宋体" w:hAnsi="宋体" w:cs="宋体" w:eastAsia="宋体" w:hint="default"/>
        </w:rPr>
        <w:t>4.</w:t>
      </w:r>
      <w:r>
        <w:rPr/>
        <w:t>新非货币性资产交换准则</w:t>
      </w:r>
      <w:r>
        <w:rPr>
          <w:rFonts w:ascii="宋体" w:hAnsi="宋体" w:cs="宋体" w:eastAsia="宋体" w:hint="default"/>
        </w:rPr>
        <w:t> </w:t>
      </w:r>
      <w:r>
        <w:rPr/>
        <w:t>明确了非货币性资产交换的概念和应适用其他准则的情形，明确了货币性资产是指企业持有的货币资金和收取固定或</w:t>
      </w:r>
    </w:p>
    <w:p>
      <w:pPr>
        <w:spacing w:after="0" w:line="439"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rPr>
          <w:rFonts w:ascii="宋体" w:hAnsi="宋体" w:cs="宋体" w:eastAsia="宋体" w:hint="default"/>
        </w:rPr>
      </w:pPr>
      <w:r>
        <w:rPr>
          <w:spacing w:val="-2"/>
        </w:rPr>
        <w:t>可确定金额的货币资金的权利；明确了非货币性资产交换的确认时点。明确了不同条件下非货币交换的价值计量基础和核算</w:t>
      </w:r>
      <w:r>
        <w:rPr>
          <w:spacing w:val="-64"/>
        </w:rPr>
        <w:t> </w:t>
      </w:r>
      <w:r>
        <w:rPr>
          <w:spacing w:val="-64"/>
        </w:rPr>
      </w:r>
      <w:r>
        <w:rPr/>
        <w:t>方法及相关信息披露要求等。</w:t>
      </w:r>
      <w:r>
        <w:rPr>
          <w:rFonts w:ascii="宋体" w:hAnsi="宋体" w:cs="宋体" w:eastAsia="宋体" w:hint="default"/>
        </w:rPr>
        <w:t> </w:t>
      </w:r>
    </w:p>
    <w:p>
      <w:pPr>
        <w:pStyle w:val="BodyText"/>
        <w:spacing w:line="316" w:lineRule="auto" w:before="139"/>
        <w:ind w:right="0" w:firstLine="439"/>
        <w:jc w:val="left"/>
        <w:rPr>
          <w:rFonts w:ascii="宋体" w:hAnsi="宋体" w:cs="宋体" w:eastAsia="宋体" w:hint="default"/>
        </w:rPr>
      </w:pPr>
      <w:r>
        <w:rPr/>
        <w:t>本集团自</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10</w:t>
      </w:r>
      <w:r>
        <w:rPr/>
        <w:t>日起执行新非货币性资产交换准则，对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日至本准则施行日之间发生的非货币性资产 交换，应根据本准则进行调整。对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日之前发生的非货币性资产交换，不需要按照本准则的规定进行追溯调整。</w:t>
      </w:r>
      <w:r>
        <w:rPr>
          <w:rFonts w:ascii="宋体" w:hAnsi="宋体" w:cs="宋体" w:eastAsia="宋体" w:hint="default"/>
        </w:rPr>
        <w:t> </w:t>
      </w:r>
    </w:p>
    <w:p>
      <w:pPr>
        <w:pStyle w:val="BodyText"/>
        <w:spacing w:line="432" w:lineRule="exact" w:before="3"/>
        <w:ind w:left="592" w:right="1134"/>
        <w:jc w:val="left"/>
      </w:pPr>
      <w:r>
        <w:rPr>
          <w:rFonts w:ascii="宋体" w:hAnsi="宋体" w:cs="宋体" w:eastAsia="宋体" w:hint="default"/>
        </w:rPr>
        <w:t>5.</w:t>
      </w:r>
      <w:r>
        <w:rPr/>
        <w:t>新债务重组准则</w:t>
      </w:r>
      <w:r>
        <w:rPr>
          <w:rFonts w:ascii="宋体" w:hAnsi="宋体" w:cs="宋体" w:eastAsia="宋体" w:hint="default"/>
        </w:rPr>
        <w:t> </w:t>
      </w:r>
      <w:r>
        <w:rPr/>
        <w:t>在债务重组定义方面，强调重新达成协议，不再强调债务人发生财务困难、债权人做出让步，将重组债权和债务指定</w:t>
      </w:r>
    </w:p>
    <w:p>
      <w:pPr>
        <w:pStyle w:val="BodyText"/>
        <w:spacing w:line="316" w:lineRule="auto" w:before="15"/>
        <w:ind w:right="1029"/>
        <w:jc w:val="left"/>
        <w:rPr>
          <w:rFonts w:ascii="宋体" w:hAnsi="宋体" w:cs="宋体" w:eastAsia="宋体" w:hint="default"/>
        </w:rPr>
      </w:pPr>
      <w:r>
        <w:rPr/>
        <w:t>为《企业会计准则第 </w:t>
      </w:r>
      <w:r>
        <w:rPr>
          <w:rFonts w:ascii="宋体" w:hAnsi="宋体" w:cs="宋体" w:eastAsia="宋体" w:hint="default"/>
        </w:rPr>
        <w:t>22</w:t>
      </w:r>
      <w:r>
        <w:rPr>
          <w:rFonts w:ascii="宋体" w:hAnsi="宋体" w:cs="宋体" w:eastAsia="宋体" w:hint="default"/>
          <w:spacing w:val="5"/>
        </w:rPr>
        <w:t> </w:t>
      </w:r>
      <w:r>
        <w:rPr/>
        <w:t>号—金融工具确认和计量》规范的金融工具范畴；对以非现金资产清偿债务方式进行债务重组的， </w:t>
      </w:r>
      <w:r>
        <w:rPr>
          <w:spacing w:val="-2"/>
        </w:rPr>
        <w:t>明确了债权人初始确认受让的金融资产以外的资产时的成本计量原则；明确了债权人放弃债权采用公允价值计量；重新规定</w:t>
      </w:r>
      <w:r>
        <w:rPr>
          <w:spacing w:val="-64"/>
        </w:rPr>
        <w:t> </w:t>
      </w:r>
      <w:r>
        <w:rPr>
          <w:spacing w:val="-64"/>
        </w:rPr>
      </w:r>
      <w:r>
        <w:rPr/>
        <w:t>了债权人、债务人的会计处理及信息披露要求等。</w:t>
      </w:r>
      <w:r>
        <w:rPr>
          <w:rFonts w:ascii="宋体" w:hAnsi="宋体" w:cs="宋体" w:eastAsia="宋体" w:hint="default"/>
        </w:rPr>
        <w:t> </w:t>
      </w:r>
    </w:p>
    <w:p>
      <w:pPr>
        <w:pStyle w:val="BodyText"/>
        <w:spacing w:line="319" w:lineRule="auto" w:before="139"/>
        <w:ind w:right="0" w:firstLine="439"/>
        <w:jc w:val="left"/>
        <w:rPr>
          <w:rFonts w:ascii="宋体" w:hAnsi="宋体" w:cs="宋体" w:eastAsia="宋体" w:hint="default"/>
        </w:rPr>
      </w:pPr>
      <w:r>
        <w:rPr/>
        <w:t>本集团自</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17</w:t>
      </w:r>
      <w:r>
        <w:rPr/>
        <w:t>日起执行新债务重组准则，对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日至准则施行日之间发生的债务重组根据该准则规定 进行调整，对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日之前发生的债务重组，不需要按照本准则的规定进行追溯调整。</w:t>
      </w:r>
      <w:r>
        <w:rPr>
          <w:rFonts w:ascii="宋体" w:hAnsi="宋体" w:cs="宋体" w:eastAsia="宋体" w:hint="default"/>
        </w:rPr>
        <w:t> </w:t>
      </w:r>
    </w:p>
    <w:p>
      <w:pPr>
        <w:spacing w:line="240" w:lineRule="auto" w:before="7"/>
        <w:rPr>
          <w:rFonts w:ascii="宋体" w:hAnsi="宋体" w:cs="宋体" w:eastAsia="宋体" w:hint="default"/>
          <w:sz w:val="17"/>
          <w:szCs w:val="17"/>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t>年起执行新金融工具准则、新收入准则或新租赁准则调整执行当年年初财务报表相关项目情况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8" w:footer="979" w:top="1060" w:bottom="1160" w:left="980" w:right="0"/>
        </w:sectPr>
      </w:pPr>
    </w:p>
    <w:p>
      <w:pPr>
        <w:pStyle w:val="BodyText"/>
        <w:spacing w:line="3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206"/>
        <w:gridCol w:w="2453"/>
        <w:gridCol w:w="2456"/>
        <w:gridCol w:w="2453"/>
      </w:tblGrid>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2,304,457,914.01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2,304,457,914.01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8"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75,331,342.98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75,317,126.98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-14,216.00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437,586,998.67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439,766,922.98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2,179,924.31</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42,190,763.00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42,190,763.00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33,043,567.95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33,043,567.95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7,814,789.02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7,814,789.02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77,313,983.10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77,313,983.10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462,164,724.00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462,164,724.00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3,436,089,293.71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3,438,255,002.02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2,165,708.31</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306,514,819.32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-306,514,819.32</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1,298,278,056.79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1,298,278,056.79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99,386,899.10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99,386,899.10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265,416,570.76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265,416,570.76</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654,356,353.55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654,356,353.55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1,074,905,506.96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1,074,905,506.96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33,821,738.51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33,821,738.51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2,232,221,726.47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2,232,221,726.47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23,692,010.80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23,692,010.80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43,427,296.67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43,427,296.67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111,798,510.85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111,798,510.85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5,779,016,019.92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5,837,304,670.46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58,288,650.54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206"/>
        <w:gridCol w:w="2453"/>
        <w:gridCol w:w="2456"/>
        <w:gridCol w:w="2453"/>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9,215,105,313.63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9,275,559,672.48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60,454,358.85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29,928,239.11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29,928,239.11</w:t>
            </w: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29,928,239.11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-29,928,239.11</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25,003,958.62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25,003,958.62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131,008,996.68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131,008,996.68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48,520,992.21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48,520,992.21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316,394,709.88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316,394,709.88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116,520,154.92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116,520,154.92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1,014,734,213.72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1,014,734,213.72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320,547.95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320,547.95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44,244,502.80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44,244,502.80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1,726,355,767.94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1,726,355,767.94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35,970,463.17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35,970,463.17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85,970,463.17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85,970,463.17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1,812,326,231.11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1,812,326,231.11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1,309,470,982.00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1,309,470,982.00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4,593,804,071.03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4,593,804,071.03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359,752,548.89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359,752,548.89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13,581,178.21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48,014,216.49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34,433,038.28</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109,115,366.29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109,115,366.29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1,535,012,703.46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1,559,040,537.25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24,027,833.79</w:t>
            </w: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7,201,231,752.10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7,259,692,624.17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58,460,872.07</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201,547,330.42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203,540,817.20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1,993,486.78</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7,402,779,082.52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7,463,233,441.37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60,454,358.85</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9,215,105,313.63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9,275,559,672.48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60,454,358.85</w:t>
            </w:r>
          </w:p>
        </w:tc>
      </w:tr>
    </w:tbl>
    <w:p>
      <w:pPr>
        <w:pStyle w:val="BodyText"/>
        <w:spacing w:line="240" w:lineRule="auto" w:before="49"/>
        <w:ind w:right="0"/>
        <w:jc w:val="both"/>
      </w:pPr>
      <w:r>
        <w:rPr/>
        <w:t>调整情况说明</w:t>
      </w:r>
    </w:p>
    <w:p>
      <w:pPr>
        <w:pStyle w:val="BodyText"/>
        <w:spacing w:line="240" w:lineRule="auto" w:before="117"/>
        <w:ind w:left="453" w:right="0"/>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3 </w:t>
      </w:r>
      <w:r>
        <w:rPr>
          <w:spacing w:val="-3"/>
        </w:rPr>
        <w:t>月，财政部修订了《企业会计准则第 </w:t>
      </w:r>
      <w:r>
        <w:rPr>
          <w:rFonts w:ascii="Times New Roman" w:hAnsi="Times New Roman" w:cs="Times New Roman" w:eastAsia="Times New Roman" w:hint="default"/>
        </w:rPr>
        <w:t>22 </w:t>
      </w:r>
      <w:r>
        <w:rPr>
          <w:spacing w:val="-3"/>
        </w:rPr>
        <w:t>号</w:t>
      </w:r>
      <w:r>
        <w:rPr>
          <w:rFonts w:ascii="Times New Roman" w:hAnsi="Times New Roman" w:cs="Times New Roman" w:eastAsia="Times New Roman" w:hint="default"/>
          <w:spacing w:val="-3"/>
        </w:rPr>
        <w:t>—</w:t>
      </w:r>
      <w:r>
        <w:rPr>
          <w:spacing w:val="-3"/>
        </w:rPr>
        <w:t>金融工具确认和计量》、《企业会计准则第 </w:t>
      </w:r>
      <w:r>
        <w:rPr>
          <w:rFonts w:ascii="Times New Roman" w:hAnsi="Times New Roman" w:cs="Times New Roman" w:eastAsia="Times New Roman" w:hint="default"/>
        </w:rPr>
        <w:t>23   </w:t>
      </w:r>
      <w:r>
        <w:rPr/>
        <w:t>号</w:t>
      </w:r>
      <w:r>
        <w:rPr>
          <w:rFonts w:ascii="Times New Roman" w:hAnsi="Times New Roman" w:cs="Times New Roman" w:eastAsia="Times New Roman" w:hint="default"/>
        </w:rPr>
        <w:t>—</w:t>
      </w:r>
      <w:r>
        <w:rPr/>
        <w:t>金融资产转</w:t>
      </w:r>
    </w:p>
    <w:p>
      <w:pPr>
        <w:pStyle w:val="BodyText"/>
        <w:spacing w:line="300" w:lineRule="auto" w:before="63"/>
        <w:ind w:right="1128"/>
        <w:jc w:val="both"/>
      </w:pPr>
      <w:r>
        <w:rPr/>
        <w:t>移》、《企业会计准则第 </w:t>
      </w:r>
      <w:r>
        <w:rPr>
          <w:rFonts w:ascii="Times New Roman" w:hAnsi="Times New Roman" w:cs="Times New Roman" w:eastAsia="Times New Roman" w:hint="default"/>
        </w:rPr>
        <w:t>24 </w:t>
      </w:r>
      <w:r>
        <w:rPr/>
        <w:t>号</w:t>
      </w:r>
      <w:r>
        <w:rPr>
          <w:rFonts w:ascii="Times New Roman" w:hAnsi="Times New Roman" w:cs="Times New Roman" w:eastAsia="Times New Roman" w:hint="default"/>
        </w:rPr>
        <w:t>—</w:t>
      </w:r>
      <w:r>
        <w:rPr/>
        <w:t>套期会计》及《企业会计准则第 </w:t>
      </w:r>
      <w:r>
        <w:rPr>
          <w:rFonts w:ascii="Times New Roman" w:hAnsi="Times New Roman" w:cs="Times New Roman" w:eastAsia="Times New Roman" w:hint="default"/>
        </w:rPr>
        <w:t>37</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金融工具列报》，并要求境内上市公司自</w:t>
      </w:r>
      <w:r>
        <w:rPr>
          <w:rFonts w:ascii="Times New Roman" w:hAnsi="Times New Roman" w:cs="Times New Roman" w:eastAsia="Times New Roman" w:hint="default"/>
        </w:rPr>
        <w:t>2019</w:t>
      </w:r>
      <w:r>
        <w:rPr/>
        <w:t>年 </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日起施行。准则规定，在准则实施日，企业应当按照规定对金融工具进行分类和计量，涉及前期比较财务报表数据与本</w:t>
      </w:r>
      <w:r>
        <w:rPr>
          <w:spacing w:val="-62"/>
        </w:rPr>
        <w:t> </w:t>
      </w:r>
      <w:r>
        <w:rPr>
          <w:spacing w:val="-62"/>
        </w:rPr>
      </w:r>
      <w:r>
        <w:rPr>
          <w:spacing w:val="-2"/>
        </w:rPr>
        <w:t>准则要求不一致的，无需调整。金融工具原账面价值和在本准则实施日的新账面价值之间的差额，需要调整</w:t>
      </w:r>
      <w:r>
        <w:rPr>
          <w:rFonts w:ascii="Times New Roman" w:hAnsi="Times New Roman" w:cs="Times New Roman" w:eastAsia="Times New Roman" w:hint="default"/>
          <w:spacing w:val="-2"/>
        </w:rPr>
        <w:t>2019</w:t>
      </w:r>
      <w:r>
        <w:rPr>
          <w:spacing w:val="-2"/>
        </w:rPr>
        <w:t>年初留存收</w:t>
      </w:r>
      <w:r>
        <w:rPr>
          <w:spacing w:val="-59"/>
        </w:rPr>
        <w:t> </w:t>
      </w:r>
      <w:r>
        <w:rPr>
          <w:spacing w:val="-59"/>
        </w:rPr>
      </w:r>
      <w:r>
        <w:rPr/>
        <w:t>益、其他综合收益及财务报表其他项目金额。</w:t>
      </w:r>
    </w:p>
    <w:p>
      <w:pPr>
        <w:pStyle w:val="BodyText"/>
        <w:spacing w:line="240" w:lineRule="auto" w:before="70"/>
        <w:ind w:right="0"/>
        <w:jc w:val="both"/>
      </w:pPr>
      <w:r>
        <w:rPr/>
        <w:t>母公司资产负债表</w:t>
      </w:r>
    </w:p>
    <w:p>
      <w:pPr>
        <w:pStyle w:val="BodyText"/>
        <w:spacing w:line="240" w:lineRule="auto" w:before="119"/>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206"/>
        <w:gridCol w:w="2453"/>
        <w:gridCol w:w="2456"/>
        <w:gridCol w:w="2453"/>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1,002,466,770.86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1,002,466,770.86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8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32,144,092.32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32,144,092.32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94,833,385.37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92,902,918.03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-1,930,467.34</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10,345.52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10,345.52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25,949,299.06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25,949,299.06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4,887,916.28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4,887,916.28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678,356.53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678,356.53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35,312,850.00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35,312,850.00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8,466,724.88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8,466,724.88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1,201,861,824.54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1,199,931,357.20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-1,930,467.34</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231,552,525.53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-231,552,525.53</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4,575,725,409.66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4,575,725,409.66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64,769,520.51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64,769,520.51</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192,000,000.00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543,719,885.56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543,719,885.56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796,059,262.37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796,059,262.37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14,781,691.11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14,781,691.11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25,098,471.91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25,098,471.91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111,798,510.85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111,798,510.85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6,298,735,756.99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6,323,952,751.97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25,216,994.98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7,500,597,581.53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7,523,884,109.17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23,286,527.64</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29,928,239.11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29,928,239.11</w:t>
            </w: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29,928,239.11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-29,928,239.11</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1,463,687.09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1,463,687.09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212,890.00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212,890.00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168,141,351.97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168,141,351.97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68,913,419.57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68,913,419.57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960,379,431.58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960,379,431.58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320,547.95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320,547.95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36,616,054.14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36,616,054.14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1,265,655,073.46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1,265,655,073.46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1,698,175.35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1,698,175.35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51,698,175.35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51,698,175.35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1,317,353,248.81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1,317,353,248.81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1,309,470,982.00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1,309,470,982.00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4,790,580,637.93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4,790,580,637.93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359,752,548.89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359,752,548.89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-5,688,189.78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19,528,805.20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25,216,994.98</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122,019,887.40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122,019,887.40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326,613,564.06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324,683,096.72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-1,930,467.34</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6,183,244,332.72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6,206,530,860.36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23,286,527.64</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7,500,597,581.53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7,523,884,109.17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23,286,527.64</w:t>
            </w:r>
          </w:p>
        </w:tc>
      </w:tr>
    </w:tbl>
    <w:p>
      <w:pPr>
        <w:pStyle w:val="BodyText"/>
        <w:spacing w:line="240" w:lineRule="auto" w:before="49"/>
        <w:ind w:right="0"/>
        <w:jc w:val="left"/>
      </w:pPr>
      <w:r>
        <w:rPr/>
        <w:t>调整情况说明</w:t>
      </w:r>
    </w:p>
    <w:p>
      <w:pPr>
        <w:pStyle w:val="BodyText"/>
        <w:spacing w:line="240" w:lineRule="auto" w:before="117"/>
        <w:ind w:left="585" w:right="0"/>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3 </w:t>
      </w:r>
      <w:r>
        <w:rPr/>
        <w:t>月，财政部修订了《企业会计准则第 </w:t>
      </w:r>
      <w:r>
        <w:rPr>
          <w:rFonts w:ascii="Times New Roman" w:hAnsi="Times New Roman" w:cs="Times New Roman" w:eastAsia="Times New Roman" w:hint="default"/>
        </w:rPr>
        <w:t>22 </w:t>
      </w:r>
      <w:r>
        <w:rPr/>
        <w:t>号</w:t>
      </w:r>
      <w:r>
        <w:rPr>
          <w:rFonts w:ascii="Times New Roman" w:hAnsi="Times New Roman" w:cs="Times New Roman" w:eastAsia="Times New Roman" w:hint="default"/>
        </w:rPr>
        <w:t>—</w:t>
      </w:r>
      <w:r>
        <w:rPr/>
        <w:t>金融工具确认和计量》、《企业会计准则第 </w:t>
      </w:r>
      <w:r>
        <w:rPr>
          <w:rFonts w:ascii="Times New Roman" w:hAnsi="Times New Roman" w:cs="Times New Roman" w:eastAsia="Times New Roman" w:hint="default"/>
        </w:rPr>
        <w:t>23 </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金融资</w:t>
      </w:r>
    </w:p>
    <w:p>
      <w:pPr>
        <w:pStyle w:val="BodyText"/>
        <w:spacing w:line="300" w:lineRule="auto" w:before="63"/>
        <w:ind w:right="1214"/>
        <w:jc w:val="left"/>
      </w:pPr>
      <w:r>
        <w:rPr/>
        <w:t>产转移》、《企业会计准则第 </w:t>
      </w:r>
      <w:r>
        <w:rPr>
          <w:rFonts w:ascii="Times New Roman" w:hAnsi="Times New Roman" w:cs="Times New Roman" w:eastAsia="Times New Roman" w:hint="default"/>
        </w:rPr>
        <w:t>24 </w:t>
      </w:r>
      <w:r>
        <w:rPr/>
        <w:t>号</w:t>
      </w:r>
      <w:r>
        <w:rPr>
          <w:rFonts w:ascii="Times New Roman" w:hAnsi="Times New Roman" w:cs="Times New Roman" w:eastAsia="Times New Roman" w:hint="default"/>
        </w:rPr>
        <w:t>—</w:t>
      </w:r>
      <w:r>
        <w:rPr/>
        <w:t>套期会计》及《企业会计准则第 </w:t>
      </w:r>
      <w:r>
        <w:rPr>
          <w:rFonts w:ascii="Times New Roman" w:hAnsi="Times New Roman" w:cs="Times New Roman" w:eastAsia="Times New Roman" w:hint="default"/>
        </w:rPr>
        <w:t>37</w:t>
      </w:r>
      <w:r>
        <w:rPr>
          <w:rFonts w:ascii="Times New Roman" w:hAnsi="Times New Roman" w:cs="Times New Roman" w:eastAsia="Times New Roman" w:hint="default"/>
          <w:spacing w:val="16"/>
        </w:rPr>
        <w:t> </w:t>
      </w:r>
      <w:r>
        <w:rPr/>
        <w:t>号</w:t>
      </w:r>
      <w:r>
        <w:rPr>
          <w:rFonts w:ascii="Times New Roman" w:hAnsi="Times New Roman" w:cs="Times New Roman" w:eastAsia="Times New Roman" w:hint="default"/>
        </w:rPr>
        <w:t>—</w:t>
      </w:r>
      <w:r>
        <w:rPr/>
        <w:t>金融工具列报》，并要求境内上市公司自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日起施行。准则规定，在准则实施日，企业应当按照规定对金融工具进行分类和计量，涉及前期比较财务报表 数据与本准则要求不一致的，无需调整。金融工具原账面价值和在本准则实施日的新账面价值之间的差额，需要调整</w:t>
      </w:r>
      <w:r>
        <w:rPr>
          <w:rFonts w:ascii="Times New Roman" w:hAnsi="Times New Roman" w:cs="Times New Roman" w:eastAsia="Times New Roman" w:hint="default"/>
        </w:rPr>
        <w:t>2019 </w:t>
      </w:r>
      <w:r>
        <w:rPr/>
        <w:t>年初留存收益、其他综合收益及财务报表其他项目金额。</w:t>
      </w:r>
    </w:p>
    <w:p>
      <w:pPr>
        <w:spacing w:line="240" w:lineRule="auto" w:before="8"/>
        <w:rPr>
          <w:rFonts w:ascii="宋体" w:hAnsi="宋体" w:cs="宋体" w:eastAsia="宋体" w:hint="default"/>
          <w:sz w:val="18"/>
          <w:szCs w:val="18"/>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t>年起执行新金融工具准则或新租赁准则追溯调整前期比较数据说明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45</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after="0" w:line="240" w:lineRule="auto"/>
        <w:jc w:val="left"/>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六、税项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应税销售（劳务）收入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应纳增值税、营业税额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23.2%</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6347"/>
        <w:gridCol w:w="3221"/>
      </w:tblGrid>
      <w:tr>
        <w:trPr>
          <w:trHeight w:val="401" w:hRule="exact"/>
        </w:trPr>
        <w:tc>
          <w:tcPr>
            <w:tcW w:w="6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3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合肥杰发科技有限公司</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2273"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9"/>
              <w:jc w:val="both"/>
              <w:rPr>
                <w:rFonts w:ascii="宋体" w:hAnsi="宋体" w:cs="宋体" w:eastAsia="宋体" w:hint="default"/>
                <w:sz w:val="18"/>
                <w:szCs w:val="18"/>
              </w:rPr>
            </w:pPr>
            <w:r>
              <w:rPr>
                <w:rFonts w:ascii="宋体" w:hAnsi="宋体" w:cs="宋体" w:eastAsia="宋体" w:hint="default"/>
                <w:sz w:val="18"/>
                <w:szCs w:val="18"/>
              </w:rPr>
              <w:t>北京四维图新科技股份有限公司、北京世纪高通科技有限公司、北京图新经纬 导航系统有限公司、中交宇科（北京）空间信息技术有限公司、中寰卫星导航 通信有限公司、内蒙古中寰卫星导航通信有限公司、甘肃中寰卫星导航通信有 限公司、长沙市海图科技有限公司、广州博瞻恒腾信息技术有限公司、上海炬 宏信息技术有限公司、沈阳世纪高通科技有限公司、西安四维图新信息技术有 限公司、武汉四维图新科技有限公司、</w:t>
            </w:r>
            <w:r>
              <w:rPr>
                <w:rFonts w:ascii="Times New Roman" w:hAnsi="Times New Roman" w:cs="Times New Roman" w:eastAsia="Times New Roman" w:hint="default"/>
                <w:sz w:val="18"/>
                <w:szCs w:val="18"/>
              </w:rPr>
              <w:t>Navinfo North America</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Corp.</w:t>
            </w:r>
            <w:r>
              <w:rPr>
                <w:rFonts w:ascii="宋体" w:hAnsi="宋体" w:cs="宋体" w:eastAsia="宋体" w:hint="default"/>
                <w:sz w:val="18"/>
                <w:szCs w:val="18"/>
              </w:rPr>
              <w:t>、山西中寰 卫星导航通信有限公司、江苏中寰卫星导航通信有限公司</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四维图新（香港）有限公司、图新投资（香港）科技有限公司</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四维图新新加坡有限公司</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1027"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1"/>
              <w:jc w:val="both"/>
              <w:rPr>
                <w:rFonts w:ascii="宋体" w:hAnsi="宋体" w:cs="宋体" w:eastAsia="宋体" w:hint="default"/>
                <w:sz w:val="18"/>
                <w:szCs w:val="18"/>
              </w:rPr>
            </w:pPr>
            <w:r>
              <w:rPr>
                <w:rFonts w:ascii="宋体" w:hAnsi="宋体" w:cs="宋体" w:eastAsia="宋体" w:hint="default"/>
                <w:sz w:val="18"/>
                <w:szCs w:val="18"/>
              </w:rPr>
              <w:t>南京中寰越德网络科技有限公司、辽宁中寰卫星导航通信有限公司、甘肃北斗 星辰科技有限公司、北京中寰天畅卫星导航科技有限公司、陕西世纪高通科技 有限公司</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四维图新日本有限公司</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23.2%</w:t>
            </w:r>
          </w:p>
        </w:tc>
      </w:tr>
      <w:tr>
        <w:trPr>
          <w:trHeight w:val="1651"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上海纳维信息技术有限公司、北京四维图新科技有限公司、上海四维图新信息 技术有限公司、湖北中寰卫星导航通信有限公司、山东中寰网络科技有限公 司、北京图迅丰达信息技术有限公司、广州中交宇科空间信息技术有限公司、 </w:t>
            </w:r>
            <w:r>
              <w:rPr>
                <w:rFonts w:ascii="Times New Roman" w:hAnsi="Times New Roman" w:cs="Times New Roman" w:eastAsia="Times New Roman" w:hint="default"/>
                <w:sz w:val="18"/>
                <w:szCs w:val="18"/>
              </w:rPr>
              <w:t>Coöperatieve NavInfo</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U.A.</w:t>
            </w:r>
            <w:r>
              <w:rPr>
                <w:rFonts w:ascii="宋体" w:hAnsi="宋体" w:cs="宋体" w:eastAsia="宋体" w:hint="default"/>
                <w:sz w:val="18"/>
                <w:szCs w:val="18"/>
              </w:rPr>
              <w:t>、四维图新（欧洲）有限公司、</w:t>
            </w:r>
            <w:r>
              <w:rPr>
                <w:rFonts w:ascii="Times New Roman" w:hAnsi="Times New Roman" w:cs="Times New Roman" w:eastAsia="Times New Roman" w:hint="default"/>
                <w:sz w:val="18"/>
                <w:szCs w:val="18"/>
              </w:rPr>
              <w:t>MapscapeB.V.</w:t>
            </w:r>
            <w:r>
              <w:rPr>
                <w:rFonts w:ascii="宋体" w:hAnsi="宋体" w:cs="宋体" w:eastAsia="宋体" w:hint="default"/>
                <w:sz w:val="18"/>
                <w:szCs w:val="18"/>
              </w:rPr>
              <w:t>、北京六 分科技有限公司、合肥四维图新科技有限公司</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6"/>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92" w:right="0"/>
        <w:jc w:val="left"/>
      </w:pPr>
      <w:r>
        <w:rPr/>
        <w:t>（</w:t>
      </w:r>
      <w:r>
        <w:rPr>
          <w:rFonts w:ascii="Times New Roman" w:hAnsi="Times New Roman" w:cs="Times New Roman" w:eastAsia="Times New Roman" w:hint="default"/>
        </w:rPr>
        <w:t>1</w:t>
      </w:r>
      <w:r>
        <w:rPr/>
        <w:t>）根据财政部国家税务总局《关于软件产品增值税政策的通知》（财税</w:t>
      </w:r>
      <w:r>
        <w:rPr>
          <w:rFonts w:ascii="Times New Roman" w:hAnsi="Times New Roman" w:cs="Times New Roman" w:eastAsia="Times New Roman" w:hint="default"/>
        </w:rPr>
        <w:t>[2011]100</w:t>
      </w:r>
      <w:r>
        <w:rPr/>
        <w:t>号）的规定，本公司自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p>
    <w:p>
      <w:pPr>
        <w:pStyle w:val="BodyText"/>
        <w:spacing w:line="240" w:lineRule="auto" w:before="63"/>
        <w:ind w:right="0"/>
        <w:jc w:val="left"/>
      </w:pPr>
      <w:r>
        <w:rPr>
          <w:rFonts w:ascii="Times New Roman" w:hAnsi="Times New Roman" w:cs="Times New Roman" w:eastAsia="Times New Roman" w:hint="default"/>
        </w:rPr>
        <w:t>1</w:t>
      </w:r>
      <w:r>
        <w:rPr/>
        <w:t>日起销售自行开发生产的软件产品，按</w:t>
      </w:r>
      <w:r>
        <w:rPr>
          <w:rFonts w:ascii="Times New Roman" w:hAnsi="Times New Roman" w:cs="Times New Roman" w:eastAsia="Times New Roman" w:hint="default"/>
        </w:rPr>
        <w:t>17%</w:t>
      </w:r>
      <w:r>
        <w:rPr/>
        <w:t>税率征收增值税后，对增值税实际税负超过</w:t>
      </w:r>
      <w:r>
        <w:rPr>
          <w:rFonts w:ascii="Times New Roman" w:hAnsi="Times New Roman" w:cs="Times New Roman" w:eastAsia="Times New Roman" w:hint="default"/>
        </w:rPr>
        <w:t>3%</w:t>
      </w:r>
      <w:r>
        <w:rPr/>
        <w:t>的部分实行即征即退政策。</w:t>
      </w:r>
    </w:p>
    <w:p>
      <w:pPr>
        <w:spacing w:line="240" w:lineRule="auto" w:before="13"/>
        <w:rPr>
          <w:rFonts w:ascii="宋体" w:hAnsi="宋体" w:cs="宋体" w:eastAsia="宋体" w:hint="default"/>
          <w:sz w:val="13"/>
          <w:szCs w:val="13"/>
        </w:rPr>
      </w:pPr>
    </w:p>
    <w:p>
      <w:pPr>
        <w:pStyle w:val="BodyText"/>
        <w:spacing w:line="300" w:lineRule="auto"/>
        <w:ind w:right="0" w:firstLine="439"/>
        <w:jc w:val="left"/>
      </w:pPr>
      <w:r>
        <w:rPr>
          <w:spacing w:val="-1"/>
        </w:rPr>
        <w:t>（</w:t>
      </w:r>
      <w:r>
        <w:rPr>
          <w:rFonts w:ascii="Times New Roman" w:hAnsi="Times New Roman" w:cs="Times New Roman" w:eastAsia="Times New Roman" w:hint="default"/>
          <w:spacing w:val="-1"/>
        </w:rPr>
        <w:t>2</w:t>
      </w:r>
      <w:r>
        <w:rPr>
          <w:spacing w:val="-1"/>
        </w:rPr>
        <w:t>）根据财政部国家税务总局《关于全面推开营业税改征增值税试点的通知》（财税</w:t>
      </w:r>
      <w:r>
        <w:rPr>
          <w:rFonts w:ascii="Times New Roman" w:hAnsi="Times New Roman" w:cs="Times New Roman" w:eastAsia="Times New Roman" w:hint="default"/>
          <w:spacing w:val="-1"/>
        </w:rPr>
        <w:t>[2016]36</w:t>
      </w:r>
      <w:r>
        <w:rPr>
          <w:spacing w:val="-1"/>
        </w:rPr>
        <w:t>号文）的规定，试点纳</w:t>
      </w:r>
      <w:r>
        <w:rPr/>
        <w:t> 税人提供技术转让、技术开发和与之相关的技术咨询、技术服务，免征增值税。</w:t>
      </w:r>
    </w:p>
    <w:p>
      <w:pPr>
        <w:spacing w:line="240" w:lineRule="auto" w:before="6"/>
        <w:rPr>
          <w:rFonts w:ascii="宋体" w:hAnsi="宋体" w:cs="宋体" w:eastAsia="宋体" w:hint="default"/>
          <w:sz w:val="19"/>
          <w:szCs w:val="19"/>
        </w:rPr>
      </w:pPr>
    </w:p>
    <w:p>
      <w:pPr>
        <w:pStyle w:val="BodyText"/>
        <w:spacing w:line="345" w:lineRule="auto"/>
        <w:ind w:right="1038" w:firstLine="360"/>
        <w:jc w:val="left"/>
      </w:pPr>
      <w:r>
        <w:rPr/>
        <w:t>（</w:t>
      </w:r>
      <w:r>
        <w:rPr>
          <w:rFonts w:ascii="Times New Roman" w:hAnsi="Times New Roman" w:cs="Times New Roman" w:eastAsia="Times New Roman" w:hint="default"/>
        </w:rPr>
        <w:t>3</w:t>
      </w:r>
      <w:r>
        <w:rPr/>
        <w:t>）本公司被认定为高新技术企业，并于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月通过高新技术企业复审，</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年至</w:t>
      </w:r>
      <w:r>
        <w:rPr>
          <w:spacing w:val="-48"/>
        </w:rPr>
        <w:t> </w:t>
      </w:r>
      <w:r>
        <w:rPr>
          <w:rFonts w:ascii="Times New Roman" w:hAnsi="Times New Roman" w:cs="Times New Roman" w:eastAsia="Times New Roman" w:hint="default"/>
        </w:rPr>
        <w:t>2020</w:t>
      </w:r>
      <w:r>
        <w:rPr>
          <w:rFonts w:ascii="Times New Roman" w:hAnsi="Times New Roman" w:cs="Times New Roman" w:eastAsia="Times New Roman" w:hint="default"/>
          <w:spacing w:val="-9"/>
        </w:rPr>
        <w:t> </w:t>
      </w:r>
      <w:r>
        <w:rPr/>
        <w:t>年度企业所得税适用税 率为</w:t>
      </w:r>
      <w:r>
        <w:rPr>
          <w:spacing w:val="-39"/>
        </w:rPr>
        <w:t> </w:t>
      </w:r>
      <w:r>
        <w:rPr>
          <w:rFonts w:ascii="Times New Roman" w:hAnsi="Times New Roman" w:cs="Times New Roman" w:eastAsia="Times New Roman" w:hint="default"/>
        </w:rPr>
        <w:t>15%</w:t>
      </w:r>
      <w:r>
        <w:rPr/>
        <w:t>。由于</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年能否享受高新技术企业优惠税率尚需认定，公司基于谨慎性考虑，</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年度暂按</w:t>
      </w:r>
      <w:r>
        <w:rPr>
          <w:spacing w:val="-39"/>
        </w:rPr>
        <w:t> </w:t>
      </w:r>
      <w:r>
        <w:rPr>
          <w:rFonts w:ascii="Times New Roman" w:hAnsi="Times New Roman" w:cs="Times New Roman" w:eastAsia="Times New Roman" w:hint="default"/>
        </w:rPr>
        <w:t>25%</w:t>
      </w:r>
      <w:r>
        <w:rPr/>
        <w:t>计提所得税。</w:t>
      </w:r>
    </w:p>
    <w:p>
      <w:pPr>
        <w:spacing w:after="0" w:line="345"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2019</w:t>
      </w:r>
      <w:r>
        <w:rPr>
          <w:rFonts w:ascii="宋体" w:hAnsi="宋体" w:cs="宋体" w:eastAsia="宋体" w:hint="default"/>
          <w:spacing w:val="-44"/>
        </w:rPr>
        <w:t> </w:t>
      </w:r>
      <w:r>
        <w:rPr/>
        <w:t>年度企业所得税适用税率为</w:t>
      </w:r>
      <w:r>
        <w:rPr>
          <w:spacing w:val="-46"/>
        </w:rPr>
        <w:t> </w:t>
      </w:r>
      <w:r>
        <w:rPr>
          <w:rFonts w:ascii="Times New Roman" w:hAnsi="Times New Roman" w:cs="Times New Roman" w:eastAsia="Times New Roman" w:hint="default"/>
        </w:rPr>
        <w:t>15%</w:t>
      </w:r>
      <w:r>
        <w:rPr/>
        <w:t>。</w:t>
      </w:r>
    </w:p>
    <w:p>
      <w:pPr>
        <w:spacing w:line="240" w:lineRule="auto" w:before="7"/>
        <w:rPr>
          <w:rFonts w:ascii="宋体" w:hAnsi="宋体" w:cs="宋体" w:eastAsia="宋体" w:hint="default"/>
          <w:sz w:val="12"/>
          <w:szCs w:val="12"/>
        </w:rPr>
      </w:pPr>
    </w:p>
    <w:p>
      <w:pPr>
        <w:pStyle w:val="BodyText"/>
        <w:spacing w:line="300" w:lineRule="auto"/>
        <w:ind w:right="1129" w:firstLine="439"/>
        <w:jc w:val="both"/>
      </w:pPr>
      <w:r>
        <w:rPr>
          <w:spacing w:val="-2"/>
        </w:rPr>
        <w:t>（</w:t>
      </w:r>
      <w:r>
        <w:rPr>
          <w:rFonts w:ascii="Times New Roman" w:hAnsi="Times New Roman" w:cs="Times New Roman" w:eastAsia="Times New Roman" w:hint="default"/>
          <w:spacing w:val="-2"/>
        </w:rPr>
        <w:t>4</w:t>
      </w:r>
      <w:r>
        <w:rPr>
          <w:spacing w:val="-2"/>
        </w:rPr>
        <w:t>）本公司下属子公司北京图新经纬导航系统有限公司被认定为高新技术企业，并于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月通过高新技术企业复</w:t>
      </w:r>
      <w:r>
        <w:rPr/>
        <w:t> 审，</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年度企业所得税适用税率为</w:t>
      </w:r>
      <w:r>
        <w:rPr>
          <w:rFonts w:ascii="Times New Roman" w:hAnsi="Times New Roman" w:cs="Times New Roman" w:eastAsia="Times New Roman" w:hint="default"/>
        </w:rPr>
        <w:t>15%</w:t>
      </w:r>
      <w:r>
        <w:rPr/>
        <w:t>。</w:t>
      </w:r>
    </w:p>
    <w:p>
      <w:pPr>
        <w:pStyle w:val="BodyText"/>
        <w:spacing w:line="240" w:lineRule="auto" w:before="133"/>
        <w:ind w:left="592" w:right="0"/>
        <w:jc w:val="left"/>
      </w:pPr>
      <w:r>
        <w:rPr/>
        <w:t>（</w:t>
      </w:r>
      <w:r>
        <w:rPr>
          <w:rFonts w:ascii="Times New Roman" w:hAnsi="Times New Roman" w:cs="Times New Roman" w:eastAsia="Times New Roman" w:hint="default"/>
          <w:spacing w:val="1"/>
        </w:rPr>
        <w:t>5</w:t>
      </w:r>
      <w:r>
        <w:rPr>
          <w:spacing w:val="-85"/>
        </w:rPr>
        <w:t>）</w:t>
      </w:r>
      <w:r>
        <w:rPr/>
        <w:t>本公司下属子公司北京世纪高通科技有限公司被认定为高新技术企业</w:t>
      </w:r>
      <w:r>
        <w:rPr>
          <w:spacing w:val="-85"/>
        </w:rPr>
        <w:t>，</w:t>
      </w:r>
      <w:r>
        <w:rPr/>
        <w:t>并</w:t>
      </w:r>
      <w:r>
        <w:rPr>
          <w:spacing w:val="1"/>
        </w:rPr>
        <w:t>于</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7</w:t>
      </w:r>
      <w:r>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0</w:t>
      </w:r>
      <w:r>
        <w:rPr>
          <w:spacing w:val="-3"/>
        </w:rPr>
        <w:t>月</w:t>
      </w:r>
      <w:r>
        <w:rPr>
          <w:spacing w:val="-85"/>
        </w:rPr>
        <w:t>，</w:t>
      </w:r>
      <w:r>
        <w:rPr/>
        <w:t>通过高新技术企业复审，</w:t>
      </w:r>
    </w:p>
    <w:p>
      <w:pPr>
        <w:pStyle w:val="BodyText"/>
        <w:spacing w:line="240" w:lineRule="auto" w:before="63"/>
        <w:ind w:right="0"/>
        <w:jc w:val="left"/>
      </w:pP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2020</w:t>
      </w:r>
      <w:r>
        <w:rPr/>
        <w:t>年度企业所得税适用税率为</w:t>
      </w:r>
      <w:r>
        <w:rPr>
          <w:rFonts w:ascii="Times New Roman" w:hAnsi="Times New Roman" w:cs="Times New Roman" w:eastAsia="Times New Roman" w:hint="default"/>
        </w:rPr>
        <w:t>15%</w:t>
      </w:r>
      <w:r>
        <w:rPr/>
        <w:t>。</w:t>
      </w:r>
    </w:p>
    <w:p>
      <w:pPr>
        <w:spacing w:line="240" w:lineRule="auto" w:before="13"/>
        <w:rPr>
          <w:rFonts w:ascii="宋体" w:hAnsi="宋体" w:cs="宋体" w:eastAsia="宋体" w:hint="default"/>
          <w:sz w:val="13"/>
          <w:szCs w:val="13"/>
        </w:rPr>
      </w:pPr>
    </w:p>
    <w:p>
      <w:pPr>
        <w:pStyle w:val="BodyText"/>
        <w:spacing w:line="300" w:lineRule="auto"/>
        <w:ind w:right="1131" w:firstLine="439"/>
        <w:jc w:val="both"/>
      </w:pPr>
      <w:r>
        <w:rPr/>
        <w:t>（</w:t>
      </w:r>
      <w:r>
        <w:rPr>
          <w:rFonts w:ascii="Times New Roman" w:hAnsi="Times New Roman" w:cs="Times New Roman" w:eastAsia="Times New Roman" w:hint="default"/>
        </w:rPr>
        <w:t>6</w:t>
      </w:r>
      <w:r>
        <w:rPr/>
        <w:t>）本公司下属子公司中交宇科（北京）空间信息技术有限公司被认定为高新技术企业，并于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月公司通过高 新技术企业复审，</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年度企业所得税适用税率为</w:t>
      </w:r>
      <w:r>
        <w:rPr>
          <w:rFonts w:ascii="Times New Roman" w:hAnsi="Times New Roman" w:cs="Times New Roman" w:eastAsia="Times New Roman" w:hint="default"/>
        </w:rPr>
        <w:t>15%</w:t>
      </w:r>
      <w:r>
        <w:rPr/>
        <w:t>。</w:t>
      </w:r>
    </w:p>
    <w:p>
      <w:pPr>
        <w:pStyle w:val="BodyText"/>
        <w:spacing w:line="300" w:lineRule="auto" w:before="133"/>
        <w:ind w:right="1131" w:firstLine="439"/>
        <w:jc w:val="both"/>
      </w:pPr>
      <w:r>
        <w:rPr>
          <w:spacing w:val="-2"/>
        </w:rPr>
        <w:t>（</w:t>
      </w:r>
      <w:r>
        <w:rPr>
          <w:rFonts w:ascii="Times New Roman" w:hAnsi="Times New Roman" w:cs="Times New Roman" w:eastAsia="Times New Roman" w:hint="default"/>
          <w:spacing w:val="-2"/>
        </w:rPr>
        <w:t>7</w:t>
      </w:r>
      <w:r>
        <w:rPr>
          <w:spacing w:val="-2"/>
        </w:rPr>
        <w:t>）本公司下属子公司中寰卫星导航通信有限公司被认定为高新技术企业，并于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月公司通过高新技术企业复</w:t>
      </w:r>
      <w:r>
        <w:rPr/>
        <w:t> </w:t>
      </w:r>
      <w:r>
        <w:rPr>
          <w:spacing w:val="-1"/>
        </w:rPr>
        <w:t>审，</w:t>
      </w:r>
      <w:r>
        <w:rPr>
          <w:rFonts w:ascii="Times New Roman" w:hAnsi="Times New Roman" w:cs="Times New Roman" w:eastAsia="Times New Roman" w:hint="default"/>
          <w:spacing w:val="-1"/>
        </w:rPr>
        <w:t>2016</w:t>
      </w:r>
      <w:r>
        <w:rPr>
          <w:spacing w:val="-1"/>
        </w:rPr>
        <w:t>年至</w:t>
      </w:r>
      <w:r>
        <w:rPr>
          <w:rFonts w:ascii="Times New Roman" w:hAnsi="Times New Roman" w:cs="Times New Roman" w:eastAsia="Times New Roman" w:hint="default"/>
          <w:spacing w:val="-1"/>
        </w:rPr>
        <w:t>2019</w:t>
      </w:r>
      <w:r>
        <w:rPr>
          <w:spacing w:val="-1"/>
        </w:rPr>
        <w:t>年度企业所得税适用税率为</w:t>
      </w:r>
      <w:r>
        <w:rPr>
          <w:rFonts w:ascii="Times New Roman" w:hAnsi="Times New Roman" w:cs="Times New Roman" w:eastAsia="Times New Roman" w:hint="default"/>
          <w:spacing w:val="-1"/>
        </w:rPr>
        <w:t>15%</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月通过复审，</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月至</w:t>
      </w:r>
      <w:r>
        <w:rPr>
          <w:rFonts w:ascii="Times New Roman" w:hAnsi="Times New Roman" w:cs="Times New Roman" w:eastAsia="Times New Roman" w:hint="default"/>
          <w:spacing w:val="-1"/>
        </w:rPr>
        <w:t>2022</w:t>
      </w:r>
      <w:r>
        <w:rPr>
          <w:spacing w:val="-1"/>
        </w:rPr>
        <w:t>年</w:t>
      </w:r>
      <w:r>
        <w:rPr>
          <w:rFonts w:ascii="Times New Roman" w:hAnsi="Times New Roman" w:cs="Times New Roman" w:eastAsia="Times New Roman" w:hint="default"/>
          <w:spacing w:val="-1"/>
        </w:rPr>
        <w:t>12</w:t>
      </w:r>
      <w:r>
        <w:rPr>
          <w:spacing w:val="-1"/>
        </w:rPr>
        <w:t>月企业所得税适用税率为</w:t>
      </w:r>
      <w:r>
        <w:rPr/>
        <w:t> </w:t>
      </w:r>
      <w:r>
        <w:rPr>
          <w:rFonts w:ascii="Times New Roman" w:hAnsi="Times New Roman" w:cs="Times New Roman" w:eastAsia="Times New Roman" w:hint="default"/>
        </w:rPr>
        <w:t>15%</w:t>
      </w:r>
      <w:r>
        <w:rPr/>
        <w:t>。</w:t>
      </w:r>
    </w:p>
    <w:p>
      <w:pPr>
        <w:pStyle w:val="BodyText"/>
        <w:spacing w:line="300" w:lineRule="auto" w:before="133"/>
        <w:ind w:right="1126" w:firstLine="439"/>
        <w:jc w:val="both"/>
      </w:pPr>
      <w:r>
        <w:rPr>
          <w:spacing w:val="-2"/>
        </w:rPr>
        <w:t>（</w:t>
      </w:r>
      <w:r>
        <w:rPr>
          <w:rFonts w:ascii="Times New Roman" w:hAnsi="Times New Roman" w:cs="Times New Roman" w:eastAsia="Times New Roman" w:hint="default"/>
          <w:spacing w:val="-2"/>
        </w:rPr>
        <w:t>8</w:t>
      </w:r>
      <w:r>
        <w:rPr>
          <w:spacing w:val="-2"/>
        </w:rPr>
        <w:t>）本公司下属子公司内蒙古中寰卫星导航通信有限公司被认定为高新技术企业，并于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月通过高新技术企业</w:t>
      </w:r>
      <w:r>
        <w:rPr/>
        <w:t> 复审，</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年度企业所得税适用税率为</w:t>
      </w:r>
      <w:r>
        <w:rPr>
          <w:rFonts w:ascii="Times New Roman" w:hAnsi="Times New Roman" w:cs="Times New Roman" w:eastAsia="Times New Roman" w:hint="default"/>
        </w:rPr>
        <w:t>15%</w:t>
      </w:r>
      <w:r>
        <w:rPr/>
        <w:t>。</w:t>
      </w:r>
    </w:p>
    <w:p>
      <w:pPr>
        <w:pStyle w:val="BodyText"/>
        <w:spacing w:line="300" w:lineRule="auto" w:before="133"/>
        <w:ind w:right="1129" w:firstLine="439"/>
        <w:jc w:val="both"/>
      </w:pPr>
      <w:r>
        <w:rPr>
          <w:spacing w:val="-2"/>
        </w:rPr>
        <w:t>（</w:t>
      </w:r>
      <w:r>
        <w:rPr>
          <w:rFonts w:ascii="Times New Roman" w:hAnsi="Times New Roman" w:cs="Times New Roman" w:eastAsia="Times New Roman" w:hint="default"/>
          <w:spacing w:val="-2"/>
        </w:rPr>
        <w:t>9</w:t>
      </w:r>
      <w:r>
        <w:rPr>
          <w:spacing w:val="-2"/>
        </w:rPr>
        <w:t>）本公司下属子公司长沙市海图科技有限公司被认定为高新技术企业，并于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月，公司再次通过高新技术企</w:t>
      </w:r>
      <w:r>
        <w:rPr/>
        <w:t> 业复审，</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2019</w:t>
      </w:r>
      <w:r>
        <w:rPr/>
        <w:t>年度企业所得税适用税率为</w:t>
      </w:r>
      <w:r>
        <w:rPr>
          <w:rFonts w:ascii="Times New Roman" w:hAnsi="Times New Roman" w:cs="Times New Roman" w:eastAsia="Times New Roman" w:hint="default"/>
        </w:rPr>
        <w:t>15%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月再次通过高新技术企业复审，</w:t>
      </w:r>
      <w:r>
        <w:rPr>
          <w:rFonts w:ascii="Times New Roman" w:hAnsi="Times New Roman" w:cs="Times New Roman" w:eastAsia="Times New Roman" w:hint="default"/>
        </w:rPr>
        <w:t>2019</w:t>
      </w:r>
      <w:r>
        <w:rPr/>
        <w:t>年至</w:t>
      </w:r>
      <w:r>
        <w:rPr>
          <w:rFonts w:ascii="Times New Roman" w:hAnsi="Times New Roman" w:cs="Times New Roman" w:eastAsia="Times New Roman" w:hint="default"/>
        </w:rPr>
        <w:t>2022</w:t>
      </w:r>
      <w:r>
        <w:rPr/>
        <w:t>年度企业所</w:t>
      </w:r>
      <w:r>
        <w:rPr>
          <w:spacing w:val="-57"/>
        </w:rPr>
        <w:t> </w:t>
      </w:r>
      <w:r>
        <w:rPr>
          <w:spacing w:val="-57"/>
        </w:rPr>
      </w:r>
      <w:r>
        <w:rPr/>
        <w:t>得税适用税率为</w:t>
      </w:r>
      <w:r>
        <w:rPr>
          <w:rFonts w:ascii="Times New Roman" w:hAnsi="Times New Roman" w:cs="Times New Roman" w:eastAsia="Times New Roman" w:hint="default"/>
        </w:rPr>
        <w:t>15%</w:t>
      </w:r>
      <w:r>
        <w:rPr/>
        <w:t>。</w:t>
      </w:r>
    </w:p>
    <w:p>
      <w:pPr>
        <w:pStyle w:val="BodyText"/>
        <w:spacing w:line="300" w:lineRule="auto" w:before="133"/>
        <w:ind w:right="1128" w:firstLine="439"/>
        <w:jc w:val="both"/>
      </w:pPr>
      <w:r>
        <w:rPr/>
        <w:t>（</w:t>
      </w:r>
      <w:r>
        <w:rPr>
          <w:rFonts w:ascii="Times New Roman" w:hAnsi="Times New Roman" w:cs="Times New Roman" w:eastAsia="Times New Roman" w:hint="default"/>
        </w:rPr>
        <w:t>10</w:t>
      </w:r>
      <w:r>
        <w:rPr/>
        <w:t>）本公司下属子公司甘肃中寰卫星导航通信有限公司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月被认定为高新技术企业，</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2019</w:t>
      </w:r>
      <w:r>
        <w:rPr/>
        <w:t>年度企业 所得税适用税率为</w:t>
      </w:r>
      <w:r>
        <w:rPr>
          <w:rFonts w:ascii="Times New Roman" w:hAnsi="Times New Roman" w:cs="Times New Roman" w:eastAsia="Times New Roman" w:hint="default"/>
        </w:rPr>
        <w:t>15%</w:t>
      </w:r>
      <w:r>
        <w:rPr/>
        <w:t>。</w:t>
      </w:r>
    </w:p>
    <w:p>
      <w:pPr>
        <w:pStyle w:val="BodyText"/>
        <w:spacing w:line="300" w:lineRule="auto" w:before="133"/>
        <w:ind w:right="1128" w:firstLine="439"/>
        <w:jc w:val="both"/>
      </w:pPr>
      <w:r>
        <w:rPr/>
        <w:t>（</w:t>
      </w:r>
      <w:r>
        <w:rPr>
          <w:rFonts w:ascii="Times New Roman" w:hAnsi="Times New Roman" w:cs="Times New Roman" w:eastAsia="Times New Roman" w:hint="default"/>
        </w:rPr>
        <w:t>11</w:t>
      </w:r>
      <w:r>
        <w:rPr/>
        <w:t>）本公司下属子公司广州博瞻恒腾信息技术有限公司于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月被认定为高新技术企业，</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2020</w:t>
      </w:r>
      <w:r>
        <w:rPr/>
        <w:t>年度企 业所得税适用税率为</w:t>
      </w:r>
      <w:r>
        <w:rPr>
          <w:rFonts w:ascii="Times New Roman" w:hAnsi="Times New Roman" w:cs="Times New Roman" w:eastAsia="Times New Roman" w:hint="default"/>
        </w:rPr>
        <w:t>15%</w:t>
      </w:r>
      <w:r>
        <w:rPr/>
        <w:t>。</w:t>
      </w:r>
    </w:p>
    <w:p>
      <w:pPr>
        <w:pStyle w:val="BodyText"/>
        <w:spacing w:line="300" w:lineRule="auto" w:before="133"/>
        <w:ind w:right="1131" w:firstLine="439"/>
        <w:jc w:val="both"/>
      </w:pPr>
      <w:r>
        <w:rPr/>
        <w:t>（</w:t>
      </w:r>
      <w:r>
        <w:rPr>
          <w:rFonts w:ascii="Times New Roman" w:hAnsi="Times New Roman" w:cs="Times New Roman" w:eastAsia="Times New Roman" w:hint="default"/>
        </w:rPr>
        <w:t>12</w:t>
      </w:r>
      <w:r>
        <w:rPr/>
        <w:t>）本公司下属子公司上海炬宏信息技术有限公司于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月被认定为高新技术企业，</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2020</w:t>
      </w:r>
      <w:r>
        <w:rPr/>
        <w:t>年度企业所 得税适用税率为</w:t>
      </w:r>
      <w:r>
        <w:rPr>
          <w:rFonts w:ascii="Times New Roman" w:hAnsi="Times New Roman" w:cs="Times New Roman" w:eastAsia="Times New Roman" w:hint="default"/>
        </w:rPr>
        <w:t>15%</w:t>
      </w:r>
      <w:r>
        <w:rPr/>
        <w:t>。</w:t>
      </w:r>
    </w:p>
    <w:p>
      <w:pPr>
        <w:pStyle w:val="BodyText"/>
        <w:spacing w:line="300" w:lineRule="auto" w:before="133"/>
        <w:ind w:right="1131" w:firstLine="439"/>
        <w:jc w:val="both"/>
      </w:pPr>
      <w:r>
        <w:rPr/>
        <w:t>（</w:t>
      </w:r>
      <w:r>
        <w:rPr>
          <w:rFonts w:ascii="Times New Roman" w:hAnsi="Times New Roman" w:cs="Times New Roman" w:eastAsia="Times New Roman" w:hint="default"/>
        </w:rPr>
        <w:t>13</w:t>
      </w:r>
      <w:r>
        <w:rPr/>
        <w:t>）本公司下属子公司沈阳世纪高通科技有限公司于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月被认定为高新技术企业，</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2020</w:t>
      </w:r>
      <w:r>
        <w:rPr/>
        <w:t>年度企业所 得税适用税率为</w:t>
      </w:r>
      <w:r>
        <w:rPr>
          <w:rFonts w:ascii="Times New Roman" w:hAnsi="Times New Roman" w:cs="Times New Roman" w:eastAsia="Times New Roman" w:hint="default"/>
        </w:rPr>
        <w:t>15%</w:t>
      </w:r>
      <w:r>
        <w:rPr/>
        <w:t>。</w:t>
      </w:r>
    </w:p>
    <w:p>
      <w:pPr>
        <w:pStyle w:val="BodyText"/>
        <w:spacing w:line="300" w:lineRule="auto" w:before="133"/>
        <w:ind w:right="1128" w:firstLine="439"/>
        <w:jc w:val="both"/>
      </w:pPr>
      <w:r>
        <w:rPr/>
        <w:t>（</w:t>
      </w:r>
      <w:r>
        <w:rPr>
          <w:rFonts w:ascii="Times New Roman" w:hAnsi="Times New Roman" w:cs="Times New Roman" w:eastAsia="Times New Roman" w:hint="default"/>
        </w:rPr>
        <w:t>14</w:t>
      </w:r>
      <w:r>
        <w:rPr/>
        <w:t>）本公司下属子公司西安四维图新信息技术有限公司于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月被认定为高新技术企业，</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2019</w:t>
      </w:r>
      <w:r>
        <w:rPr/>
        <w:t>年度企 业所得税适用税率为</w:t>
      </w:r>
      <w:r>
        <w:rPr>
          <w:rFonts w:ascii="Times New Roman" w:hAnsi="Times New Roman" w:cs="Times New Roman" w:eastAsia="Times New Roman" w:hint="default"/>
        </w:rPr>
        <w:t>15%</w:t>
      </w:r>
      <w:r>
        <w:rPr/>
        <w:t>。</w:t>
      </w:r>
    </w:p>
    <w:p>
      <w:pPr>
        <w:pStyle w:val="BodyText"/>
        <w:spacing w:line="300" w:lineRule="auto" w:before="133"/>
        <w:ind w:right="1131" w:firstLine="439"/>
        <w:jc w:val="both"/>
      </w:pPr>
      <w:r>
        <w:rPr/>
        <w:t>（</w:t>
      </w:r>
      <w:r>
        <w:rPr>
          <w:rFonts w:ascii="Times New Roman" w:hAnsi="Times New Roman" w:cs="Times New Roman" w:eastAsia="Times New Roman" w:hint="default"/>
        </w:rPr>
        <w:t>15</w:t>
      </w:r>
      <w:r>
        <w:rPr/>
        <w:t>）本公司下属子公司武汉四维图新科技有限公司于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月被认定为高新技术企业，</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2020</w:t>
      </w:r>
      <w:r>
        <w:rPr/>
        <w:t>年度企业所 得税适用税率为</w:t>
      </w:r>
      <w:r>
        <w:rPr>
          <w:rFonts w:ascii="Times New Roman" w:hAnsi="Times New Roman" w:cs="Times New Roman" w:eastAsia="Times New Roman" w:hint="default"/>
        </w:rPr>
        <w:t>15%</w:t>
      </w:r>
      <w:r>
        <w:rPr/>
        <w:t>。</w:t>
      </w:r>
    </w:p>
    <w:p>
      <w:pPr>
        <w:pStyle w:val="BodyText"/>
        <w:spacing w:line="300" w:lineRule="auto" w:before="133"/>
        <w:ind w:right="1128" w:firstLine="439"/>
        <w:jc w:val="both"/>
      </w:pPr>
      <w:r>
        <w:rPr/>
        <w:t>（</w:t>
      </w:r>
      <w:r>
        <w:rPr>
          <w:rFonts w:ascii="Times New Roman" w:hAnsi="Times New Roman" w:cs="Times New Roman" w:eastAsia="Times New Roman" w:hint="default"/>
        </w:rPr>
        <w:t>16</w:t>
      </w:r>
      <w:r>
        <w:rPr/>
        <w:t>）本公司下属子公司山西中寰卫星导航通信有限公司于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月被认定为高新技术企业，</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年度企 业所得税适用税率为</w:t>
      </w:r>
      <w:r>
        <w:rPr>
          <w:rFonts w:ascii="Times New Roman" w:hAnsi="Times New Roman" w:cs="Times New Roman" w:eastAsia="Times New Roman" w:hint="default"/>
        </w:rPr>
        <w:t>15%</w:t>
      </w:r>
      <w:r>
        <w:rPr/>
        <w:t>。本公司下属子公司江苏中寰卫星导航通信有限公司于</w:t>
      </w:r>
      <w:r>
        <w:rPr>
          <w:rFonts w:ascii="Times New Roman" w:hAnsi="Times New Roman" w:cs="Times New Roman" w:eastAsia="Times New Roman" w:hint="default"/>
        </w:rPr>
        <w:t>2019</w:t>
      </w:r>
      <w:r>
        <w:rPr/>
        <w:t>年被认定为高新技术企业，</w:t>
      </w:r>
      <w:r>
        <w:rPr>
          <w:rFonts w:ascii="Times New Roman" w:hAnsi="Times New Roman" w:cs="Times New Roman" w:eastAsia="Times New Roman" w:hint="default"/>
        </w:rPr>
        <w:t>2019</w:t>
      </w:r>
      <w:r>
        <w:rPr/>
        <w:t>年至</w:t>
      </w:r>
      <w:r>
        <w:rPr>
          <w:spacing w:val="20"/>
        </w:rPr>
        <w:t> </w:t>
      </w:r>
      <w:r>
        <w:rPr>
          <w:rFonts w:ascii="Times New Roman" w:hAnsi="Times New Roman" w:cs="Times New Roman" w:eastAsia="Times New Roman" w:hint="default"/>
        </w:rPr>
        <w:t>2022</w:t>
      </w:r>
      <w:r>
        <w:rPr/>
        <w:t>年度企业所得税适用税率为</w:t>
      </w:r>
      <w:r>
        <w:rPr>
          <w:rFonts w:ascii="Times New Roman" w:hAnsi="Times New Roman" w:cs="Times New Roman" w:eastAsia="Times New Roman" w:hint="default"/>
        </w:rPr>
        <w:t>15%</w:t>
      </w:r>
      <w:r>
        <w:rPr/>
        <w:t>。</w:t>
      </w:r>
    </w:p>
    <w:p>
      <w:pPr>
        <w:pStyle w:val="BodyText"/>
        <w:spacing w:line="300" w:lineRule="auto" w:before="133"/>
        <w:ind w:right="1128" w:firstLine="439"/>
        <w:jc w:val="both"/>
      </w:pPr>
      <w:r>
        <w:rPr/>
        <w:t>（</w:t>
      </w:r>
      <w:r>
        <w:rPr>
          <w:rFonts w:ascii="Times New Roman" w:hAnsi="Times New Roman" w:cs="Times New Roman" w:eastAsia="Times New Roman" w:hint="default"/>
        </w:rPr>
        <w:t>17</w:t>
      </w:r>
      <w:r>
        <w:rPr/>
        <w:t>）本公司下属子公司南京中寰越德网络科技有限公司、辽宁中寰卫星导航通信有限公司、甘肃北斗星辰科技有限 </w:t>
      </w:r>
      <w:r>
        <w:rPr>
          <w:spacing w:val="-2"/>
        </w:rPr>
        <w:t>公司、北京中寰天畅卫星导航科技有限公司、陕西世纪高通科技有限公司、湖北中寰卫星导航通信有限公司</w:t>
      </w:r>
      <w:r>
        <w:rPr>
          <w:rFonts w:ascii="Times New Roman" w:hAnsi="Times New Roman" w:cs="Times New Roman" w:eastAsia="Times New Roman" w:hint="default"/>
          <w:spacing w:val="-2"/>
        </w:rPr>
        <w:t>2019</w:t>
      </w:r>
      <w:r>
        <w:rPr>
          <w:spacing w:val="-2"/>
        </w:rPr>
        <w:t>年度为小型</w:t>
      </w:r>
      <w:r>
        <w:rPr>
          <w:spacing w:val="-59"/>
        </w:rPr>
        <w:t> </w:t>
      </w:r>
      <w:r>
        <w:rPr>
          <w:spacing w:val="-59"/>
        </w:rPr>
      </w:r>
      <w:r>
        <w:rPr>
          <w:spacing w:val="-1"/>
        </w:rPr>
        <w:t>微利企业，根据财政部国家税务总局《关于进一步扩大小型微利企业所得税优惠政策范围的通知》（财税</w:t>
      </w:r>
      <w:r>
        <w:rPr>
          <w:rFonts w:ascii="Times New Roman" w:hAnsi="Times New Roman" w:cs="Times New Roman" w:eastAsia="Times New Roman" w:hint="default"/>
          <w:spacing w:val="-1"/>
        </w:rPr>
        <w:t>[2018]77</w:t>
      </w:r>
      <w:r>
        <w:rPr>
          <w:spacing w:val="-1"/>
        </w:rPr>
        <w:t>号）的规</w:t>
      </w:r>
      <w:r>
        <w:rPr>
          <w:spacing w:val="-57"/>
        </w:rPr>
        <w:t> </w:t>
      </w:r>
      <w:r>
        <w:rPr>
          <w:spacing w:val="-57"/>
        </w:rPr>
      </w:r>
      <w:r>
        <w:rPr>
          <w:spacing w:val="-2"/>
        </w:rPr>
        <w:t>定，自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日，对年应纳税所得额低于</w:t>
      </w:r>
      <w:r>
        <w:rPr>
          <w:rFonts w:ascii="Times New Roman" w:hAnsi="Times New Roman" w:cs="Times New Roman" w:eastAsia="Times New Roman" w:hint="default"/>
          <w:spacing w:val="-2"/>
        </w:rPr>
        <w:t>100</w:t>
      </w:r>
      <w:r>
        <w:rPr>
          <w:spacing w:val="-2"/>
        </w:rPr>
        <w:t>万元（含</w:t>
      </w:r>
      <w:r>
        <w:rPr>
          <w:rFonts w:ascii="Times New Roman" w:hAnsi="Times New Roman" w:cs="Times New Roman" w:eastAsia="Times New Roman" w:hint="default"/>
          <w:spacing w:val="-2"/>
        </w:rPr>
        <w:t>100</w:t>
      </w:r>
      <w:r>
        <w:rPr>
          <w:spacing w:val="-2"/>
        </w:rPr>
        <w:t>万元）的小型微利企业，其所得减按</w:t>
      </w:r>
      <w:r>
        <w:rPr>
          <w:rFonts w:ascii="Times New Roman" w:hAnsi="Times New Roman" w:cs="Times New Roman" w:eastAsia="Times New Roman" w:hint="default"/>
          <w:spacing w:val="-2"/>
        </w:rPr>
        <w:t>50%</w:t>
      </w:r>
      <w:r>
        <w:rPr>
          <w:spacing w:val="-2"/>
        </w:rPr>
        <w:t>计</w:t>
      </w:r>
      <w:r>
        <w:rPr>
          <w:spacing w:val="-29"/>
        </w:rPr>
        <w:t> </w:t>
      </w:r>
      <w:r>
        <w:rPr/>
        <w:t>入应纳税所得额，按</w:t>
      </w:r>
      <w:r>
        <w:rPr>
          <w:rFonts w:ascii="Times New Roman" w:hAnsi="Times New Roman" w:cs="Times New Roman" w:eastAsia="Times New Roman" w:hint="default"/>
        </w:rPr>
        <w:t>20%</w:t>
      </w:r>
      <w:r>
        <w:rPr/>
        <w:t>的税率缴纳企业所得税。</w:t>
      </w:r>
    </w:p>
    <w:p>
      <w:pPr>
        <w:pStyle w:val="BodyText"/>
        <w:spacing w:line="300" w:lineRule="auto" w:before="133"/>
        <w:ind w:right="0" w:firstLine="439"/>
        <w:jc w:val="left"/>
      </w:pPr>
      <w:r>
        <w:rPr/>
        <w:t>（</w:t>
      </w:r>
      <w:r>
        <w:rPr>
          <w:rFonts w:ascii="Times New Roman" w:hAnsi="Times New Roman" w:cs="Times New Roman" w:eastAsia="Times New Roman" w:hint="default"/>
        </w:rPr>
        <w:t>18</w:t>
      </w:r>
      <w:r>
        <w:rPr/>
        <w:t>）本公司下属子公司合肥杰发科技有限公司系</w:t>
      </w:r>
      <w:r>
        <w:rPr>
          <w:rFonts w:ascii="Times New Roman" w:hAnsi="Times New Roman" w:cs="Times New Roman" w:eastAsia="Times New Roman" w:hint="default"/>
        </w:rPr>
        <w:t>2014</w:t>
      </w:r>
      <w:r>
        <w:rPr/>
        <w:t>年新办集成电路企业，根据财税（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号文，公司自</w:t>
      </w:r>
      <w:r>
        <w:rPr>
          <w:rFonts w:ascii="Times New Roman" w:hAnsi="Times New Roman" w:cs="Times New Roman" w:eastAsia="Times New Roman" w:hint="default"/>
        </w:rPr>
        <w:t>2014 </w:t>
      </w:r>
      <w:r>
        <w:rPr/>
        <w:t>年起至</w:t>
      </w:r>
      <w:r>
        <w:rPr>
          <w:rFonts w:ascii="Times New Roman" w:hAnsi="Times New Roman" w:cs="Times New Roman" w:eastAsia="Times New Roman" w:hint="default"/>
        </w:rPr>
        <w:t>2018</w:t>
      </w:r>
      <w:r>
        <w:rPr/>
        <w:t>年享受所得税两免三减半优惠政策，</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w:t>
      </w:r>
      <w:r>
        <w:rPr/>
        <w:t>年为免税期，</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2018</w:t>
      </w:r>
      <w:r>
        <w:rPr/>
        <w:t>年企业所得税适用税率为</w:t>
      </w:r>
      <w:r>
        <w:rPr>
          <w:rFonts w:ascii="Times New Roman" w:hAnsi="Times New Roman" w:cs="Times New Roman" w:eastAsia="Times New Roman" w:hint="default"/>
        </w:rPr>
        <w:t>12.5%</w:t>
      </w:r>
      <w:r>
        <w:rPr/>
        <w:t>。</w:t>
      </w:r>
      <w:r>
        <w:rPr>
          <w:spacing w:val="-24"/>
        </w:rPr>
        <w:t> </w:t>
      </w:r>
      <w:r>
        <w:rPr>
          <w:spacing w:val="-3"/>
        </w:rPr>
        <w:t>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月，公司被认定为国家规划布局内重点集成电路设计企业，自</w:t>
      </w:r>
      <w:r>
        <w:rPr>
          <w:rFonts w:ascii="Times New Roman" w:hAnsi="Times New Roman" w:cs="Times New Roman" w:eastAsia="Times New Roman" w:hint="default"/>
          <w:spacing w:val="-3"/>
        </w:rPr>
        <w:t>2017</w:t>
      </w:r>
      <w:r>
        <w:rPr>
          <w:spacing w:val="-3"/>
        </w:rPr>
        <w:t>年起，按照</w:t>
      </w:r>
      <w:r>
        <w:rPr>
          <w:rFonts w:ascii="Times New Roman" w:hAnsi="Times New Roman" w:cs="Times New Roman" w:eastAsia="Times New Roman" w:hint="default"/>
          <w:spacing w:val="-3"/>
        </w:rPr>
        <w:t>10%</w:t>
      </w:r>
      <w:r>
        <w:rPr>
          <w:spacing w:val="-3"/>
        </w:rPr>
        <w:t>所得税率申报缴纳企业所得税。</w:t>
      </w:r>
    </w:p>
    <w:p>
      <w:pPr>
        <w:spacing w:after="0" w:line="30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40" w:lineRule="auto" w:before="44"/>
        <w:ind w:right="1846"/>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无</w:t>
      </w:r>
    </w:p>
    <w:p>
      <w:pPr>
        <w:spacing w:line="240" w:lineRule="auto" w:before="4"/>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七、合并财务报表项目注释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128,170.90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235,969.78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1,537,044,408.61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2,009,209,495.87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185,731,996.26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295,012,448.36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1,722,904,575.77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2,304,457,914.01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349,143,093.57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390,646,083.60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因抵押、质押或冻结等对使用 有限制的款项总额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144,028,291.18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222,658,161.56</w:t>
            </w:r>
          </w:p>
        </w:tc>
      </w:tr>
    </w:tbl>
    <w:p>
      <w:pPr>
        <w:pStyle w:val="BodyText"/>
        <w:spacing w:line="240" w:lineRule="auto" w:before="51"/>
        <w:ind w:left="513" w:right="0"/>
        <w:jc w:val="left"/>
      </w:pPr>
      <w:r>
        <w:rPr/>
        <w:t>注</w:t>
      </w:r>
      <w:r>
        <w:rPr>
          <w:spacing w:val="-48"/>
        </w:rPr>
        <w:t> </w:t>
      </w:r>
      <w:r>
        <w:rPr>
          <w:rFonts w:ascii="Times New Roman" w:hAnsi="Times New Roman" w:cs="Times New Roman" w:eastAsia="Times New Roman" w:hint="default"/>
        </w:rPr>
        <w:t>1</w:t>
      </w:r>
      <w:r>
        <w:rPr/>
        <w:t>：其他货币资金为定期存款，其中</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个月定期存款</w:t>
      </w:r>
      <w:r>
        <w:rPr>
          <w:spacing w:val="-50"/>
        </w:rPr>
        <w:t> </w:t>
      </w:r>
      <w:r>
        <w:rPr>
          <w:rFonts w:ascii="Times New Roman" w:hAnsi="Times New Roman" w:cs="Times New Roman" w:eastAsia="Times New Roman" w:hint="default"/>
        </w:rPr>
        <w:t>41,703,705.08</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个月以上定期存款</w:t>
      </w:r>
      <w:r>
        <w:rPr>
          <w:spacing w:val="-48"/>
        </w:rPr>
        <w:t> </w:t>
      </w:r>
      <w:r>
        <w:rPr>
          <w:rFonts w:ascii="Times New Roman" w:hAnsi="Times New Roman" w:cs="Times New Roman" w:eastAsia="Times New Roman" w:hint="default"/>
        </w:rPr>
        <w:t>115,155,865.60 </w:t>
      </w:r>
      <w:r>
        <w:rPr/>
        <w:t>元，应付</w:t>
      </w:r>
    </w:p>
    <w:p>
      <w:pPr>
        <w:pStyle w:val="BodyText"/>
        <w:spacing w:line="240" w:lineRule="auto" w:before="60"/>
        <w:ind w:right="0"/>
        <w:jc w:val="left"/>
      </w:pPr>
      <w:r>
        <w:rPr/>
        <w:t>票据保证金及履约保函保证金</w:t>
      </w:r>
      <w:r>
        <w:rPr>
          <w:spacing w:val="-47"/>
        </w:rPr>
        <w:t> </w:t>
      </w:r>
      <w:r>
        <w:rPr>
          <w:rFonts w:ascii="Times New Roman" w:hAnsi="Times New Roman" w:cs="Times New Roman" w:eastAsia="Times New Roman" w:hint="default"/>
        </w:rPr>
        <w:t>28,872,425.58 </w:t>
      </w:r>
      <w:r>
        <w:rPr/>
        <w:t>元。</w:t>
      </w:r>
    </w:p>
    <w:p>
      <w:pPr>
        <w:pStyle w:val="BodyText"/>
        <w:spacing w:line="240" w:lineRule="auto" w:before="103"/>
        <w:ind w:left="513" w:right="0"/>
        <w:jc w:val="left"/>
        <w:rPr>
          <w:rFonts w:ascii="Times New Roman" w:hAnsi="Times New Roman" w:cs="Times New Roman" w:eastAsia="Times New Roman" w:hint="default"/>
        </w:rPr>
      </w:pPr>
      <w:r>
        <w:rPr/>
        <w:t>注</w:t>
      </w:r>
      <w:r>
        <w:rPr>
          <w:spacing w:val="-48"/>
        </w:rPr>
        <w:t> </w:t>
      </w:r>
      <w:r>
        <w:rPr>
          <w:rFonts w:ascii="Times New Roman" w:hAnsi="Times New Roman" w:cs="Times New Roman" w:eastAsia="Times New Roman" w:hint="default"/>
        </w:rPr>
        <w:t>2</w:t>
      </w:r>
      <w:r>
        <w:rPr/>
        <w:t>：年末使用受限资金为</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个月以上定期存款</w:t>
      </w:r>
      <w:r>
        <w:rPr>
          <w:spacing w:val="-47"/>
        </w:rPr>
        <w:t> </w:t>
      </w:r>
      <w:r>
        <w:rPr>
          <w:rFonts w:ascii="Times New Roman" w:hAnsi="Times New Roman" w:cs="Times New Roman" w:eastAsia="Times New Roman" w:hint="default"/>
        </w:rPr>
        <w:t>115,155,865.60</w:t>
      </w:r>
      <w:r>
        <w:rPr>
          <w:rFonts w:ascii="Times New Roman" w:hAnsi="Times New Roman" w:cs="Times New Roman" w:eastAsia="Times New Roman" w:hint="default"/>
          <w:spacing w:val="-1"/>
        </w:rPr>
        <w:t> </w:t>
      </w:r>
      <w:r>
        <w:rPr/>
        <w:t>元，应付票据保证金及履约保函保证金</w:t>
      </w:r>
      <w:r>
        <w:rPr>
          <w:spacing w:val="-47"/>
        </w:rPr>
        <w:t> </w:t>
      </w:r>
      <w:r>
        <w:rPr>
          <w:rFonts w:ascii="Times New Roman" w:hAnsi="Times New Roman" w:cs="Times New Roman" w:eastAsia="Times New Roman" w:hint="default"/>
        </w:rPr>
        <w:t>28,872,425.58</w:t>
      </w:r>
    </w:p>
    <w:p>
      <w:pPr>
        <w:pStyle w:val="BodyText"/>
        <w:spacing w:line="240" w:lineRule="auto" w:before="63"/>
        <w:ind w:right="0"/>
        <w:jc w:val="left"/>
      </w:pPr>
      <w:r>
        <w:rPr/>
        <w:t>元。</w:t>
      </w:r>
    </w:p>
    <w:p>
      <w:pPr>
        <w:pStyle w:val="BodyText"/>
        <w:spacing w:line="240" w:lineRule="auto" w:before="117"/>
        <w:ind w:left="513" w:right="0"/>
        <w:jc w:val="left"/>
        <w:rPr>
          <w:rFonts w:ascii="Times New Roman" w:hAnsi="Times New Roman" w:cs="Times New Roman" w:eastAsia="Times New Roman" w:hint="default"/>
        </w:rPr>
      </w:pPr>
      <w:r>
        <w:rPr/>
        <w:t>注</w:t>
      </w:r>
      <w:r>
        <w:rPr>
          <w:spacing w:val="-47"/>
        </w:rPr>
        <w:t> </w:t>
      </w:r>
      <w:r>
        <w:rPr>
          <w:rFonts w:ascii="Times New Roman" w:hAnsi="Times New Roman" w:cs="Times New Roman" w:eastAsia="Times New Roman" w:hint="default"/>
        </w:rPr>
        <w:t>3</w:t>
      </w:r>
      <w:r>
        <w:rPr/>
        <w:t>：年初使用受限资金为</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个月以上定期存款</w:t>
      </w:r>
      <w:r>
        <w:rPr>
          <w:spacing w:val="-46"/>
        </w:rPr>
        <w:t> </w:t>
      </w:r>
      <w:r>
        <w:rPr>
          <w:rFonts w:ascii="Times New Roman" w:hAnsi="Times New Roman" w:cs="Times New Roman" w:eastAsia="Times New Roman" w:hint="default"/>
        </w:rPr>
        <w:t>195,135,610.25</w:t>
      </w:r>
      <w:r>
        <w:rPr>
          <w:rFonts w:ascii="Times New Roman" w:hAnsi="Times New Roman" w:cs="Times New Roman" w:eastAsia="Times New Roman" w:hint="default"/>
          <w:spacing w:val="1"/>
        </w:rPr>
        <w:t> </w:t>
      </w:r>
      <w:r>
        <w:rPr/>
        <w:t>元，应付票据保证金及履约保函保证金</w:t>
      </w:r>
      <w:r>
        <w:rPr>
          <w:spacing w:val="-46"/>
        </w:rPr>
        <w:t> </w:t>
      </w:r>
      <w:r>
        <w:rPr>
          <w:rFonts w:ascii="Times New Roman" w:hAnsi="Times New Roman" w:cs="Times New Roman" w:eastAsia="Times New Roman" w:hint="default"/>
        </w:rPr>
        <w:t>27,522,551.31</w:t>
      </w:r>
    </w:p>
    <w:p>
      <w:pPr>
        <w:pStyle w:val="BodyText"/>
        <w:spacing w:line="240" w:lineRule="auto" w:before="63"/>
        <w:ind w:right="0"/>
        <w:jc w:val="left"/>
      </w:pPr>
      <w:r>
        <w:rPr/>
        <w:t>元。</w:t>
      </w:r>
    </w:p>
    <w:p>
      <w:pPr>
        <w:spacing w:line="240" w:lineRule="auto" w:before="12"/>
        <w:rPr>
          <w:rFonts w:ascii="宋体" w:hAnsi="宋体" w:cs="宋体" w:eastAsia="宋体" w:hint="default"/>
          <w:sz w:val="21"/>
          <w:szCs w:val="21"/>
        </w:rPr>
      </w:pPr>
    </w:p>
    <w:p>
      <w:pPr>
        <w:pStyle w:val="Heading4"/>
        <w:spacing w:line="460" w:lineRule="auto"/>
        <w:ind w:right="8829"/>
        <w:jc w:val="left"/>
        <w:rPr>
          <w:rFonts w:ascii="宋体" w:hAnsi="宋体" w:cs="宋体" w:eastAsia="宋体" w:hint="default"/>
          <w:b w:val="0"/>
          <w:bCs w:val="0"/>
          <w:sz w:val="18"/>
          <w:szCs w:val="18"/>
        </w:rPr>
      </w:pPr>
      <w:r>
        <w:rPr>
          <w:rFonts w:ascii="Times New Roman" w:hAnsi="Times New Roman" w:cs="Times New Roman" w:eastAsia="Times New Roman" w:hint="default"/>
        </w:rPr>
        <w:t>2</w:t>
      </w:r>
      <w:r>
        <w:rPr/>
        <w:t>、交易性金融资产</w:t>
      </w:r>
      <w:r>
        <w:rPr>
          <w:spacing w:val="-46"/>
        </w:rPr>
        <w:t> </w:t>
      </w:r>
      <w:r>
        <w:rPr>
          <w:rFonts w:ascii="宋体" w:hAnsi="宋体" w:cs="宋体" w:eastAsia="宋体" w:hint="default"/>
          <w:b w:val="0"/>
          <w:bCs w:val="0"/>
          <w:spacing w:val="-46"/>
          <w:sz w:val="18"/>
          <w:szCs w:val="18"/>
        </w:rPr>
      </w:r>
      <w:r>
        <w:rPr>
          <w:rFonts w:ascii="宋体" w:hAnsi="宋体" w:cs="宋体" w:eastAsia="宋体" w:hint="default"/>
          <w:b w:val="0"/>
          <w:bCs w:val="0"/>
          <w:sz w:val="18"/>
          <w:szCs w:val="18"/>
        </w:rPr>
        <w:t>无</w:t>
      </w:r>
    </w:p>
    <w:p>
      <w:pPr>
        <w:pStyle w:val="Heading4"/>
        <w:spacing w:line="240" w:lineRule="auto" w:before="124"/>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35,769,235.07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73,300,485.44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3,941,165.43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2,016,641.54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39,710,400.50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75,317,126.98</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635"/>
        <w:gridCol w:w="763"/>
        <w:gridCol w:w="761"/>
        <w:gridCol w:w="763"/>
        <w:gridCol w:w="763"/>
        <w:gridCol w:w="790"/>
        <w:gridCol w:w="775"/>
        <w:gridCol w:w="797"/>
        <w:gridCol w:w="932"/>
        <w:gridCol w:w="797"/>
        <w:gridCol w:w="792"/>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备的应收票据</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39,734,1</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90.23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23,789.7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6" w:right="0"/>
              <w:jc w:val="left"/>
              <w:rPr>
                <w:rFonts w:ascii="Times New Roman" w:hAnsi="Times New Roman" w:cs="Times New Roman" w:eastAsia="Times New Roman" w:hint="default"/>
                <w:sz w:val="18"/>
                <w:szCs w:val="18"/>
              </w:rPr>
            </w:pPr>
            <w:r>
              <w:rPr>
                <w:rFonts w:ascii="Times New Roman"/>
                <w:sz w:val="18"/>
              </w:rPr>
              <w:t>39,710,40</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0.50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75,331,34</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2.98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14,216.00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 w:right="0"/>
              <w:jc w:val="left"/>
              <w:rPr>
                <w:rFonts w:ascii="Times New Roman" w:hAnsi="Times New Roman" w:cs="Times New Roman" w:eastAsia="Times New Roman" w:hint="default"/>
                <w:sz w:val="18"/>
                <w:szCs w:val="18"/>
              </w:rPr>
            </w:pPr>
            <w:r>
              <w:rPr>
                <w:rFonts w:ascii="Times New Roman"/>
                <w:sz w:val="18"/>
              </w:rPr>
              <w:t>75,317,12</w:t>
            </w:r>
          </w:p>
          <w:p>
            <w:pPr>
              <w:pStyle w:val="TableParagraph"/>
              <w:spacing w:line="240" w:lineRule="auto" w:before="102"/>
              <w:ind w:left="446" w:right="0"/>
              <w:jc w:val="left"/>
              <w:rPr>
                <w:rFonts w:ascii="Times New Roman" w:hAnsi="Times New Roman" w:cs="Times New Roman" w:eastAsia="Times New Roman" w:hint="default"/>
                <w:sz w:val="18"/>
                <w:szCs w:val="18"/>
              </w:rPr>
            </w:pPr>
            <w:r>
              <w:rPr>
                <w:rFonts w:ascii="Times New Roman"/>
                <w:sz w:val="18"/>
              </w:rPr>
              <w:t>6.98</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3,964,95</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5.16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23,789.7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3,941,165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2,030,857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14,216.00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2,016,641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.54</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低风险组合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35,769,2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35.07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35,769,23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5.07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73,300,48</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5.44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73,300,48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5.44</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39,734,1</w:t>
            </w:r>
          </w:p>
          <w:p>
            <w:pPr>
              <w:pStyle w:val="TableParagraph"/>
              <w:spacing w:line="240" w:lineRule="auto" w:before="103"/>
              <w:ind w:left="326" w:right="0"/>
              <w:jc w:val="left"/>
              <w:rPr>
                <w:rFonts w:ascii="Times New Roman" w:hAnsi="Times New Roman" w:cs="Times New Roman" w:eastAsia="Times New Roman" w:hint="default"/>
                <w:sz w:val="18"/>
                <w:szCs w:val="18"/>
              </w:rPr>
            </w:pPr>
            <w:r>
              <w:rPr>
                <w:rFonts w:ascii="Times New Roman"/>
                <w:sz w:val="18"/>
              </w:rPr>
              <w:t>90.23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23,789.7</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6" w:right="0"/>
              <w:jc w:val="left"/>
              <w:rPr>
                <w:rFonts w:ascii="Times New Roman" w:hAnsi="Times New Roman" w:cs="Times New Roman" w:eastAsia="Times New Roman" w:hint="default"/>
                <w:sz w:val="18"/>
                <w:szCs w:val="18"/>
              </w:rPr>
            </w:pPr>
            <w:r>
              <w:rPr>
                <w:rFonts w:ascii="Times New Roman"/>
                <w:sz w:val="18"/>
              </w:rPr>
              <w:t>39,710,40</w:t>
            </w:r>
          </w:p>
          <w:p>
            <w:pPr>
              <w:pStyle w:val="TableParagraph"/>
              <w:spacing w:line="240" w:lineRule="auto" w:before="103"/>
              <w:ind w:left="441" w:right="0"/>
              <w:jc w:val="left"/>
              <w:rPr>
                <w:rFonts w:ascii="Times New Roman" w:hAnsi="Times New Roman" w:cs="Times New Roman" w:eastAsia="Times New Roman" w:hint="default"/>
                <w:sz w:val="18"/>
                <w:szCs w:val="18"/>
              </w:rPr>
            </w:pPr>
            <w:r>
              <w:rPr>
                <w:rFonts w:ascii="Times New Roman"/>
                <w:sz w:val="18"/>
              </w:rPr>
              <w:t>0.50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75,331,34</w:t>
            </w:r>
          </w:p>
          <w:p>
            <w:pPr>
              <w:pStyle w:val="TableParagraph"/>
              <w:spacing w:line="240" w:lineRule="auto" w:before="103"/>
              <w:ind w:left="429" w:right="0"/>
              <w:jc w:val="left"/>
              <w:rPr>
                <w:rFonts w:ascii="Times New Roman" w:hAnsi="Times New Roman" w:cs="Times New Roman" w:eastAsia="Times New Roman" w:hint="default"/>
                <w:sz w:val="18"/>
                <w:szCs w:val="18"/>
              </w:rPr>
            </w:pPr>
            <w:r>
              <w:rPr>
                <w:rFonts w:ascii="Times New Roman"/>
                <w:sz w:val="18"/>
              </w:rPr>
              <w:t>2.98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14,216.00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 w:right="0"/>
              <w:jc w:val="left"/>
              <w:rPr>
                <w:rFonts w:ascii="Times New Roman" w:hAnsi="Times New Roman" w:cs="Times New Roman" w:eastAsia="Times New Roman" w:hint="default"/>
                <w:sz w:val="18"/>
                <w:szCs w:val="18"/>
              </w:rPr>
            </w:pPr>
            <w:r>
              <w:rPr>
                <w:rFonts w:ascii="Times New Roman"/>
                <w:sz w:val="18"/>
              </w:rPr>
              <w:t>75,317,12</w:t>
            </w:r>
          </w:p>
          <w:p>
            <w:pPr>
              <w:pStyle w:val="TableParagraph"/>
              <w:spacing w:line="240" w:lineRule="auto" w:before="103"/>
              <w:ind w:left="446" w:right="0"/>
              <w:jc w:val="left"/>
              <w:rPr>
                <w:rFonts w:ascii="Times New Roman" w:hAnsi="Times New Roman" w:cs="Times New Roman" w:eastAsia="Times New Roman" w:hint="default"/>
                <w:sz w:val="18"/>
                <w:szCs w:val="18"/>
              </w:rPr>
            </w:pPr>
            <w:r>
              <w:rPr>
                <w:rFonts w:ascii="Times New Roman"/>
                <w:sz w:val="18"/>
              </w:rPr>
              <w:t>6.98</w:t>
            </w:r>
          </w:p>
        </w:tc>
      </w:tr>
    </w:tbl>
    <w:p>
      <w:pPr>
        <w:pStyle w:val="BodyText"/>
        <w:spacing w:line="360" w:lineRule="auto" w:before="49"/>
        <w:ind w:right="8954"/>
        <w:jc w:val="left"/>
      </w:pPr>
      <w:r>
        <w:rPr/>
        <w:t>按单项计提坏账准备： 无 按组合计提坏账准备： 无</w:t>
      </w:r>
    </w:p>
    <w:p>
      <w:pPr>
        <w:pStyle w:val="BodyText"/>
        <w:spacing w:line="240" w:lineRule="auto" w:before="25"/>
        <w:ind w:right="0"/>
        <w:jc w:val="left"/>
      </w:pPr>
      <w:r>
        <w:rPr/>
        <w:t>如是按照预期信用损失一般模型计提应收票据坏账准备，请参照其他应收款的披露方式披露坏账准备的相关信息：</w:t>
      </w:r>
    </w:p>
    <w:p>
      <w:pPr>
        <w:pStyle w:val="BodyText"/>
        <w:spacing w:line="240" w:lineRule="auto" w:before="117"/>
        <w:ind w:right="0"/>
        <w:jc w:val="left"/>
      </w:pPr>
      <w:r>
        <w:rPr>
          <w:rFonts w:ascii="Times New Roman" w:hAnsi="Times New Roman" w:cs="Times New Roman" w:eastAsia="Times New Roman" w:hint="default"/>
        </w:rPr>
        <w:t>□  </w:t>
      </w:r>
      <w:r>
        <w:rPr/>
        <w:t>适用 </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
              <w:jc w:val="center"/>
              <w:rPr>
                <w:rFonts w:ascii="宋体" w:hAnsi="宋体" w:cs="宋体" w:eastAsia="宋体" w:hint="default"/>
                <w:sz w:val="18"/>
                <w:szCs w:val="18"/>
              </w:rPr>
            </w:pPr>
            <w:r>
              <w:rPr>
                <w:rFonts w:ascii="宋体" w:hAnsi="宋体" w:cs="宋体" w:eastAsia="宋体" w:hint="default"/>
                <w:sz w:val="18"/>
                <w:szCs w:val="18"/>
              </w:rPr>
              <w:t>账龄组合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14,216.00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9,573.73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23,789.73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14,216.00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9,573.73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23,789.73</w:t>
            </w:r>
          </w:p>
        </w:tc>
      </w:tr>
    </w:tbl>
    <w:p>
      <w:pPr>
        <w:spacing w:line="240" w:lineRule="auto" w:before="4"/>
        <w:rPr>
          <w:rFonts w:ascii="宋体" w:hAnsi="宋体" w:cs="宋体" w:eastAsia="宋体" w:hint="default"/>
          <w:sz w:val="27"/>
          <w:szCs w:val="27"/>
        </w:rPr>
      </w:pPr>
    </w:p>
    <w:p>
      <w:pPr>
        <w:pStyle w:val="BodyText"/>
        <w:spacing w:line="240" w:lineRule="auto" w:before="44"/>
        <w:ind w:right="0"/>
        <w:jc w:val="left"/>
      </w:pPr>
      <w:r>
        <w:rPr/>
        <w:t>其中本期坏账准备收回或转回金额重要的：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635"/>
        <w:gridCol w:w="763"/>
        <w:gridCol w:w="761"/>
        <w:gridCol w:w="763"/>
        <w:gridCol w:w="763"/>
        <w:gridCol w:w="790"/>
        <w:gridCol w:w="775"/>
        <w:gridCol w:w="797"/>
        <w:gridCol w:w="799"/>
        <w:gridCol w:w="790"/>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left"/>
              <w:rPr>
                <w:rFonts w:ascii="Times New Roman" w:hAnsi="Times New Roman" w:cs="Times New Roman" w:eastAsia="Times New Roman" w:hint="default"/>
                <w:sz w:val="18"/>
                <w:szCs w:val="18"/>
              </w:rPr>
            </w:pPr>
            <w:r>
              <w:rPr>
                <w:rFonts w:ascii="Times New Roman"/>
                <w:sz w:val="18"/>
              </w:rPr>
              <w:t>11,065,2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34.25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1.41%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6,809,62</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8.46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4,255,605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4,751,952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4,609,562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142,390.00</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其中：单项金额重 大并单项计提坏账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9,422,19</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6.25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1.20%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5,166,59</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0.46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4,255,605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2,832,952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2,832,952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firstLine="454"/>
              <w:jc w:val="left"/>
              <w:rPr>
                <w:rFonts w:ascii="宋体" w:hAnsi="宋体" w:cs="宋体" w:eastAsia="宋体" w:hint="default"/>
                <w:sz w:val="18"/>
                <w:szCs w:val="18"/>
              </w:rPr>
            </w:pPr>
            <w:r>
              <w:rPr>
                <w:rFonts w:ascii="宋体" w:hAnsi="宋体" w:cs="宋体" w:eastAsia="宋体" w:hint="default"/>
                <w:sz w:val="18"/>
                <w:szCs w:val="18"/>
              </w:rPr>
              <w:t>单项金额虽不 重大但单项计提坏 账准备的应收账款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1,643,03</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8.00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0.21%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1,643,03</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8.00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1,919,000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1,776,610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92.58%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142,390.00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772,645,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253.28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98.59%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57,657,7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24.49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714,987,5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28.79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486,822,9</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38.52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99.03%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47,198,40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439,624,53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2.98</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635"/>
        <w:gridCol w:w="763"/>
        <w:gridCol w:w="761"/>
        <w:gridCol w:w="763"/>
        <w:gridCol w:w="763"/>
        <w:gridCol w:w="790"/>
        <w:gridCol w:w="775"/>
        <w:gridCol w:w="797"/>
        <w:gridCol w:w="799"/>
        <w:gridCol w:w="790"/>
        <w:gridCol w:w="931"/>
      </w:tblGrid>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其中：账龄组合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0" w:right="0"/>
              <w:jc w:val="center"/>
              <w:rPr>
                <w:rFonts w:ascii="Times New Roman" w:hAnsi="Times New Roman" w:cs="Times New Roman" w:eastAsia="Times New Roman" w:hint="default"/>
                <w:sz w:val="18"/>
                <w:szCs w:val="18"/>
              </w:rPr>
            </w:pPr>
            <w:r>
              <w:rPr>
                <w:rFonts w:ascii="Times New Roman"/>
                <w:sz w:val="18"/>
              </w:rPr>
              <w:t>724,204,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104.01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92.41%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0" w:right="0"/>
              <w:jc w:val="left"/>
              <w:rPr>
                <w:rFonts w:ascii="Times New Roman" w:hAnsi="Times New Roman" w:cs="Times New Roman" w:eastAsia="Times New Roman" w:hint="default"/>
                <w:sz w:val="18"/>
                <w:szCs w:val="18"/>
              </w:rPr>
            </w:pPr>
            <w:r>
              <w:rPr>
                <w:rFonts w:ascii="Times New Roman"/>
                <w:sz w:val="18"/>
              </w:rPr>
              <w:t>57,657,7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24.49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6" w:right="0"/>
              <w:jc w:val="left"/>
              <w:rPr>
                <w:rFonts w:ascii="Times New Roman" w:hAnsi="Times New Roman" w:cs="Times New Roman" w:eastAsia="Times New Roman" w:hint="default"/>
                <w:sz w:val="18"/>
                <w:szCs w:val="18"/>
              </w:rPr>
            </w:pPr>
            <w:r>
              <w:rPr>
                <w:rFonts w:ascii="Times New Roman"/>
                <w:sz w:val="18"/>
              </w:rPr>
              <w:t>666,546,3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79.52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329,505,4</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64.52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67.03%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47,198,40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14.32%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8" w:right="0"/>
              <w:jc w:val="left"/>
              <w:rPr>
                <w:rFonts w:ascii="Times New Roman" w:hAnsi="Times New Roman" w:cs="Times New Roman" w:eastAsia="Times New Roman" w:hint="default"/>
                <w:sz w:val="18"/>
                <w:szCs w:val="18"/>
              </w:rPr>
            </w:pPr>
            <w:r>
              <w:rPr>
                <w:rFonts w:ascii="Times New Roman"/>
                <w:sz w:val="18"/>
              </w:rPr>
              <w:t>282,307,05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8.98</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低风险组合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48,441,1</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49.27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6" w:right="0"/>
              <w:jc w:val="left"/>
              <w:rPr>
                <w:rFonts w:ascii="Times New Roman" w:hAnsi="Times New Roman" w:cs="Times New Roman" w:eastAsia="Times New Roman" w:hint="default"/>
                <w:sz w:val="18"/>
                <w:szCs w:val="18"/>
              </w:rPr>
            </w:pPr>
            <w:r>
              <w:rPr>
                <w:rFonts w:ascii="Times New Roman"/>
                <w:sz w:val="18"/>
              </w:rPr>
              <w:t>48,441,14</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9.27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157,317,4</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74.00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32.00%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157,317,47</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4.00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783,710,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487.53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64,467,3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52.95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8.23%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719,243,1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34.58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491,574,8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91.02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51,807,96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10.54%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439,766,92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2.98</w:t>
            </w:r>
          </w:p>
        </w:tc>
      </w:tr>
    </w:tbl>
    <w:p>
      <w:pPr>
        <w:spacing w:line="240" w:lineRule="auto" w:before="4"/>
        <w:rPr>
          <w:rFonts w:ascii="宋体" w:hAnsi="宋体" w:cs="宋体" w:eastAsia="宋体" w:hint="default"/>
          <w:sz w:val="27"/>
          <w:szCs w:val="27"/>
        </w:rPr>
      </w:pPr>
    </w:p>
    <w:p>
      <w:pPr>
        <w:pStyle w:val="BodyText"/>
        <w:spacing w:line="240" w:lineRule="auto" w:before="44"/>
        <w:ind w:right="0"/>
        <w:jc w:val="left"/>
      </w:pPr>
      <w:r>
        <w:rPr/>
        <w:t>按单项计提坏账准备：单项金额重大并单项计提坏账准备的应收账款</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404"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457"/>
              <w:jc w:val="left"/>
              <w:rPr>
                <w:rFonts w:ascii="Times New Roman" w:hAnsi="Times New Roman" w:cs="Times New Roman" w:eastAsia="Times New Roman" w:hint="default"/>
                <w:sz w:val="18"/>
                <w:szCs w:val="18"/>
              </w:rPr>
            </w:pPr>
            <w:r>
              <w:rPr>
                <w:rFonts w:ascii="Times New Roman"/>
                <w:spacing w:val="-5"/>
                <w:sz w:val="18"/>
              </w:rPr>
              <w:t>NAVIS</w:t>
            </w:r>
            <w:r>
              <w:rPr>
                <w:rFonts w:ascii="Times New Roman"/>
                <w:spacing w:val="-14"/>
                <w:sz w:val="18"/>
              </w:rPr>
              <w:t> </w:t>
            </w:r>
            <w:r>
              <w:rPr>
                <w:rFonts w:ascii="Times New Roman"/>
                <w:sz w:val="18"/>
              </w:rPr>
              <w:t>Automotive</w:t>
            </w:r>
            <w:r>
              <w:rPr>
                <w:rFonts w:ascii="Times New Roman"/>
                <w:w w:val="100"/>
                <w:sz w:val="18"/>
              </w:rPr>
              <w:t> </w:t>
            </w:r>
            <w:r>
              <w:rPr>
                <w:rFonts w:ascii="Times New Roman"/>
                <w:sz w:val="18"/>
              </w:rPr>
              <w:t>Systems</w:t>
            </w:r>
            <w:r>
              <w:rPr>
                <w:rFonts w:ascii="Times New Roman"/>
                <w:spacing w:val="-5"/>
                <w:sz w:val="18"/>
              </w:rPr>
              <w:t> </w:t>
            </w:r>
            <w:r>
              <w:rPr>
                <w:rFonts w:ascii="Times New Roman"/>
                <w:sz w:val="18"/>
              </w:rPr>
              <w:t>Inc.</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6,589,243.75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2,333,637.96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中国公路工程咨询集团 有限公司新疆分公司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2,832,952.50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2,832,952.50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9,422,196.25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5,166,590.46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按单项计提坏账准备：单项金额虽不重大但单项计提坏账准备的应收账款</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海航创新科技研究有限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828,000.00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828,000.00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7"/>
              <w:jc w:val="left"/>
              <w:rPr>
                <w:rFonts w:ascii="宋体" w:hAnsi="宋体" w:cs="宋体" w:eastAsia="宋体" w:hint="default"/>
                <w:sz w:val="18"/>
                <w:szCs w:val="18"/>
              </w:rPr>
            </w:pPr>
            <w:r>
              <w:rPr>
                <w:rFonts w:ascii="宋体" w:hAnsi="宋体" w:cs="宋体" w:eastAsia="宋体" w:hint="default"/>
                <w:sz w:val="18"/>
                <w:szCs w:val="18"/>
              </w:rPr>
              <w:t>湖北公路客运集团股份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323,756.00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323,756.00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齐齐哈尔市北斗天龙科 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135,680.00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135,680.00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7"/>
              <w:jc w:val="left"/>
              <w:rPr>
                <w:rFonts w:ascii="宋体" w:hAnsi="宋体" w:cs="宋体" w:eastAsia="宋体" w:hint="default"/>
                <w:sz w:val="18"/>
                <w:szCs w:val="18"/>
              </w:rPr>
            </w:pPr>
            <w:r>
              <w:rPr>
                <w:rFonts w:ascii="宋体" w:hAnsi="宋体" w:cs="宋体" w:eastAsia="宋体" w:hint="default"/>
                <w:sz w:val="18"/>
                <w:szCs w:val="18"/>
              </w:rPr>
              <w:t>武汉盛达装卸运输有限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123,380.00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123,380.00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232,222.00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232,222.00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1,643,038.00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1,643,038.00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按组合计提坏账准备：账龄组合</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610,218,798.98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5,253,456.67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0.86%</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17,477,909.01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4,686,022.87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26.81%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47,938,341.75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14,454,285.01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30.15%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22,191,455.07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9,820,273.54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44.25%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8,816,920.00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5,883,007.20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66.72%</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17,560,679.20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17,560,679.20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724,204,104.01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57,657,724.49</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9" w:top="1060" w:bottom="1160" w:left="980" w:right="0"/>
        </w:sectPr>
      </w:pPr>
    </w:p>
    <w:p>
      <w:pPr>
        <w:pStyle w:val="BodyText"/>
        <w:spacing w:line="360" w:lineRule="auto" w:before="49"/>
        <w:ind w:right="700"/>
        <w:jc w:val="left"/>
      </w:pPr>
      <w:r>
        <w:rPr/>
        <w:t>确定该组合依据的说明： 无</w:t>
      </w:r>
    </w:p>
    <w:p>
      <w:pPr>
        <w:pStyle w:val="BodyText"/>
        <w:spacing w:line="240" w:lineRule="auto" w:before="25"/>
        <w:ind w:right="-20"/>
        <w:jc w:val="left"/>
      </w:pPr>
      <w:r>
        <w:rPr/>
        <w:t>按组合计提坏账准备：低风险组合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853" w:space="5976"/>
            <w:col w:w="2101"/>
          </w:cols>
        </w:sectPr>
      </w:pP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低风险组合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48,441,149.27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48,441,149.27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0"/>
        <w:jc w:val="left"/>
      </w:pPr>
      <w:r>
        <w:rPr/>
        <w:t>确定该组合依据的说明： 注：以应收账款的交易对象信誉</w:t>
      </w:r>
      <w:r>
        <w:rPr>
          <w:rFonts w:ascii="Times New Roman" w:hAnsi="Times New Roman" w:cs="Times New Roman" w:eastAsia="Times New Roman" w:hint="default"/>
        </w:rPr>
        <w:t>/</w:t>
      </w:r>
      <w:r>
        <w:rPr/>
        <w:t>交易对象关系为信用风险特征划分组合，主要为应收信誉保证度高的客户款项。</w:t>
      </w:r>
    </w:p>
    <w:p>
      <w:pPr>
        <w:spacing w:line="240" w:lineRule="auto" w:before="0"/>
        <w:rPr>
          <w:rFonts w:ascii="宋体" w:hAnsi="宋体" w:cs="宋体" w:eastAsia="宋体" w:hint="default"/>
          <w:sz w:val="18"/>
          <w:szCs w:val="18"/>
        </w:rPr>
      </w:pPr>
    </w:p>
    <w:p>
      <w:pPr>
        <w:pStyle w:val="BodyText"/>
        <w:spacing w:line="240" w:lineRule="auto" w:before="119"/>
        <w:ind w:right="0"/>
        <w:jc w:val="left"/>
      </w:pPr>
      <w:r>
        <w:rPr/>
        <w:t>如是按照预期信用损失一般模型计提应收账款坏账准备，请参照其他应收款的披露方式披露坏账准备的相关信息：</w:t>
      </w:r>
    </w:p>
    <w:p>
      <w:pPr>
        <w:pStyle w:val="BodyText"/>
        <w:spacing w:line="340"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3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665,147,577.14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17,549,269.01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48,830,661.75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52,182,979.63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22,870,653.07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8,817,080.00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20,495,246.56</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783,710,487.53</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4,609,562.50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2,171,162.35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28,903.61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6,809,628.46</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组合计提坏账准 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47,198,405.54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10,770,961.67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-312,960.00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624,602.72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57,657,724.49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51,807,968.04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12,942,124.02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-312,960.00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624,602.72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28,903.61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64,467,352.95</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624,602.72</w:t>
            </w:r>
          </w:p>
        </w:tc>
      </w:tr>
    </w:tbl>
    <w:p>
      <w:pPr>
        <w:spacing w:line="240" w:lineRule="auto" w:before="6"/>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662"/>
        <w:gridCol w:w="2302"/>
        <w:gridCol w:w="2302"/>
        <w:gridCol w:w="2302"/>
      </w:tblGrid>
      <w:tr>
        <w:trPr>
          <w:trHeight w:val="71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876" w:right="63" w:hanging="810"/>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95,350,000.00</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12.17%</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911,100.00</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68,357,899.86</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568,801.70</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50,278,149.79</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502,781.50</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34,022,542.81</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204,135.26</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30,451,197.61</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304,320.41</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278,459,790.07</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35.53%</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6</w:t>
      </w:r>
      <w:r>
        <w:rPr/>
        <w:t>、应收款项融资</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3831"/>
        <w:gridCol w:w="3829"/>
      </w:tblGrid>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911"/>
        <w:gridCol w:w="1916"/>
        <w:gridCol w:w="1916"/>
        <w:gridCol w:w="1913"/>
        <w:gridCol w:w="1916"/>
      </w:tblGrid>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30,228,205.25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82.27%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36,008,048.18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85.35%</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6,209,518.33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5,925,998.64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183,294.92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155,753.55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0.37%</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119,489.10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100,962.63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36,740,507.60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42,190,763.00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40" w:lineRule="auto" w:before="49"/>
        <w:ind w:right="5896"/>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合同期内，未结算</w:t>
      </w:r>
    </w:p>
    <w:p>
      <w:pPr>
        <w:spacing w:line="240" w:lineRule="auto" w:before="5"/>
        <w:rPr>
          <w:rFonts w:ascii="宋体" w:hAnsi="宋体" w:cs="宋体" w:eastAsia="宋体" w:hint="default"/>
          <w:sz w:val="16"/>
          <w:szCs w:val="1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64" w:type="dxa"/>
        <w:tblLayout w:type="fixed"/>
        <w:tblCellMar>
          <w:top w:w="0" w:type="dxa"/>
          <w:left w:w="0" w:type="dxa"/>
          <w:bottom w:w="0" w:type="dxa"/>
          <w:right w:w="0" w:type="dxa"/>
        </w:tblCellMar>
        <w:tblLook w:val="01E0"/>
      </w:tblPr>
      <w:tblGrid>
        <w:gridCol w:w="3543"/>
        <w:gridCol w:w="1985"/>
        <w:gridCol w:w="1418"/>
        <w:gridCol w:w="2552"/>
      </w:tblGrid>
      <w:tr>
        <w:trPr>
          <w:trHeight w:val="654" w:hRule="exact"/>
        </w:trPr>
        <w:tc>
          <w:tcPr>
            <w:tcW w:w="35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1" w:lineRule="exact"/>
              <w:ind w:right="4"/>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1" w:lineRule="exact"/>
              <w:ind w:left="587" w:right="0"/>
              <w:jc w:val="left"/>
              <w:rPr>
                <w:rFonts w:ascii="宋体" w:hAnsi="宋体" w:cs="宋体" w:eastAsia="宋体" w:hint="default"/>
                <w:sz w:val="20"/>
                <w:szCs w:val="20"/>
              </w:rPr>
            </w:pPr>
            <w:r>
              <w:rPr>
                <w:rFonts w:ascii="宋体" w:hAnsi="宋体" w:cs="宋体" w:eastAsia="宋体" w:hint="default"/>
                <w:sz w:val="20"/>
                <w:szCs w:val="20"/>
              </w:rPr>
              <w:t>年末余额</w:t>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账龄</w:t>
            </w:r>
          </w:p>
        </w:tc>
        <w:tc>
          <w:tcPr>
            <w:tcW w:w="2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5" w:lineRule="auto"/>
              <w:ind w:left="683" w:right="71" w:hanging="617"/>
              <w:jc w:val="left"/>
              <w:rPr>
                <w:rFonts w:ascii="宋体" w:hAnsi="宋体" w:cs="宋体" w:eastAsia="宋体" w:hint="default"/>
                <w:sz w:val="20"/>
                <w:szCs w:val="20"/>
              </w:rPr>
            </w:pPr>
            <w:r>
              <w:rPr>
                <w:rFonts w:ascii="宋体" w:hAnsi="宋体" w:cs="宋体" w:eastAsia="宋体" w:hint="default"/>
                <w:sz w:val="20"/>
                <w:szCs w:val="20"/>
              </w:rPr>
              <w:t>占预付款项年末余额合计数</w:t>
            </w:r>
            <w:r>
              <w:rPr>
                <w:rFonts w:ascii="宋体" w:hAnsi="宋体" w:cs="宋体" w:eastAsia="宋体" w:hint="default"/>
                <w:w w:val="99"/>
                <w:sz w:val="20"/>
                <w:szCs w:val="20"/>
              </w:rPr>
              <w:t> </w:t>
            </w:r>
            <w:r>
              <w:rPr>
                <w:rFonts w:ascii="宋体" w:hAnsi="宋体" w:cs="宋体" w:eastAsia="宋体" w:hint="default"/>
                <w:sz w:val="20"/>
                <w:szCs w:val="20"/>
              </w:rPr>
              <w:t>的比例（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47" w:hRule="exact"/>
        </w:trPr>
        <w:tc>
          <w:tcPr>
            <w:tcW w:w="35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厦门亿力吉奥信息科技有限公司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20"/>
                <w:szCs w:val="20"/>
              </w:rPr>
            </w:pPr>
            <w:r>
              <w:rPr>
                <w:rFonts w:ascii="Times New Roman"/>
                <w:w w:val="95"/>
                <w:sz w:val="20"/>
              </w:rPr>
              <w:t>5,133,034.50</w:t>
            </w:r>
            <w:r>
              <w:rPr>
                <w:rFonts w:ascii="Times New Roman"/>
                <w:sz w:val="20"/>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20"/>
                <w:szCs w:val="20"/>
              </w:rPr>
            </w:pPr>
            <w:r>
              <w:rPr>
                <w:rFonts w:ascii="Times New Roman"/>
                <w:sz w:val="20"/>
              </w:rPr>
              <w:t>13.97</w:t>
            </w:r>
          </w:p>
        </w:tc>
      </w:tr>
      <w:tr>
        <w:trPr>
          <w:trHeight w:val="348" w:hRule="exact"/>
        </w:trPr>
        <w:tc>
          <w:tcPr>
            <w:tcW w:w="35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2" w:right="0"/>
              <w:jc w:val="left"/>
              <w:rPr>
                <w:rFonts w:ascii="Times New Roman" w:hAnsi="Times New Roman" w:cs="Times New Roman" w:eastAsia="Times New Roman" w:hint="default"/>
                <w:sz w:val="20"/>
                <w:szCs w:val="20"/>
              </w:rPr>
            </w:pPr>
            <w:r>
              <w:rPr>
                <w:rFonts w:ascii="Times New Roman"/>
                <w:sz w:val="20"/>
              </w:rPr>
              <w:t>Real Networks,</w:t>
            </w:r>
            <w:r>
              <w:rPr>
                <w:rFonts w:ascii="Times New Roman"/>
                <w:spacing w:val="-10"/>
                <w:sz w:val="20"/>
              </w:rPr>
              <w:t> </w:t>
            </w:r>
            <w:r>
              <w:rPr>
                <w:rFonts w:ascii="Times New Roman"/>
                <w:sz w:val="20"/>
              </w:rPr>
              <w:t>Inc</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w w:val="95"/>
                <w:sz w:val="20"/>
              </w:rPr>
              <w:t>3,115,435.17</w:t>
            </w:r>
            <w:r>
              <w:rPr>
                <w:rFonts w:ascii="Times New Roman"/>
                <w:sz w:val="20"/>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z w:val="20"/>
              </w:rPr>
              <w:t>8.48</w:t>
            </w:r>
          </w:p>
        </w:tc>
      </w:tr>
      <w:tr>
        <w:trPr>
          <w:trHeight w:val="346" w:hRule="exact"/>
        </w:trPr>
        <w:tc>
          <w:tcPr>
            <w:tcW w:w="35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深圳市锐明技术股份有限公司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2,829,975.17</w:t>
            </w:r>
            <w:r>
              <w:rPr>
                <w:rFonts w:ascii="Times New Roman"/>
                <w:sz w:val="20"/>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7.70</w:t>
            </w:r>
          </w:p>
        </w:tc>
      </w:tr>
      <w:tr>
        <w:trPr>
          <w:trHeight w:val="348" w:hRule="exact"/>
        </w:trPr>
        <w:tc>
          <w:tcPr>
            <w:tcW w:w="35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left="2" w:right="0"/>
              <w:jc w:val="left"/>
              <w:rPr>
                <w:rFonts w:ascii="宋体" w:hAnsi="宋体" w:cs="宋体" w:eastAsia="宋体" w:hint="default"/>
                <w:sz w:val="20"/>
                <w:szCs w:val="20"/>
              </w:rPr>
            </w:pPr>
            <w:r>
              <w:rPr>
                <w:rFonts w:ascii="宋体" w:hAnsi="宋体" w:cs="宋体" w:eastAsia="宋体" w:hint="default"/>
                <w:sz w:val="20"/>
                <w:szCs w:val="20"/>
              </w:rPr>
              <w:t>西安旗远实业有限公司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w w:val="95"/>
                <w:sz w:val="20"/>
              </w:rPr>
              <w:t>2,169,394.26</w:t>
            </w:r>
            <w:r>
              <w:rPr>
                <w:rFonts w:ascii="Times New Roman"/>
                <w:sz w:val="20"/>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z w:val="20"/>
              </w:rPr>
              <w:t>5.90</w:t>
            </w:r>
          </w:p>
        </w:tc>
      </w:tr>
      <w:tr>
        <w:trPr>
          <w:trHeight w:val="347" w:hRule="exact"/>
        </w:trPr>
        <w:tc>
          <w:tcPr>
            <w:tcW w:w="35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深圳市进业智车电子有限公司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1,809,545.60</w:t>
            </w:r>
            <w:r>
              <w:rPr>
                <w:rFonts w:ascii="Times New Roman"/>
                <w:sz w:val="20"/>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4.93</w:t>
            </w:r>
          </w:p>
        </w:tc>
      </w:tr>
      <w:tr>
        <w:trPr>
          <w:trHeight w:val="342" w:hRule="exact"/>
        </w:trPr>
        <w:tc>
          <w:tcPr>
            <w:tcW w:w="35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2"/>
              <w:ind w:right="1"/>
              <w:jc w:val="right"/>
              <w:rPr>
                <w:rFonts w:ascii="Times New Roman" w:hAnsi="Times New Roman" w:cs="Times New Roman" w:eastAsia="Times New Roman" w:hint="default"/>
                <w:sz w:val="20"/>
                <w:szCs w:val="20"/>
              </w:rPr>
            </w:pPr>
            <w:r>
              <w:rPr>
                <w:rFonts w:ascii="Times New Roman"/>
                <w:w w:val="95"/>
                <w:sz w:val="20"/>
              </w:rPr>
              <w:t>15,057,384.70</w:t>
            </w:r>
            <w:r>
              <w:rPr>
                <w:rFonts w:ascii="Times New Roman"/>
                <w:sz w:val="20"/>
              </w:rPr>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2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2"/>
              <w:ind w:right="0"/>
              <w:jc w:val="right"/>
              <w:rPr>
                <w:rFonts w:ascii="Times New Roman" w:hAnsi="Times New Roman" w:cs="Times New Roman" w:eastAsia="Times New Roman" w:hint="default"/>
                <w:sz w:val="20"/>
                <w:szCs w:val="20"/>
              </w:rPr>
            </w:pPr>
            <w:r>
              <w:rPr>
                <w:rFonts w:ascii="Times New Roman"/>
                <w:sz w:val="20"/>
              </w:rPr>
              <w:t>40.98</w:t>
            </w:r>
          </w:p>
        </w:tc>
      </w:tr>
    </w:tbl>
    <w:p>
      <w:pPr>
        <w:pStyle w:val="BodyText"/>
        <w:spacing w:line="362" w:lineRule="auto" w:before="53"/>
        <w:ind w:right="9854"/>
        <w:jc w:val="left"/>
      </w:pPr>
      <w:r>
        <w:rPr/>
        <w:t>其他说明： 无</w:t>
      </w:r>
    </w:p>
    <w:p>
      <w:pPr>
        <w:spacing w:line="240" w:lineRule="auto" w:before="1"/>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891,902.78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7,814,789.02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33,798,327.07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25,228,778.93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34,690,229.85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33,043,567.95</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891,902.78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7,814,789.02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债券投资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891,902.78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7,814,789.02</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10,673,603.33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9,168,668.56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10,420,888.59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往来款及代垫款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4,408,734.28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6,858,415.77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4,449,867.26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6,238,575.10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社保及公积金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3,845,423.21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1,786,808.48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资产转让款及其他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4,331,247.88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2,996,376.75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36,877,544.52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28,301,064.69</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6"/>
        <w:gridCol w:w="1652"/>
        <w:gridCol w:w="2098"/>
        <w:gridCol w:w="2100"/>
        <w:gridCol w:w="1803"/>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3"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72,285.76</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3,072,285.76</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916"/>
        <w:gridCol w:w="1652"/>
        <w:gridCol w:w="2098"/>
        <w:gridCol w:w="2100"/>
        <w:gridCol w:w="1803"/>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转回第二阶段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47,777.80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5,000.00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52,777.80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45,846.11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45,846.11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74,217.45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3,005,000.00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3,079,217.45</w:t>
            </w:r>
          </w:p>
        </w:tc>
      </w:tr>
    </w:tbl>
    <w:p>
      <w:pPr>
        <w:pStyle w:val="BodyText"/>
        <w:spacing w:line="240" w:lineRule="auto" w:before="49"/>
        <w:ind w:right="0"/>
        <w:jc w:val="left"/>
      </w:pPr>
      <w:r>
        <w:rPr/>
        <w:t>损失准备本期变动金额重大的账面余额变动情况</w:t>
      </w:r>
    </w:p>
    <w:p>
      <w:pPr>
        <w:pStyle w:val="BodyText"/>
        <w:spacing w:line="340"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3"/>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25,135,800.29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3,351,895.18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2,472,299.12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5,917,549.93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1,380,743.64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466,242.77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4,070,563.52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36,877,544.52</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1133"/>
        <w:gridCol w:w="1346"/>
        <w:gridCol w:w="1349"/>
        <w:gridCol w:w="1346"/>
        <w:gridCol w:w="1347"/>
        <w:gridCol w:w="1205"/>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5"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both"/>
              <w:rPr>
                <w:rFonts w:ascii="宋体" w:hAnsi="宋体" w:cs="宋体" w:eastAsia="宋体" w:hint="default"/>
                <w:sz w:val="18"/>
                <w:szCs w:val="18"/>
              </w:rPr>
            </w:pPr>
            <w:r>
              <w:rPr>
                <w:rFonts w:ascii="宋体" w:hAnsi="宋体" w:cs="宋体" w:eastAsia="宋体" w:hint="default"/>
                <w:sz w:val="18"/>
                <w:szCs w:val="18"/>
              </w:rPr>
              <w:t>单项金额重大并单独 计提坏账准备的其他 应收款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72,285.76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47,777.80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45,846.11</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74,217.45</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3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低风险组合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72,285.76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47,777.80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45,846.11</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74,217.45</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单项金额虽不重大但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844"/>
        <w:gridCol w:w="1133"/>
        <w:gridCol w:w="1346"/>
        <w:gridCol w:w="1349"/>
        <w:gridCol w:w="1346"/>
        <w:gridCol w:w="1347"/>
        <w:gridCol w:w="1205"/>
      </w:tblGrid>
      <w:tr>
        <w:trPr>
          <w:trHeight w:val="67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189"/>
              <w:jc w:val="left"/>
              <w:rPr>
                <w:rFonts w:ascii="宋体" w:hAnsi="宋体" w:cs="宋体" w:eastAsia="宋体" w:hint="default"/>
                <w:sz w:val="18"/>
                <w:szCs w:val="18"/>
              </w:rPr>
            </w:pPr>
            <w:r>
              <w:rPr>
                <w:rFonts w:ascii="宋体" w:hAnsi="宋体" w:cs="宋体" w:eastAsia="宋体" w:hint="default"/>
                <w:sz w:val="18"/>
                <w:szCs w:val="18"/>
              </w:rPr>
              <w:t>单项计提坏账准备的 其他应收款</w:t>
            </w:r>
          </w:p>
        </w:tc>
        <w:tc>
          <w:tcPr>
            <w:tcW w:w="113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3,072,285.76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52,777.80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2" w:right="0"/>
              <w:jc w:val="left"/>
              <w:rPr>
                <w:rFonts w:ascii="Times New Roman" w:hAnsi="Times New Roman" w:cs="Times New Roman" w:eastAsia="Times New Roman" w:hint="default"/>
                <w:sz w:val="18"/>
                <w:szCs w:val="18"/>
              </w:rPr>
            </w:pPr>
            <w:r>
              <w:rPr>
                <w:rFonts w:ascii="Times New Roman"/>
                <w:sz w:val="18"/>
              </w:rPr>
              <w:t>45,846.11</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5" w:right="0"/>
              <w:jc w:val="left"/>
              <w:rPr>
                <w:rFonts w:ascii="Times New Roman" w:hAnsi="Times New Roman" w:cs="Times New Roman" w:eastAsia="Times New Roman" w:hint="default"/>
                <w:sz w:val="18"/>
                <w:szCs w:val="18"/>
              </w:rPr>
            </w:pPr>
            <w:r>
              <w:rPr>
                <w:rFonts w:ascii="Times New Roman"/>
                <w:sz w:val="18"/>
              </w:rPr>
              <w:t>3,079,217.45</w:t>
            </w:r>
          </w:p>
        </w:tc>
      </w:tr>
    </w:tbl>
    <w:p>
      <w:pPr>
        <w:pStyle w:val="BodyText"/>
        <w:spacing w:line="362" w:lineRule="auto" w:before="49"/>
        <w:ind w:right="7334"/>
        <w:jc w:val="left"/>
      </w:pPr>
      <w:r>
        <w:rPr/>
        <w:t>其中本期坏账准备转回或收回金额重要的： 无</w:t>
      </w:r>
    </w:p>
    <w:p>
      <w:pPr>
        <w:spacing w:line="240" w:lineRule="auto" w:before="1"/>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79"/>
        <w:gridCol w:w="4789"/>
      </w:tblGrid>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苏月</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w w:val="95"/>
                <w:sz w:val="18"/>
              </w:rPr>
              <w:t>45,846.11</w:t>
            </w:r>
          </w:p>
        </w:tc>
      </w:tr>
    </w:tbl>
    <w:p>
      <w:pPr>
        <w:pStyle w:val="BodyText"/>
        <w:spacing w:line="362" w:lineRule="auto" w:before="49"/>
        <w:ind w:right="8954"/>
        <w:jc w:val="left"/>
      </w:pPr>
      <w:r>
        <w:rPr/>
        <w:t>其他应收款核销说明： 无</w:t>
      </w:r>
    </w:p>
    <w:p>
      <w:pPr>
        <w:spacing w:line="240" w:lineRule="auto" w:before="1"/>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4"/>
        <w:gridCol w:w="1594"/>
        <w:gridCol w:w="1594"/>
        <w:gridCol w:w="1594"/>
        <w:gridCol w:w="1597"/>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4"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应收增值税即征即 退款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10,673,603.33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北京老虎宝典科技 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往来款及代垫款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北京六分科技有限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资产转让款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2,097,538.88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20,975.39</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北京四维智联科技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往来款及代垫款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1,137,500.00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上海杨浦中央社区 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987,069.59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17,895,711.80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3,020,975.39</w:t>
            </w:r>
          </w:p>
        </w:tc>
      </w:tr>
    </w:tbl>
    <w:p>
      <w:pPr>
        <w:spacing w:line="240" w:lineRule="auto" w:before="6"/>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是否已执行新收入准则</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1"/>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931,078.26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931,078.26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21,214,568.38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21,214,568.38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21,508,941.82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21,508,941.82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47,925,909.43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841,653.55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47,084,255.88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47,473,738.59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841,653.55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46,632,085.04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18,588,332.36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18,588,332.36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9,172,956.24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9,172,956.24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88,659,888.43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841,653.55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87,818,234.88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78,155,636.65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841,653.55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77,313,983.10</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841,653.55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841,653.55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841,653.55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841,653.55</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10</w:t>
      </w:r>
      <w:r>
        <w:rPr/>
        <w:t>、合同资产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11</w:t>
      </w:r>
      <w:r>
        <w:rPr/>
        <w:t>、持有待售资产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8"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43,282,259.03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38,073,302.07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34,853,255.87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16,773,836.68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9,354,577.78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7,317,585.25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11,488.07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87,501,580.75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462,164,724.00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5"/>
          <w:szCs w:val="15"/>
        </w:rPr>
      </w:pPr>
    </w:p>
    <w:p>
      <w:pPr>
        <w:pStyle w:val="BodyText"/>
        <w:spacing w:line="319" w:lineRule="auto"/>
        <w:ind w:right="1124"/>
        <w:jc w:val="left"/>
        <w:rPr>
          <w:rFonts w:ascii="宋体" w:hAnsi="宋体" w:cs="宋体" w:eastAsia="宋体" w:hint="default"/>
        </w:rPr>
      </w:pPr>
      <w:r>
        <w:rPr/>
        <w:t>注</w:t>
      </w:r>
      <w:r>
        <w:rPr>
          <w:rFonts w:ascii="宋体" w:hAnsi="宋体" w:cs="宋体" w:eastAsia="宋体" w:hint="default"/>
        </w:rPr>
        <w:t>1</w:t>
      </w:r>
      <w:r>
        <w:rPr/>
        <w:t>：待抵扣所得税为本集团来源自境外业务，收入来源国根据当地税法扣除并缴纳的境外所得税，根据相关税收规定，该</w:t>
      </w:r>
      <w:r>
        <w:rPr>
          <w:spacing w:val="-84"/>
        </w:rPr>
        <w:t> </w:t>
      </w:r>
      <w:r>
        <w:rPr>
          <w:spacing w:val="-84"/>
        </w:rPr>
      </w:r>
      <w:r>
        <w:rPr/>
        <w:t>部分所得税可在境内抵扣。</w:t>
      </w:r>
      <w:r>
        <w:rPr>
          <w:rFonts w:ascii="宋体" w:hAnsi="宋体" w:cs="宋体" w:eastAsia="宋体" w:hint="default"/>
        </w:rPr>
        <w:t> </w:t>
      </w:r>
    </w:p>
    <w:p>
      <w:pPr>
        <w:pStyle w:val="BodyText"/>
        <w:spacing w:line="240" w:lineRule="auto" w:before="137"/>
        <w:ind w:right="0"/>
        <w:jc w:val="left"/>
        <w:rPr>
          <w:rFonts w:ascii="宋体" w:hAnsi="宋体" w:cs="宋体" w:eastAsia="宋体" w:hint="default"/>
        </w:rPr>
      </w:pPr>
      <w:r>
        <w:rPr/>
        <w:t>注</w:t>
      </w:r>
      <w:r>
        <w:rPr>
          <w:rFonts w:ascii="宋体" w:hAnsi="宋体" w:cs="宋体" w:eastAsia="宋体" w:hint="default"/>
        </w:rPr>
        <w:t>2</w:t>
      </w:r>
      <w:r>
        <w:rPr/>
        <w:t>：其他流动资产同比减少，主要原因是本公司下属子公司杰发科技</w:t>
      </w:r>
      <w:r>
        <w:rPr>
          <w:rFonts w:ascii="宋体" w:hAnsi="宋体" w:cs="宋体" w:eastAsia="宋体" w:hint="default"/>
        </w:rPr>
        <w:t>4</w:t>
      </w:r>
      <w:r>
        <w:rPr/>
        <w:t>亿元短期保本型理财产品到期赎回所致。</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14</w:t>
      </w:r>
      <w:r>
        <w:rPr/>
        <w:t>、债权投资</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15</w:t>
      </w:r>
      <w:r>
        <w:rPr/>
        <w:t>、其他债权投资</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795"/>
        <w:gridCol w:w="799"/>
        <w:gridCol w:w="797"/>
        <w:gridCol w:w="797"/>
        <w:gridCol w:w="799"/>
        <w:gridCol w:w="797"/>
        <w:gridCol w:w="800"/>
        <w:gridCol w:w="797"/>
        <w:gridCol w:w="799"/>
        <w:gridCol w:w="797"/>
        <w:gridCol w:w="799"/>
        <w:gridCol w:w="797"/>
      </w:tblGrid>
      <w:tr>
        <w:trPr>
          <w:trHeight w:val="401" w:hRule="exact"/>
        </w:trPr>
        <w:tc>
          <w:tcPr>
            <w:tcW w:w="7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4" w:lineRule="auto"/>
              <w:ind w:left="302" w:right="29"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7" w:lineRule="auto"/>
              <w:ind w:left="35"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5"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8"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北京图新 瀚和科技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6,139,539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16,237,83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45" w:right="21"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9,250,483</w:t>
            </w:r>
          </w:p>
          <w:p>
            <w:pPr>
              <w:pStyle w:val="TableParagraph"/>
              <w:spacing w:line="240" w:lineRule="auto" w:before="3"/>
              <w:ind w:right="21"/>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13,126,88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122"/>
              <w:jc w:val="both"/>
              <w:rPr>
                <w:rFonts w:ascii="Times New Roman" w:hAnsi="Times New Roman" w:cs="Times New Roman" w:eastAsia="Times New Roman" w:hint="default"/>
                <w:sz w:val="18"/>
                <w:szCs w:val="18"/>
              </w:rPr>
            </w:pPr>
            <w:r>
              <w:rPr>
                <w:rFonts w:ascii="Times New Roman"/>
                <w:sz w:val="18"/>
              </w:rPr>
              <w:t>Navinfo</w:t>
            </w:r>
            <w:r>
              <w:rPr>
                <w:rFonts w:ascii="Times New Roman"/>
                <w:w w:val="99"/>
                <w:sz w:val="18"/>
              </w:rPr>
              <w:t> </w:t>
            </w:r>
            <w:r>
              <w:rPr>
                <w:rFonts w:ascii="Times New Roman"/>
                <w:sz w:val="18"/>
              </w:rPr>
              <w:t>Datatech</w:t>
            </w:r>
            <w:r>
              <w:rPr>
                <w:rFonts w:ascii="Times New Roman"/>
                <w:sz w:val="18"/>
              </w:rPr>
              <w:t> Pte.</w:t>
            </w:r>
            <w:r>
              <w:rPr>
                <w:rFonts w:ascii="Times New Roman"/>
                <w:spacing w:val="-1"/>
                <w:sz w:val="18"/>
              </w:rPr>
              <w:t> </w:t>
            </w:r>
            <w:r>
              <w:rPr>
                <w:rFonts w:ascii="Times New Roman"/>
                <w:sz w:val="18"/>
              </w:rPr>
              <w:t>Ltd.</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4,516,540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45" w:right="19" w:firstLine="662"/>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3,707,796</w:t>
            </w:r>
          </w:p>
          <w:p>
            <w:pPr>
              <w:pStyle w:val="TableParagraph"/>
              <w:spacing w:line="240" w:lineRule="auto" w:before="3"/>
              <w:ind w:right="21"/>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31,024.14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839,767.9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10,656,07</w:t>
            </w:r>
          </w:p>
          <w:p>
            <w:pPr>
              <w:pStyle w:val="TableParagraph"/>
              <w:spacing w:line="240" w:lineRule="auto" w:before="105"/>
              <w:ind w:left="453" w:right="0"/>
              <w:jc w:val="left"/>
              <w:rPr>
                <w:rFonts w:ascii="Times New Roman" w:hAnsi="Times New Roman" w:cs="Times New Roman" w:eastAsia="Times New Roman" w:hint="default"/>
                <w:sz w:val="18"/>
                <w:szCs w:val="18"/>
              </w:rPr>
            </w:pPr>
            <w:r>
              <w:rPr>
                <w:rFonts w:ascii="Times New Roman"/>
                <w:sz w:val="18"/>
              </w:rPr>
              <w:t>9.62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16,237,83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45" w:right="19" w:firstLine="662"/>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12,958,27</w:t>
            </w:r>
          </w:p>
          <w:p>
            <w:pPr>
              <w:pStyle w:val="TableParagraph"/>
              <w:spacing w:line="240" w:lineRule="auto" w:before="3"/>
              <w:ind w:left="448" w:right="0"/>
              <w:jc w:val="left"/>
              <w:rPr>
                <w:rFonts w:ascii="Times New Roman" w:hAnsi="Times New Roman" w:cs="Times New Roman" w:eastAsia="Times New Roman" w:hint="default"/>
                <w:sz w:val="18"/>
                <w:szCs w:val="18"/>
              </w:rPr>
            </w:pPr>
            <w:r>
              <w:rPr>
                <w:rFonts w:ascii="Times New Roman"/>
                <w:sz w:val="18"/>
              </w:rPr>
              <w:t>9.83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31,024.14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13,966,65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上海安吉 四维信息 技术有限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29,149,43</w:t>
            </w:r>
          </w:p>
          <w:p>
            <w:pPr>
              <w:pStyle w:val="TableParagraph"/>
              <w:spacing w:line="240" w:lineRule="auto" w:before="105"/>
              <w:ind w:left="453" w:right="0"/>
              <w:jc w:val="left"/>
              <w:rPr>
                <w:rFonts w:ascii="Times New Roman" w:hAnsi="Times New Roman" w:cs="Times New Roman" w:eastAsia="Times New Roman" w:hint="default"/>
                <w:sz w:val="18"/>
                <w:szCs w:val="18"/>
              </w:rPr>
            </w:pPr>
            <w:r>
              <w:rPr>
                <w:rFonts w:ascii="Times New Roman"/>
                <w:sz w:val="18"/>
              </w:rPr>
              <w:t>5.69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3,341,122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14,777,34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17,713,21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北京足迹 虎科技有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100,023.8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-4,952.11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95,071.72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1,853,460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.29</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嘉兴四维 智城信息 科技有限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2,520,042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21,958.27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2,542,001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795"/>
        <w:gridCol w:w="799"/>
        <w:gridCol w:w="797"/>
        <w:gridCol w:w="797"/>
        <w:gridCol w:w="799"/>
        <w:gridCol w:w="797"/>
        <w:gridCol w:w="800"/>
        <w:gridCol w:w="797"/>
        <w:gridCol w:w="799"/>
        <w:gridCol w:w="797"/>
        <w:gridCol w:w="799"/>
        <w:gridCol w:w="797"/>
      </w:tblGrid>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北京图新 数聚科技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3,366,880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4"/>
              <w:ind w:left="45" w:right="21"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730,651.8</w:t>
            </w:r>
          </w:p>
          <w:p>
            <w:pPr>
              <w:pStyle w:val="TableParagraph"/>
              <w:spacing w:line="240" w:lineRule="auto" w:before="3"/>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2,636,228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9"/>
              <w:jc w:val="both"/>
              <w:rPr>
                <w:rFonts w:ascii="宋体" w:hAnsi="宋体" w:cs="宋体" w:eastAsia="宋体" w:hint="default"/>
                <w:sz w:val="18"/>
                <w:szCs w:val="18"/>
              </w:rPr>
            </w:pPr>
            <w:r>
              <w:rPr>
                <w:rFonts w:ascii="宋体" w:hAnsi="宋体" w:cs="宋体" w:eastAsia="宋体" w:hint="default"/>
                <w:sz w:val="18"/>
                <w:szCs w:val="18"/>
              </w:rPr>
              <w:t>北京四维 天盛投资 管理有限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3,801,154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1,951,823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61,502.00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1,708,912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4,105,567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4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北京四维 互联基金 管理中心</w:t>
            </w:r>
          </w:p>
          <w:p>
            <w:pPr>
              <w:pStyle w:val="TableParagraph"/>
              <w:spacing w:line="319" w:lineRule="auto" w:before="19"/>
              <w:ind w:left="24" w:right="39"/>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47" w:right="0"/>
              <w:jc w:val="left"/>
              <w:rPr>
                <w:rFonts w:ascii="Times New Roman" w:hAnsi="Times New Roman" w:cs="Times New Roman" w:eastAsia="Times New Roman" w:hint="default"/>
                <w:sz w:val="18"/>
                <w:szCs w:val="18"/>
              </w:rPr>
            </w:pPr>
            <w:r>
              <w:rPr>
                <w:rFonts w:ascii="Times New Roman"/>
                <w:sz w:val="18"/>
              </w:rPr>
              <w:t>34,589,74</w:t>
            </w:r>
          </w:p>
          <w:p>
            <w:pPr>
              <w:pStyle w:val="TableParagraph"/>
              <w:spacing w:line="240" w:lineRule="auto" w:before="105"/>
              <w:ind w:left="453" w:right="0"/>
              <w:jc w:val="left"/>
              <w:rPr>
                <w:rFonts w:ascii="Times New Roman" w:hAnsi="Times New Roman" w:cs="Times New Roman" w:eastAsia="Times New Roman" w:hint="default"/>
                <w:sz w:val="18"/>
                <w:szCs w:val="18"/>
              </w:rPr>
            </w:pPr>
            <w:r>
              <w:rPr>
                <w:rFonts w:ascii="Times New Roman"/>
                <w:sz w:val="18"/>
              </w:rPr>
              <w:t>8.20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45" w:right="0"/>
              <w:jc w:val="left"/>
              <w:rPr>
                <w:rFonts w:ascii="Times New Roman" w:hAnsi="Times New Roman" w:cs="Times New Roman" w:eastAsia="Times New Roman" w:hint="default"/>
                <w:sz w:val="18"/>
                <w:szCs w:val="18"/>
              </w:rPr>
            </w:pPr>
            <w:r>
              <w:rPr>
                <w:rFonts w:ascii="Times New Roman"/>
                <w:sz w:val="18"/>
              </w:rPr>
              <w:t>74,000,00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62" w:lineRule="auto"/>
              <w:ind w:left="45" w:right="21"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5,249,941</w:t>
            </w:r>
          </w:p>
          <w:p>
            <w:pPr>
              <w:pStyle w:val="TableParagraph"/>
              <w:spacing w:line="240" w:lineRule="auto" w:before="3"/>
              <w:ind w:right="21"/>
              <w:jc w:val="right"/>
              <w:rPr>
                <w:rFonts w:ascii="Times New Roman" w:hAnsi="Times New Roman" w:cs="Times New Roman" w:eastAsia="Times New Roman" w:hint="default"/>
                <w:sz w:val="18"/>
                <w:szCs w:val="18"/>
              </w:rPr>
            </w:pPr>
            <w:r>
              <w:rPr>
                <w:rFonts w:ascii="Times New Roman"/>
                <w:sz w:val="18"/>
              </w:rPr>
              <w:t>.19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52" w:right="0"/>
              <w:jc w:val="left"/>
              <w:rPr>
                <w:rFonts w:ascii="Times New Roman" w:hAnsi="Times New Roman" w:cs="Times New Roman" w:eastAsia="Times New Roman" w:hint="default"/>
                <w:sz w:val="18"/>
                <w:szCs w:val="18"/>
              </w:rPr>
            </w:pPr>
            <w:r>
              <w:rPr>
                <w:rFonts w:ascii="Times New Roman"/>
                <w:sz w:val="18"/>
              </w:rPr>
              <w:t>11,787,88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2.72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52" w:right="0"/>
              <w:jc w:val="left"/>
              <w:rPr>
                <w:rFonts w:ascii="Times New Roman" w:hAnsi="Times New Roman" w:cs="Times New Roman" w:eastAsia="Times New Roman" w:hint="default"/>
                <w:sz w:val="18"/>
                <w:szCs w:val="18"/>
              </w:rPr>
            </w:pPr>
            <w:r>
              <w:rPr>
                <w:rFonts w:ascii="Times New Roman"/>
                <w:sz w:val="18"/>
              </w:rPr>
              <w:t>115,127,6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89.73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9"/>
              <w:jc w:val="both"/>
              <w:rPr>
                <w:rFonts w:ascii="宋体" w:hAnsi="宋体" w:cs="宋体" w:eastAsia="宋体" w:hint="default"/>
                <w:sz w:val="18"/>
                <w:szCs w:val="18"/>
              </w:rPr>
            </w:pPr>
            <w:r>
              <w:rPr>
                <w:rFonts w:ascii="宋体" w:hAnsi="宋体" w:cs="宋体" w:eastAsia="宋体" w:hint="default"/>
                <w:sz w:val="18"/>
                <w:szCs w:val="18"/>
              </w:rPr>
              <w:t>北京四维 天和科技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1,646,884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45" w:right="21"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351,137.2</w:t>
            </w:r>
          </w:p>
          <w:p>
            <w:pPr>
              <w:pStyle w:val="TableParagraph"/>
              <w:spacing w:line="240" w:lineRule="auto" w:before="5"/>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1,295,746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北京万兔 思睿科技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2,997,109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45" w:right="21"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140,876.5</w:t>
            </w:r>
          </w:p>
          <w:p>
            <w:pPr>
              <w:pStyle w:val="TableParagraph"/>
              <w:spacing w:line="240" w:lineRule="auto" w:before="3"/>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2,856,233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4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24" w:right="91"/>
              <w:jc w:val="left"/>
              <w:rPr>
                <w:rFonts w:ascii="Times New Roman" w:hAnsi="Times New Roman" w:cs="Times New Roman" w:eastAsia="Times New Roman" w:hint="default"/>
                <w:sz w:val="18"/>
                <w:szCs w:val="18"/>
              </w:rPr>
            </w:pPr>
            <w:r>
              <w:rPr>
                <w:rFonts w:ascii="Times New Roman"/>
                <w:sz w:val="18"/>
              </w:rPr>
              <w:t>Mapbar</w:t>
            </w:r>
            <w:r>
              <w:rPr>
                <w:rFonts w:ascii="Times New Roman"/>
                <w:w w:val="99"/>
                <w:sz w:val="18"/>
              </w:rPr>
              <w:t> </w:t>
            </w:r>
            <w:r>
              <w:rPr>
                <w:rFonts w:ascii="Times New Roman"/>
                <w:spacing w:val="-2"/>
                <w:sz w:val="18"/>
              </w:rPr>
              <w:t>Technolo</w:t>
            </w:r>
            <w:r>
              <w:rPr>
                <w:rFonts w:ascii="Times New Roman"/>
                <w:spacing w:val="-43"/>
                <w:sz w:val="18"/>
              </w:rPr>
              <w:t> </w:t>
            </w:r>
            <w:r>
              <w:rPr>
                <w:rFonts w:ascii="Times New Roman"/>
                <w:spacing w:val="-43"/>
                <w:sz w:val="18"/>
              </w:rPr>
            </w:r>
            <w:r>
              <w:rPr>
                <w:rFonts w:ascii="Times New Roman"/>
                <w:sz w:val="18"/>
              </w:rPr>
              <w:t>gy</w:t>
            </w:r>
            <w:r>
              <w:rPr>
                <w:rFonts w:ascii="Times New Roman"/>
                <w:sz w:val="18"/>
              </w:rPr>
              <w:t> Limited</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1,206,360</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,059.93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60" w:lineRule="auto"/>
              <w:ind w:left="45" w:right="21"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208,222,1</w:t>
            </w:r>
          </w:p>
          <w:p>
            <w:pPr>
              <w:pStyle w:val="TableParagraph"/>
              <w:spacing w:line="240" w:lineRule="auto" w:before="5"/>
              <w:ind w:left="359" w:right="0"/>
              <w:jc w:val="left"/>
              <w:rPr>
                <w:rFonts w:ascii="Times New Roman" w:hAnsi="Times New Roman" w:cs="Times New Roman" w:eastAsia="Times New Roman" w:hint="default"/>
                <w:sz w:val="18"/>
                <w:szCs w:val="18"/>
              </w:rPr>
            </w:pPr>
            <w:r>
              <w:rPr>
                <w:rFonts w:ascii="Times New Roman"/>
                <w:sz w:val="18"/>
              </w:rPr>
              <w:t>10.15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648,142.9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33,422,29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1,032,208</w:t>
            </w:r>
          </w:p>
          <w:p>
            <w:pPr>
              <w:pStyle w:val="TableParagraph"/>
              <w:spacing w:line="240" w:lineRule="auto" w:before="102"/>
              <w:ind w:left="201" w:right="0"/>
              <w:jc w:val="center"/>
              <w:rPr>
                <w:rFonts w:ascii="Times New Roman" w:hAnsi="Times New Roman" w:cs="Times New Roman" w:eastAsia="Times New Roman" w:hint="default"/>
                <w:sz w:val="18"/>
                <w:szCs w:val="18"/>
              </w:rPr>
            </w:pPr>
            <w:r>
              <w:rPr>
                <w:rFonts w:ascii="Times New Roman"/>
                <w:sz w:val="18"/>
              </w:rPr>
              <w:t>,392.24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北京四维 万兴科技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1,780,896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45" w:right="21"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665,257.6</w:t>
            </w:r>
          </w:p>
          <w:p>
            <w:pPr>
              <w:pStyle w:val="TableParagraph"/>
              <w:spacing w:line="240" w:lineRule="auto" w:before="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1,115,639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9"/>
              <w:jc w:val="both"/>
              <w:rPr>
                <w:rFonts w:ascii="宋体" w:hAnsi="宋体" w:cs="宋体" w:eastAsia="宋体" w:hint="default"/>
                <w:sz w:val="18"/>
                <w:szCs w:val="18"/>
              </w:rPr>
            </w:pPr>
            <w:r>
              <w:rPr>
                <w:rFonts w:ascii="宋体" w:hAnsi="宋体" w:cs="宋体" w:eastAsia="宋体" w:hint="default"/>
                <w:sz w:val="18"/>
                <w:szCs w:val="18"/>
              </w:rPr>
              <w:t>内蒙古四 维物流有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1,141,794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45" w:right="21"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330,829.6</w:t>
            </w:r>
          </w:p>
          <w:p>
            <w:pPr>
              <w:pStyle w:val="TableParagraph"/>
              <w:spacing w:line="240" w:lineRule="auto" w:before="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810,965.0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甘肃中寰 恒瑞物流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167,946.7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167,946.7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8"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39"/>
              <w:jc w:val="both"/>
              <w:rPr>
                <w:rFonts w:ascii="宋体" w:hAnsi="宋体" w:cs="宋体" w:eastAsia="宋体" w:hint="default"/>
                <w:sz w:val="18"/>
                <w:szCs w:val="18"/>
              </w:rPr>
            </w:pPr>
            <w:r>
              <w:rPr>
                <w:rFonts w:ascii="宋体" w:hAnsi="宋体" w:cs="宋体" w:eastAsia="宋体" w:hint="default"/>
                <w:sz w:val="18"/>
                <w:szCs w:val="18"/>
              </w:rPr>
              <w:t>北京六分 科技有限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广东为辰 信息科技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264,146.8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10,264,14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1,287,621</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,977.17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84,000,00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167,946.7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52" w:right="21" w:firstLine="652"/>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210,116,7</w:t>
            </w:r>
          </w:p>
          <w:p>
            <w:pPr>
              <w:pStyle w:val="TableParagraph"/>
              <w:spacing w:line="240" w:lineRule="auto" w:before="5"/>
              <w:ind w:left="359" w:right="0"/>
              <w:jc w:val="left"/>
              <w:rPr>
                <w:rFonts w:ascii="Times New Roman" w:hAnsi="Times New Roman" w:cs="Times New Roman" w:eastAsia="Times New Roman" w:hint="default"/>
                <w:sz w:val="18"/>
                <w:szCs w:val="18"/>
              </w:rPr>
            </w:pPr>
            <w:r>
              <w:rPr>
                <w:rFonts w:ascii="Times New Roman"/>
                <w:sz w:val="18"/>
              </w:rPr>
              <w:t>05.43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12,497,52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7.64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33,422,29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16,486,25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7.38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1,640,770</w:t>
            </w:r>
          </w:p>
          <w:p>
            <w:pPr>
              <w:pStyle w:val="TableParagraph"/>
              <w:spacing w:line="240" w:lineRule="auto" w:before="102"/>
              <w:ind w:left="201" w:right="0"/>
              <w:jc w:val="center"/>
              <w:rPr>
                <w:rFonts w:ascii="Times New Roman" w:hAnsi="Times New Roman" w:cs="Times New Roman" w:eastAsia="Times New Roman" w:hint="default"/>
                <w:sz w:val="18"/>
                <w:szCs w:val="18"/>
              </w:rPr>
            </w:pPr>
            <w:r>
              <w:rPr>
                <w:rFonts w:ascii="Times New Roman"/>
                <w:sz w:val="18"/>
              </w:rPr>
              <w:t>,894.83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1,853,460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795"/>
        <w:gridCol w:w="799"/>
        <w:gridCol w:w="797"/>
        <w:gridCol w:w="797"/>
        <w:gridCol w:w="799"/>
        <w:gridCol w:w="797"/>
        <w:gridCol w:w="800"/>
        <w:gridCol w:w="797"/>
        <w:gridCol w:w="799"/>
        <w:gridCol w:w="797"/>
        <w:gridCol w:w="799"/>
        <w:gridCol w:w="797"/>
      </w:tblGrid>
      <w:tr>
        <w:trPr>
          <w:trHeight w:val="946"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1,298,278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,056.79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100,237,8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167,946.7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3"/>
              <w:ind w:left="45" w:right="21"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223,074,9</w:t>
            </w:r>
          </w:p>
          <w:p>
            <w:pPr>
              <w:pStyle w:val="TableParagraph"/>
              <w:spacing w:line="240" w:lineRule="auto" w:before="3"/>
              <w:ind w:left="359" w:right="0"/>
              <w:jc w:val="left"/>
              <w:rPr>
                <w:rFonts w:ascii="Times New Roman" w:hAnsi="Times New Roman" w:cs="Times New Roman" w:eastAsia="Times New Roman" w:hint="default"/>
                <w:sz w:val="18"/>
                <w:szCs w:val="18"/>
              </w:rPr>
            </w:pPr>
            <w:r>
              <w:rPr>
                <w:rFonts w:ascii="Times New Roman"/>
                <w:sz w:val="18"/>
              </w:rPr>
              <w:t>85.26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12,497,52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7.64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33,422,29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16,486,25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7.38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450,031,0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24.14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1,654,737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,548.76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1,853,460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.29</w:t>
            </w:r>
          </w:p>
        </w:tc>
      </w:tr>
    </w:tbl>
    <w:p>
      <w:pPr>
        <w:pStyle w:val="BodyText"/>
        <w:spacing w:line="340" w:lineRule="auto" w:before="49"/>
        <w:ind w:right="1394"/>
        <w:jc w:val="left"/>
      </w:pPr>
      <w:r>
        <w:rPr/>
        <w:t>其他说明 注：北京六分科技有限公司本年由于第三方增资造成公司对其失去控制权，转换为权益法进行核算，具体见本附注“十 六、</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其他对投资者决策有影响的重要交易和事项”所述。</w:t>
      </w:r>
    </w:p>
    <w:p>
      <w:pPr>
        <w:spacing w:line="240" w:lineRule="auto" w:before="6"/>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18</w:t>
      </w:r>
      <w:r>
        <w:rPr/>
        <w:t>、其他权益工具投资</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禾多科技（北京）有限公司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28,640,268.15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26,640,268.15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北京未来导航科技有限公司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22,706,242.75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13,157,981.55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Mapillary</w:t>
            </w:r>
            <w:r>
              <w:rPr>
                <w:rFonts w:ascii="Times New Roman"/>
                <w:spacing w:val="-14"/>
                <w:sz w:val="18"/>
              </w:rPr>
              <w:t> </w:t>
            </w:r>
            <w:r>
              <w:rPr>
                <w:rFonts w:ascii="Times New Roman"/>
                <w:sz w:val="18"/>
              </w:rPr>
              <w:t>AB</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15,770,910.58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12,749,795.29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Sixan Pte.</w:t>
            </w:r>
            <w:r>
              <w:rPr>
                <w:rFonts w:ascii="Times New Roman"/>
                <w:spacing w:val="-2"/>
                <w:sz w:val="18"/>
              </w:rPr>
              <w:t> </w:t>
            </w:r>
            <w:r>
              <w:rPr>
                <w:rFonts w:ascii="Times New Roman"/>
                <w:sz w:val="18"/>
              </w:rPr>
              <w:t>Ltd.</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15,490,180.16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15,553,207.19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中再巨灾风险管理股份有限公司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睿镞科技（北京）有限责任公司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天地图有限公司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8,347,352.39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8,347,352.39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Deep Vision,</w:t>
            </w:r>
            <w:r>
              <w:rPr>
                <w:rFonts w:ascii="Times New Roman"/>
                <w:spacing w:val="-16"/>
                <w:sz w:val="18"/>
              </w:rPr>
              <w:t> </w:t>
            </w:r>
            <w:r>
              <w:rPr>
                <w:rFonts w:ascii="Times New Roman"/>
                <w:sz w:val="18"/>
              </w:rPr>
              <w:t>Inc.</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7,491,895.21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6,314,376.11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中科劲点（北京）科技有限公司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3,297,730.31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3,297,730.31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北斗导航位置服务（北京）有限公司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2,026,188.11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2,026,188.11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四维世景科技（北京）有限公司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125,070,767.66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99,386,899.10</w:t>
            </w:r>
          </w:p>
        </w:tc>
      </w:tr>
    </w:tbl>
    <w:p>
      <w:pPr>
        <w:pStyle w:val="BodyText"/>
        <w:spacing w:line="240" w:lineRule="auto" w:before="49"/>
        <w:ind w:right="0"/>
        <w:jc w:val="left"/>
      </w:pPr>
      <w:r>
        <w:rPr/>
        <w:t>分项披露本期非交易性权益工具投资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133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4" w:right="252"/>
              <w:jc w:val="left"/>
              <w:rPr>
                <w:rFonts w:ascii="宋体" w:hAnsi="宋体" w:cs="宋体" w:eastAsia="宋体" w:hint="default"/>
                <w:sz w:val="18"/>
                <w:szCs w:val="18"/>
              </w:rPr>
            </w:pPr>
            <w:r>
              <w:rPr>
                <w:rFonts w:ascii="宋体" w:hAnsi="宋体" w:cs="宋体" w:eastAsia="宋体" w:hint="default"/>
                <w:sz w:val="18"/>
                <w:szCs w:val="18"/>
              </w:rPr>
              <w:t>禾多科技（北 京）有限公司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13,840,268.15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北京未来导航科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17,706,242.75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Mapillary</w:t>
            </w:r>
            <w:r>
              <w:rPr>
                <w:rFonts w:ascii="Times New Roman"/>
                <w:spacing w:val="-14"/>
                <w:sz w:val="18"/>
              </w:rPr>
              <w:t> </w:t>
            </w:r>
            <w:r>
              <w:rPr>
                <w:rFonts w:ascii="Times New Roman"/>
                <w:sz w:val="18"/>
              </w:rPr>
              <w:t>AB</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2,983,916.09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Sixan Pte.</w:t>
            </w:r>
            <w:r>
              <w:rPr>
                <w:rFonts w:ascii="Times New Roman"/>
                <w:spacing w:val="-2"/>
                <w:sz w:val="18"/>
              </w:rPr>
              <w:t> </w:t>
            </w:r>
            <w:r>
              <w:rPr>
                <w:rFonts w:ascii="Times New Roman"/>
                <w:sz w:val="18"/>
              </w:rPr>
              <w:t>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7,705,907.19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中再巨灾风险管 理股份有限公司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睿镞科技（北 京）有限责任公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天地图有限公司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Deep Vision,</w:t>
            </w:r>
            <w:r>
              <w:rPr>
                <w:rFonts w:ascii="Times New Roman"/>
                <w:spacing w:val="-17"/>
                <w:sz w:val="18"/>
              </w:rPr>
              <w:t> </w:t>
            </w:r>
            <w:r>
              <w:rPr>
                <w:rFonts w:ascii="Times New Roman"/>
                <w:sz w:val="18"/>
              </w:rPr>
              <w:t>Inc.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2,192,355.24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24" w:right="72"/>
              <w:jc w:val="left"/>
              <w:rPr>
                <w:rFonts w:ascii="宋体" w:hAnsi="宋体" w:cs="宋体" w:eastAsia="宋体" w:hint="default"/>
                <w:sz w:val="18"/>
                <w:szCs w:val="18"/>
              </w:rPr>
            </w:pPr>
            <w:r>
              <w:rPr>
                <w:rFonts w:ascii="宋体" w:hAnsi="宋体" w:cs="宋体" w:eastAsia="宋体" w:hint="default"/>
                <w:sz w:val="18"/>
                <w:szCs w:val="18"/>
              </w:rPr>
              <w:t>中科劲点（北 京）科技有限公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3,218,745.28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北斗导航位置服 务（北京）有限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四维世景科技</w:t>
            </w:r>
          </w:p>
          <w:p>
            <w:pPr>
              <w:pStyle w:val="TableParagraph"/>
              <w:spacing w:line="316" w:lineRule="auto" w:before="74"/>
              <w:ind w:left="24" w:right="72"/>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left="333" w:right="1213" w:hanging="181"/>
        <w:jc w:val="left"/>
      </w:pPr>
      <w:r>
        <w:rPr/>
        <w:t>其他说明： 注：上述被投资单位均为非上市公司，目前不存在活跃的权益交易市场，同时相关财务信息和市场信息的获取不具备持</w:t>
      </w:r>
    </w:p>
    <w:p>
      <w:pPr>
        <w:pStyle w:val="BodyText"/>
        <w:spacing w:line="222" w:lineRule="exact"/>
        <w:ind w:right="0"/>
        <w:jc w:val="both"/>
      </w:pPr>
      <w:r>
        <w:rPr/>
        <w:t>续性和及时性；本公司未向上述被投资单体派驻董事，不参与公司日常管理，不构成重大影响。近期内部分被投资单位存</w:t>
      </w:r>
    </w:p>
    <w:p>
      <w:pPr>
        <w:pStyle w:val="BodyText"/>
        <w:spacing w:line="316" w:lineRule="auto" w:before="76"/>
        <w:ind w:right="1231"/>
        <w:jc w:val="both"/>
      </w:pPr>
      <w:r>
        <w:rPr/>
        <w:t>在引入外部投资者或股东之间转让股权等情况，则交易价格可作为确定公允价值的参考依据。否则公司从可获取的相关信 息分析，未发现被投资单位内外部环境自年初以来已发生重大変化，因此年末以成本作为公允价值。本公司持有其股权系 战略性投资，因此将其指定为以公允价值计量且其变动计入其他综合收益的非交易性权益工具投资。</w:t>
      </w:r>
    </w:p>
    <w:p>
      <w:pPr>
        <w:spacing w:line="240" w:lineRule="auto" w:before="9"/>
        <w:rPr>
          <w:rFonts w:ascii="宋体" w:hAnsi="宋体" w:cs="宋体" w:eastAsia="宋体" w:hint="default"/>
          <w:sz w:val="17"/>
          <w:szCs w:val="17"/>
        </w:rPr>
      </w:pPr>
    </w:p>
    <w:p>
      <w:pPr>
        <w:pStyle w:val="Heading4"/>
        <w:spacing w:line="240" w:lineRule="auto"/>
        <w:ind w:right="0"/>
        <w:jc w:val="both"/>
        <w:rPr>
          <w:b w:val="0"/>
          <w:bCs w:val="0"/>
        </w:rPr>
      </w:pPr>
      <w:r>
        <w:rPr>
          <w:rFonts w:ascii="Times New Roman" w:hAnsi="Times New Roman" w:cs="Times New Roman" w:eastAsia="Times New Roman" w:hint="default"/>
        </w:rPr>
        <w:t>19</w:t>
      </w:r>
      <w:r>
        <w:rPr/>
        <w:t>、其他非流动金融资产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220"/>
        <w:gridCol w:w="2463"/>
        <w:gridCol w:w="2888"/>
      </w:tblGrid>
      <w:tr>
        <w:trPr>
          <w:trHeight w:val="396"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4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63" w:type="dxa"/>
            <w:tcBorders>
              <w:top w:val="single" w:sz="4" w:space="0" w:color="000000"/>
              <w:left w:val="single" w:sz="4" w:space="0" w:color="000000"/>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其中：权益工具投资</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213,089,646.91</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265,416,570.76</w:t>
            </w:r>
          </w:p>
        </w:tc>
      </w:tr>
      <w:tr>
        <w:trPr>
          <w:trHeight w:val="40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213,089,646.91</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265,416,570.76</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20</w:t>
      </w:r>
      <w:r>
        <w:rPr/>
        <w:t>、投资性房地产</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21</w:t>
      </w:r>
      <w:r>
        <w:rPr/>
        <w:t>、固定资产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656,703,780.60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654,356,353.55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656,703,780.60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654,356,353.55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1376"/>
        <w:gridCol w:w="1376"/>
        <w:gridCol w:w="1375"/>
        <w:gridCol w:w="1376"/>
        <w:gridCol w:w="1298"/>
        <w:gridCol w:w="1561"/>
        <w:gridCol w:w="1270"/>
      </w:tblGrid>
      <w:tr>
        <w:trPr>
          <w:trHeight w:val="403"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楼宇设备</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构筑物及其他设备</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403,417,433.87</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127,407,101.00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357,499,461.33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47,662,773.15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25,329,602.84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961,316,372.19</w:t>
            </w:r>
          </w:p>
        </w:tc>
      </w:tr>
      <w:tr>
        <w:trPr>
          <w:trHeight w:val="713"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343,151.89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85,999,666.23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6,476,098.53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25,316,487.54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118,135,404.19</w:t>
            </w:r>
          </w:p>
        </w:tc>
      </w:tr>
      <w:tr>
        <w:trPr>
          <w:trHeight w:val="403"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343,151.89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85,999,666.23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6,476,098.53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4,672,601.58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97,491,518.23</w:t>
            </w:r>
          </w:p>
        </w:tc>
      </w:tr>
      <w:tr>
        <w:trPr>
          <w:trHeight w:val="713"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 合并增加</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7" w:firstLine="45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）竣工 结算调整</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20,643,885.96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20,643,885.96</w:t>
            </w:r>
          </w:p>
        </w:tc>
      </w:tr>
      <w:tr>
        <w:trPr>
          <w:trHeight w:val="713"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30,383,954.60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6,329,484.08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28,713,616.94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4,004,421.77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2,339,589.09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71,771,066.48</w:t>
            </w:r>
          </w:p>
        </w:tc>
      </w:tr>
      <w:tr>
        <w:trPr>
          <w:trHeight w:val="715"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 或报废</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28,643,843.60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4,001,772.67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2,319,378.06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34,964,994.33</w:t>
            </w:r>
          </w:p>
        </w:tc>
      </w:tr>
      <w:tr>
        <w:trPr>
          <w:trHeight w:val="713"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5" w:firstLine="36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）外币 报表折算差额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123,455.11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69,773.34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2,649.10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20,211.03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216,088.58</w:t>
            </w:r>
          </w:p>
        </w:tc>
      </w:tr>
      <w:tr>
        <w:trPr>
          <w:trHeight w:val="716"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5" w:firstLine="36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）竣工 结算调整</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30,260,499.49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6,329,484.08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36,589,983.57</w:t>
            </w:r>
          </w:p>
        </w:tc>
      </w:tr>
      <w:tr>
        <w:trPr>
          <w:trHeight w:val="713"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373,033,479.27</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121,420,768.81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414,785,510.62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50,134,449.91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48,306,501.29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1,007,680,709.9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21,350,170.97</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14,004,475.93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218,397,513.23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35,219,316.29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17,715,352.36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306,686,828.78</w:t>
            </w:r>
          </w:p>
        </w:tc>
      </w:tr>
      <w:tr>
        <w:trPr>
          <w:trHeight w:val="715"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6,917,004.22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7,722,520.85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49,017,033.22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4,327,449.48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6,454,414.64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74,438,422.41</w:t>
            </w:r>
          </w:p>
        </w:tc>
      </w:tr>
      <w:tr>
        <w:trPr>
          <w:trHeight w:val="401"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6,917,004.22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7,722,520.85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49,017,033.22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4,327,449.48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6,454,414.64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74,438,422.41</w:t>
            </w:r>
          </w:p>
        </w:tc>
      </w:tr>
      <w:tr>
        <w:trPr>
          <w:trHeight w:val="716"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16,088.88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24,747,034.25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3,607,455.56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2,050,933.06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30,421,511.75</w:t>
            </w:r>
          </w:p>
        </w:tc>
      </w:tr>
      <w:tr>
        <w:trPr>
          <w:trHeight w:val="713"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 或报废</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24,706,055.94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3,605,278.82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2,039,931.26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30,351,266.02</w:t>
            </w:r>
          </w:p>
        </w:tc>
      </w:tr>
      <w:tr>
        <w:trPr>
          <w:trHeight w:val="715"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5" w:firstLine="36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）外币 报表折算差额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16,088.88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40,978.31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2,176.74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11,001.80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70,245.73</w:t>
            </w:r>
          </w:p>
        </w:tc>
      </w:tr>
      <w:tr>
        <w:trPr>
          <w:trHeight w:val="401"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28,251,086.31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21,726,996.78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242,667,512.20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35,939,310.21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22,118,833.94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350,703,739.44</w:t>
            </w:r>
          </w:p>
        </w:tc>
      </w:tr>
      <w:tr>
        <w:trPr>
          <w:trHeight w:val="403"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194,865.18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78,324.68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273,189.86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53" w:type="dxa"/>
        <w:tblLayout w:type="fixed"/>
        <w:tblCellMar>
          <w:top w:w="0" w:type="dxa"/>
          <w:left w:w="0" w:type="dxa"/>
          <w:bottom w:w="0" w:type="dxa"/>
          <w:right w:w="0" w:type="dxa"/>
        </w:tblCellMar>
        <w:tblLook w:val="01E0"/>
      </w:tblPr>
      <w:tblGrid>
        <w:gridCol w:w="1374"/>
        <w:gridCol w:w="1376"/>
        <w:gridCol w:w="1375"/>
        <w:gridCol w:w="1376"/>
        <w:gridCol w:w="1298"/>
        <w:gridCol w:w="1561"/>
        <w:gridCol w:w="1270"/>
      </w:tblGrid>
      <w:tr>
        <w:trPr>
          <w:trHeight w:val="713" w:hRule="exact"/>
        </w:trPr>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6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 或报废</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194,865.18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78,324.68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273,189.86</w:t>
            </w:r>
          </w:p>
        </w:tc>
      </w:tr>
      <w:tr>
        <w:trPr>
          <w:trHeight w:val="403" w:hRule="exact"/>
        </w:trPr>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344,782,392.96</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99,693,772.03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171,923,133.24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14,116,815.02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26,187,667.35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656,703,780.60</w:t>
            </w:r>
          </w:p>
        </w:tc>
      </w:tr>
      <w:tr>
        <w:trPr>
          <w:trHeight w:val="715" w:hRule="exact"/>
        </w:trPr>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382,067,262.90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113,402,625.07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138,907,082.92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12,365,132.18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7,614,250.48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654,356,353.55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2552"/>
        <w:gridCol w:w="2693"/>
        <w:gridCol w:w="4326"/>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4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57"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6"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永丰基地综合办公大楼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1536" w:right="0"/>
              <w:jc w:val="left"/>
              <w:rPr>
                <w:rFonts w:ascii="Times New Roman" w:hAnsi="Times New Roman" w:cs="Times New Roman" w:eastAsia="Times New Roman" w:hint="default"/>
                <w:sz w:val="18"/>
                <w:szCs w:val="18"/>
              </w:rPr>
            </w:pPr>
            <w:r>
              <w:rPr>
                <w:rFonts w:ascii="Times New Roman"/>
                <w:sz w:val="18"/>
              </w:rPr>
              <w:t>416,484,267.58</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49"/>
              <w:jc w:val="left"/>
              <w:rPr>
                <w:rFonts w:ascii="宋体" w:hAnsi="宋体" w:cs="宋体" w:eastAsia="宋体" w:hint="default"/>
                <w:sz w:val="18"/>
                <w:szCs w:val="18"/>
              </w:rPr>
            </w:pPr>
            <w:r>
              <w:rPr>
                <w:rFonts w:ascii="宋体" w:hAnsi="宋体" w:cs="宋体" w:eastAsia="宋体" w:hint="default"/>
                <w:sz w:val="18"/>
                <w:szCs w:val="18"/>
              </w:rPr>
              <w:t>公司已与北京市规划和自然资源委员会签订《国有建 </w:t>
            </w:r>
            <w:r>
              <w:rPr>
                <w:rFonts w:ascii="宋体" w:hAnsi="宋体" w:cs="宋体" w:eastAsia="宋体" w:hint="default"/>
                <w:spacing w:val="-5"/>
                <w:sz w:val="18"/>
                <w:szCs w:val="18"/>
              </w:rPr>
              <w:t>设用地使用权出让合同》，后续手续正在办理中</w:t>
            </w:r>
          </w:p>
        </w:tc>
      </w:tr>
    </w:tbl>
    <w:p>
      <w:pPr>
        <w:spacing w:line="240" w:lineRule="auto" w:before="10"/>
        <w:rPr>
          <w:rFonts w:ascii="Microsoft JhengHei" w:hAnsi="Microsoft JhengHei" w:cs="Microsoft JhengHei" w:eastAsia="Microsoft JhengHei" w:hint="default"/>
          <w:b/>
          <w:bCs/>
          <w:sz w:val="14"/>
          <w:szCs w:val="14"/>
        </w:rPr>
      </w:pPr>
    </w:p>
    <w:p>
      <w:pPr>
        <w:pStyle w:val="Heading4"/>
        <w:spacing w:line="335" w:lineRule="exact"/>
        <w:ind w:right="0"/>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22</w:t>
      </w:r>
      <w:r>
        <w:rPr/>
        <w:t>、在建工程</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25</w:t>
      </w:r>
      <w:r>
        <w:rPr/>
        <w:t>、使用权资产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26</w:t>
      </w:r>
      <w:r>
        <w:rPr/>
        <w:t>、无形资产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2573"/>
        <w:gridCol w:w="1186"/>
        <w:gridCol w:w="1183"/>
        <w:gridCol w:w="1184"/>
        <w:gridCol w:w="1186"/>
        <w:gridCol w:w="1001"/>
        <w:gridCol w:w="1318"/>
      </w:tblGrid>
      <w:tr>
        <w:trPr>
          <w:trHeight w:val="402"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8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685,863,696.20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112,348,305.79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300,740,748.24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547,434,645.75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9,670,533.63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1,656,057,929.61</w:t>
            </w:r>
          </w:p>
        </w:tc>
      </w:tr>
      <w:tr>
        <w:trPr>
          <w:trHeight w:val="401"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7,290,956.37</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51,175,373.42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61,218,375.79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119,684,705.58</w:t>
            </w:r>
          </w:p>
        </w:tc>
      </w:tr>
      <w:tr>
        <w:trPr>
          <w:trHeight w:val="404"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7,290,956.37</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51,175,373.42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51,843,506.71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110,309,836.50</w:t>
            </w:r>
          </w:p>
        </w:tc>
      </w:tr>
      <w:tr>
        <w:trPr>
          <w:trHeight w:val="401"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9,374,869.08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9,374,869.08</w:t>
            </w:r>
          </w:p>
        </w:tc>
      </w:tr>
      <w:tr>
        <w:trPr>
          <w:trHeight w:val="403"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813,038.00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3,098,666.79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18,755,127.62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22,666,832.41</w:t>
            </w:r>
          </w:p>
        </w:tc>
      </w:tr>
      <w:tr>
        <w:trPr>
          <w:trHeight w:val="401"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3,098,666.79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17,984,086.00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21,882,752.79</w:t>
            </w:r>
          </w:p>
        </w:tc>
      </w:tr>
      <w:tr>
        <w:trPr>
          <w:trHeight w:val="403"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）外币报表折算</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13,038.00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771,041.62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784,079.62</w:t>
            </w:r>
          </w:p>
        </w:tc>
      </w:tr>
      <w:tr>
        <w:trPr>
          <w:trHeight w:val="401"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693,154,652.57</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111,535,267.79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348,817,454.87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589,897,893.92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9,670,533.63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1,753,075,802.78</w:t>
            </w:r>
          </w:p>
        </w:tc>
      </w:tr>
      <w:tr>
        <w:trPr>
          <w:trHeight w:val="403"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8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26,291,441.69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91,452,151.80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98,449,799.67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349,093,495.86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9,670,533.63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574,957,422.65</w:t>
            </w:r>
          </w:p>
        </w:tc>
      </w:tr>
      <w:tr>
        <w:trPr>
          <w:trHeight w:val="403"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14,142,579.71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10,662,257.54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30,410,032.71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93,693,146.57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148,908,016.53</w:t>
            </w:r>
          </w:p>
        </w:tc>
      </w:tr>
      <w:tr>
        <w:trPr>
          <w:trHeight w:val="401"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14,142,579.71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10,662,257.54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30,410,032.71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93,693,146.57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148,908,016.53</w:t>
            </w:r>
          </w:p>
        </w:tc>
      </w:tr>
      <w:tr>
        <w:trPr>
          <w:trHeight w:val="403"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13,038.00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3,098,666.79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18,313,760.93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21,425,465.72</w:t>
            </w:r>
          </w:p>
        </w:tc>
      </w:tr>
      <w:tr>
        <w:trPr>
          <w:trHeight w:val="401"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3,098,666.79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17,775,611.72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20,874,278.51</w:t>
            </w:r>
          </w:p>
        </w:tc>
      </w:tr>
      <w:tr>
        <w:trPr>
          <w:trHeight w:val="403"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）外币报表折算</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13,038.00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538,149.21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551,187.21</w:t>
            </w:r>
          </w:p>
        </w:tc>
      </w:tr>
      <w:tr>
        <w:trPr>
          <w:trHeight w:val="401"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40,434,021.40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102,101,371.34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125,761,165.59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424,472,881.50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9,670,533.63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702,439,973.46</w:t>
            </w:r>
          </w:p>
        </w:tc>
      </w:tr>
      <w:tr>
        <w:trPr>
          <w:trHeight w:val="403"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8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6,195,000.00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6,195,000.00</w:t>
            </w:r>
          </w:p>
        </w:tc>
      </w:tr>
      <w:tr>
        <w:trPr>
          <w:trHeight w:val="403"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52" w:type="dxa"/>
        <w:tblLayout w:type="fixed"/>
        <w:tblCellMar>
          <w:top w:w="0" w:type="dxa"/>
          <w:left w:w="0" w:type="dxa"/>
          <w:bottom w:w="0" w:type="dxa"/>
          <w:right w:w="0" w:type="dxa"/>
        </w:tblCellMar>
        <w:tblLook w:val="01E0"/>
      </w:tblPr>
      <w:tblGrid>
        <w:gridCol w:w="2573"/>
        <w:gridCol w:w="1186"/>
        <w:gridCol w:w="1183"/>
        <w:gridCol w:w="1184"/>
        <w:gridCol w:w="1186"/>
        <w:gridCol w:w="1001"/>
        <w:gridCol w:w="1318"/>
      </w:tblGrid>
      <w:tr>
        <w:trPr>
          <w:trHeight w:val="401"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）合并范围减少</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6,195,000.00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6,195,000.00</w:t>
            </w:r>
          </w:p>
        </w:tc>
      </w:tr>
      <w:tr>
        <w:trPr>
          <w:trHeight w:val="401"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8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652,720,631.17</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9,433,896.45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216,861,289.28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165,425,012.42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1,044,440,829.32</w:t>
            </w:r>
          </w:p>
        </w:tc>
      </w:tr>
      <w:tr>
        <w:trPr>
          <w:trHeight w:val="403" w:hRule="exact"/>
        </w:trPr>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659,572,254.51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20,896,153.99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196,095,948.57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198,341,149.89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1,074,905,506.96</w:t>
            </w:r>
          </w:p>
        </w:tc>
      </w:tr>
    </w:tbl>
    <w:p>
      <w:pPr>
        <w:pStyle w:val="BodyText"/>
        <w:spacing w:line="240" w:lineRule="auto" w:before="49"/>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9.92%</w:t>
      </w:r>
      <w:r>
        <w:rPr/>
        <w:t>。</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535"/>
        <w:gridCol w:w="2535"/>
        <w:gridCol w:w="4501"/>
      </w:tblGrid>
      <w:tr>
        <w:trPr>
          <w:trHeight w:val="401" w:hRule="exact"/>
        </w:trPr>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4"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5"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8"/>
              <w:jc w:val="left"/>
              <w:rPr>
                <w:rFonts w:ascii="宋体" w:hAnsi="宋体" w:cs="宋体" w:eastAsia="宋体" w:hint="default"/>
                <w:sz w:val="18"/>
                <w:szCs w:val="18"/>
              </w:rPr>
            </w:pPr>
            <w:r>
              <w:rPr>
                <w:rFonts w:ascii="宋体" w:hAnsi="宋体" w:cs="宋体" w:eastAsia="宋体" w:hint="default"/>
                <w:sz w:val="18"/>
                <w:szCs w:val="18"/>
              </w:rPr>
              <w:t>永丰基地综合办公大楼土地使 用权</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78" w:right="0"/>
              <w:jc w:val="left"/>
              <w:rPr>
                <w:rFonts w:ascii="Times New Roman" w:hAnsi="Times New Roman" w:cs="Times New Roman" w:eastAsia="Times New Roman" w:hint="default"/>
                <w:sz w:val="18"/>
                <w:szCs w:val="18"/>
              </w:rPr>
            </w:pPr>
            <w:r>
              <w:rPr>
                <w:rFonts w:ascii="Times New Roman"/>
                <w:sz w:val="18"/>
              </w:rPr>
              <w:t>652,720,631.17</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6"/>
              <w:jc w:val="left"/>
              <w:rPr>
                <w:rFonts w:ascii="宋体" w:hAnsi="宋体" w:cs="宋体" w:eastAsia="宋体" w:hint="default"/>
                <w:sz w:val="18"/>
                <w:szCs w:val="18"/>
              </w:rPr>
            </w:pPr>
            <w:r>
              <w:rPr>
                <w:rFonts w:ascii="宋体" w:hAnsi="宋体" w:cs="宋体" w:eastAsia="宋体" w:hint="default"/>
                <w:sz w:val="18"/>
                <w:szCs w:val="18"/>
              </w:rPr>
              <w:t>公司已与北京市规划和自然资源委员会签订《国有建设 </w:t>
            </w:r>
            <w:r>
              <w:rPr>
                <w:rFonts w:ascii="宋体" w:hAnsi="宋体" w:cs="宋体" w:eastAsia="宋体" w:hint="default"/>
                <w:spacing w:val="-5"/>
                <w:sz w:val="18"/>
                <w:szCs w:val="18"/>
              </w:rPr>
              <w:t>用地使用权出让合同》，后续手续正在办理中</w:t>
            </w:r>
          </w:p>
        </w:tc>
      </w:tr>
    </w:tbl>
    <w:p>
      <w:pPr>
        <w:pStyle w:val="BodyText"/>
        <w:spacing w:line="360" w:lineRule="auto" w:before="49"/>
        <w:ind w:right="9854"/>
        <w:jc w:val="left"/>
      </w:pPr>
      <w:r>
        <w:rPr/>
        <w:t>其他说明： 无</w:t>
      </w:r>
    </w:p>
    <w:p>
      <w:pPr>
        <w:spacing w:line="240" w:lineRule="auto" w:before="3"/>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27</w:t>
      </w:r>
      <w:r>
        <w:rPr/>
        <w:t>、开发支出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810"/>
        <w:gridCol w:w="1419"/>
        <w:gridCol w:w="1238"/>
        <w:gridCol w:w="1241"/>
        <w:gridCol w:w="1241"/>
        <w:gridCol w:w="1241"/>
        <w:gridCol w:w="1416"/>
      </w:tblGrid>
      <w:tr>
        <w:trPr>
          <w:trHeight w:val="403" w:hRule="exact"/>
        </w:trPr>
        <w:tc>
          <w:tcPr>
            <w:tcW w:w="1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4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10"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5" w:right="74" w:hanging="452"/>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4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4"/>
              <w:jc w:val="left"/>
              <w:rPr>
                <w:rFonts w:ascii="宋体" w:hAnsi="宋体" w:cs="宋体" w:eastAsia="宋体" w:hint="default"/>
                <w:sz w:val="18"/>
                <w:szCs w:val="18"/>
              </w:rPr>
            </w:pPr>
            <w:r>
              <w:rPr>
                <w:rFonts w:ascii="宋体" w:hAnsi="宋体" w:cs="宋体" w:eastAsia="宋体" w:hint="default"/>
                <w:sz w:val="18"/>
                <w:szCs w:val="18"/>
              </w:rPr>
              <w:t>自动驾驶地图更新及 应用开发项目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124,580,601.32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124,580,601.32</w:t>
            </w:r>
          </w:p>
        </w:tc>
      </w:tr>
      <w:tr>
        <w:trPr>
          <w:trHeight w:val="713" w:hRule="exact"/>
        </w:trPr>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54"/>
              <w:jc w:val="left"/>
              <w:rPr>
                <w:rFonts w:ascii="宋体" w:hAnsi="宋体" w:cs="宋体" w:eastAsia="宋体" w:hint="default"/>
                <w:sz w:val="18"/>
                <w:szCs w:val="18"/>
              </w:rPr>
            </w:pPr>
            <w:r>
              <w:rPr>
                <w:rFonts w:ascii="宋体" w:hAnsi="宋体" w:cs="宋体" w:eastAsia="宋体" w:hint="default"/>
                <w:sz w:val="18"/>
                <w:szCs w:val="18"/>
              </w:rPr>
              <w:t>商用车联网信息服务 平台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45,851,910.83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45,851,910.83</w:t>
            </w:r>
          </w:p>
        </w:tc>
      </w:tr>
      <w:tr>
        <w:trPr>
          <w:trHeight w:val="403" w:hRule="exact"/>
        </w:trPr>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位置大数据平台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20,975,371.10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20,975,371.10</w:t>
            </w:r>
          </w:p>
        </w:tc>
      </w:tr>
      <w:tr>
        <w:trPr>
          <w:trHeight w:val="713" w:hRule="exact"/>
        </w:trPr>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4"/>
              <w:jc w:val="left"/>
              <w:rPr>
                <w:rFonts w:ascii="宋体" w:hAnsi="宋体" w:cs="宋体" w:eastAsia="宋体" w:hint="default"/>
                <w:sz w:val="18"/>
                <w:szCs w:val="18"/>
              </w:rPr>
            </w:pPr>
            <w:r>
              <w:rPr>
                <w:rFonts w:ascii="宋体" w:hAnsi="宋体" w:cs="宋体" w:eastAsia="宋体" w:hint="default"/>
                <w:sz w:val="18"/>
                <w:szCs w:val="18"/>
              </w:rPr>
              <w:t>可追溯商用车高效物 流服务平台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18,768,504.66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12,734,104.70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6,034,394.96</w:t>
            </w:r>
          </w:p>
        </w:tc>
      </w:tr>
      <w:tr>
        <w:trPr>
          <w:trHeight w:val="715" w:hRule="exact"/>
        </w:trPr>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4"/>
              <w:jc w:val="left"/>
              <w:rPr>
                <w:rFonts w:ascii="宋体" w:hAnsi="宋体" w:cs="宋体" w:eastAsia="宋体" w:hint="default"/>
                <w:sz w:val="18"/>
                <w:szCs w:val="18"/>
              </w:rPr>
            </w:pPr>
            <w:r>
              <w:rPr>
                <w:rFonts w:ascii="宋体" w:hAnsi="宋体" w:cs="宋体" w:eastAsia="宋体" w:hint="default"/>
                <w:sz w:val="18"/>
                <w:szCs w:val="18"/>
              </w:rPr>
              <w:t>交通信息处理与发布 子系统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15,053,233.85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7,621,702.07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9,374,869.08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89,099.23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13,210,967.61</w:t>
            </w:r>
          </w:p>
        </w:tc>
      </w:tr>
      <w:tr>
        <w:trPr>
          <w:trHeight w:val="401" w:hRule="exact"/>
        </w:trPr>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33,821,738.51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199,029,585.32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9,374,869.08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12,823,208.93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210,653,245.82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28</w:t>
      </w:r>
      <w:r>
        <w:rPr/>
        <w:t>、商誉</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2679"/>
        <w:gridCol w:w="1745"/>
        <w:gridCol w:w="1736"/>
        <w:gridCol w:w="1735"/>
        <w:gridCol w:w="1736"/>
      </w:tblGrid>
      <w:tr>
        <w:trPr>
          <w:trHeight w:val="401" w:hRule="exact"/>
        </w:trPr>
        <w:tc>
          <w:tcPr>
            <w:tcW w:w="267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1250" w:right="69" w:hanging="1172"/>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 项</w:t>
            </w:r>
          </w:p>
        </w:tc>
        <w:tc>
          <w:tcPr>
            <w:tcW w:w="17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679" w:type="dxa"/>
            <w:vMerge/>
            <w:tcBorders>
              <w:left w:val="single" w:sz="4" w:space="0" w:color="000000"/>
              <w:bottom w:val="single" w:sz="4" w:space="0" w:color="000000"/>
              <w:right w:val="single" w:sz="4" w:space="0" w:color="000000"/>
            </w:tcBorders>
            <w:shd w:val="clear" w:color="auto" w:fill="D2D2D2"/>
          </w:tcPr>
          <w:p>
            <w:pPr/>
          </w:p>
        </w:tc>
        <w:tc>
          <w:tcPr>
            <w:tcW w:w="1745" w:type="dxa"/>
            <w:vMerge/>
            <w:tcBorders>
              <w:left w:val="single" w:sz="4" w:space="0" w:color="000000"/>
              <w:bottom w:val="single" w:sz="4" w:space="0" w:color="000000"/>
              <w:right w:val="single" w:sz="4" w:space="0" w:color="000000"/>
            </w:tcBorders>
            <w:shd w:val="clear" w:color="auto" w:fill="D2D2D2"/>
          </w:tcPr>
          <w:p>
            <w:pP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73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合肥杰发科技有限公司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3,042,899,505.82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3,042,899,505.82</w:t>
            </w:r>
          </w:p>
        </w:tc>
      </w:tr>
      <w:tr>
        <w:trPr>
          <w:trHeight w:val="715"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中交宇科（北京）空间信息技术 有限公司</w:t>
            </w:r>
          </w:p>
        </w:tc>
        <w:tc>
          <w:tcPr>
            <w:tcW w:w="17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101,175,580.97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101,175,580.97</w:t>
            </w:r>
          </w:p>
        </w:tc>
      </w:tr>
      <w:tr>
        <w:trPr>
          <w:trHeight w:val="401"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MapscapeB.V.</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41,571,737.95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41,571,737.95</w:t>
            </w:r>
          </w:p>
        </w:tc>
      </w:tr>
      <w:tr>
        <w:trPr>
          <w:trHeight w:val="403"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北京世纪高通科技有限公司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33,633,989.19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33,633,989.19</w:t>
            </w:r>
          </w:p>
        </w:tc>
      </w:tr>
      <w:tr>
        <w:trPr>
          <w:trHeight w:val="713"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北京中寰天畅卫星导航科技有限 公司</w:t>
            </w:r>
          </w:p>
        </w:tc>
        <w:tc>
          <w:tcPr>
            <w:tcW w:w="17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4,192,126.02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4,192,126.02</w:t>
            </w:r>
          </w:p>
        </w:tc>
      </w:tr>
      <w:tr>
        <w:trPr>
          <w:trHeight w:val="403"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长沙市海图科技有限公司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1,401,529.55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1,401,529.55</w:t>
            </w:r>
          </w:p>
        </w:tc>
      </w:tr>
      <w:tr>
        <w:trPr>
          <w:trHeight w:val="401"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江苏中寰卫星导航通信有限公司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40,236.77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40,236.77</w:t>
            </w:r>
          </w:p>
        </w:tc>
      </w:tr>
      <w:tr>
        <w:trPr>
          <w:trHeight w:val="715"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内蒙古中寰卫星导航通信有限公 司</w:t>
            </w:r>
          </w:p>
        </w:tc>
        <w:tc>
          <w:tcPr>
            <w:tcW w:w="17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8,200.00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8,200.00</w:t>
            </w:r>
          </w:p>
        </w:tc>
      </w:tr>
      <w:tr>
        <w:trPr>
          <w:trHeight w:val="401"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3,224,922,906.27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3,224,922,906.27</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2684"/>
        <w:gridCol w:w="1736"/>
        <w:gridCol w:w="1738"/>
        <w:gridCol w:w="1738"/>
        <w:gridCol w:w="1736"/>
      </w:tblGrid>
      <w:tr>
        <w:trPr>
          <w:trHeight w:val="401" w:hRule="exact"/>
        </w:trPr>
        <w:tc>
          <w:tcPr>
            <w:tcW w:w="26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1246" w:right="75" w:hanging="117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 项</w:t>
            </w:r>
          </w:p>
        </w:tc>
        <w:tc>
          <w:tcPr>
            <w:tcW w:w="1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684" w:type="dxa"/>
            <w:vMerge/>
            <w:tcBorders>
              <w:left w:val="single" w:sz="4" w:space="0" w:color="000000"/>
              <w:bottom w:val="single" w:sz="4" w:space="0" w:color="000000"/>
              <w:right w:val="single" w:sz="4" w:space="0" w:color="000000"/>
            </w:tcBorders>
            <w:shd w:val="clear" w:color="auto" w:fill="D2D2D2"/>
          </w:tcPr>
          <w:p>
            <w:pPr/>
          </w:p>
        </w:tc>
        <w:tc>
          <w:tcPr>
            <w:tcW w:w="1736" w:type="dxa"/>
            <w:vMerge/>
            <w:tcBorders>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73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合肥杰发科技有限公司</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885,891,706.49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885,891,706.49</w:t>
            </w:r>
          </w:p>
        </w:tc>
      </w:tr>
      <w:tr>
        <w:trPr>
          <w:trHeight w:val="715" w:hRule="exact"/>
        </w:trPr>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中交宇科（北京）空间信息技术 有限公司</w:t>
            </w:r>
          </w:p>
        </w:tc>
        <w:tc>
          <w:tcPr>
            <w:tcW w:w="17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101,175,580.97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101,175,580.97</w:t>
            </w:r>
          </w:p>
        </w:tc>
      </w:tr>
      <w:tr>
        <w:trPr>
          <w:trHeight w:val="713" w:hRule="exact"/>
        </w:trPr>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北京中寰天畅卫星导航科技有限 公司</w:t>
            </w:r>
          </w:p>
        </w:tc>
        <w:tc>
          <w:tcPr>
            <w:tcW w:w="17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4,192,126.02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4,192,126.02</w:t>
            </w:r>
          </w:p>
        </w:tc>
      </w:tr>
      <w:tr>
        <w:trPr>
          <w:trHeight w:val="403" w:hRule="exact"/>
        </w:trPr>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长沙市海图科技有限公司</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1,401,529.55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1,401,529.55</w:t>
            </w:r>
          </w:p>
        </w:tc>
      </w:tr>
      <w:tr>
        <w:trPr>
          <w:trHeight w:val="401" w:hRule="exact"/>
        </w:trPr>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江苏中寰卫星导航通信有限公司</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40,236.77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40,236.77</w:t>
            </w:r>
          </w:p>
        </w:tc>
      </w:tr>
      <w:tr>
        <w:trPr>
          <w:trHeight w:val="403" w:hRule="exact"/>
        </w:trPr>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992,701,179.80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992,701,179.80</w:t>
            </w:r>
          </w:p>
        </w:tc>
      </w:tr>
    </w:tbl>
    <w:p>
      <w:pPr>
        <w:pStyle w:val="BodyText"/>
        <w:spacing w:line="240" w:lineRule="auto" w:before="49"/>
        <w:ind w:right="0"/>
        <w:jc w:val="left"/>
      </w:pPr>
      <w:r>
        <w:rPr/>
        <w:t>商誉所在资产组或资产组组合的相关信息</w:t>
      </w:r>
    </w:p>
    <w:p>
      <w:pPr>
        <w:pStyle w:val="BodyText"/>
        <w:spacing w:line="300" w:lineRule="auto" w:before="117"/>
        <w:ind w:right="1032" w:firstLine="271"/>
        <w:jc w:val="left"/>
      </w:pPr>
      <w:r>
        <w:rPr/>
        <w:t>注</w:t>
      </w:r>
      <w:r>
        <w:rPr>
          <w:spacing w:val="-32"/>
        </w:rPr>
        <w:t> </w:t>
      </w:r>
      <w:r>
        <w:rPr>
          <w:rFonts w:ascii="Times New Roman" w:hAnsi="Times New Roman" w:cs="Times New Roman" w:eastAsia="Times New Roman" w:hint="default"/>
        </w:rPr>
        <w:t>1</w:t>
      </w:r>
      <w:r>
        <w:rPr/>
        <w:t>：合肥杰发科技有限公司（以下简称杰发科技）商誉系本公司于</w:t>
      </w:r>
      <w:r>
        <w:rPr>
          <w:spacing w:val="-3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35"/>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月收购杰发科技</w:t>
      </w:r>
      <w:r>
        <w:rPr>
          <w:spacing w:val="-33"/>
        </w:rPr>
        <w:t> </w:t>
      </w:r>
      <w:r>
        <w:rPr>
          <w:rFonts w:ascii="Times New Roman" w:hAnsi="Times New Roman" w:cs="Times New Roman" w:eastAsia="Times New Roman" w:hint="default"/>
        </w:rPr>
        <w:t>100.00%</w:t>
      </w:r>
      <w:r>
        <w:rPr/>
        <w:t>股权时形成的， 详见信永中和会计师事务所（特殊普通合伙）出具的</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年度审计报告（</w:t>
      </w:r>
      <w:r>
        <w:rPr>
          <w:rFonts w:ascii="Times New Roman" w:hAnsi="Times New Roman" w:cs="Times New Roman" w:eastAsia="Times New Roman" w:hint="default"/>
        </w:rPr>
        <w:t>XYZH/2018BJA70133</w:t>
      </w:r>
      <w:r>
        <w:rPr/>
        <w:t>）之财务报表附注“七、</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4"/>
        </w:rPr>
        <w:t>非同一控制下企业合并”。该商誉与杰发科技业务构成资产组。</w:t>
      </w:r>
    </w:p>
    <w:p>
      <w:pPr>
        <w:pStyle w:val="BodyText"/>
        <w:spacing w:line="240" w:lineRule="auto" w:before="72"/>
        <w:ind w:left="513" w:right="0"/>
        <w:jc w:val="left"/>
      </w:pPr>
      <w:r>
        <w:rPr/>
        <w:t>注</w:t>
      </w:r>
      <w:r>
        <w:rPr>
          <w:spacing w:val="-46"/>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Mapscape</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3"/>
        </w:rPr>
        <w:t>B.V.</w:t>
      </w:r>
      <w:r>
        <w:rPr>
          <w:spacing w:val="-3"/>
        </w:rPr>
        <w:t>（以下简称</w:t>
      </w:r>
      <w:r>
        <w:rPr>
          <w:spacing w:val="-45"/>
        </w:rPr>
        <w:t> </w:t>
      </w:r>
      <w:r>
        <w:rPr>
          <w:rFonts w:ascii="Times New Roman" w:hAnsi="Times New Roman" w:cs="Times New Roman" w:eastAsia="Times New Roman" w:hint="default"/>
        </w:rPr>
        <w:t>Mapscape</w:t>
      </w:r>
      <w:r>
        <w:rPr/>
        <w:t>）商誉系本公司于</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月收购</w:t>
      </w:r>
      <w:r>
        <w:rPr>
          <w:spacing w:val="-48"/>
        </w:rPr>
        <w:t> </w:t>
      </w:r>
      <w:r>
        <w:rPr>
          <w:rFonts w:ascii="Times New Roman" w:hAnsi="Times New Roman" w:cs="Times New Roman" w:eastAsia="Times New Roman" w:hint="default"/>
        </w:rPr>
        <w:t>Mapscape</w:t>
      </w:r>
      <w:r>
        <w:rPr>
          <w:rFonts w:ascii="Times New Roman" w:hAnsi="Times New Roman" w:cs="Times New Roman" w:eastAsia="Times New Roman" w:hint="default"/>
          <w:spacing w:val="20"/>
        </w:rPr>
        <w:t> </w:t>
      </w:r>
      <w:r>
        <w:rPr>
          <w:rFonts w:ascii="Times New Roman" w:hAnsi="Times New Roman" w:cs="Times New Roman" w:eastAsia="Times New Roman" w:hint="default"/>
        </w:rPr>
        <w:t>100.00%</w:t>
      </w:r>
      <w:r>
        <w:rPr/>
        <w:t>股权时形成的。该商</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誉与</w:t>
      </w:r>
      <w:r>
        <w:rPr>
          <w:spacing w:val="-45"/>
        </w:rPr>
        <w:t> </w:t>
      </w:r>
      <w:r>
        <w:rPr>
          <w:rFonts w:ascii="Times New Roman" w:hAnsi="Times New Roman" w:cs="Times New Roman" w:eastAsia="Times New Roman" w:hint="default"/>
        </w:rPr>
        <w:t>Mapscape</w:t>
      </w:r>
      <w:r>
        <w:rPr>
          <w:rFonts w:ascii="Times New Roman" w:hAnsi="Times New Roman" w:cs="Times New Roman" w:eastAsia="Times New Roman" w:hint="default"/>
          <w:spacing w:val="-1"/>
        </w:rPr>
        <w:t> </w:t>
      </w:r>
      <w:r>
        <w:rPr/>
        <w:t>业务构成资产组。</w:t>
      </w:r>
    </w:p>
    <w:p>
      <w:pPr>
        <w:pStyle w:val="BodyText"/>
        <w:spacing w:line="319" w:lineRule="auto" w:before="103"/>
        <w:ind w:right="1124" w:firstLine="360"/>
        <w:jc w:val="left"/>
      </w:pPr>
      <w:r>
        <w:rPr/>
        <w:t>注</w:t>
      </w:r>
      <w:r>
        <w:rPr>
          <w:spacing w:val="-50"/>
        </w:rPr>
        <w:t> </w:t>
      </w:r>
      <w:r>
        <w:rPr>
          <w:rFonts w:ascii="Times New Roman" w:hAnsi="Times New Roman" w:cs="Times New Roman" w:eastAsia="Times New Roman" w:hint="default"/>
        </w:rPr>
        <w:t>3</w:t>
      </w:r>
      <w:r>
        <w:rPr/>
        <w:t>：北京世纪高通科技有限公司（以下简称世纪高通）商誉系本公司于</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月及</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月分步收购世纪高 通 </w:t>
      </w:r>
      <w:r>
        <w:rPr>
          <w:rFonts w:ascii="Times New Roman" w:hAnsi="Times New Roman" w:cs="Times New Roman" w:eastAsia="Times New Roman" w:hint="default"/>
        </w:rPr>
        <w:t>82.50%</w:t>
      </w:r>
      <w:r>
        <w:rPr/>
        <w:t>股权时形成的。该商誉与世纪高通业务构成资产组。 说明商誉减值测试过程、关键参数（如预计未来现金流量现值时的预测期增长率、稳定期增长率、利润率、折现率、预测 期等）及商誉减值损失的确认方法：</w:t>
      </w:r>
    </w:p>
    <w:p>
      <w:pPr>
        <w:pStyle w:val="BodyText"/>
        <w:spacing w:line="300" w:lineRule="auto" w:before="58"/>
        <w:ind w:right="1131" w:firstLine="360"/>
        <w:jc w:val="both"/>
      </w:pPr>
      <w:r>
        <w:rPr/>
        <w:t>注</w:t>
      </w:r>
      <w:r>
        <w:rPr>
          <w:spacing w:val="-40"/>
        </w:rPr>
        <w:t> </w:t>
      </w:r>
      <w:r>
        <w:rPr>
          <w:rFonts w:ascii="Times New Roman" w:hAnsi="Times New Roman" w:cs="Times New Roman" w:eastAsia="Times New Roman" w:hint="default"/>
        </w:rPr>
        <w:t>1</w:t>
      </w:r>
      <w:r>
        <w:rPr/>
        <w:t>：</w:t>
      </w:r>
      <w:r>
        <w:rPr>
          <w:spacing w:val="-38"/>
        </w:rPr>
        <w:t> </w:t>
      </w:r>
      <w:r>
        <w:rPr>
          <w:spacing w:val="-2"/>
        </w:rPr>
        <w:t>公司管理层聘请北京中同华资产评估有限公司对杰发科技资产组进行评估，根据其出具的中同华评报字（</w:t>
      </w:r>
      <w:r>
        <w:rPr>
          <w:rFonts w:ascii="Times New Roman" w:hAnsi="Times New Roman" w:cs="Times New Roman" w:eastAsia="Times New Roman" w:hint="default"/>
          <w:spacing w:val="-2"/>
        </w:rPr>
        <w:t>2020</w:t>
      </w:r>
      <w:r>
        <w:rPr>
          <w:spacing w:val="-2"/>
        </w:rPr>
        <w:t>）</w:t>
      </w:r>
      <w:r>
        <w:rPr/>
        <w:t> 第</w:t>
      </w:r>
      <w:r>
        <w:rPr>
          <w:spacing w:val="-43"/>
        </w:rPr>
        <w:t> </w:t>
      </w:r>
      <w:r>
        <w:rPr>
          <w:rFonts w:ascii="Times New Roman" w:hAnsi="Times New Roman" w:cs="Times New Roman" w:eastAsia="Times New Roman" w:hint="default"/>
        </w:rPr>
        <w:t>030320</w:t>
      </w:r>
      <w:r>
        <w:rPr>
          <w:rFonts w:ascii="Times New Roman" w:hAnsi="Times New Roman" w:cs="Times New Roman" w:eastAsia="Times New Roman" w:hint="default"/>
          <w:spacing w:val="3"/>
        </w:rPr>
        <w:t> </w:t>
      </w:r>
      <w:r>
        <w:rPr/>
        <w:t>号《北京四维图新科技股份有限公司以财务报告为目的所涉及的北京四维图新科技股份有限公司收购合肥杰发科 </w:t>
      </w:r>
      <w:r>
        <w:rPr>
          <w:spacing w:val="-2"/>
        </w:rPr>
        <w:t>技有限公司形成的商誉减值测试项目资产评估报告》，管理层认为公司本年无需对该资产组计提减值准备。</w:t>
      </w:r>
    </w:p>
    <w:p>
      <w:pPr>
        <w:pStyle w:val="BodyText"/>
        <w:spacing w:line="240" w:lineRule="auto" w:before="72"/>
        <w:ind w:left="513" w:right="0"/>
        <w:jc w:val="left"/>
      </w:pPr>
      <w:r>
        <w:rPr/>
        <w:t>资产组的可回收金额是采用未来现金流量折合现值计算。采用未来现金流量折现方法所运用的主要假设包括：</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4681"/>
        <w:gridCol w:w="4820"/>
      </w:tblGrid>
      <w:tr>
        <w:trPr>
          <w:trHeight w:val="350" w:hRule="exact"/>
        </w:trPr>
        <w:tc>
          <w:tcPr>
            <w:tcW w:w="4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营业收入增长率</w:t>
            </w:r>
          </w:p>
        </w:tc>
        <w:tc>
          <w:tcPr>
            <w:tcW w:w="4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8.03%-54.44%</w:t>
            </w:r>
          </w:p>
        </w:tc>
      </w:tr>
      <w:tr>
        <w:trPr>
          <w:trHeight w:val="351" w:hRule="exact"/>
        </w:trPr>
        <w:tc>
          <w:tcPr>
            <w:tcW w:w="4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4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4"/>
              <w:jc w:val="right"/>
              <w:rPr>
                <w:rFonts w:ascii="Times New Roman" w:hAnsi="Times New Roman" w:cs="Times New Roman" w:eastAsia="Times New Roman" w:hint="default"/>
                <w:sz w:val="18"/>
                <w:szCs w:val="18"/>
              </w:rPr>
            </w:pPr>
            <w:r>
              <w:rPr>
                <w:rFonts w:ascii="Times New Roman"/>
                <w:sz w:val="18"/>
              </w:rPr>
              <w:t>43.60%-49.03%</w:t>
            </w:r>
          </w:p>
        </w:tc>
      </w:tr>
      <w:tr>
        <w:trPr>
          <w:trHeight w:val="350" w:hRule="exact"/>
        </w:trPr>
        <w:tc>
          <w:tcPr>
            <w:tcW w:w="4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税前折现率</w:t>
            </w:r>
          </w:p>
        </w:tc>
        <w:tc>
          <w:tcPr>
            <w:tcW w:w="4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14.70%</w:t>
            </w:r>
          </w:p>
        </w:tc>
      </w:tr>
    </w:tbl>
    <w:p>
      <w:pPr>
        <w:pStyle w:val="BodyText"/>
        <w:spacing w:line="316" w:lineRule="auto" w:before="51"/>
        <w:ind w:right="1214" w:firstLine="360"/>
        <w:jc w:val="left"/>
      </w:pPr>
      <w:r>
        <w:rPr/>
        <w:t>管理层根据历史经验及对市场发展的预测确定毛利率，并采用能够反映相关资产组和资产组组合的特定风险的税前利 率为折现率；根据公司管理层批准的长期预算，预测期为</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p>
    <w:p>
      <w:pPr>
        <w:pStyle w:val="BodyText"/>
        <w:spacing w:line="300" w:lineRule="auto" w:before="37"/>
        <w:ind w:right="1128" w:firstLine="360"/>
        <w:jc w:val="both"/>
      </w:pPr>
      <w:r>
        <w:rPr/>
        <w:t>注</w:t>
      </w:r>
      <w:r>
        <w:rPr>
          <w:spacing w:val="-36"/>
        </w:rPr>
        <w:t> </w:t>
      </w:r>
      <w:r>
        <w:rPr>
          <w:rFonts w:ascii="Times New Roman" w:hAnsi="Times New Roman" w:cs="Times New Roman" w:eastAsia="Times New Roman" w:hint="default"/>
          <w:spacing w:val="-3"/>
        </w:rPr>
        <w:t>2</w:t>
      </w:r>
      <w:r>
        <w:rPr>
          <w:spacing w:val="-3"/>
        </w:rPr>
        <w:t>：公司管理层聘请北京中同华资产评估有限公司对</w:t>
      </w:r>
      <w:r>
        <w:rPr>
          <w:spacing w:val="-35"/>
        </w:rPr>
        <w:t> </w:t>
      </w:r>
      <w:r>
        <w:rPr>
          <w:rFonts w:ascii="Times New Roman" w:hAnsi="Times New Roman" w:cs="Times New Roman" w:eastAsia="Times New Roman" w:hint="default"/>
        </w:rPr>
        <w:t>Mapscape</w:t>
      </w:r>
      <w:r>
        <w:rPr>
          <w:rFonts w:ascii="Times New Roman" w:hAnsi="Times New Roman" w:cs="Times New Roman" w:eastAsia="Times New Roman" w:hint="default"/>
          <w:spacing w:val="9"/>
        </w:rPr>
        <w:t> </w:t>
      </w:r>
      <w:r>
        <w:rPr>
          <w:spacing w:val="-4"/>
        </w:rPr>
        <w:t>资产组进行评估，根据其出具的中同华评报字（</w:t>
      </w:r>
      <w:r>
        <w:rPr>
          <w:rFonts w:ascii="Times New Roman" w:hAnsi="Times New Roman" w:cs="Times New Roman" w:eastAsia="Times New Roman" w:hint="default"/>
          <w:spacing w:val="-4"/>
        </w:rPr>
        <w:t>2020</w:t>
      </w:r>
      <w:r>
        <w:rPr>
          <w:spacing w:val="-4"/>
        </w:rPr>
        <w:t>）</w:t>
      </w:r>
      <w:r>
        <w:rPr/>
        <w:t> 第</w:t>
      </w:r>
      <w:r>
        <w:rPr>
          <w:spacing w:val="-61"/>
        </w:rPr>
        <w:t> </w:t>
      </w:r>
      <w:r>
        <w:rPr>
          <w:rFonts w:ascii="Times New Roman" w:hAnsi="Times New Roman" w:cs="Times New Roman" w:eastAsia="Times New Roman" w:hint="default"/>
        </w:rPr>
        <w:t>030322</w:t>
      </w:r>
      <w:r>
        <w:rPr>
          <w:rFonts w:ascii="Times New Roman" w:hAnsi="Times New Roman" w:cs="Times New Roman" w:eastAsia="Times New Roman" w:hint="default"/>
          <w:spacing w:val="-16"/>
        </w:rPr>
        <w:t> </w:t>
      </w:r>
      <w:r>
        <w:rPr/>
        <w:t>号《北京四维图新科技股份有限公司以财务报告为目的所涉及的该公司收购</w:t>
      </w:r>
      <w:r>
        <w:rPr>
          <w:spacing w:val="-61"/>
        </w:rPr>
        <w:t> </w:t>
      </w:r>
      <w:r>
        <w:rPr>
          <w:rFonts w:ascii="Times New Roman" w:hAnsi="Times New Roman" w:cs="Times New Roman" w:eastAsia="Times New Roman" w:hint="default"/>
        </w:rPr>
        <w:t>Mapscape</w:t>
      </w:r>
      <w:r>
        <w:rPr>
          <w:rFonts w:ascii="Times New Roman" w:hAnsi="Times New Roman" w:cs="Times New Roman" w:eastAsia="Times New Roman" w:hint="default"/>
          <w:spacing w:val="-24"/>
        </w:rPr>
        <w:t> </w:t>
      </w:r>
      <w:r>
        <w:rPr>
          <w:rFonts w:ascii="Times New Roman" w:hAnsi="Times New Roman" w:cs="Times New Roman" w:eastAsia="Times New Roman" w:hint="default"/>
        </w:rPr>
        <w:t>B.V.</w:t>
      </w:r>
      <w:r>
        <w:rPr/>
        <w:t>形成的商誉减值测试项 </w:t>
      </w:r>
      <w:r>
        <w:rPr>
          <w:spacing w:val="-4"/>
        </w:rPr>
        <w:t>目》，管理层认为公司本年无需对该资产组计提减值准备。</w:t>
      </w:r>
    </w:p>
    <w:p>
      <w:pPr>
        <w:pStyle w:val="BodyText"/>
        <w:spacing w:line="240" w:lineRule="auto" w:before="72"/>
        <w:ind w:left="513" w:right="0"/>
        <w:jc w:val="left"/>
      </w:pPr>
      <w:r>
        <w:rPr/>
        <w:t>资产组的可回收金额是采用未来现金流量折合现值计算。采用未来现金流量折现方法所运用的主要假设包括：</w:t>
      </w:r>
    </w:p>
    <w:p>
      <w:pPr>
        <w:spacing w:line="240" w:lineRule="auto" w:before="2"/>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4681"/>
        <w:gridCol w:w="4820"/>
      </w:tblGrid>
      <w:tr>
        <w:trPr>
          <w:trHeight w:val="350" w:hRule="exact"/>
        </w:trPr>
        <w:tc>
          <w:tcPr>
            <w:tcW w:w="4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营业收入增长率</w:t>
            </w:r>
          </w:p>
        </w:tc>
        <w:tc>
          <w:tcPr>
            <w:tcW w:w="4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w w:val="95"/>
                <w:sz w:val="18"/>
              </w:rPr>
              <w:t>-53.93%-13.00%</w:t>
            </w:r>
            <w:r>
              <w:rPr>
                <w:rFonts w:ascii="Times New Roman"/>
                <w:sz w:val="18"/>
              </w:rPr>
            </w:r>
          </w:p>
        </w:tc>
      </w:tr>
      <w:tr>
        <w:trPr>
          <w:trHeight w:val="348" w:hRule="exact"/>
        </w:trPr>
        <w:tc>
          <w:tcPr>
            <w:tcW w:w="4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4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93.00%-94.13%</w:t>
            </w:r>
          </w:p>
        </w:tc>
      </w:tr>
      <w:tr>
        <w:trPr>
          <w:trHeight w:val="353" w:hRule="exact"/>
        </w:trPr>
        <w:tc>
          <w:tcPr>
            <w:tcW w:w="4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税前折现率</w:t>
            </w:r>
          </w:p>
        </w:tc>
        <w:tc>
          <w:tcPr>
            <w:tcW w:w="4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4"/>
              <w:jc w:val="right"/>
              <w:rPr>
                <w:rFonts w:ascii="Times New Roman" w:hAnsi="Times New Roman" w:cs="Times New Roman" w:eastAsia="Times New Roman" w:hint="default"/>
                <w:sz w:val="18"/>
                <w:szCs w:val="18"/>
              </w:rPr>
            </w:pPr>
            <w:r>
              <w:rPr>
                <w:rFonts w:ascii="Times New Roman"/>
                <w:spacing w:val="-1"/>
                <w:sz w:val="18"/>
              </w:rPr>
              <w:t>13.11%</w:t>
            </w:r>
          </w:p>
        </w:tc>
      </w:tr>
    </w:tbl>
    <w:p>
      <w:pPr>
        <w:pStyle w:val="BodyText"/>
        <w:spacing w:line="314" w:lineRule="auto" w:before="51"/>
        <w:ind w:right="1125" w:firstLine="360"/>
        <w:jc w:val="both"/>
      </w:pPr>
      <w:r>
        <w:rPr/>
        <w:t>管理层根据历史经验及对市场发展的预测确定毛利率，并采用能够反映相关资产组和资产组组合的特定风险的税前利</w:t>
      </w:r>
      <w:r>
        <w:rPr>
          <w:spacing w:val="2"/>
        </w:rPr>
        <w:t> </w:t>
      </w:r>
      <w:r>
        <w:rPr/>
        <w:t>率为折现率；根据公司管理层批准的长期预算，预测期为</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w:t>
      </w:r>
    </w:p>
    <w:p>
      <w:pPr>
        <w:pStyle w:val="BodyText"/>
        <w:spacing w:line="300" w:lineRule="auto" w:before="42"/>
        <w:ind w:right="1131" w:firstLine="360"/>
        <w:jc w:val="both"/>
      </w:pPr>
      <w:r>
        <w:rPr/>
        <w:t>注</w:t>
      </w:r>
      <w:r>
        <w:rPr>
          <w:spacing w:val="-40"/>
        </w:rPr>
        <w:t> </w:t>
      </w:r>
      <w:r>
        <w:rPr>
          <w:rFonts w:ascii="Times New Roman" w:hAnsi="Times New Roman" w:cs="Times New Roman" w:eastAsia="Times New Roman" w:hint="default"/>
        </w:rPr>
        <w:t>3</w:t>
      </w:r>
      <w:r>
        <w:rPr/>
        <w:t>：</w:t>
      </w:r>
      <w:r>
        <w:rPr>
          <w:spacing w:val="-38"/>
        </w:rPr>
        <w:t> </w:t>
      </w:r>
      <w:r>
        <w:rPr>
          <w:spacing w:val="-2"/>
        </w:rPr>
        <w:t>公司管理层聘请北京中同华资产评估有限公司对世纪高通资产组进行评估，根据其出具的中同华评报字（</w:t>
      </w:r>
      <w:r>
        <w:rPr>
          <w:rFonts w:ascii="Times New Roman" w:hAnsi="Times New Roman" w:cs="Times New Roman" w:eastAsia="Times New Roman" w:hint="default"/>
          <w:spacing w:val="-2"/>
        </w:rPr>
        <w:t>2020</w:t>
      </w:r>
      <w:r>
        <w:rPr>
          <w:spacing w:val="-2"/>
        </w:rPr>
        <w:t>）</w:t>
      </w:r>
      <w:r>
        <w:rPr/>
        <w:t> 第</w:t>
      </w:r>
      <w:r>
        <w:rPr>
          <w:spacing w:val="-43"/>
        </w:rPr>
        <w:t> </w:t>
      </w:r>
      <w:r>
        <w:rPr>
          <w:rFonts w:ascii="Times New Roman" w:hAnsi="Times New Roman" w:cs="Times New Roman" w:eastAsia="Times New Roman" w:hint="default"/>
        </w:rPr>
        <w:t>030321</w:t>
      </w:r>
      <w:r>
        <w:rPr>
          <w:rFonts w:ascii="Times New Roman" w:hAnsi="Times New Roman" w:cs="Times New Roman" w:eastAsia="Times New Roman" w:hint="default"/>
          <w:spacing w:val="3"/>
        </w:rPr>
        <w:t> </w:t>
      </w:r>
      <w:r>
        <w:rPr/>
        <w:t>号《北京四维图新科技股份有限公司以财务报告为目的所涉及的北京四维图新科技股份有限公司收购北京世纪高 </w:t>
      </w:r>
      <w:r>
        <w:rPr>
          <w:spacing w:val="-3"/>
        </w:rPr>
        <w:t>通科技有限公司形成的商誉减值测试项目》，管理层认为公司本年无需对该资产组计提减值准备。</w:t>
      </w:r>
    </w:p>
    <w:p>
      <w:pPr>
        <w:pStyle w:val="BodyText"/>
        <w:spacing w:line="240" w:lineRule="auto" w:before="72"/>
        <w:ind w:left="513" w:right="0"/>
        <w:jc w:val="left"/>
      </w:pPr>
      <w:r>
        <w:rPr/>
        <w:t>资产组的可回收金额是采用未来现金流量折合现值计算。采用未来现金流量折现方法所运用的主要假设包括：</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4681"/>
        <w:gridCol w:w="4820"/>
      </w:tblGrid>
      <w:tr>
        <w:trPr>
          <w:trHeight w:val="350" w:hRule="exact"/>
        </w:trPr>
        <w:tc>
          <w:tcPr>
            <w:tcW w:w="4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营业收入增长率</w:t>
            </w:r>
          </w:p>
        </w:tc>
        <w:tc>
          <w:tcPr>
            <w:tcW w:w="4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4"/>
              <w:jc w:val="right"/>
              <w:rPr>
                <w:rFonts w:ascii="Times New Roman" w:hAnsi="Times New Roman" w:cs="Times New Roman" w:eastAsia="Times New Roman" w:hint="default"/>
                <w:sz w:val="18"/>
                <w:szCs w:val="18"/>
              </w:rPr>
            </w:pPr>
            <w:r>
              <w:rPr>
                <w:rFonts w:ascii="Times New Roman"/>
                <w:sz w:val="18"/>
              </w:rPr>
              <w:t>0.00%-2.00%</w:t>
            </w:r>
          </w:p>
        </w:tc>
      </w:tr>
      <w:tr>
        <w:trPr>
          <w:trHeight w:val="350" w:hRule="exact"/>
        </w:trPr>
        <w:tc>
          <w:tcPr>
            <w:tcW w:w="4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4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4"/>
              <w:jc w:val="right"/>
              <w:rPr>
                <w:rFonts w:ascii="Times New Roman" w:hAnsi="Times New Roman" w:cs="Times New Roman" w:eastAsia="Times New Roman" w:hint="default"/>
                <w:sz w:val="18"/>
                <w:szCs w:val="18"/>
              </w:rPr>
            </w:pPr>
            <w:r>
              <w:rPr>
                <w:rFonts w:ascii="Times New Roman"/>
                <w:sz w:val="18"/>
              </w:rPr>
              <w:t>87.42%</w:t>
            </w:r>
          </w:p>
        </w:tc>
      </w:tr>
      <w:tr>
        <w:trPr>
          <w:trHeight w:val="350" w:hRule="exact"/>
        </w:trPr>
        <w:tc>
          <w:tcPr>
            <w:tcW w:w="4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税前折现率</w:t>
            </w:r>
          </w:p>
        </w:tc>
        <w:tc>
          <w:tcPr>
            <w:tcW w:w="4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14.00%</w:t>
            </w:r>
          </w:p>
        </w:tc>
      </w:tr>
    </w:tbl>
    <w:p>
      <w:pPr>
        <w:pStyle w:val="BodyText"/>
        <w:spacing w:line="316" w:lineRule="auto" w:before="52"/>
        <w:ind w:right="1214" w:firstLine="360"/>
        <w:jc w:val="left"/>
      </w:pPr>
      <w:r>
        <w:rPr/>
        <w:t>管理层根据历史经验及对市场发展的预测确定毛利率，并采用能够反映相关资产组和资产组组合的特定风险的税前利 率为折现率；根据公司管理层批准的长期预算，预测期为</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w:t>
      </w:r>
    </w:p>
    <w:p>
      <w:pPr>
        <w:pStyle w:val="BodyText"/>
        <w:spacing w:line="360" w:lineRule="auto" w:before="37"/>
        <w:ind w:right="9134"/>
        <w:jc w:val="left"/>
      </w:pPr>
      <w:r>
        <w:rPr/>
        <w:t>商誉减值测试的影响 无</w:t>
      </w:r>
    </w:p>
    <w:p>
      <w:pPr>
        <w:pStyle w:val="BodyText"/>
        <w:spacing w:line="357" w:lineRule="auto" w:before="27"/>
        <w:ind w:right="10034"/>
        <w:jc w:val="left"/>
      </w:pPr>
      <w:r>
        <w:rPr/>
        <w:t>其他说明 无</w:t>
      </w:r>
    </w:p>
    <w:p>
      <w:pPr>
        <w:spacing w:line="240" w:lineRule="auto" w:before="5"/>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29</w:t>
      </w:r>
      <w:r>
        <w:rPr/>
        <w:t>、长期待摊费用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23,692,010.80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7,962,883.41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7,113,705.64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24,541,188.57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新大楼零星改造</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5,257,660.39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2,404,769.03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2,852,891.36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969,811.32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635,377.35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334,433.97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23,692,010.80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14,190,355.12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10,153,852.02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27,728,513.90</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2"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19,735,288.17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3,177,576.61</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信用减值准备</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25,270,302.58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4,042,042.55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113,012,255.00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21,796,403.61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260,386,390.49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40,249,720.06</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138,282,557.58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25,838,446.16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280,121,678.66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43,427,296.67</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48"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2"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25,838,446.16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43,427,296.67</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494,608,872.39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36,008,012.28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494,608,872.39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36,008,012.28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1"/>
        <w:rPr>
          <w:rFonts w:ascii="Microsoft JhengHei" w:hAnsi="Microsoft JhengHei" w:cs="Microsoft JhengHei" w:eastAsia="Microsoft JhengHei" w:hint="default"/>
          <w:b/>
          <w:bCs/>
          <w:sz w:val="18"/>
          <w:szCs w:val="18"/>
        </w:rPr>
      </w:pPr>
    </w:p>
    <w:p>
      <w:pPr>
        <w:pStyle w:val="Heading4"/>
        <w:spacing w:line="335" w:lineRule="exact"/>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2393"/>
        <w:gridCol w:w="2391"/>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4,741,404.88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10,972,321.79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2,766,972.99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32,440,006.77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28,499,634.41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451,196,543.83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494,608,872.39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36,008,012.28</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31</w:t>
      </w:r>
      <w:r>
        <w:rPr/>
        <w:t>、其他非流动资产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8"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132,204,846.19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110,029,000.00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预付设备及工程款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4,324,439.79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1,769,510.85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136,529,285.98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111,798,510.85</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32</w:t>
      </w:r>
      <w:r>
        <w:rPr/>
        <w:t>、短期借款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89,983,311.36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89,983,311.36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33</w:t>
      </w:r>
      <w:r>
        <w:rPr/>
        <w:t>、交易性金融负债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29,928,239.11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29,928,239.11</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92"/>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 期损益的金融负债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29,928,239.11</w:t>
            </w:r>
          </w:p>
        </w:tc>
      </w:tr>
    </w:tbl>
    <w:p>
      <w:pPr>
        <w:pStyle w:val="BodyText"/>
        <w:spacing w:line="316" w:lineRule="auto" w:before="10"/>
        <w:ind w:right="1214"/>
        <w:jc w:val="left"/>
      </w:pPr>
      <w:r>
        <w:rPr/>
        <w:t>注：交易性金融负债系公司按照与杰发科技原股东签署的《发行股份及支付现金购买资产暨利润补偿协议》计算并扣减业 绩承诺补偿后，应付杰发科技原股东的股权转让款，本期已全额支付。</w:t>
      </w: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34</w:t>
      </w:r>
      <w:r>
        <w:rPr/>
        <w:t>、衍生金融负债</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35</w:t>
      </w:r>
      <w:r>
        <w:rPr/>
        <w:t>、应付票据</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10,614,650.15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25,003,958.62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10,614,650.15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25,003,958.62</w:t>
            </w:r>
          </w:p>
        </w:tc>
      </w:tr>
    </w:tbl>
    <w:p>
      <w:pPr>
        <w:pStyle w:val="BodyText"/>
        <w:spacing w:line="240" w:lineRule="auto" w:before="49"/>
        <w:ind w:right="0"/>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36</w:t>
      </w:r>
      <w:r>
        <w:rPr/>
        <w:t>、应付账款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应付项目款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216,094,388.75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131,008,996.68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216,094,388.75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131,008,996.68</w:t>
            </w:r>
          </w:p>
        </w:tc>
      </w:tr>
    </w:tbl>
    <w:p>
      <w:pPr>
        <w:spacing w:line="240" w:lineRule="auto" w:before="6"/>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国测一大队新疆分院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河南北斗测绘工程有限公司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2,021,580.00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日本电装株式会社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1,862,506.00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南京佑驾科技有限公司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1,637,005.32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巴州天通石油技术服务有限公司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1,290,810.00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10,539,901.32</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37</w:t>
      </w:r>
      <w:r>
        <w:rPr/>
        <w:t>、预收款项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预收项目款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17,907,979.12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48,520,992.21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17,907,979.12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48,520,992.21</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年的重要预收款项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38</w:t>
      </w:r>
      <w:r>
        <w:rPr/>
        <w:t>、合同负债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39</w:t>
      </w:r>
      <w:r>
        <w:rPr/>
        <w:t>、应付职工薪酬</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313,138,901.35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1,049,472,231.98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1,079,663,053.59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282,948,079.74</w:t>
            </w:r>
          </w:p>
        </w:tc>
      </w:tr>
      <w:tr>
        <w:trPr>
          <w:trHeight w:val="71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4"/>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3,217,038.13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108,750,158.89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106,797,655.66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5,169,541.36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38,770.40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5,075,895.08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5,114,665.48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316,394,709.88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1,163,298,285.95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1,191,575,374.73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288,117,621.10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 和补贴</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249,556,392.13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869,122,117.26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911,220,128.07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207,458,381.32</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482,779.26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35,607,423.25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35,806,615.88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283,586.63</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469,251.06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58,932,713.44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58,786,810.91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615,153.59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422,189.37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50,842,611.34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50,702,242.87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562,557.84</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11,238.15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1,448,928.76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1,449,311.38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10,855.53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35,823.54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4,204,549.46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4,198,632.78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41,740.22</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补充医疗保险</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2,436,623.88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2,436,623.88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385,341.56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62,431,618.84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62,461,464.86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355,495.54</w:t>
            </w:r>
          </w:p>
        </w:tc>
      </w:tr>
      <w:tr>
        <w:trPr>
          <w:trHeight w:val="71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 育经费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62,245,137.34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23,378,359.19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11,388,033.87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74,235,462.66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313,138,901.35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1,049,472,231.98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1,079,663,053.59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282,948,079.74</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3,184,732.79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101,119,805.77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99,171,696.22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5,132,842.34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32,305.34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3,825,234.00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3,820,840.32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36,699.02</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3,805,119.12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3,805,119.12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3,217,038.13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108,750,158.89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106,797,655.66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5,169,541.36</w:t>
            </w:r>
          </w:p>
        </w:tc>
      </w:tr>
    </w:tbl>
    <w:p>
      <w:pPr>
        <w:spacing w:line="240" w:lineRule="auto" w:before="6"/>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40</w:t>
      </w:r>
      <w:r>
        <w:rPr/>
        <w:t>、应交税费</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18,107,170.93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5,307,049.51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17,917,857.75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107,748,971.43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3,538,978.12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2,419,267.41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1,187,102.33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393,524.31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508,404.78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160,495.32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334,096.77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101,376.55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529,922.72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389,470.39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42,123,533.40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116,520,154.92</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121,258.80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320,547.95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329,226,265.93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1,014,413,665.77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329,347,524.73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1,014,734,213.72</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7,636.13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320,547.95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113,622.67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划分为金融负债的优先股</w:t>
            </w:r>
            <w:r>
              <w:rPr>
                <w:rFonts w:ascii="Times New Roman" w:hAnsi="Times New Roman" w:cs="Times New Roman" w:eastAsia="Times New Roman" w:hint="default"/>
                <w:sz w:val="18"/>
                <w:szCs w:val="18"/>
              </w:rPr>
              <w:t>\</w:t>
            </w:r>
            <w:r>
              <w:rPr>
                <w:rFonts w:ascii="宋体" w:hAnsi="宋体" w:cs="宋体" w:eastAsia="宋体" w:hint="default"/>
                <w:sz w:val="18"/>
                <w:szCs w:val="18"/>
              </w:rPr>
              <w:t>永续债利息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121,258.80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320,547.95</w:t>
            </w:r>
          </w:p>
        </w:tc>
      </w:tr>
    </w:tbl>
    <w:p>
      <w:pPr>
        <w:pStyle w:val="BodyText"/>
        <w:spacing w:line="360" w:lineRule="auto" w:before="49"/>
        <w:ind w:right="8054"/>
        <w:jc w:val="left"/>
      </w:pPr>
      <w:r>
        <w:rPr/>
        <w:t>重要的已逾期未支付的利息情况： 无</w:t>
      </w:r>
    </w:p>
    <w:p>
      <w:pPr>
        <w:spacing w:line="240" w:lineRule="auto" w:before="3"/>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204,773,699.95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329,751,066.30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技术支持费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99,699,506.03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64,031,718.25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往来及代垫款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8,814,926.19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45,954,843.92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应付投资及股权转让款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5,716,099.40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7,216,648.30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3,568,319.48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60,699,493.06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2,015,408.59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898,246.78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应付土地款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2,918,306.29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5,861,649.16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329,226,265.93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1,014,413,665.77</w:t>
            </w:r>
          </w:p>
        </w:tc>
      </w:tr>
    </w:tbl>
    <w:p>
      <w:pPr>
        <w:spacing w:line="240" w:lineRule="auto" w:before="6"/>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年的重要其他应付款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185,889,859.95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黑龙江省地理信息产业园有限公司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2,250,194.80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根据投资协议，未到付款期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北京光启达科技发展有限公司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根据投资协议，未到付款期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189,921,054.75</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5922"/>
        <w:jc w:val="left"/>
        <w:rPr>
          <w:rFonts w:ascii="宋体" w:hAnsi="宋体" w:cs="宋体" w:eastAsia="宋体" w:hint="default"/>
        </w:rPr>
      </w:pPr>
      <w:r>
        <w:rPr/>
        <w:t>其他说明 注</w:t>
      </w:r>
      <w:r>
        <w:rPr>
          <w:rFonts w:ascii="宋体" w:hAnsi="宋体" w:cs="宋体" w:eastAsia="宋体" w:hint="default"/>
        </w:rPr>
        <w:t>1</w:t>
      </w:r>
      <w:r>
        <w:rPr/>
        <w:t>：限制性股票回购义务详见本附注</w:t>
      </w:r>
      <w:r>
        <w:rPr>
          <w:rFonts w:ascii="Times New Roman" w:hAnsi="Times New Roman" w:cs="Times New Roman" w:eastAsia="Times New Roman" w:hint="default"/>
        </w:rPr>
        <w:t>“</w:t>
      </w:r>
      <w:r>
        <w:rPr/>
        <w:t>七、</w:t>
      </w:r>
      <w:r>
        <w:rPr>
          <w:rFonts w:ascii="Times New Roman" w:hAnsi="Times New Roman" w:cs="Times New Roman" w:eastAsia="Times New Roman" w:hint="default"/>
        </w:rPr>
        <w:t>56</w:t>
      </w:r>
      <w:r>
        <w:rPr/>
        <w:t>库存股</w:t>
      </w:r>
      <w:r>
        <w:rPr>
          <w:rFonts w:ascii="Times New Roman" w:hAnsi="Times New Roman" w:cs="Times New Roman" w:eastAsia="Times New Roman" w:hint="default"/>
        </w:rPr>
        <w:t>”</w:t>
      </w:r>
      <w:r>
        <w:rPr/>
        <w:t>所述。</w:t>
      </w:r>
      <w:r>
        <w:rPr>
          <w:rFonts w:ascii="宋体" w:hAnsi="宋体" w:cs="宋体" w:eastAsia="宋体" w:hint="default"/>
        </w:rPr>
        <w:t> </w:t>
      </w:r>
    </w:p>
    <w:p>
      <w:pPr>
        <w:pStyle w:val="BodyText"/>
        <w:spacing w:line="199" w:lineRule="exact"/>
        <w:ind w:right="0"/>
        <w:jc w:val="left"/>
      </w:pPr>
      <w:r>
        <w:rPr/>
        <w:t>注</w:t>
      </w:r>
      <w:r>
        <w:rPr>
          <w:rFonts w:ascii="宋体" w:hAnsi="宋体" w:cs="宋体" w:eastAsia="宋体" w:hint="default"/>
        </w:rPr>
        <w:t>2</w:t>
      </w:r>
      <w:r>
        <w:rPr/>
        <w:t>：其他应付款</w:t>
      </w:r>
      <w:r>
        <w:rPr>
          <w:rFonts w:ascii="宋体" w:hAnsi="宋体" w:cs="宋体" w:eastAsia="宋体" w:hint="default"/>
        </w:rPr>
        <w:t>-</w:t>
      </w:r>
      <w:r>
        <w:rPr/>
        <w:t>应付土地款系本公司根据与北京市规划和自然资源委员会签订的《国有建设用地使用权出让合同》中所</w:t>
      </w:r>
    </w:p>
    <w:p>
      <w:pPr>
        <w:pStyle w:val="BodyText"/>
        <w:spacing w:line="240" w:lineRule="auto" w:before="76"/>
        <w:ind w:right="0"/>
        <w:jc w:val="left"/>
        <w:rPr>
          <w:rFonts w:ascii="宋体" w:hAnsi="宋体" w:cs="宋体" w:eastAsia="宋体" w:hint="default"/>
        </w:rPr>
      </w:pPr>
      <w:r>
        <w:rPr/>
        <w:t>列之</w:t>
      </w:r>
      <w:r>
        <w:rPr>
          <w:rFonts w:ascii="宋体" w:hAnsi="宋体" w:cs="宋体" w:eastAsia="宋体" w:hint="default"/>
        </w:rPr>
        <w:t>6.66</w:t>
      </w:r>
      <w:r>
        <w:rPr/>
        <w:t>亿元土地出让价款并考虑相关税款，截至本报告期末，已全部支付完成。</w:t>
      </w:r>
      <w:r>
        <w:rPr>
          <w:rFonts w:ascii="宋体" w:hAnsi="宋体" w:cs="宋体" w:eastAsia="宋体" w:hint="default"/>
        </w:rPr>
        <w:t> </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42</w:t>
      </w:r>
      <w:r>
        <w:rPr/>
        <w:t>、持有待售负债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8"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51,154,305.71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44,244,502.80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51,154,305.71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44,244,502.80</w:t>
            </w:r>
          </w:p>
        </w:tc>
      </w:tr>
    </w:tbl>
    <w:p>
      <w:pPr>
        <w:pStyle w:val="BodyText"/>
        <w:spacing w:line="360" w:lineRule="auto" w:before="49"/>
        <w:ind w:right="8594"/>
        <w:jc w:val="left"/>
        <w:rPr>
          <w:rFonts w:ascii="宋体" w:hAnsi="宋体" w:cs="宋体" w:eastAsia="宋体" w:hint="default"/>
        </w:rPr>
      </w:pPr>
      <w:r>
        <w:rPr/>
        <w:t>短期应付债券的增减变动： 无</w:t>
      </w:r>
      <w:r>
        <w:rPr>
          <w:rFonts w:ascii="宋体" w:hAnsi="宋体" w:cs="宋体" w:eastAsia="宋体" w:hint="default"/>
        </w:rPr>
        <w:t> </w:t>
      </w:r>
    </w:p>
    <w:p>
      <w:pPr>
        <w:pStyle w:val="BodyText"/>
        <w:spacing w:line="22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15"/>
        <w:ind w:left="513" w:right="0"/>
        <w:jc w:val="left"/>
      </w:pPr>
      <w:r>
        <w:rPr/>
        <w:t>注：其他系公司已根据服务协议条款开出发票，根据收入确认原则，应当根据服务期限按期递延确认的收入。</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公司债券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1,191,100.00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196"/>
        <w:gridCol w:w="1090"/>
        <w:gridCol w:w="553"/>
        <w:gridCol w:w="588"/>
        <w:gridCol w:w="1090"/>
        <w:gridCol w:w="1092"/>
        <w:gridCol w:w="420"/>
        <w:gridCol w:w="1039"/>
        <w:gridCol w:w="442"/>
        <w:gridCol w:w="1093"/>
        <w:gridCol w:w="1001"/>
      </w:tblGrid>
      <w:tr>
        <w:trPr>
          <w:trHeight w:val="102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1" w:right="89"/>
              <w:jc w:val="left"/>
              <w:rPr>
                <w:rFonts w:ascii="宋体" w:hAnsi="宋体" w:cs="宋体" w:eastAsia="宋体" w:hint="default"/>
                <w:sz w:val="18"/>
                <w:szCs w:val="18"/>
              </w:rPr>
            </w:pPr>
            <w:r>
              <w:rPr>
                <w:rFonts w:ascii="宋体" w:hAnsi="宋体" w:cs="宋体" w:eastAsia="宋体" w:hint="default"/>
                <w:sz w:val="18"/>
                <w:szCs w:val="18"/>
              </w:rPr>
              <w:t>发行 日期</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8" w:right="108"/>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发行金额</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3"/>
              <w:jc w:val="left"/>
              <w:rPr>
                <w:rFonts w:ascii="宋体" w:hAnsi="宋体" w:cs="宋体" w:eastAsia="宋体" w:hint="default"/>
                <w:sz w:val="18"/>
                <w:szCs w:val="18"/>
              </w:rPr>
            </w:pPr>
            <w:r>
              <w:rPr>
                <w:rFonts w:ascii="宋体" w:hAnsi="宋体" w:cs="宋体" w:eastAsia="宋体" w:hint="default"/>
                <w:sz w:val="18"/>
                <w:szCs w:val="18"/>
              </w:rPr>
              <w:t>本期 发行</w:t>
            </w:r>
          </w:p>
        </w:tc>
        <w:tc>
          <w:tcPr>
            <w:tcW w:w="1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6" w:right="62" w:hanging="272"/>
              <w:jc w:val="left"/>
              <w:rPr>
                <w:rFonts w:ascii="宋体" w:hAnsi="宋体" w:cs="宋体" w:eastAsia="宋体" w:hint="default"/>
                <w:sz w:val="18"/>
                <w:szCs w:val="18"/>
              </w:rPr>
            </w:pPr>
            <w:r>
              <w:rPr>
                <w:rFonts w:ascii="宋体" w:hAnsi="宋体" w:cs="宋体" w:eastAsia="宋体" w:hint="default"/>
                <w:sz w:val="18"/>
                <w:szCs w:val="18"/>
              </w:rPr>
              <w:t>按面值计提 利息</w:t>
            </w:r>
          </w:p>
        </w:tc>
        <w:tc>
          <w:tcPr>
            <w:tcW w:w="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both"/>
              <w:rPr>
                <w:rFonts w:ascii="宋体" w:hAnsi="宋体" w:cs="宋体" w:eastAsia="宋体" w:hint="default"/>
                <w:sz w:val="18"/>
                <w:szCs w:val="18"/>
              </w:rPr>
            </w:pPr>
            <w:r>
              <w:rPr>
                <w:rFonts w:ascii="宋体" w:hAnsi="宋体" w:cs="宋体" w:eastAsia="宋体" w:hint="default"/>
                <w:sz w:val="18"/>
                <w:szCs w:val="18"/>
              </w:rPr>
              <w:t>溢折 价摊 销</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本期偿还</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27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北京四维图新 科技股份有限 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面向合格投资 者公开发行公 司债券（第一 期）</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50,000,000.00</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50,000,000.00</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2,687,088.18</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48,808,900.00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1,191,100.00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50,000,000.00</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2,687,088.18</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48,808,900.00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1,191,100.00</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6254"/>
        <w:jc w:val="left"/>
      </w:pPr>
      <w:r>
        <w:rPr/>
        <w:t>期末发行在外的优先股、永续债等其他金融工具基本情况 无</w:t>
      </w:r>
    </w:p>
    <w:p>
      <w:pPr>
        <w:spacing w:after="0" w:line="357" w:lineRule="auto"/>
        <w:jc w:val="left"/>
        <w:sectPr>
          <w:pgSz w:w="11910" w:h="16840"/>
          <w:pgMar w:header="748" w:footer="979" w:top="1060" w:bottom="1160" w:left="980" w:right="0"/>
        </w:sectPr>
      </w:pPr>
    </w:p>
    <w:p>
      <w:pPr>
        <w:spacing w:line="240" w:lineRule="auto" w:before="7"/>
        <w:rPr>
          <w:rFonts w:ascii="宋体" w:hAnsi="宋体" w:cs="宋体" w:eastAsia="宋体" w:hint="default"/>
          <w:sz w:val="25"/>
          <w:szCs w:val="25"/>
        </w:rPr>
      </w:pPr>
    </w:p>
    <w:p>
      <w:pPr>
        <w:pStyle w:val="BodyText"/>
        <w:spacing w:line="362" w:lineRule="auto" w:before="44"/>
        <w:ind w:right="6434"/>
        <w:jc w:val="left"/>
      </w:pPr>
      <w:r>
        <w:rPr/>
        <w:t>期末发行在外的优先股、永续债等金融工具变动情况表 无</w:t>
      </w:r>
    </w:p>
    <w:p>
      <w:pPr>
        <w:spacing w:line="240" w:lineRule="auto" w:before="1"/>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47</w:t>
      </w:r>
      <w:r>
        <w:rPr/>
        <w:t>、租赁负债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48</w:t>
      </w:r>
      <w:r>
        <w:rPr/>
        <w:t>、长期应付款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49</w:t>
      </w:r>
      <w:r>
        <w:rPr/>
        <w:t>、长期应付职工薪酬</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是否已执行新收入准则</w:t>
      </w:r>
    </w:p>
    <w:p>
      <w:pPr>
        <w:pStyle w:val="BodyText"/>
        <w:spacing w:line="340" w:lineRule="auto" w:before="115"/>
        <w:ind w:right="98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无</w:t>
      </w:r>
    </w:p>
    <w:p>
      <w:pPr>
        <w:spacing w:line="240" w:lineRule="auto" w:before="4"/>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35,970,463.17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7,932,747.17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26,179,801.86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17,723,408.48</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35,970,463.17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7,932,747.17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26,179,801.86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17,723,408.48</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011"/>
        <w:gridCol w:w="1250"/>
        <w:gridCol w:w="1011"/>
        <w:gridCol w:w="1010"/>
        <w:gridCol w:w="1008"/>
        <w:gridCol w:w="1011"/>
        <w:gridCol w:w="1010"/>
        <w:gridCol w:w="1249"/>
        <w:gridCol w:w="1010"/>
      </w:tblGrid>
      <w:tr>
        <w:trPr>
          <w:trHeight w:val="1027" w:hRule="exact"/>
        </w:trPr>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与收益相关</w:t>
            </w:r>
          </w:p>
        </w:tc>
      </w:tr>
      <w:tr>
        <w:trPr>
          <w:trHeight w:val="1649"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75"/>
              <w:jc w:val="both"/>
              <w:rPr>
                <w:rFonts w:ascii="宋体" w:hAnsi="宋体" w:cs="宋体" w:eastAsia="宋体" w:hint="default"/>
                <w:sz w:val="18"/>
                <w:szCs w:val="18"/>
              </w:rPr>
            </w:pPr>
            <w:r>
              <w:rPr>
                <w:rFonts w:ascii="宋体" w:hAnsi="宋体" w:cs="宋体" w:eastAsia="宋体" w:hint="default"/>
                <w:sz w:val="18"/>
                <w:szCs w:val="18"/>
              </w:rPr>
              <w:t>高新区经贸 局一事一议 政策兑现</w:t>
            </w:r>
          </w:p>
          <w:p>
            <w:pPr>
              <w:pStyle w:val="TableParagraph"/>
              <w:spacing w:line="316" w:lineRule="auto" w:before="19"/>
              <w:ind w:left="24" w:right="255"/>
              <w:jc w:val="left"/>
              <w:rPr>
                <w:rFonts w:ascii="宋体" w:hAnsi="宋体" w:cs="宋体" w:eastAsia="宋体" w:hint="default"/>
                <w:sz w:val="18"/>
                <w:szCs w:val="18"/>
              </w:rPr>
            </w:pPr>
            <w:r>
              <w:rPr>
                <w:rFonts w:ascii="宋体" w:hAnsi="宋体" w:cs="宋体" w:eastAsia="宋体" w:hint="default"/>
                <w:sz w:val="18"/>
                <w:szCs w:val="18"/>
              </w:rPr>
              <w:t>（智能驾 驶）</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广域实时精 密定位技术 与示范系统 项目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1,703,544.16</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1,703,544.16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011"/>
        <w:gridCol w:w="1250"/>
        <w:gridCol w:w="1011"/>
        <w:gridCol w:w="1010"/>
        <w:gridCol w:w="1008"/>
        <w:gridCol w:w="1011"/>
        <w:gridCol w:w="1010"/>
        <w:gridCol w:w="1249"/>
        <w:gridCol w:w="1010"/>
      </w:tblGrid>
      <w:tr>
        <w:trPr>
          <w:trHeight w:val="1337"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合肥市科技 局关键技术 重大研发类 项目资金</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北京市科学 技术委员会</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警用设备可 视化管理系 统</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166,216.19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463,783.81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z w:val="18"/>
                <w:szCs w:val="18"/>
              </w:rPr>
              <w:t>交通信息网 动态交通信 息系统信息 安全建设项 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杨浦区科技 小巨人项目 专项补助</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4"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z w:val="18"/>
                <w:szCs w:val="18"/>
              </w:rPr>
              <w:t>基于一致性 超级感知容 器的自动驾 驶汽车传感 数据智能全 息融合</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217,000.00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杨浦区科学 技术委员会</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z w:val="18"/>
                <w:szCs w:val="18"/>
              </w:rPr>
              <w:t>室内高精度 测图与实时 </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技术</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621,257.67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396,000.00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883,967.43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133,290.24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陕西省技术 创新项目引 导基金</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6"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75"/>
              <w:jc w:val="left"/>
              <w:rPr>
                <w:rFonts w:ascii="宋体" w:hAnsi="宋体" w:cs="宋体" w:eastAsia="宋体" w:hint="default"/>
                <w:sz w:val="18"/>
                <w:szCs w:val="18"/>
              </w:rPr>
            </w:pPr>
            <w:r>
              <w:rPr>
                <w:rFonts w:ascii="宋体" w:hAnsi="宋体" w:cs="宋体" w:eastAsia="宋体" w:hint="default"/>
                <w:sz w:val="18"/>
                <w:szCs w:val="18"/>
              </w:rPr>
              <w:t>城市道路标 准制修订</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35,339.62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23,595.07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90,744.55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20192189-T-</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469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56,603.77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56,603.77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20192188-T-</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469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56,603.78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56,603.78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011"/>
        <w:gridCol w:w="1250"/>
        <w:gridCol w:w="1011"/>
        <w:gridCol w:w="1010"/>
        <w:gridCol w:w="1008"/>
        <w:gridCol w:w="1011"/>
        <w:gridCol w:w="1010"/>
        <w:gridCol w:w="1249"/>
        <w:gridCol w:w="1010"/>
      </w:tblGrid>
      <w:tr>
        <w:trPr>
          <w:trHeight w:val="1649"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兰州市城关 区科学技术 局人才创新 创业项目基 金</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42,080.17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10,242.00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31,838.17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8"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车联网 芯片及方案 项目使用集 成电路产业 集聚发展基 地</w:t>
            </w:r>
            <w:r>
              <w:rPr>
                <w:rFonts w:ascii="Times New Roman" w:hAnsi="Times New Roman" w:cs="Times New Roman" w:eastAsia="Times New Roman" w:hint="default"/>
                <w:sz w:val="18"/>
                <w:szCs w:val="18"/>
              </w:rPr>
              <w:t>"</w:t>
            </w:r>
            <w:r>
              <w:rPr>
                <w:rFonts w:ascii="宋体" w:hAnsi="宋体" w:cs="宋体" w:eastAsia="宋体" w:hint="default"/>
                <w:sz w:val="18"/>
                <w:szCs w:val="18"/>
              </w:rPr>
              <w:t>借转补</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专项财政扶 持</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11,700,000.00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1"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可追溯商用 车高效物流 服务平台北 京市工程实 验室创新能 力建设项目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2,443,833.33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2,443,833.33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4"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z w:val="18"/>
                <w:szCs w:val="18"/>
              </w:rPr>
              <w:t>新一代公众 出行大数据 支撑平台关 键技术研究 及应用示范 项目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小巨人</w:t>
            </w:r>
            <w:r>
              <w:rPr>
                <w:rFonts w:ascii="Times New Roman" w:hAnsi="Times New Roman" w:cs="Times New Roman" w:eastAsia="Times New Roman" w:hint="default"/>
                <w:sz w:val="18"/>
                <w:szCs w:val="18"/>
              </w:rPr>
              <w:t>"</w:t>
            </w:r>
            <w:r>
              <w:rPr>
                <w:rFonts w:ascii="宋体" w:hAnsi="宋体" w:cs="宋体" w:eastAsia="宋体" w:hint="default"/>
                <w:sz w:val="18"/>
                <w:szCs w:val="18"/>
              </w:rPr>
              <w:t>项 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IPv6 </w:t>
            </w:r>
            <w:r>
              <w:rPr>
                <w:rFonts w:ascii="宋体" w:hAnsi="宋体" w:cs="宋体" w:eastAsia="宋体" w:hint="default"/>
                <w:sz w:val="18"/>
                <w:szCs w:val="18"/>
              </w:rPr>
              <w:t>的北斗位置 服务开放平 台项目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952,830.16</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952,830.16</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星基相位增 强系统关键 技术与示范 项目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z w:val="18"/>
                <w:szCs w:val="18"/>
              </w:rPr>
              <w:t>自动驾驶电 动汽车的多 车通信技术 研究及开发</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394,800.00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137,200.00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532,000.00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011"/>
        <w:gridCol w:w="1250"/>
        <w:gridCol w:w="1011"/>
        <w:gridCol w:w="1010"/>
        <w:gridCol w:w="1008"/>
        <w:gridCol w:w="1011"/>
        <w:gridCol w:w="1010"/>
        <w:gridCol w:w="1249"/>
        <w:gridCol w:w="1010"/>
      </w:tblGrid>
      <w:tr>
        <w:trPr>
          <w:trHeight w:val="1337"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湖南省移动 互联网产业 发展专项资 金项目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z w:val="18"/>
                <w:szCs w:val="18"/>
              </w:rPr>
              <w:t>基于北斗的 高精度位置 信息数据服 务平台</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288,495.27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288,495.27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3"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基于安全可 控移动智能 终端操作系 统的地图及 位置服务应 用研发及产 业化</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167,303.32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167,303.32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z w:val="18"/>
                <w:szCs w:val="18"/>
              </w:rPr>
              <w:t>停车导航系 统研究与应 用示范</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73,968.25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73,968.25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1"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基于互联网 迭加协议的 全息位置地 图汇集融合 技术项目</w:t>
            </w:r>
          </w:p>
          <w:p>
            <w:pPr>
              <w:pStyle w:val="TableParagraph"/>
              <w:spacing w:line="240" w:lineRule="auto" w:before="59"/>
              <w:ind w:left="24" w:right="0"/>
              <w:jc w:val="both"/>
              <w:rPr>
                <w:rFonts w:ascii="Times New Roman" w:hAnsi="Times New Roman" w:cs="Times New Roman" w:eastAsia="Times New Roman" w:hint="default"/>
                <w:sz w:val="18"/>
                <w:szCs w:val="18"/>
              </w:rPr>
            </w:pPr>
            <w:r>
              <w:rPr>
                <w:rFonts w:ascii="Times New Roman"/>
                <w:sz w:val="18"/>
              </w:rPr>
              <w:t>(863)</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73,350.84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73,350.84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1"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z w:val="18"/>
                <w:szCs w:val="18"/>
              </w:rPr>
              <w:t>基于北斗的 前装车载信 息服务平台 研发与终端 研制</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西安科技局 研发投入奖 补</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684,000.00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z w:val="18"/>
                <w:szCs w:val="18"/>
              </w:rPr>
              <w:t>西安市工程 技术研发中 心奖补</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1"/>
        <w:rPr>
          <w:rFonts w:ascii="Times New Roman" w:hAnsi="Times New Roman" w:cs="Times New Roman" w:eastAsia="Times New Roman" w:hint="default"/>
          <w:sz w:val="22"/>
          <w:szCs w:val="22"/>
        </w:rPr>
      </w:pPr>
    </w:p>
    <w:p>
      <w:pPr>
        <w:pStyle w:val="Heading4"/>
        <w:spacing w:line="335" w:lineRule="exact"/>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是否已执行新收入准则</w:t>
      </w:r>
    </w:p>
    <w:p>
      <w:pPr>
        <w:pStyle w:val="BodyText"/>
        <w:spacing w:line="340" w:lineRule="auto" w:before="115"/>
        <w:ind w:right="98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无</w:t>
      </w:r>
    </w:p>
    <w:p>
      <w:pPr>
        <w:spacing w:after="0" w:line="3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196"/>
        <w:gridCol w:w="1195"/>
        <w:gridCol w:w="1198"/>
        <w:gridCol w:w="1195"/>
        <w:gridCol w:w="1196"/>
        <w:gridCol w:w="1198"/>
        <w:gridCol w:w="1196"/>
        <w:gridCol w:w="1195"/>
      </w:tblGrid>
      <w:tr>
        <w:trPr>
          <w:trHeight w:val="40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1,309,470,982.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1,475,300.00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654,155,230.00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-3,538,342.00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652,092,188.00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1,961,563,170.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319" w:lineRule="auto" w:before="10"/>
        <w:ind w:right="1112" w:firstLine="360"/>
        <w:jc w:val="both"/>
      </w:pPr>
      <w:r>
        <w:rPr>
          <w:spacing w:val="-2"/>
        </w:rPr>
        <w:t>注</w:t>
      </w:r>
      <w:r>
        <w:rPr>
          <w:rFonts w:ascii="宋体" w:hAnsi="宋体" w:cs="宋体" w:eastAsia="宋体" w:hint="default"/>
          <w:spacing w:val="-2"/>
        </w:rPr>
        <w:t>1</w:t>
      </w:r>
      <w:r>
        <w:rPr>
          <w:spacing w:val="-2"/>
        </w:rPr>
        <w:t>：经公司</w:t>
      </w:r>
      <w:r>
        <w:rPr>
          <w:rFonts w:ascii="宋体" w:hAnsi="宋体" w:cs="宋体" w:eastAsia="宋体" w:hint="default"/>
          <w:spacing w:val="-2"/>
        </w:rPr>
        <w:t>2018</w:t>
      </w:r>
      <w:r>
        <w:rPr>
          <w:spacing w:val="-2"/>
        </w:rPr>
        <w:t>年第一次临时股东大会审议通过的《关于</w:t>
      </w:r>
      <w:r>
        <w:rPr>
          <w:rFonts w:ascii="宋体" w:hAnsi="宋体" w:cs="宋体" w:eastAsia="宋体" w:hint="default"/>
          <w:spacing w:val="-2"/>
        </w:rPr>
        <w:t>&lt;</w:t>
      </w:r>
      <w:r>
        <w:rPr>
          <w:spacing w:val="-2"/>
        </w:rPr>
        <w:t>北京四维图新科技股份有限公司</w:t>
      </w:r>
      <w:r>
        <w:rPr>
          <w:rFonts w:ascii="宋体" w:hAnsi="宋体" w:cs="宋体" w:eastAsia="宋体" w:hint="default"/>
          <w:spacing w:val="-2"/>
        </w:rPr>
        <w:t>2018</w:t>
      </w:r>
      <w:r>
        <w:rPr>
          <w:spacing w:val="-2"/>
        </w:rPr>
        <w:t>年度限制性股票激励计</w:t>
      </w:r>
      <w:r>
        <w:rPr/>
        <w:t> 划（草案修订稿）励计划（草案修订稿）</w:t>
      </w:r>
      <w:r>
        <w:rPr>
          <w:rFonts w:ascii="宋体" w:hAnsi="宋体" w:cs="宋体" w:eastAsia="宋体" w:hint="default"/>
        </w:rPr>
        <w:t>&gt;</w:t>
      </w:r>
      <w:r>
        <w:rPr/>
        <w:t>及其摘要的议案》、第四届董事会十六次审通过《关于向激励对象授予预留限制</w:t>
      </w:r>
      <w:r>
        <w:rPr>
          <w:spacing w:val="-83"/>
        </w:rPr>
        <w:t> </w:t>
      </w:r>
      <w:r>
        <w:rPr>
          <w:spacing w:val="-83"/>
        </w:rPr>
      </w:r>
      <w:r>
        <w:rPr/>
        <w:t>性股票及其摘要的议案》，公司以</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24</w:t>
      </w:r>
      <w:r>
        <w:rPr/>
        <w:t>日为授予日，按</w:t>
      </w:r>
      <w:r>
        <w:rPr>
          <w:rFonts w:ascii="宋体" w:hAnsi="宋体" w:cs="宋体" w:eastAsia="宋体" w:hint="default"/>
        </w:rPr>
        <w:t>12.80</w:t>
      </w:r>
      <w:r>
        <w:rPr/>
        <w:t>元</w:t>
      </w:r>
      <w:r>
        <w:rPr>
          <w:rFonts w:ascii="宋体" w:hAnsi="宋体" w:cs="宋体" w:eastAsia="宋体" w:hint="default"/>
        </w:rPr>
        <w:t>/</w:t>
      </w:r>
      <w:r>
        <w:rPr/>
        <w:t>股授予价格，拟向</w:t>
      </w:r>
      <w:r>
        <w:rPr>
          <w:rFonts w:ascii="宋体" w:hAnsi="宋体" w:cs="宋体" w:eastAsia="宋体" w:hint="default"/>
        </w:rPr>
        <w:t>61</w:t>
      </w:r>
      <w:r>
        <w:rPr/>
        <w:t>名激励对象授予</w:t>
      </w:r>
      <w:r>
        <w:rPr>
          <w:rFonts w:ascii="宋体" w:hAnsi="宋体" w:cs="宋体" w:eastAsia="宋体" w:hint="default"/>
        </w:rPr>
        <w:t>155.00</w:t>
      </w:r>
      <w:r>
        <w:rPr/>
        <w:t>万股限 </w:t>
      </w:r>
      <w:r>
        <w:rPr>
          <w:spacing w:val="-3"/>
        </w:rPr>
        <w:t>制性票。截至</w:t>
      </w:r>
      <w:r>
        <w:rPr>
          <w:rFonts w:ascii="宋体" w:hAnsi="宋体" w:cs="宋体" w:eastAsia="宋体" w:hint="default"/>
          <w:spacing w:val="-3"/>
        </w:rPr>
        <w:t>2019</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26</w:t>
      </w:r>
      <w:r>
        <w:rPr>
          <w:spacing w:val="-3"/>
        </w:rPr>
        <w:t>日止，公司已收到</w:t>
      </w:r>
      <w:r>
        <w:rPr>
          <w:rFonts w:ascii="宋体" w:hAnsi="宋体" w:cs="宋体" w:eastAsia="宋体" w:hint="default"/>
          <w:spacing w:val="-3"/>
        </w:rPr>
        <w:t>56</w:t>
      </w:r>
      <w:r>
        <w:rPr>
          <w:spacing w:val="-3"/>
        </w:rPr>
        <w:t>名激励对象缴付的</w:t>
      </w:r>
      <w:r>
        <w:rPr>
          <w:rFonts w:ascii="宋体" w:hAnsi="宋体" w:cs="宋体" w:eastAsia="宋体" w:hint="default"/>
          <w:spacing w:val="-3"/>
        </w:rPr>
        <w:t>1,475,300</w:t>
      </w:r>
      <w:r>
        <w:rPr>
          <w:spacing w:val="-3"/>
        </w:rPr>
        <w:t>股限制性票的出资款人民币</w:t>
      </w:r>
      <w:r>
        <w:rPr>
          <w:rFonts w:ascii="宋体" w:hAnsi="宋体" w:cs="宋体" w:eastAsia="宋体" w:hint="default"/>
          <w:spacing w:val="-3"/>
        </w:rPr>
        <w:t>18,883,840.00</w:t>
      </w:r>
      <w:r>
        <w:rPr>
          <w:spacing w:val="-3"/>
        </w:rPr>
        <w:t>元（其</w:t>
      </w:r>
      <w:r>
        <w:rPr>
          <w:spacing w:val="-64"/>
        </w:rPr>
        <w:t> </w:t>
      </w:r>
      <w:r>
        <w:rPr>
          <w:spacing w:val="-64"/>
        </w:rPr>
      </w:r>
      <w:r>
        <w:rPr>
          <w:spacing w:val="-2"/>
        </w:rPr>
        <w:t>中有</w:t>
      </w:r>
      <w:r>
        <w:rPr>
          <w:rFonts w:ascii="宋体" w:hAnsi="宋体" w:cs="宋体" w:eastAsia="宋体" w:hint="default"/>
          <w:spacing w:val="-2"/>
        </w:rPr>
        <w:t>6</w:t>
      </w:r>
      <w:r>
        <w:rPr>
          <w:spacing w:val="-2"/>
        </w:rPr>
        <w:t>名激励对象为部分认购），均以货币出资，其余</w:t>
      </w:r>
      <w:r>
        <w:rPr>
          <w:rFonts w:ascii="宋体" w:hAnsi="宋体" w:cs="宋体" w:eastAsia="宋体" w:hint="default"/>
          <w:spacing w:val="-2"/>
        </w:rPr>
        <w:t>5</w:t>
      </w:r>
      <w:r>
        <w:rPr>
          <w:spacing w:val="-2"/>
        </w:rPr>
        <w:t>名激励对象放弃本次限制性股权激励资格。本次实际增加股本人民币</w:t>
      </w:r>
      <w:r>
        <w:rPr>
          <w:spacing w:val="-65"/>
        </w:rPr>
        <w:t> </w:t>
      </w:r>
      <w:r>
        <w:rPr>
          <w:spacing w:val="-65"/>
        </w:rPr>
      </w:r>
      <w:r>
        <w:rPr>
          <w:rFonts w:ascii="宋体" w:hAnsi="宋体" w:cs="宋体" w:eastAsia="宋体" w:hint="default"/>
        </w:rPr>
        <w:t>1,475,300.00</w:t>
      </w:r>
      <w:r>
        <w:rPr>
          <w:rFonts w:ascii="宋体" w:hAnsi="宋体" w:cs="宋体" w:eastAsia="宋体" w:hint="default"/>
          <w:spacing w:val="-65"/>
        </w:rPr>
        <w:t> </w:t>
      </w:r>
      <w:r>
        <w:rPr>
          <w:spacing w:val="4"/>
        </w:rPr>
        <w:t>元，其余</w:t>
      </w:r>
      <w:r>
        <w:rPr>
          <w:rFonts w:ascii="宋体" w:hAnsi="宋体" w:cs="宋体" w:eastAsia="宋体" w:hint="default"/>
          <w:spacing w:val="4"/>
        </w:rPr>
        <w:t>17,408,540.00</w:t>
      </w:r>
      <w:r>
        <w:rPr>
          <w:rFonts w:ascii="宋体" w:hAnsi="宋体" w:cs="宋体" w:eastAsia="宋体" w:hint="default"/>
          <w:spacing w:val="-67"/>
        </w:rPr>
        <w:t> </w:t>
      </w:r>
      <w:r>
        <w:rPr>
          <w:spacing w:val="18"/>
        </w:rPr>
        <w:t>元作为资本公积（股本溢价），变更后的元作为股本溢价，变更后的股本为</w:t>
      </w:r>
      <w:r>
        <w:rPr>
          <w:spacing w:val="-71"/>
        </w:rPr>
        <w:t> </w:t>
      </w:r>
      <w:r>
        <w:rPr/>
      </w:r>
    </w:p>
    <w:p>
      <w:pPr>
        <w:pStyle w:val="BodyText"/>
        <w:spacing w:line="316" w:lineRule="auto" w:before="17"/>
        <w:ind w:right="1124"/>
        <w:jc w:val="left"/>
        <w:rPr>
          <w:rFonts w:ascii="宋体" w:hAnsi="宋体" w:cs="宋体" w:eastAsia="宋体" w:hint="default"/>
        </w:rPr>
      </w:pPr>
      <w:r>
        <w:rPr>
          <w:rFonts w:ascii="宋体" w:hAnsi="宋体" w:cs="宋体" w:eastAsia="宋体" w:hint="default"/>
        </w:rPr>
        <w:t>1,310,946,282.00</w:t>
      </w:r>
      <w:r>
        <w:rPr/>
        <w:t>元。此次变更业经信永中和会计师事务所（特殊普通合伙）出具“</w:t>
      </w:r>
      <w:r>
        <w:rPr>
          <w:rFonts w:ascii="宋体" w:hAnsi="宋体" w:cs="宋体" w:eastAsia="宋体" w:hint="default"/>
        </w:rPr>
        <w:t>XYZH/2019BJA70246</w:t>
      </w:r>
      <w:r>
        <w:rPr/>
        <w:t>”号《验资报告》 予以审验。</w:t>
      </w:r>
      <w:r>
        <w:rPr>
          <w:rFonts w:ascii="宋体" w:hAnsi="宋体" w:cs="宋体" w:eastAsia="宋体" w:hint="default"/>
        </w:rPr>
        <w:t> </w:t>
      </w:r>
    </w:p>
    <w:p>
      <w:pPr>
        <w:pStyle w:val="BodyText"/>
        <w:spacing w:line="316" w:lineRule="auto" w:before="19"/>
        <w:ind w:right="1124" w:firstLine="360"/>
        <w:jc w:val="both"/>
        <w:rPr>
          <w:rFonts w:ascii="宋体" w:hAnsi="宋体" w:cs="宋体" w:eastAsia="宋体" w:hint="default"/>
        </w:rPr>
      </w:pPr>
      <w:r>
        <w:rPr/>
        <w:t>注</w:t>
      </w:r>
      <w:r>
        <w:rPr>
          <w:rFonts w:ascii="宋体" w:hAnsi="宋体" w:cs="宋体" w:eastAsia="宋体" w:hint="default"/>
        </w:rPr>
        <w:t>2</w:t>
      </w:r>
      <w:r>
        <w:rPr/>
        <w:t>：经公司于</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17</w:t>
      </w:r>
      <w:r>
        <w:rPr/>
        <w:t>日及</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5</w:t>
      </w:r>
      <w:r>
        <w:rPr/>
        <w:t>日分别召开的第四届董事会第十二次会议及</w:t>
      </w:r>
      <w:r>
        <w:rPr>
          <w:rFonts w:ascii="宋体" w:hAnsi="宋体" w:cs="宋体" w:eastAsia="宋体" w:hint="default"/>
        </w:rPr>
        <w:t>2018</w:t>
      </w:r>
      <w:r>
        <w:rPr/>
        <w:t>年第三次临时股东大会 </w:t>
      </w:r>
      <w:r>
        <w:rPr>
          <w:spacing w:val="-2"/>
        </w:rPr>
        <w:t>审议通过的《关于公司回购股份的议案》，公司自</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13</w:t>
      </w:r>
      <w:r>
        <w:rPr>
          <w:spacing w:val="-2"/>
        </w:rPr>
        <w:t>日至</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5</w:t>
      </w:r>
      <w:r>
        <w:rPr>
          <w:spacing w:val="-2"/>
        </w:rPr>
        <w:t>日通过回购专用证券账户以集中竞价交易方</w:t>
      </w:r>
      <w:r>
        <w:rPr>
          <w:spacing w:val="-59"/>
        </w:rPr>
        <w:t> </w:t>
      </w:r>
      <w:r>
        <w:rPr>
          <w:spacing w:val="-59"/>
        </w:rPr>
      </w:r>
      <w:r>
        <w:rPr/>
        <w:t>式累计回购股份数量共计</w:t>
      </w:r>
      <w:r>
        <w:rPr>
          <w:rFonts w:ascii="宋体" w:hAnsi="宋体" w:cs="宋体" w:eastAsia="宋体" w:hint="default"/>
        </w:rPr>
        <w:t>1,962,700</w:t>
      </w:r>
      <w:r>
        <w:rPr/>
        <w:t>股，并已在中国证券登记结算有限责任公司深圳分公司办理完毕上述</w:t>
      </w:r>
      <w:r>
        <w:rPr>
          <w:rFonts w:ascii="宋体" w:hAnsi="宋体" w:cs="宋体" w:eastAsia="宋体" w:hint="default"/>
        </w:rPr>
        <w:t>1,962,700</w:t>
      </w:r>
      <w:r>
        <w:rPr/>
        <w:t>股回购</w:t>
      </w:r>
      <w:r>
        <w:rPr>
          <w:spacing w:val="-2"/>
        </w:rPr>
        <w:t> </w:t>
      </w:r>
      <w:r>
        <w:rPr/>
        <w:t>股份注销手续。</w:t>
      </w:r>
      <w:r>
        <w:rPr>
          <w:rFonts w:ascii="宋体" w:hAnsi="宋体" w:cs="宋体" w:eastAsia="宋体" w:hint="default"/>
        </w:rPr>
        <w:t> </w:t>
      </w:r>
    </w:p>
    <w:p>
      <w:pPr>
        <w:pStyle w:val="BodyText"/>
        <w:spacing w:line="316" w:lineRule="auto" w:before="19"/>
        <w:ind w:right="1129" w:firstLine="360"/>
        <w:jc w:val="both"/>
        <w:rPr>
          <w:rFonts w:ascii="宋体" w:hAnsi="宋体" w:cs="宋体" w:eastAsia="宋体" w:hint="default"/>
        </w:rPr>
      </w:pPr>
      <w:r>
        <w:rPr/>
        <w:t>注</w:t>
      </w:r>
      <w:r>
        <w:rPr>
          <w:rFonts w:ascii="宋体" w:hAnsi="宋体" w:cs="宋体" w:eastAsia="宋体" w:hint="default"/>
        </w:rPr>
        <w:t>3</w:t>
      </w:r>
      <w:r>
        <w:rPr/>
        <w:t>：根据公司第四届董事会十四次议审通过的《关于回购注销部分限制性股票案》，本公司申请减少注册资本人民币 </w:t>
      </w:r>
      <w:r>
        <w:rPr>
          <w:rFonts w:ascii="宋体" w:hAnsi="宋体" w:cs="宋体" w:eastAsia="宋体" w:hint="default"/>
        </w:rPr>
        <w:t>673,122.00</w:t>
      </w:r>
      <w:r>
        <w:rPr/>
        <w:t>元，回购有限售条件股份</w:t>
      </w:r>
      <w:r>
        <w:rPr>
          <w:rFonts w:ascii="宋体" w:hAnsi="宋体" w:cs="宋体" w:eastAsia="宋体" w:hint="default"/>
        </w:rPr>
        <w:t>673,122</w:t>
      </w:r>
      <w:r>
        <w:rPr/>
        <w:t>股，变更后本公司的股本为</w:t>
      </w:r>
      <w:r>
        <w:rPr>
          <w:rFonts w:ascii="宋体" w:hAnsi="宋体" w:cs="宋体" w:eastAsia="宋体" w:hint="default"/>
        </w:rPr>
        <w:t>1,308,310,460.00</w:t>
      </w:r>
      <w:r>
        <w:rPr/>
        <w:t>元。此次变更业经信永中和会计 师事务所（特殊普通合伙）出具“</w:t>
      </w:r>
      <w:r>
        <w:rPr>
          <w:rFonts w:ascii="宋体" w:hAnsi="宋体" w:cs="宋体" w:eastAsia="宋体" w:hint="default"/>
        </w:rPr>
        <w:t>XYZH/2019BJA70300</w:t>
      </w:r>
      <w:r>
        <w:rPr/>
        <w:t>”号验资报告予以审号验资报告予以审验。</w:t>
      </w:r>
      <w:r>
        <w:rPr>
          <w:rFonts w:ascii="宋体" w:hAnsi="宋体" w:cs="宋体" w:eastAsia="宋体" w:hint="default"/>
        </w:rPr>
        <w:t> </w:t>
      </w:r>
    </w:p>
    <w:p>
      <w:pPr>
        <w:pStyle w:val="BodyText"/>
        <w:spacing w:line="316" w:lineRule="auto" w:before="19"/>
        <w:ind w:right="1131" w:firstLine="360"/>
        <w:jc w:val="both"/>
        <w:rPr>
          <w:rFonts w:ascii="宋体" w:hAnsi="宋体" w:cs="宋体" w:eastAsia="宋体" w:hint="default"/>
        </w:rPr>
      </w:pPr>
      <w:r>
        <w:rPr/>
        <w:t>注</w:t>
      </w:r>
      <w:r>
        <w:rPr>
          <w:rFonts w:ascii="宋体" w:hAnsi="宋体" w:cs="宋体" w:eastAsia="宋体" w:hint="default"/>
        </w:rPr>
        <w:t>4</w:t>
      </w:r>
      <w:r>
        <w:rPr/>
        <w:t>：</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13</w:t>
      </w:r>
      <w:r>
        <w:rPr/>
        <w:t>日，经公司</w:t>
      </w:r>
      <w:r>
        <w:rPr>
          <w:rFonts w:ascii="宋体" w:hAnsi="宋体" w:cs="宋体" w:eastAsia="宋体" w:hint="default"/>
        </w:rPr>
        <w:t>2018</w:t>
      </w:r>
      <w:r>
        <w:rPr/>
        <w:t>年度股东大会审议批准，本公司以资积金向全体每年度股东每</w:t>
      </w:r>
      <w:r>
        <w:rPr>
          <w:rFonts w:ascii="宋体" w:hAnsi="宋体" w:cs="宋体" w:eastAsia="宋体" w:hint="default"/>
        </w:rPr>
        <w:t>10</w:t>
      </w:r>
      <w:r>
        <w:rPr/>
        <w:t>股转增</w:t>
      </w:r>
      <w:r>
        <w:rPr>
          <w:rFonts w:ascii="宋体" w:hAnsi="宋体" w:cs="宋体" w:eastAsia="宋体" w:hint="default"/>
        </w:rPr>
        <w:t>5</w:t>
      </w:r>
      <w:r>
        <w:rPr/>
        <w:t>股，转增后 公司股份总数增加</w:t>
      </w:r>
      <w:r>
        <w:rPr>
          <w:rFonts w:ascii="宋体" w:hAnsi="宋体" w:cs="宋体" w:eastAsia="宋体" w:hint="default"/>
        </w:rPr>
        <w:t>654,155,230.00</w:t>
      </w:r>
      <w:r>
        <w:rPr/>
        <w:t>股，注册资本由</w:t>
      </w:r>
      <w:r>
        <w:rPr>
          <w:rFonts w:ascii="宋体" w:hAnsi="宋体" w:cs="宋体" w:eastAsia="宋体" w:hint="default"/>
        </w:rPr>
        <w:t>1,308,310,460.00</w:t>
      </w:r>
      <w:r>
        <w:rPr/>
        <w:t>元增加至</w:t>
      </w:r>
      <w:r>
        <w:rPr>
          <w:rFonts w:ascii="宋体" w:hAnsi="宋体" w:cs="宋体" w:eastAsia="宋体" w:hint="default"/>
        </w:rPr>
        <w:t>1,962,465,690.00</w:t>
      </w:r>
      <w:r>
        <w:rPr/>
        <w:t>元。</w:t>
      </w:r>
      <w:r>
        <w:rPr>
          <w:rFonts w:ascii="宋体" w:hAnsi="宋体" w:cs="宋体" w:eastAsia="宋体" w:hint="default"/>
        </w:rPr>
        <w:t> </w:t>
      </w:r>
    </w:p>
    <w:p>
      <w:pPr>
        <w:pStyle w:val="BodyText"/>
        <w:spacing w:line="316" w:lineRule="auto" w:before="19"/>
        <w:ind w:right="1034" w:firstLine="360"/>
        <w:jc w:val="left"/>
        <w:rPr>
          <w:rFonts w:ascii="宋体" w:hAnsi="宋体" w:cs="宋体" w:eastAsia="宋体" w:hint="default"/>
        </w:rPr>
      </w:pPr>
      <w:r>
        <w:rPr/>
        <w:t>注</w:t>
      </w:r>
      <w:r>
        <w:rPr>
          <w:rFonts w:ascii="宋体" w:hAnsi="宋体" w:cs="宋体" w:eastAsia="宋体" w:hint="default"/>
        </w:rPr>
        <w:t>5</w:t>
      </w:r>
      <w:r>
        <w:rPr/>
        <w:t>：根据本公司</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24</w:t>
      </w:r>
      <w:r>
        <w:rPr/>
        <w:t>日召开的第四届董事会第七次会议审议通过的《关于回购注销部分限制性股票的议案》， 本公司申请减少注册资本人民币</w:t>
      </w:r>
      <w:r>
        <w:rPr>
          <w:rFonts w:ascii="宋体" w:hAnsi="宋体" w:cs="宋体" w:eastAsia="宋体" w:hint="default"/>
        </w:rPr>
        <w:t>225,500.00</w:t>
      </w:r>
      <w:r>
        <w:rPr/>
        <w:t>元，回购有限售条件股份</w:t>
      </w:r>
      <w:r>
        <w:rPr>
          <w:rFonts w:ascii="宋体" w:hAnsi="宋体" w:cs="宋体" w:eastAsia="宋体" w:hint="default"/>
        </w:rPr>
        <w:t>225,500</w:t>
      </w:r>
      <w:r>
        <w:rPr/>
        <w:t>股后予以注销。本公司已于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5</w:t>
      </w:r>
      <w:r>
        <w:rPr/>
        <w:t>日</w:t>
      </w:r>
      <w:r>
        <w:rPr>
          <w:spacing w:val="-41"/>
        </w:rPr>
        <w:t> </w:t>
      </w:r>
      <w:r>
        <w:rPr>
          <w:rFonts w:ascii="宋体" w:hAnsi="宋体" w:cs="宋体" w:eastAsia="宋体" w:hint="default"/>
          <w:spacing w:val="-41"/>
        </w:rPr>
      </w:r>
      <w:r>
        <w:rPr>
          <w:spacing w:val="-3"/>
        </w:rPr>
        <w:t>回购 </w:t>
      </w:r>
      <w:r>
        <w:rPr>
          <w:spacing w:val="-2"/>
        </w:rPr>
        <w:t>完成共计</w:t>
      </w:r>
      <w:r>
        <w:rPr>
          <w:rFonts w:ascii="宋体" w:hAnsi="宋体" w:cs="宋体" w:eastAsia="宋体" w:hint="default"/>
          <w:spacing w:val="-2"/>
        </w:rPr>
        <w:t>190,500</w:t>
      </w:r>
      <w:r>
        <w:rPr>
          <w:spacing w:val="-2"/>
        </w:rPr>
        <w:t>股限制性股票，此次变更已经信永中和会计师事务所（特殊普通合伙）出具</w:t>
      </w:r>
      <w:r>
        <w:rPr>
          <w:rFonts w:ascii="宋体" w:hAnsi="宋体" w:cs="宋体" w:eastAsia="宋体" w:hint="default"/>
          <w:spacing w:val="-2"/>
        </w:rPr>
        <w:t>XYZH/2018BJA70221</w:t>
      </w:r>
      <w:r>
        <w:rPr>
          <w:spacing w:val="-2"/>
        </w:rPr>
        <w:t>号《验资报</w:t>
      </w:r>
      <w:r>
        <w:rPr>
          <w:spacing w:val="-48"/>
        </w:rPr>
        <w:t> </w:t>
      </w:r>
      <w:r>
        <w:rPr>
          <w:spacing w:val="-48"/>
        </w:rPr>
      </w:r>
      <w:r>
        <w:rPr/>
        <w:t>告》予以审验，剩余限制性股票</w:t>
      </w:r>
      <w:r>
        <w:rPr>
          <w:rFonts w:ascii="宋体" w:hAnsi="宋体" w:cs="宋体" w:eastAsia="宋体" w:hint="default"/>
        </w:rPr>
        <w:t>35,000</w:t>
      </w:r>
      <w:r>
        <w:rPr/>
        <w:t>股暂未完成回购。</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13</w:t>
      </w:r>
      <w:r>
        <w:rPr/>
        <w:t>日，经本公司</w:t>
      </w:r>
      <w:r>
        <w:rPr>
          <w:rFonts w:ascii="宋体" w:hAnsi="宋体" w:cs="宋体" w:eastAsia="宋体" w:hint="default"/>
        </w:rPr>
        <w:t>2018</w:t>
      </w:r>
      <w:r>
        <w:rPr/>
        <w:t>年度股东大会审议批准，本公司以 资本公积金向全体股东每</w:t>
      </w:r>
      <w:r>
        <w:rPr>
          <w:rFonts w:ascii="宋体" w:hAnsi="宋体" w:cs="宋体" w:eastAsia="宋体" w:hint="default"/>
        </w:rPr>
        <w:t>10</w:t>
      </w:r>
      <w:r>
        <w:rPr/>
        <w:t>股转增</w:t>
      </w:r>
      <w:r>
        <w:rPr>
          <w:rFonts w:ascii="宋体" w:hAnsi="宋体" w:cs="宋体" w:eastAsia="宋体" w:hint="default"/>
        </w:rPr>
        <w:t>5</w:t>
      </w:r>
      <w:r>
        <w:rPr/>
        <w:t>股。上述暂未完成回购限制性股票</w:t>
      </w:r>
      <w:r>
        <w:rPr>
          <w:rFonts w:ascii="宋体" w:hAnsi="宋体" w:cs="宋体" w:eastAsia="宋体" w:hint="default"/>
        </w:rPr>
        <w:t>35,000</w:t>
      </w:r>
      <w:r>
        <w:rPr/>
        <w:t>股经转增后增加至</w:t>
      </w:r>
      <w:r>
        <w:rPr>
          <w:rFonts w:ascii="宋体" w:hAnsi="宋体" w:cs="宋体" w:eastAsia="宋体" w:hint="default"/>
        </w:rPr>
        <w:t>52,500</w:t>
      </w:r>
      <w:r>
        <w:rPr/>
        <w:t>股。本公司于</w:t>
      </w:r>
      <w:r>
        <w:rPr>
          <w:rFonts w:ascii="宋体" w:hAnsi="宋体" w:cs="宋体" w:eastAsia="宋体" w:hint="default"/>
        </w:rPr>
        <w:t>2019</w:t>
      </w:r>
      <w:r>
        <w:rPr/>
        <w:t>年</w:t>
      </w:r>
      <w:r>
        <w:rPr>
          <w:spacing w:val="-85"/>
        </w:rPr>
        <w:t> </w:t>
      </w:r>
      <w:r>
        <w:rPr>
          <w:rFonts w:ascii="宋体" w:hAnsi="宋体" w:cs="宋体" w:eastAsia="宋体" w:hint="default"/>
        </w:rPr>
        <w:t>12</w:t>
      </w:r>
      <w:r>
        <w:rPr/>
        <w:t>月</w:t>
      </w:r>
      <w:r>
        <w:rPr>
          <w:rFonts w:ascii="宋体" w:hAnsi="宋体" w:cs="宋体" w:eastAsia="宋体" w:hint="default"/>
        </w:rPr>
        <w:t>2</w:t>
      </w:r>
      <w:r>
        <w:rPr/>
        <w:t>日回购有限售条件股份</w:t>
      </w:r>
      <w:r>
        <w:rPr>
          <w:rFonts w:ascii="宋体" w:hAnsi="宋体" w:cs="宋体" w:eastAsia="宋体" w:hint="default"/>
        </w:rPr>
        <w:t>52,500</w:t>
      </w:r>
      <w:r>
        <w:rPr/>
        <w:t>股后予以注销，变更后本公司的股本为</w:t>
      </w:r>
      <w:r>
        <w:rPr>
          <w:rFonts w:ascii="宋体" w:hAnsi="宋体" w:cs="宋体" w:eastAsia="宋体" w:hint="default"/>
        </w:rPr>
        <w:t>1,962,413,190.00</w:t>
      </w:r>
      <w:r>
        <w:rPr/>
        <w:t>元。</w:t>
      </w:r>
      <w:r>
        <w:rPr>
          <w:rFonts w:ascii="宋体" w:hAnsi="宋体" w:cs="宋体" w:eastAsia="宋体" w:hint="default"/>
        </w:rPr>
        <w:t> </w:t>
      </w:r>
    </w:p>
    <w:p>
      <w:pPr>
        <w:pStyle w:val="BodyText"/>
        <w:spacing w:line="319" w:lineRule="auto" w:before="19"/>
        <w:ind w:right="1131" w:firstLine="360"/>
        <w:jc w:val="both"/>
        <w:rPr>
          <w:rFonts w:ascii="宋体" w:hAnsi="宋体" w:cs="宋体" w:eastAsia="宋体" w:hint="default"/>
        </w:rPr>
      </w:pPr>
      <w:r>
        <w:rPr/>
        <w:t>根据本公司</w:t>
      </w:r>
      <w:r>
        <w:rPr>
          <w:rFonts w:ascii="宋体" w:hAnsi="宋体" w:cs="宋体" w:eastAsia="宋体" w:hint="default"/>
        </w:rPr>
        <w:t>2019</w:t>
      </w:r>
      <w:r>
        <w:rPr/>
        <w:t>年第一次临时股东大会及第四届董事会第十九次会议审议通过的《关于回购注销部分限制性股票的议 案》，本公司申请减少注册资本人民币</w:t>
      </w:r>
      <w:r>
        <w:rPr>
          <w:rFonts w:ascii="宋体" w:hAnsi="宋体" w:cs="宋体" w:eastAsia="宋体" w:hint="default"/>
        </w:rPr>
        <w:t>850,020.00</w:t>
      </w:r>
      <w:r>
        <w:rPr/>
        <w:t>元，回购有限售条件股份</w:t>
      </w:r>
      <w:r>
        <w:rPr>
          <w:rFonts w:ascii="宋体" w:hAnsi="宋体" w:cs="宋体" w:eastAsia="宋体" w:hint="default"/>
        </w:rPr>
        <w:t>850,020</w:t>
      </w:r>
      <w:r>
        <w:rPr/>
        <w:t>股后予以注销，变更后公司的股本为人 </w:t>
      </w:r>
      <w:r>
        <w:rPr>
          <w:spacing w:val="-2"/>
        </w:rPr>
        <w:t>民币</w:t>
      </w:r>
      <w:r>
        <w:rPr>
          <w:rFonts w:ascii="宋体" w:hAnsi="宋体" w:cs="宋体" w:eastAsia="宋体" w:hint="default"/>
          <w:spacing w:val="-2"/>
        </w:rPr>
        <w:t>1,961,563,170.00</w:t>
      </w:r>
      <w:r>
        <w:rPr>
          <w:spacing w:val="-2"/>
        </w:rPr>
        <w:t>元。此次变更业经信永中和会计师事务所（特殊普通合伙）出具“</w:t>
      </w:r>
      <w:r>
        <w:rPr>
          <w:rFonts w:ascii="宋体" w:hAnsi="宋体" w:cs="宋体" w:eastAsia="宋体" w:hint="default"/>
          <w:spacing w:val="-2"/>
        </w:rPr>
        <w:t>XYZH/2019BJA70377</w:t>
      </w:r>
      <w:r>
        <w:rPr>
          <w:spacing w:val="-2"/>
        </w:rPr>
        <w:t>”</w:t>
      </w:r>
      <w:r>
        <w:rPr>
          <w:spacing w:val="31"/>
        </w:rPr>
        <w:t> </w:t>
      </w:r>
      <w:r>
        <w:rPr>
          <w:rFonts w:ascii="宋体" w:hAnsi="宋体" w:cs="宋体" w:eastAsia="宋体" w:hint="default"/>
          <w:spacing w:val="31"/>
        </w:rPr>
      </w:r>
      <w:r>
        <w:rPr>
          <w:spacing w:val="-1"/>
        </w:rPr>
        <w:t>号验资报告</w:t>
      </w:r>
      <w:r>
        <w:rPr>
          <w:spacing w:val="-83"/>
        </w:rPr>
        <w:t> </w:t>
      </w:r>
      <w:r>
        <w:rPr>
          <w:spacing w:val="-83"/>
        </w:rPr>
      </w:r>
      <w:r>
        <w:rPr/>
        <w:t>予以审验。</w:t>
      </w:r>
      <w:r>
        <w:rPr>
          <w:rFonts w:ascii="宋体" w:hAnsi="宋体" w:cs="宋体" w:eastAsia="宋体" w:hint="default"/>
        </w:rPr>
        <w:t> </w:t>
      </w:r>
    </w:p>
    <w:p>
      <w:pPr>
        <w:spacing w:line="240" w:lineRule="auto" w:before="7"/>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4,571,895,802.01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42,840,713.12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696,882,975.44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3,917,853,539.69</w:t>
            </w:r>
            <w:r>
              <w:rPr>
                <w:rFonts w:ascii="Times New Roman"/>
                <w:sz w:val="18"/>
              </w:rPr>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21,908,269.02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65,526,684.17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25,432,173.12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62,002,780.07</w:t>
            </w:r>
            <w:r>
              <w:rPr>
                <w:rFonts w:ascii="Times New Roman"/>
                <w:sz w:val="18"/>
              </w:rPr>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4,593,804,071.03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108,367,397.29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722,315,148.56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3,979,856,319.76</w:t>
            </w:r>
          </w:p>
        </w:tc>
      </w:tr>
    </w:tbl>
    <w:p>
      <w:pPr>
        <w:pStyle w:val="BodyText"/>
        <w:spacing w:line="240" w:lineRule="auto" w:before="51"/>
        <w:ind w:left="513" w:right="0"/>
        <w:jc w:val="left"/>
      </w:pPr>
      <w:r>
        <w:rPr/>
        <w:t>注</w:t>
      </w:r>
      <w:r>
        <w:rPr>
          <w:spacing w:val="-45"/>
        </w:rPr>
        <w:t> </w:t>
      </w:r>
      <w:r>
        <w:rPr>
          <w:rFonts w:ascii="Times New Roman" w:hAnsi="Times New Roman" w:cs="Times New Roman" w:eastAsia="Times New Roman" w:hint="default"/>
        </w:rPr>
        <w:t>1</w:t>
      </w:r>
      <w:r>
        <w:rPr/>
        <w:t>：如本附注“七</w:t>
      </w:r>
      <w:r>
        <w:rPr>
          <w:rFonts w:ascii="Times New Roman" w:hAnsi="Times New Roman" w:cs="Times New Roman" w:eastAsia="Times New Roman" w:hint="default"/>
        </w:rPr>
        <w:t>.53</w:t>
      </w:r>
      <w:r>
        <w:rPr/>
        <w:t>”注</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所述，本报告期公司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年预留限制性股票完成权登记年预留限制性股票完成权登记，</w:t>
      </w:r>
    </w:p>
    <w:p>
      <w:pPr>
        <w:pStyle w:val="BodyText"/>
        <w:spacing w:line="240" w:lineRule="auto" w:before="63"/>
        <w:ind w:right="0"/>
        <w:jc w:val="left"/>
      </w:pPr>
      <w:r>
        <w:rPr/>
        <w:t>增加股本人民币</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00</w:t>
      </w:r>
      <w:r>
        <w:rPr>
          <w:rFonts w:ascii="Times New Roman" w:hAnsi="Times New Roman" w:cs="Times New Roman" w:eastAsia="Times New Roman" w:hint="default"/>
          <w:spacing w:val="-2"/>
        </w:rPr>
        <w:t>.0</w:t>
      </w:r>
      <w:r>
        <w:rPr>
          <w:rFonts w:ascii="Times New Roman" w:hAnsi="Times New Roman" w:cs="Times New Roman" w:eastAsia="Times New Roman" w:hint="default"/>
        </w:rPr>
        <w:t>0 </w:t>
      </w:r>
      <w:r>
        <w:rPr/>
        <w:t>元，其余</w:t>
      </w:r>
      <w:r>
        <w:rPr>
          <w:spacing w:val="-44"/>
        </w:rPr>
        <w:t> </w:t>
      </w:r>
      <w:r>
        <w:rPr>
          <w:rFonts w:ascii="Times New Roman" w:hAnsi="Times New Roman" w:cs="Times New Roman" w:eastAsia="Times New Roman" w:hint="default"/>
          <w:spacing w:val="1"/>
        </w:rPr>
        <w:t>17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元增</w:t>
      </w:r>
      <w:r>
        <w:rPr>
          <w:spacing w:val="-3"/>
        </w:rPr>
        <w:t>加</w:t>
      </w:r>
      <w:r>
        <w:rPr/>
        <w:t>资本公积（股本溢价</w:t>
      </w:r>
      <w:r>
        <w:rPr>
          <w:spacing w:val="-92"/>
        </w:rPr>
        <w:t>）</w:t>
      </w:r>
      <w:r>
        <w:rPr/>
        <w:t>。</w:t>
      </w:r>
    </w:p>
    <w:p>
      <w:pPr>
        <w:pStyle w:val="BodyText"/>
        <w:spacing w:line="240" w:lineRule="auto" w:before="103"/>
        <w:ind w:left="513" w:right="0"/>
        <w:jc w:val="left"/>
      </w:pPr>
      <w:r>
        <w:rPr/>
        <w:t>注 </w:t>
      </w:r>
      <w:r>
        <w:rPr>
          <w:rFonts w:ascii="Times New Roman" w:hAnsi="Times New Roman" w:cs="Times New Roman" w:eastAsia="Times New Roman" w:hint="default"/>
          <w:spacing w:val="3"/>
        </w:rPr>
        <w:t>2</w:t>
      </w:r>
      <w:r>
        <w:rPr>
          <w:spacing w:val="3"/>
        </w:rPr>
        <w:t>：本报告期，本公司首批限制性股票股权激励因满足解锁条件，相应解锁 </w:t>
      </w:r>
      <w:r>
        <w:rPr>
          <w:rFonts w:ascii="Times New Roman" w:hAnsi="Times New Roman" w:cs="Times New Roman" w:eastAsia="Times New Roman" w:hint="default"/>
        </w:rPr>
        <w:t>15,821,488 </w:t>
      </w:r>
      <w:r>
        <w:rPr>
          <w:rFonts w:ascii="Times New Roman" w:hAnsi="Times New Roman" w:cs="Times New Roman" w:eastAsia="Times New Roman" w:hint="default"/>
          <w:spacing w:val="28"/>
        </w:rPr>
        <w:t> </w:t>
      </w:r>
      <w:r>
        <w:rPr>
          <w:spacing w:val="3"/>
        </w:rPr>
        <w:t>股，将其对应的股本溢价</w:t>
      </w:r>
    </w:p>
    <w:p>
      <w:pPr>
        <w:pStyle w:val="BodyText"/>
        <w:spacing w:line="240" w:lineRule="auto" w:before="63"/>
        <w:ind w:right="0"/>
        <w:jc w:val="left"/>
      </w:pPr>
      <w:r>
        <w:rPr>
          <w:rFonts w:ascii="Times New Roman" w:hAnsi="Times New Roman" w:cs="Times New Roman" w:eastAsia="Times New Roman" w:hint="default"/>
          <w:spacing w:val="1"/>
        </w:rPr>
        <w:t>25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3</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元，从资本公</w:t>
      </w:r>
      <w:r>
        <w:rPr>
          <w:spacing w:val="-3"/>
        </w:rPr>
        <w:t>积</w:t>
      </w:r>
      <w:r>
        <w:rPr/>
        <w:t>（其他资本公积）转入资本公积（股本溢价</w:t>
      </w:r>
      <w:r>
        <w:rPr>
          <w:spacing w:val="-92"/>
        </w:rPr>
        <w:t>）</w:t>
      </w:r>
      <w:r>
        <w:rPr/>
        <w:t>。</w:t>
      </w:r>
    </w:p>
    <w:p>
      <w:pPr>
        <w:pStyle w:val="BodyText"/>
        <w:spacing w:line="240" w:lineRule="auto" w:before="101"/>
        <w:ind w:left="513" w:right="0"/>
        <w:jc w:val="left"/>
      </w:pPr>
      <w:r>
        <w:rPr/>
        <w:t>注</w:t>
      </w:r>
      <w:r>
        <w:rPr>
          <w:spacing w:val="-46"/>
        </w:rPr>
        <w:t> </w:t>
      </w:r>
      <w:r>
        <w:rPr>
          <w:rFonts w:ascii="Times New Roman" w:hAnsi="Times New Roman" w:cs="Times New Roman" w:eastAsia="Times New Roman" w:hint="default"/>
        </w:rPr>
        <w:t>3</w:t>
      </w:r>
      <w:r>
        <w:rPr/>
        <w:t>：如本附注“七</w:t>
      </w:r>
      <w:r>
        <w:rPr>
          <w:rFonts w:ascii="Times New Roman" w:hAnsi="Times New Roman" w:cs="Times New Roman" w:eastAsia="Times New Roman" w:hint="default"/>
        </w:rPr>
        <w:t>.53</w:t>
      </w:r>
      <w:r>
        <w:rPr/>
        <w:t>”注</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所述，经公司于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8"/>
        </w:rPr>
        <w:t> </w:t>
      </w:r>
      <w:r>
        <w:rPr>
          <w:rFonts w:ascii="Times New Roman" w:hAnsi="Times New Roman" w:cs="Times New Roman" w:eastAsia="Times New Roman" w:hint="default"/>
        </w:rPr>
        <w:t>17 </w:t>
      </w:r>
      <w:r>
        <w:rPr/>
        <w:t>日及</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5 </w:t>
      </w:r>
      <w:r>
        <w:rPr/>
        <w:t>日分别召开的第四届董事会十二次</w:t>
      </w:r>
    </w:p>
    <w:p>
      <w:pPr>
        <w:pStyle w:val="BodyText"/>
        <w:spacing w:line="240" w:lineRule="auto" w:before="63"/>
        <w:ind w:right="0"/>
        <w:jc w:val="left"/>
      </w:pPr>
      <w:r>
        <w:rPr/>
        <w:t>议及日分别召开的第四届董</w:t>
      </w:r>
      <w:r>
        <w:rPr>
          <w:spacing w:val="2"/>
        </w:rPr>
        <w:t>事</w:t>
      </w:r>
      <w:r>
        <w:rPr/>
        <w:t>会十二次议及</w:t>
      </w:r>
      <w:r>
        <w:rPr>
          <w:spacing w:val="2"/>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8 </w:t>
      </w:r>
      <w:r>
        <w:rPr>
          <w:rFonts w:ascii="Times New Roman" w:hAnsi="Times New Roman" w:cs="Times New Roman" w:eastAsia="Times New Roman" w:hint="default"/>
          <w:spacing w:val="2"/>
        </w:rPr>
        <w:t> </w:t>
      </w:r>
      <w:r>
        <w:rPr/>
        <w:t>年第三次临时股东大会审议通过的《</w:t>
      </w:r>
      <w:r>
        <w:rPr>
          <w:spacing w:val="2"/>
        </w:rPr>
        <w:t>关</w:t>
      </w:r>
      <w:r>
        <w:rPr/>
        <w:t>于公司回购股份的预案</w:t>
      </w:r>
      <w:r>
        <w:rPr>
          <w:spacing w:val="-89"/>
        </w:rPr>
        <w:t>》</w:t>
      </w:r>
      <w:r>
        <w:rPr/>
        <w:t>，公</w:t>
      </w:r>
      <w:r>
        <w:rPr>
          <w:spacing w:val="2"/>
        </w:rPr>
        <w:t>司</w:t>
      </w:r>
      <w:r>
        <w:rPr/>
        <w:t>自</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日至</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日通过回购专用证券账户以集中竞价交易方式累计回购股份数量共计</w:t>
      </w:r>
      <w:r>
        <w:rPr>
          <w:spacing w:val="-42"/>
        </w:rPr>
        <w:t> </w:t>
      </w:r>
      <w:r>
        <w:rPr>
          <w:rFonts w:ascii="Times New Roman" w:hAnsi="Times New Roman" w:cs="Times New Roman" w:eastAsia="Times New Roman" w:hint="default"/>
        </w:rPr>
        <w:t>1,962,700</w:t>
      </w:r>
      <w:r>
        <w:rPr>
          <w:rFonts w:ascii="Times New Roman" w:hAnsi="Times New Roman" w:cs="Times New Roman" w:eastAsia="Times New Roman" w:hint="default"/>
          <w:spacing w:val="4"/>
        </w:rPr>
        <w:t> </w:t>
      </w:r>
      <w:r>
        <w:rPr/>
        <w:t>股，不</w:t>
      </w:r>
    </w:p>
    <w:p>
      <w:pPr>
        <w:pStyle w:val="BodyText"/>
        <w:spacing w:line="300" w:lineRule="auto" w:before="63"/>
        <w:ind w:right="1117"/>
        <w:jc w:val="left"/>
      </w:pPr>
      <w:r>
        <w:rPr/>
        <w:t>已在中国证券登记结算有限责任公司深圳分公司办理完毕上述</w:t>
      </w:r>
      <w:r>
        <w:rPr>
          <w:spacing w:val="-42"/>
        </w:rPr>
        <w:t> </w:t>
      </w:r>
      <w:r>
        <w:rPr>
          <w:rFonts w:ascii="Times New Roman" w:hAnsi="Times New Roman" w:cs="Times New Roman" w:eastAsia="Times New Roman" w:hint="default"/>
        </w:rPr>
        <w:t>1,962,700</w:t>
      </w:r>
      <w:r>
        <w:rPr>
          <w:rFonts w:ascii="Times New Roman" w:hAnsi="Times New Roman" w:cs="Times New Roman" w:eastAsia="Times New Roman" w:hint="default"/>
          <w:spacing w:val="4"/>
        </w:rPr>
        <w:t> </w:t>
      </w:r>
      <w:r>
        <w:rPr/>
        <w:t>股回购股份注销手续，同时减少注册资本（股本溢 价）</w:t>
      </w:r>
      <w:r>
        <w:rPr>
          <w:rFonts w:ascii="Times New Roman" w:hAnsi="Times New Roman" w:cs="Times New Roman" w:eastAsia="Times New Roman" w:hint="default"/>
        </w:rPr>
        <w:t>28,038,782.59</w:t>
      </w:r>
      <w:r>
        <w:rPr>
          <w:rFonts w:ascii="Times New Roman" w:hAnsi="Times New Roman" w:cs="Times New Roman" w:eastAsia="Times New Roman" w:hint="default"/>
          <w:spacing w:val="-2"/>
        </w:rPr>
        <w:t> </w:t>
      </w:r>
      <w:r>
        <w:rPr/>
        <w:t>元。</w:t>
      </w:r>
    </w:p>
    <w:p>
      <w:pPr>
        <w:pStyle w:val="BodyText"/>
        <w:spacing w:line="300" w:lineRule="auto" w:before="53"/>
        <w:ind w:right="1127" w:firstLine="360"/>
        <w:jc w:val="left"/>
      </w:pPr>
      <w:r>
        <w:rPr/>
        <w:t>注</w:t>
      </w:r>
      <w:r>
        <w:rPr>
          <w:spacing w:val="-51"/>
        </w:rPr>
        <w:t> </w:t>
      </w:r>
      <w:r>
        <w:rPr>
          <w:rFonts w:ascii="Times New Roman" w:hAnsi="Times New Roman" w:cs="Times New Roman" w:eastAsia="Times New Roman" w:hint="default"/>
          <w:spacing w:val="-3"/>
        </w:rPr>
        <w:t>4</w:t>
      </w:r>
      <w:r>
        <w:rPr>
          <w:spacing w:val="-3"/>
        </w:rPr>
        <w:t>：如本附注“七</w:t>
      </w:r>
      <w:r>
        <w:rPr>
          <w:rFonts w:ascii="Times New Roman" w:hAnsi="Times New Roman" w:cs="Times New Roman" w:eastAsia="Times New Roman" w:hint="default"/>
          <w:spacing w:val="-3"/>
        </w:rPr>
        <w:t>.53"</w:t>
      </w:r>
      <w:r>
        <w:rPr>
          <w:spacing w:val="-3"/>
        </w:rPr>
        <w:t>注</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及注</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所述，本报告期公司回购</w:t>
      </w:r>
      <w:r>
        <w:rPr>
          <w:spacing w:val="-53"/>
        </w:rPr>
        <w:t> </w:t>
      </w:r>
      <w:r>
        <w:rPr>
          <w:rFonts w:ascii="Times New Roman" w:hAnsi="Times New Roman" w:cs="Times New Roman" w:eastAsia="Times New Roman" w:hint="default"/>
        </w:rPr>
        <w:t>1,576,642</w:t>
      </w:r>
      <w:r>
        <w:rPr>
          <w:rFonts w:ascii="Times New Roman" w:hAnsi="Times New Roman" w:cs="Times New Roman" w:eastAsia="Times New Roman" w:hint="default"/>
          <w:spacing w:val="-3"/>
        </w:rPr>
        <w:t> </w:t>
      </w:r>
      <w:r>
        <w:rPr/>
        <w:t>股限制性股票并予以注销，减少资本公积（股本 溢价）</w:t>
      </w:r>
      <w:r>
        <w:rPr>
          <w:rFonts w:ascii="Times New Roman" w:hAnsi="Times New Roman" w:cs="Times New Roman" w:eastAsia="Times New Roman" w:hint="default"/>
        </w:rPr>
        <w:t>13,194,195.19</w:t>
      </w:r>
      <w:r>
        <w:rPr>
          <w:rFonts w:ascii="Times New Roman" w:hAnsi="Times New Roman" w:cs="Times New Roman" w:eastAsia="Times New Roman" w:hint="default"/>
          <w:spacing w:val="-2"/>
        </w:rPr>
        <w:t> </w:t>
      </w:r>
      <w:r>
        <w:rPr/>
        <w:t>元。</w:t>
      </w:r>
    </w:p>
    <w:p>
      <w:pPr>
        <w:pStyle w:val="BodyText"/>
        <w:spacing w:line="240" w:lineRule="auto" w:before="53"/>
        <w:ind w:left="513" w:right="0"/>
        <w:jc w:val="left"/>
      </w:pPr>
      <w:r>
        <w:rPr/>
        <w:t>注</w:t>
      </w:r>
      <w:r>
        <w:rPr>
          <w:spacing w:val="-41"/>
        </w:rPr>
        <w:t> </w:t>
      </w:r>
      <w:r>
        <w:rPr>
          <w:rFonts w:ascii="Times New Roman" w:hAnsi="Times New Roman" w:cs="Times New Roman" w:eastAsia="Times New Roman" w:hint="default"/>
        </w:rPr>
        <w:t>5</w:t>
      </w:r>
      <w:r>
        <w:rPr/>
        <w:t>：如本附注“七</w:t>
      </w:r>
      <w:r>
        <w:rPr>
          <w:rFonts w:ascii="Times New Roman" w:hAnsi="Times New Roman" w:cs="Times New Roman" w:eastAsia="Times New Roman" w:hint="default"/>
        </w:rPr>
        <w:t>.53</w:t>
      </w:r>
      <w:r>
        <w:rPr/>
        <w:t>”注</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所述，</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1"/>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t>日，经公司</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年度股东大会审议批准，公司以资本公积向全体</w:t>
      </w:r>
    </w:p>
    <w:p>
      <w:pPr>
        <w:pStyle w:val="BodyText"/>
        <w:spacing w:line="240" w:lineRule="auto" w:before="63"/>
        <w:ind w:right="0"/>
        <w:jc w:val="left"/>
      </w:pPr>
      <w:r>
        <w:rPr/>
        <w:t>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股，转增后公司股份总数增加</w:t>
      </w:r>
      <w:r>
        <w:rPr>
          <w:spacing w:val="-46"/>
        </w:rPr>
        <w:t> </w:t>
      </w:r>
      <w:r>
        <w:rPr>
          <w:rFonts w:ascii="Times New Roman" w:hAnsi="Times New Roman" w:cs="Times New Roman" w:eastAsia="Times New Roman" w:hint="default"/>
        </w:rPr>
        <w:t>654,155,230</w:t>
      </w:r>
      <w:r>
        <w:rPr>
          <w:rFonts w:ascii="Times New Roman" w:hAnsi="Times New Roman" w:cs="Times New Roman" w:eastAsia="Times New Roman" w:hint="default"/>
          <w:spacing w:val="-2"/>
        </w:rPr>
        <w:t> </w:t>
      </w:r>
      <w:r>
        <w:rPr/>
        <w:t>股，资本公积（股本溢价）减少</w:t>
      </w:r>
      <w:r>
        <w:rPr>
          <w:spacing w:val="-46"/>
        </w:rPr>
        <w:t> </w:t>
      </w:r>
      <w:r>
        <w:rPr>
          <w:rFonts w:ascii="Times New Roman" w:hAnsi="Times New Roman" w:cs="Times New Roman" w:eastAsia="Times New Roman" w:hint="default"/>
        </w:rPr>
        <w:t>654,155,230.00 </w:t>
      </w:r>
      <w:r>
        <w:rPr/>
        <w:t>元。</w:t>
      </w:r>
    </w:p>
    <w:p>
      <w:pPr>
        <w:pStyle w:val="BodyText"/>
        <w:spacing w:line="300" w:lineRule="auto" w:before="101"/>
        <w:ind w:right="1109" w:firstLine="360"/>
        <w:jc w:val="left"/>
      </w:pPr>
      <w:r>
        <w:rPr/>
        <w:t>注</w:t>
      </w:r>
      <w:r>
        <w:rPr>
          <w:spacing w:val="-75"/>
        </w:rPr>
        <w:t> </w:t>
      </w:r>
      <w:r>
        <w:rPr>
          <w:rFonts w:ascii="Times New Roman" w:hAnsi="Times New Roman" w:cs="Times New Roman" w:eastAsia="Times New Roman" w:hint="default"/>
        </w:rPr>
        <w:t>6</w:t>
      </w:r>
      <w:r>
        <w:rPr/>
        <w:t>：本报告期，本公司下属子公司中寰卫星导航通信有限公司（以下简称中寰卫星）新股东增资，本公司股权比例自 </w:t>
      </w:r>
      <w:r>
        <w:rPr>
          <w:rFonts w:ascii="Times New Roman" w:hAnsi="Times New Roman" w:cs="Times New Roman" w:eastAsia="Times New Roman" w:hint="default"/>
          <w:spacing w:val="3"/>
        </w:rPr>
        <w:t>47.88%</w:t>
      </w:r>
      <w:r>
        <w:rPr>
          <w:spacing w:val="3"/>
        </w:rPr>
        <w:t>被稀释至</w:t>
      </w:r>
      <w:r>
        <w:rPr>
          <w:spacing w:val="20"/>
        </w:rPr>
        <w:t> </w:t>
      </w:r>
      <w:r>
        <w:rPr>
          <w:rFonts w:ascii="Times New Roman" w:hAnsi="Times New Roman" w:cs="Times New Roman" w:eastAsia="Times New Roman" w:hint="default"/>
          <w:spacing w:val="6"/>
        </w:rPr>
        <w:t>43.68%</w:t>
      </w:r>
      <w:r>
        <w:rPr>
          <w:spacing w:val="6"/>
        </w:rPr>
        <w:t>，但未丧失对中寰卫星的控制权，对应享有中寰卫星净资产的变动减少资本公积（股本溢价）</w:t>
      </w:r>
      <w:r>
        <w:rPr/>
      </w:r>
    </w:p>
    <w:p>
      <w:pPr>
        <w:pStyle w:val="BodyText"/>
        <w:spacing w:line="240" w:lineRule="auto" w:before="13"/>
        <w:ind w:right="0"/>
        <w:jc w:val="left"/>
      </w:pPr>
      <w:r>
        <w:rPr>
          <w:rFonts w:ascii="Times New Roman" w:hAnsi="Times New Roman" w:cs="Times New Roman" w:eastAsia="Times New Roman" w:hint="default"/>
        </w:rPr>
        <w:t>1,412,978.29 </w:t>
      </w:r>
      <w:r>
        <w:rPr/>
        <w:t>元。</w:t>
      </w:r>
    </w:p>
    <w:p>
      <w:pPr>
        <w:pStyle w:val="BodyText"/>
        <w:spacing w:line="240" w:lineRule="auto" w:before="103"/>
        <w:ind w:left="513" w:right="0"/>
        <w:jc w:val="left"/>
      </w:pPr>
      <w:r>
        <w:rPr/>
        <w:t>注</w:t>
      </w:r>
      <w:r>
        <w:rPr>
          <w:spacing w:val="-47"/>
        </w:rPr>
        <w:t> </w:t>
      </w:r>
      <w:r>
        <w:rPr>
          <w:rFonts w:ascii="Times New Roman" w:hAnsi="Times New Roman" w:cs="Times New Roman" w:eastAsia="Times New Roman" w:hint="default"/>
        </w:rPr>
        <w:t>7</w:t>
      </w:r>
      <w:r>
        <w:rPr/>
        <w:t>：本报告期，本公司确认股权激励成本导致增加资本公积（其他资本公积）</w:t>
      </w:r>
      <w:r>
        <w:rPr>
          <w:rFonts w:ascii="Times New Roman" w:hAnsi="Times New Roman" w:cs="Times New Roman" w:eastAsia="Times New Roman" w:hint="default"/>
        </w:rPr>
        <w:t>30,174,184.63 </w:t>
      </w:r>
      <w:r>
        <w:rPr/>
        <w:t>元。</w:t>
      </w:r>
    </w:p>
    <w:p>
      <w:pPr>
        <w:pStyle w:val="BodyText"/>
        <w:spacing w:line="300" w:lineRule="auto" w:before="103"/>
        <w:ind w:right="1121" w:firstLine="360"/>
        <w:jc w:val="left"/>
      </w:pPr>
      <w:r>
        <w:rPr/>
        <w:t>注</w:t>
      </w:r>
      <w:r>
        <w:rPr>
          <w:spacing w:val="71"/>
        </w:rPr>
        <w:t> </w:t>
      </w:r>
      <w:r>
        <w:rPr>
          <w:rFonts w:ascii="Times New Roman" w:hAnsi="Times New Roman" w:cs="Times New Roman" w:eastAsia="Times New Roman" w:hint="default"/>
        </w:rPr>
        <w:t>8</w:t>
      </w:r>
      <w:r>
        <w:rPr/>
        <w:t>：本报告期，本公司下属子公司世纪高通收购另一子公司长沙海图之小股东股权，本公司对长沙海图持股比例自 </w:t>
      </w:r>
      <w:r>
        <w:rPr>
          <w:rFonts w:ascii="Times New Roman" w:hAnsi="Times New Roman" w:cs="Times New Roman" w:eastAsia="Times New Roman" w:hint="default"/>
        </w:rPr>
        <w:t>85.03%</w:t>
      </w:r>
      <w:r>
        <w:rPr/>
        <w:t>上升至</w:t>
      </w:r>
      <w:r>
        <w:rPr>
          <w:spacing w:val="-48"/>
        </w:rPr>
        <w:t> </w:t>
      </w:r>
      <w:r>
        <w:rPr>
          <w:rFonts w:ascii="Times New Roman" w:hAnsi="Times New Roman" w:cs="Times New Roman" w:eastAsia="Times New Roman" w:hint="default"/>
        </w:rPr>
        <w:t>95.10%</w:t>
      </w:r>
      <w:r>
        <w:rPr/>
        <w:t>，对应享有长沙海图净资产的变动减少资本公积（股本溢价）</w:t>
      </w:r>
      <w:r>
        <w:rPr>
          <w:rFonts w:ascii="Times New Roman" w:hAnsi="Times New Roman" w:cs="Times New Roman" w:eastAsia="Times New Roman" w:hint="default"/>
        </w:rPr>
        <w:t>81,789.37</w:t>
      </w:r>
      <w:r>
        <w:rPr>
          <w:rFonts w:ascii="Times New Roman" w:hAnsi="Times New Roman" w:cs="Times New Roman" w:eastAsia="Times New Roman" w:hint="default"/>
          <w:spacing w:val="-2"/>
        </w:rPr>
        <w:t> </w:t>
      </w:r>
      <w:r>
        <w:rPr/>
        <w:t>元。</w:t>
      </w:r>
    </w:p>
    <w:p>
      <w:pPr>
        <w:pStyle w:val="BodyText"/>
        <w:spacing w:line="340" w:lineRule="auto" w:before="51"/>
        <w:ind w:left="513" w:right="1120"/>
        <w:jc w:val="left"/>
      </w:pPr>
      <w:r>
        <w:rPr/>
        <w:t>注</w:t>
      </w:r>
      <w:r>
        <w:rPr>
          <w:spacing w:val="-46"/>
        </w:rPr>
        <w:t> </w:t>
      </w:r>
      <w:r>
        <w:rPr>
          <w:rFonts w:ascii="Times New Roman" w:hAnsi="Times New Roman" w:cs="Times New Roman" w:eastAsia="Times New Roman" w:hint="default"/>
        </w:rPr>
        <w:t>9</w:t>
      </w:r>
      <w:r>
        <w:rPr/>
        <w:t>：本报告期，本公司下属子公司中寰卫星确认股权激励成本导致增加资本公积（其他资本公积）</w:t>
      </w:r>
      <w:r>
        <w:rPr>
          <w:rFonts w:ascii="Times New Roman" w:hAnsi="Times New Roman" w:cs="Times New Roman" w:eastAsia="Times New Roman" w:hint="default"/>
        </w:rPr>
        <w:t>1,930,200.00</w:t>
      </w:r>
      <w:r>
        <w:rPr>
          <w:rFonts w:ascii="Times New Roman" w:hAnsi="Times New Roman" w:cs="Times New Roman" w:eastAsia="Times New Roman" w:hint="default"/>
          <w:spacing w:val="1"/>
        </w:rPr>
        <w:t> </w:t>
      </w:r>
      <w:r>
        <w:rPr/>
        <w:t>元。 注</w:t>
      </w:r>
      <w:r>
        <w:rPr>
          <w:spacing w:val="-45"/>
        </w:rPr>
        <w:t> </w:t>
      </w:r>
      <w:r>
        <w:rPr>
          <w:rFonts w:ascii="Times New Roman" w:hAnsi="Times New Roman" w:cs="Times New Roman" w:eastAsia="Times New Roman" w:hint="default"/>
          <w:spacing w:val="-4"/>
        </w:rPr>
        <w:t>10</w:t>
      </w:r>
      <w:r>
        <w:rPr>
          <w:spacing w:val="-4"/>
        </w:rPr>
        <w:t>：本报告期，本公司权益法投资单位</w:t>
      </w:r>
      <w:r>
        <w:rPr>
          <w:spacing w:val="-44"/>
        </w:rPr>
        <w:t> </w:t>
      </w:r>
      <w:r>
        <w:rPr>
          <w:rFonts w:ascii="Times New Roman" w:hAnsi="Times New Roman" w:cs="Times New Roman" w:eastAsia="Times New Roman" w:hint="default"/>
        </w:rPr>
        <w:t>Mapbar</w:t>
      </w:r>
      <w:r>
        <w:rPr>
          <w:rFonts w:ascii="Times New Roman" w:hAnsi="Times New Roman" w:cs="Times New Roman" w:eastAsia="Times New Roman" w:hint="default"/>
          <w:spacing w:val="-14"/>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3"/>
        </w:rPr>
        <w:t>Ltd.</w:t>
      </w:r>
      <w:r>
        <w:rPr>
          <w:spacing w:val="-3"/>
        </w:rPr>
        <w:t>资本公积增加，导致本公司资本公积（其他资本公积）</w:t>
      </w:r>
    </w:p>
    <w:p>
      <w:pPr>
        <w:pStyle w:val="BodyText"/>
        <w:spacing w:line="228" w:lineRule="exact"/>
        <w:ind w:right="0"/>
        <w:jc w:val="left"/>
      </w:pPr>
      <w:r>
        <w:rPr/>
        <w:t>增加</w:t>
      </w:r>
      <w:r>
        <w:rPr>
          <w:spacing w:val="-46"/>
        </w:rPr>
        <w:t> </w:t>
      </w:r>
      <w:r>
        <w:rPr>
          <w:rFonts w:ascii="Times New Roman" w:hAnsi="Times New Roman" w:cs="Times New Roman" w:eastAsia="Times New Roman" w:hint="default"/>
        </w:rPr>
        <w:t>33,422,299.54</w:t>
      </w:r>
      <w:r>
        <w:rPr>
          <w:rFonts w:ascii="Times New Roman" w:hAnsi="Times New Roman" w:cs="Times New Roman" w:eastAsia="Times New Roman" w:hint="default"/>
          <w:spacing w:val="-1"/>
        </w:rPr>
        <w:t> </w:t>
      </w:r>
      <w:r>
        <w:rPr/>
        <w:t>元。</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329,751,066.30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18,883,840.00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143,861,206.35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204,773,699.95</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30,001,482.59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30,001,482.59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359,752,548.89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18,883,840.00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173,862,688.94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204,773,699.95</w:t>
            </w:r>
          </w:p>
        </w:tc>
      </w:tr>
    </w:tbl>
    <w:p>
      <w:pPr>
        <w:pStyle w:val="BodyText"/>
        <w:spacing w:line="240" w:lineRule="auto" w:before="51"/>
        <w:ind w:left="513" w:right="0"/>
        <w:jc w:val="left"/>
      </w:pPr>
      <w:r>
        <w:rPr/>
        <w:t>注</w:t>
      </w:r>
      <w:r>
        <w:rPr>
          <w:spacing w:val="-44"/>
        </w:rPr>
        <w:t> </w:t>
      </w:r>
      <w:r>
        <w:rPr>
          <w:rFonts w:ascii="Times New Roman" w:hAnsi="Times New Roman" w:cs="Times New Roman" w:eastAsia="Times New Roman" w:hint="default"/>
        </w:rPr>
        <w:t>1</w:t>
      </w:r>
      <w:r>
        <w:rPr/>
        <w:t>：如本附注“七</w:t>
      </w:r>
      <w:r>
        <w:rPr>
          <w:rFonts w:ascii="Times New Roman" w:hAnsi="Times New Roman" w:cs="Times New Roman" w:eastAsia="Times New Roman" w:hint="default"/>
        </w:rPr>
        <w:t>.53</w:t>
      </w:r>
      <w:r>
        <w:rPr/>
        <w:t>”注</w:t>
      </w:r>
      <w:r>
        <w:rPr>
          <w:spacing w:val="-44"/>
        </w:rPr>
        <w:t> </w:t>
      </w:r>
      <w:r>
        <w:rPr>
          <w:rFonts w:ascii="Times New Roman" w:hAnsi="Times New Roman" w:cs="Times New Roman" w:eastAsia="Times New Roman" w:hint="default"/>
        </w:rPr>
        <w:t>1 </w:t>
      </w:r>
      <w:r>
        <w:rPr/>
        <w:t>所述，本报告期本公司因</w:t>
      </w:r>
      <w:r>
        <w:rPr>
          <w:spacing w:val="-43"/>
        </w:rPr>
        <w:t> </w:t>
      </w:r>
      <w:r>
        <w:rPr>
          <w:rFonts w:ascii="Times New Roman" w:hAnsi="Times New Roman" w:cs="Times New Roman" w:eastAsia="Times New Roman" w:hint="default"/>
        </w:rPr>
        <w:t>2018 </w:t>
      </w:r>
      <w:r>
        <w:rPr/>
        <w:t>年限制性股票完成股权登记导致限制性股票回购义务增加</w:t>
      </w:r>
    </w:p>
    <w:p>
      <w:pPr>
        <w:pStyle w:val="BodyText"/>
        <w:spacing w:line="240" w:lineRule="auto" w:before="63"/>
        <w:ind w:right="0"/>
        <w:jc w:val="left"/>
      </w:pPr>
      <w:r>
        <w:rPr>
          <w:rFonts w:ascii="Times New Roman" w:hAnsi="Times New Roman" w:cs="Times New Roman" w:eastAsia="Times New Roman" w:hint="default"/>
          <w:spacing w:val="1"/>
        </w:rPr>
        <w:t>18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0</w:t>
      </w:r>
      <w:r>
        <w:rPr>
          <w:rFonts w:ascii="Times New Roman" w:hAnsi="Times New Roman" w:cs="Times New Roman" w:eastAsia="Times New Roman" w:hint="default"/>
        </w:rPr>
        <w:t>.00</w:t>
      </w:r>
      <w:r>
        <w:rPr>
          <w:rFonts w:ascii="Times New Roman" w:hAnsi="Times New Roman" w:cs="Times New Roman" w:eastAsia="Times New Roman" w:hint="default"/>
          <w:spacing w:val="1"/>
        </w:rPr>
        <w:t> </w:t>
      </w:r>
      <w:r>
        <w:rPr/>
        <w:t>元</w:t>
      </w:r>
      <w:r>
        <w:rPr>
          <w:spacing w:val="-82"/>
        </w:rPr>
        <w:t>；</w:t>
      </w:r>
      <w:r>
        <w:rPr/>
        <w:t>如本附</w:t>
      </w:r>
      <w:r>
        <w:rPr>
          <w:spacing w:val="-82"/>
        </w:rPr>
        <w:t>注</w:t>
      </w:r>
      <w:r>
        <w:rPr/>
        <w:t>“</w:t>
      </w:r>
      <w:r>
        <w:rPr>
          <w:spacing w:val="-1"/>
        </w:rPr>
        <w:t>七</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53</w:t>
      </w:r>
      <w:r>
        <w:rPr>
          <w:rFonts w:ascii="Times New Roman" w:hAnsi="Times New Roman" w:cs="Times New Roman" w:eastAsia="Times New Roman" w:hint="default"/>
          <w:spacing w:val="-2"/>
          <w:w w:val="99"/>
        </w:rPr>
        <w:t>"</w:t>
      </w:r>
      <w:r>
        <w:rPr/>
        <w:t>注</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3"/>
        </w:rPr>
        <w:t>及</w:t>
      </w:r>
      <w:r>
        <w:rPr/>
        <w:t>注</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所述</w:t>
      </w:r>
      <w:r>
        <w:rPr>
          <w:spacing w:val="-82"/>
        </w:rPr>
        <w:t>，</w:t>
      </w:r>
      <w:r>
        <w:rPr/>
        <w:t>因回购</w:t>
      </w:r>
      <w:r>
        <w:rPr>
          <w:spacing w:val="-3"/>
        </w:rPr>
        <w:t>注</w:t>
      </w:r>
      <w:r>
        <w:rPr/>
        <w:t>销限制性股票导致限制性股票回购义务减少</w:t>
      </w:r>
      <w:r>
        <w:rPr>
          <w:spacing w:val="-44"/>
        </w:rPr>
        <w:t> </w:t>
      </w:r>
      <w:r>
        <w:rPr>
          <w:rFonts w:ascii="Times New Roman" w:hAnsi="Times New Roman" w:cs="Times New Roman" w:eastAsia="Times New Roman" w:hint="default"/>
          <w:spacing w:val="1"/>
        </w:rPr>
        <w:t>14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3"/>
        </w:rPr>
        <w:t>元；</w:t>
      </w:r>
      <w:r>
        <w:rPr/>
      </w:r>
    </w:p>
    <w:p>
      <w:pPr>
        <w:pStyle w:val="BodyText"/>
        <w:spacing w:line="240" w:lineRule="auto" w:before="62"/>
        <w:ind w:right="0"/>
        <w:jc w:val="left"/>
      </w:pPr>
      <w:r>
        <w:rPr/>
        <w:t>因限制性股票解锁导致限制性股票回购义务减少</w:t>
      </w:r>
      <w:r>
        <w:rPr>
          <w:spacing w:val="-67"/>
        </w:rPr>
        <w:t> </w:t>
      </w:r>
      <w:r>
        <w:rPr>
          <w:rFonts w:ascii="Times New Roman" w:hAnsi="Times New Roman" w:cs="Times New Roman" w:eastAsia="Times New Roman" w:hint="default"/>
        </w:rPr>
        <w:t>127,563,383.91</w:t>
      </w:r>
      <w:r>
        <w:rPr>
          <w:rFonts w:ascii="Times New Roman" w:hAnsi="Times New Roman" w:cs="Times New Roman" w:eastAsia="Times New Roman" w:hint="default"/>
          <w:spacing w:val="-21"/>
        </w:rPr>
        <w:t> </w:t>
      </w:r>
      <w:r>
        <w:rPr/>
        <w:t>元；因未解锁股票期间宣告分红视同可撤销现金股利导致限</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制性股票回购义务减少</w:t>
      </w:r>
      <w:r>
        <w:rPr>
          <w:spacing w:val="-46"/>
        </w:rPr>
        <w:t> </w:t>
      </w:r>
      <w:r>
        <w:rPr>
          <w:rFonts w:ascii="Times New Roman" w:hAnsi="Times New Roman" w:cs="Times New Roman" w:eastAsia="Times New Roman" w:hint="default"/>
        </w:rPr>
        <w:t>1,527,985.25</w:t>
      </w:r>
      <w:r>
        <w:rPr>
          <w:rFonts w:ascii="Times New Roman" w:hAnsi="Times New Roman" w:cs="Times New Roman" w:eastAsia="Times New Roman" w:hint="default"/>
          <w:spacing w:val="1"/>
        </w:rPr>
        <w:t> </w:t>
      </w:r>
      <w:r>
        <w:rPr/>
        <w:t>元。</w:t>
      </w:r>
    </w:p>
    <w:p>
      <w:pPr>
        <w:pStyle w:val="BodyText"/>
        <w:spacing w:line="240" w:lineRule="auto" w:before="103"/>
        <w:ind w:left="0" w:right="1131"/>
        <w:jc w:val="right"/>
      </w:pPr>
      <w:r>
        <w:rPr/>
        <w:t>注</w:t>
      </w:r>
      <w:r>
        <w:rPr>
          <w:spacing w:val="-46"/>
        </w:rPr>
        <w:t> </w:t>
      </w:r>
      <w:r>
        <w:rPr>
          <w:rFonts w:ascii="Times New Roman" w:hAnsi="Times New Roman" w:cs="Times New Roman" w:eastAsia="Times New Roman" w:hint="default"/>
          <w:spacing w:val="-5"/>
        </w:rPr>
        <w:t>2</w:t>
      </w:r>
      <w:r>
        <w:rPr>
          <w:spacing w:val="-5"/>
        </w:rPr>
        <w:t>：如本附注“七</w:t>
      </w:r>
      <w:r>
        <w:rPr>
          <w:rFonts w:ascii="Times New Roman" w:hAnsi="Times New Roman" w:cs="Times New Roman" w:eastAsia="Times New Roman" w:hint="default"/>
          <w:spacing w:val="-5"/>
        </w:rPr>
        <w:t>.53</w:t>
      </w:r>
      <w:r>
        <w:rPr>
          <w:spacing w:val="-5"/>
        </w:rPr>
        <w:t>”注</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4"/>
        </w:rPr>
        <w:t>所述，公司自</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5 </w:t>
      </w:r>
      <w:r>
        <w:rPr/>
        <w:t>日通过回购专用证券账户以集中竞价交</w:t>
      </w:r>
    </w:p>
    <w:p>
      <w:pPr>
        <w:pStyle w:val="BodyText"/>
        <w:spacing w:line="309" w:lineRule="auto" w:before="63"/>
        <w:ind w:right="1131"/>
        <w:jc w:val="both"/>
      </w:pPr>
      <w:r>
        <w:rPr/>
        <w:t>易日通过回购专用证券账户以集中竞价交易方式累计回购股份数量共</w:t>
      </w:r>
      <w:r>
        <w:rPr>
          <w:spacing w:val="-42"/>
        </w:rPr>
        <w:t> </w:t>
      </w:r>
      <w:r>
        <w:rPr>
          <w:rFonts w:ascii="Times New Roman" w:hAnsi="Times New Roman" w:cs="Times New Roman" w:eastAsia="Times New Roman" w:hint="default"/>
        </w:rPr>
        <w:t>1,962,700</w:t>
      </w:r>
      <w:r>
        <w:rPr>
          <w:rFonts w:ascii="Times New Roman" w:hAnsi="Times New Roman" w:cs="Times New Roman" w:eastAsia="Times New Roman" w:hint="default"/>
          <w:spacing w:val="4"/>
        </w:rPr>
        <w:t> </w:t>
      </w:r>
      <w:r>
        <w:rPr/>
        <w:t>股，并已在中国证券登记结算有限责任公司 </w:t>
      </w:r>
      <w:r>
        <w:rPr>
          <w:spacing w:val="12"/>
        </w:rPr>
        <w:t>深圳分办理完毕份注销手续股，并已在中国证券登记结算有限责任公司深圳分办理完毕份注销手续，致库存股减少</w:t>
      </w:r>
      <w:r>
        <w:rPr/>
        <w:t> </w:t>
      </w:r>
      <w:r>
        <w:rPr>
          <w:rFonts w:ascii="Times New Roman" w:hAnsi="Times New Roman" w:cs="Times New Roman" w:eastAsia="Times New Roman" w:hint="default"/>
        </w:rPr>
        <w:t>30,001,482.59</w:t>
      </w:r>
      <w:r>
        <w:rPr>
          <w:rFonts w:ascii="Times New Roman" w:hAnsi="Times New Roman" w:cs="Times New Roman" w:eastAsia="Times New Roman" w:hint="default"/>
          <w:spacing w:val="-2"/>
        </w:rPr>
        <w:t> </w:t>
      </w:r>
      <w:r>
        <w:rPr/>
        <w:t>元。</w:t>
      </w:r>
    </w:p>
    <w:p>
      <w:pPr>
        <w:spacing w:line="240" w:lineRule="auto" w:before="6"/>
        <w:rPr>
          <w:rFonts w:ascii="宋体" w:hAnsi="宋体" w:cs="宋体" w:eastAsia="宋体" w:hint="default"/>
          <w:sz w:val="16"/>
          <w:szCs w:val="16"/>
        </w:rPr>
      </w:pPr>
    </w:p>
    <w:p>
      <w:pPr>
        <w:pStyle w:val="Heading4"/>
        <w:spacing w:line="240" w:lineRule="auto"/>
        <w:ind w:right="0"/>
        <w:jc w:val="both"/>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6"/>
        <w:gridCol w:w="975"/>
        <w:gridCol w:w="852"/>
        <w:gridCol w:w="1052"/>
        <w:gridCol w:w="852"/>
        <w:gridCol w:w="852"/>
        <w:gridCol w:w="853"/>
        <w:gridCol w:w="852"/>
        <w:gridCol w:w="727"/>
      </w:tblGrid>
      <w:tr>
        <w:trPr>
          <w:trHeight w:val="402" w:hRule="exact"/>
        </w:trPr>
        <w:tc>
          <w:tcPr>
            <w:tcW w:w="2556"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429" w:hRule="exact"/>
        </w:trPr>
        <w:tc>
          <w:tcPr>
            <w:tcW w:w="2556"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69" w:right="70"/>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4" w:lineRule="auto"/>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4" w:lineRule="auto"/>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tcBorders>
              <w:left w:val="single" w:sz="4" w:space="0" w:color="000000"/>
              <w:right w:val="single" w:sz="4" w:space="0" w:color="000000"/>
            </w:tcBorders>
            <w:shd w:val="clear" w:color="auto" w:fill="D2D2D2"/>
          </w:tcPr>
          <w:p>
            <w:pPr/>
          </w:p>
        </w:tc>
      </w:tr>
      <w:tr>
        <w:trPr>
          <w:trHeight w:val="391"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830" w:hRule="exact"/>
        </w:trPr>
        <w:tc>
          <w:tcPr>
            <w:tcW w:w="25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34,433,038.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25,063,78</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1.14</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25,063,78</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1.14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59,496,8</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19.42</w:t>
            </w:r>
          </w:p>
        </w:tc>
      </w:tr>
      <w:tr>
        <w:trPr>
          <w:trHeight w:val="715"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80"/>
              <w:jc w:val="left"/>
              <w:rPr>
                <w:rFonts w:ascii="宋体" w:hAnsi="宋体" w:cs="宋体" w:eastAsia="宋体" w:hint="default"/>
                <w:sz w:val="18"/>
                <w:szCs w:val="18"/>
              </w:rPr>
            </w:pPr>
            <w:r>
              <w:rPr>
                <w:rFonts w:ascii="宋体" w:hAnsi="宋体" w:cs="宋体" w:eastAsia="宋体" w:hint="default"/>
                <w:sz w:val="18"/>
                <w:szCs w:val="18"/>
              </w:rPr>
              <w:t>其中：重新计量设定受益计划 变动额</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权益法下不能转损益的 其他综合收益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left"/>
              <w:rPr>
                <w:rFonts w:ascii="Times New Roman" w:hAnsi="Times New Roman" w:cs="Times New Roman" w:eastAsia="Times New Roman" w:hint="default"/>
                <w:sz w:val="18"/>
                <w:szCs w:val="18"/>
              </w:rPr>
            </w:pPr>
            <w:r>
              <w:rPr>
                <w:rFonts w:ascii="Times New Roman"/>
                <w:sz w:val="18"/>
              </w:rPr>
              <w:t>11,849,38</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4.72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left"/>
              <w:rPr>
                <w:rFonts w:ascii="Times New Roman" w:hAnsi="Times New Roman" w:cs="Times New Roman" w:eastAsia="Times New Roman" w:hint="default"/>
                <w:sz w:val="18"/>
                <w:szCs w:val="18"/>
              </w:rPr>
            </w:pPr>
            <w:r>
              <w:rPr>
                <w:rFonts w:ascii="Times New Roman"/>
                <w:sz w:val="18"/>
              </w:rPr>
              <w:t>11,849,38</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4.72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11,849,3</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84.72</w:t>
            </w:r>
          </w:p>
        </w:tc>
      </w:tr>
      <w:tr>
        <w:trPr>
          <w:trHeight w:val="716"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18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其他权益工具投资公允 价值变动</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34,433,038.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13,214,39</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6.42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13,214,39</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6.42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47,647,4</w:t>
            </w:r>
          </w:p>
          <w:p>
            <w:pPr>
              <w:pStyle w:val="TableParagraph"/>
              <w:spacing w:line="240" w:lineRule="auto" w:before="102"/>
              <w:ind w:left="288" w:right="0"/>
              <w:jc w:val="left"/>
              <w:rPr>
                <w:rFonts w:ascii="Times New Roman" w:hAnsi="Times New Roman" w:cs="Times New Roman" w:eastAsia="Times New Roman" w:hint="default"/>
                <w:sz w:val="18"/>
                <w:szCs w:val="18"/>
              </w:rPr>
            </w:pPr>
            <w:r>
              <w:rPr>
                <w:rFonts w:ascii="Times New Roman"/>
                <w:sz w:val="18"/>
              </w:rPr>
              <w:t>34.70</w:t>
            </w: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企业自身信用风险公允 价值变动</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8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13,581,178.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796,573.4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796,573.4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14,377,7</w:t>
            </w:r>
          </w:p>
          <w:p>
            <w:pPr>
              <w:pStyle w:val="TableParagraph"/>
              <w:spacing w:line="240" w:lineRule="auto" w:before="102"/>
              <w:ind w:left="288" w:right="0"/>
              <w:jc w:val="left"/>
              <w:rPr>
                <w:rFonts w:ascii="Times New Roman" w:hAnsi="Times New Roman" w:cs="Times New Roman" w:eastAsia="Times New Roman" w:hint="default"/>
                <w:sz w:val="18"/>
                <w:szCs w:val="18"/>
              </w:rPr>
            </w:pPr>
            <w:r>
              <w:rPr>
                <w:rFonts w:ascii="Times New Roman"/>
                <w:sz w:val="18"/>
              </w:rPr>
              <w:t>51.63</w:t>
            </w:r>
          </w:p>
        </w:tc>
      </w:tr>
      <w:tr>
        <w:trPr>
          <w:trHeight w:val="161" w:hRule="exact"/>
        </w:trPr>
        <w:tc>
          <w:tcPr>
            <w:tcW w:w="25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tcPr>
          <w:p>
            <w:pPr>
              <w:pStyle w:val="TableParagraph"/>
              <w:spacing w:line="362" w:lineRule="auto" w:before="93"/>
              <w:ind w:left="88" w:right="19" w:firstLine="795"/>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2,847,128.7</w:t>
            </w:r>
          </w:p>
          <w:p>
            <w:pPr>
              <w:pStyle w:val="TableParagraph"/>
              <w:spacing w:line="240" w:lineRule="auto" w:before="3"/>
              <w:ind w:right="20"/>
              <w:jc w:val="right"/>
              <w:rPr>
                <w:rFonts w:ascii="Times New Roman" w:hAnsi="Times New Roman" w:cs="Times New Roman" w:eastAsia="Times New Roman" w:hint="default"/>
                <w:sz w:val="18"/>
                <w:szCs w:val="18"/>
              </w:rPr>
            </w:pPr>
            <w:r>
              <w:rPr>
                <w:rFonts w:ascii="Times New Roman"/>
                <w:sz w:val="18"/>
              </w:rPr>
              <w:t>2</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648,142.9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0.00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0.00</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648,142.9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0.00</w:t>
            </w:r>
          </w:p>
        </w:tc>
        <w:tc>
          <w:tcPr>
            <w:tcW w:w="727" w:type="dxa"/>
            <w:vMerge w:val="restart"/>
            <w:tcBorders>
              <w:top w:val="single" w:sz="4" w:space="0" w:color="000000"/>
              <w:left w:val="single" w:sz="4" w:space="0" w:color="000000"/>
              <w:right w:val="single" w:sz="4" w:space="0" w:color="000000"/>
            </w:tcBorders>
          </w:tcPr>
          <w:p>
            <w:pPr>
              <w:pStyle w:val="TableParagraph"/>
              <w:spacing w:line="362" w:lineRule="auto" w:before="93"/>
              <w:ind w:left="62" w:right="21" w:firstLine="57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2,198,98</w:t>
            </w:r>
          </w:p>
          <w:p>
            <w:pPr>
              <w:pStyle w:val="TableParagraph"/>
              <w:spacing w:line="240" w:lineRule="auto" w:before="3"/>
              <w:ind w:left="379" w:right="0"/>
              <w:jc w:val="left"/>
              <w:rPr>
                <w:rFonts w:ascii="Times New Roman" w:hAnsi="Times New Roman" w:cs="Times New Roman" w:eastAsia="Times New Roman" w:hint="default"/>
                <w:sz w:val="18"/>
                <w:szCs w:val="18"/>
              </w:rPr>
            </w:pPr>
            <w:r>
              <w:rPr>
                <w:rFonts w:ascii="Times New Roman"/>
                <w:sz w:val="18"/>
              </w:rPr>
              <w:t>5.80</w:t>
            </w:r>
          </w:p>
        </w:tc>
      </w:tr>
      <w:tr>
        <w:trPr>
          <w:trHeight w:val="703"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其中：权益法下可转损益的其 他综合收益</w:t>
            </w:r>
          </w:p>
        </w:tc>
        <w:tc>
          <w:tcPr>
            <w:tcW w:w="97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716"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8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其他债权投资公允价值 变动</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金融资产重分类计入其 他综合收益的金额</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8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其他债权投资信用减值 准备</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现金流量套期储备</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25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16,428,306.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148,430.5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0.00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0.00</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148,430.5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0.00</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16,576,7</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37.43</w:t>
            </w:r>
          </w:p>
        </w:tc>
      </w:tr>
      <w:tr>
        <w:trPr>
          <w:trHeight w:val="394"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外币财务报表折算差额</w:t>
            </w:r>
          </w:p>
        </w:tc>
        <w:tc>
          <w:tcPr>
            <w:tcW w:w="97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852"/>
        <w:gridCol w:w="1052"/>
        <w:gridCol w:w="852"/>
        <w:gridCol w:w="852"/>
        <w:gridCol w:w="853"/>
        <w:gridCol w:w="852"/>
        <w:gridCol w:w="727"/>
      </w:tblGrid>
      <w:tr>
        <w:trPr>
          <w:trHeight w:val="716"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48,014,216.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0" w:right="0"/>
              <w:jc w:val="left"/>
              <w:rPr>
                <w:rFonts w:ascii="Times New Roman" w:hAnsi="Times New Roman" w:cs="Times New Roman" w:eastAsia="Times New Roman" w:hint="default"/>
                <w:sz w:val="18"/>
                <w:szCs w:val="18"/>
              </w:rPr>
            </w:pPr>
            <w:r>
              <w:rPr>
                <w:rFonts w:ascii="Times New Roman"/>
                <w:sz w:val="18"/>
              </w:rPr>
              <w:t>25,860,35</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4.56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0" w:right="0"/>
              <w:jc w:val="left"/>
              <w:rPr>
                <w:rFonts w:ascii="Times New Roman" w:hAnsi="Times New Roman" w:cs="Times New Roman" w:eastAsia="Times New Roman" w:hint="default"/>
                <w:sz w:val="18"/>
                <w:szCs w:val="18"/>
              </w:rPr>
            </w:pPr>
            <w:r>
              <w:rPr>
                <w:rFonts w:ascii="Times New Roman"/>
                <w:sz w:val="18"/>
              </w:rPr>
              <w:t>25,860,35</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4.56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2" w:right="0"/>
              <w:jc w:val="left"/>
              <w:rPr>
                <w:rFonts w:ascii="Times New Roman" w:hAnsi="Times New Roman" w:cs="Times New Roman" w:eastAsia="Times New Roman" w:hint="default"/>
                <w:sz w:val="18"/>
                <w:szCs w:val="18"/>
              </w:rPr>
            </w:pPr>
            <w:r>
              <w:rPr>
                <w:rFonts w:ascii="Times New Roman"/>
                <w:sz w:val="18"/>
              </w:rPr>
              <w:t>73,874,5</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71.05</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109,115,366.29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109,115,366.29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109,115,366.29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109,115,366.29</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726"/>
        <w:gridCol w:w="2924"/>
        <w:gridCol w:w="2919"/>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1,535,012,703.46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1,110,939,772.85</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24,027,833.79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1,559,040,537.25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1,110,939,772.85</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339,184,565.86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479,070,711.85</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提取任意盈余公积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提取一般风险准备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18,316,346.44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54,997,781.24</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转作股本的普通股股利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1,879,908,756.67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1,535,012,703.46</w:t>
            </w:r>
          </w:p>
        </w:tc>
      </w:tr>
    </w:tbl>
    <w:p>
      <w:pPr>
        <w:pStyle w:val="BodyText"/>
        <w:spacing w:line="240" w:lineRule="auto" w:before="49"/>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24,027,833.79</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2,279,568,319.52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706,905,564.46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2,124,961,092.07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622,274,286.73</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30,174,324.45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16,635,990.23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8,698,021.91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3,910,535.55</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2,309,742,643.97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723,541,554.69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2,133,659,113.98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626,184,822.28</w:t>
            </w:r>
          </w:p>
        </w:tc>
      </w:tr>
    </w:tbl>
    <w:p>
      <w:pPr>
        <w:pStyle w:val="BodyText"/>
        <w:spacing w:line="240" w:lineRule="auto" w:before="49"/>
        <w:ind w:right="0"/>
        <w:jc w:val="left"/>
      </w:pPr>
      <w:r>
        <w:rPr/>
        <w:t>是否已执行新收入准则</w:t>
      </w:r>
    </w:p>
    <w:p>
      <w:pPr>
        <w:pStyle w:val="BodyText"/>
        <w:spacing w:line="350" w:lineRule="auto" w:before="117"/>
        <w:ind w:right="98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 无</w:t>
      </w:r>
    </w:p>
    <w:p>
      <w:pPr>
        <w:spacing w:line="240" w:lineRule="auto" w:before="10"/>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7,031,890.89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6,323,200.66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3,025,085.81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2,712,467.08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7,073,579.98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7,999,049.30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80,394.41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-18,354.72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113,374.17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91,485.62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1,431,936.31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1,280,995.64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1,952,647.64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1,740,125.14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430,042.23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572,061.13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21,138,951.44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20,701,029.85</w:t>
            </w:r>
          </w:p>
        </w:tc>
      </w:tr>
    </w:tbl>
    <w:p>
      <w:pPr>
        <w:spacing w:line="240" w:lineRule="auto" w:before="6"/>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62,593,330.67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68,576,106.32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34,224,861.12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35,513,474.42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特许权使用费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10,775,390.52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13,185,655.15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广告展览及服务费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5,943,448.68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5,622,324.78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1,073,400.38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4,618,573.88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833,880.88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449,245.00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4,286,467.06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3,592,753.46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119,730,779.31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131,558,133.01</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228,654,006.70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231,821,398.89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日常办公及耗材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31,105,966.09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30,001,053.12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29,143,168.29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73,064,988.59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23,524,514.92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20,361,688.64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房租水电装修费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23,717,065.52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37,954,942.64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19,634,185.97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33,248,499.54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12,505,952.44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15,267,751.74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技术支持费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11,481,332.99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13,208,575.98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8,499,176.14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7,732,160.00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10,481,905.13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15,495,982.86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398,747,274.19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478,157,042.00</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65</w:t>
      </w:r>
      <w:r>
        <w:rPr/>
        <w:t>、研发费用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702,087,801.00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787,219,434.10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技术支持费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210,089,922.56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118,940,401.84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134,631,167.35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226,248,737.97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日常办公及耗材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33,134,746.32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32,662,211.27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33,544,706.54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43,066,241.13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33,578,078.89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25,676,332.23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房租水电装修费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20,844,615.82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18,252,995.64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2,509,833.55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5,726,854.42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2,379,627.03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2,541,994.58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16,789,132.46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16,100,692.23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1,189,589,631.52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1,276,435,895.41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66</w:t>
      </w:r>
      <w:r>
        <w:rPr/>
        <w:t>、财务费用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19,916,814.82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19,199,157.21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25,453,617.49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47,673,844.71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666,801.05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-2,603,199.69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519,693.61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528,887.30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-4,350,308.01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-30,548,999.89</w:t>
            </w:r>
          </w:p>
        </w:tc>
      </w:tr>
    </w:tbl>
    <w:p>
      <w:pPr>
        <w:spacing w:line="240" w:lineRule="auto" w:before="6"/>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67</w:t>
      </w:r>
      <w:r>
        <w:rPr/>
        <w:t>、其他收益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87,782,333.76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45,572,134.36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43,440,437.71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65,578,532.66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代扣税费手续费返还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6,339,202.40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加计抵减进项税额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1,688,670.23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139,250,644.10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111,150,667.02</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459"/>
        <w:gridCol w:w="3192"/>
        <w:gridCol w:w="2917"/>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-223,074,985.26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-16,506,990.52</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14,631,867.42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307,610,485.89</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387,847.00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5,985,000.00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183"/>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 收入</w:t>
            </w:r>
          </w:p>
        </w:tc>
        <w:tc>
          <w:tcPr>
            <w:tcW w:w="31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30,111,425.47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25,754,254.43</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1,183,069.00</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6,520,000.00</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处置持有至到期投资取得的投资收益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31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427,500,000.00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770,083,080.90</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债权投资在持有期间取得的利息收入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459"/>
        <w:gridCol w:w="3192"/>
        <w:gridCol w:w="2917"/>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其他债权投资在持有期间取得的利息收入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处置其他债权投资取得的投资收益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处置交易性金融负债取得的投资收益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615,921,759.91</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255,541,154.63</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1,710,565,659.61</w:t>
            </w:r>
          </w:p>
        </w:tc>
      </w:tr>
    </w:tbl>
    <w:p>
      <w:pPr>
        <w:pStyle w:val="BodyText"/>
        <w:spacing w:line="240" w:lineRule="auto" w:before="49"/>
        <w:ind w:right="0"/>
        <w:jc w:val="left"/>
      </w:pPr>
      <w:r>
        <w:rPr/>
        <w:t>其他说明</w:t>
      </w:r>
    </w:p>
    <w:p>
      <w:pPr>
        <w:pStyle w:val="BodyText"/>
        <w:spacing w:line="300" w:lineRule="auto" w:before="117"/>
        <w:ind w:right="1261" w:firstLine="360"/>
        <w:jc w:val="left"/>
      </w:pPr>
      <w:r>
        <w:rPr/>
        <w:t>注</w:t>
      </w:r>
      <w:r>
        <w:rPr>
          <w:spacing w:val="-47"/>
        </w:rPr>
        <w:t> </w:t>
      </w:r>
      <w:r>
        <w:rPr>
          <w:rFonts w:ascii="Times New Roman" w:hAnsi="Times New Roman" w:cs="Times New Roman" w:eastAsia="Times New Roman" w:hint="default"/>
        </w:rPr>
        <w:t>1</w:t>
      </w:r>
      <w:r>
        <w:rPr/>
        <w:t>：因第三方股东对六分科技增资导致公司对六分科技丧失控制权，相关“丧失控制权后，剩余股权按公允价值重 新计量产生的利得”及“处置长期股权投资产生的投资收益”详见本附注“八、</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处置子公司”所述。</w:t>
      </w:r>
    </w:p>
    <w:p>
      <w:pPr>
        <w:spacing w:line="240" w:lineRule="auto" w:before="3"/>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69</w:t>
      </w:r>
      <w:r>
        <w:rPr/>
        <w:t>、净敞口套期收益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70</w:t>
      </w:r>
      <w:r>
        <w:rPr/>
        <w:t>、公允价值变动收益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其中：衍生金融工具产生的公允价 值变动收益</w:t>
            </w:r>
          </w:p>
        </w:tc>
        <w:tc>
          <w:tcPr>
            <w:tcW w:w="3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71</w:t>
      </w:r>
      <w:r>
        <w:rPr/>
        <w:t>、信用减值损失</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-52,777.80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债权投资减值损失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其他债权投资减值损失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合同资产减值损失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-12,942,124.02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-13,004,475.55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72</w:t>
      </w:r>
      <w:r>
        <w:rPr/>
        <w:t>、资产减值损失</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8"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-19,457,668.16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-721,590.54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-248,627.78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-4,074.19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-925,460,757.97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-945,892,718.64</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73</w:t>
      </w:r>
      <w:r>
        <w:rPr/>
        <w:t>、资产处置收益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-719,981.28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-317,546.55</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24" w:right="44" w:firstLine="634"/>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未划分为持有待售的非流 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-719,981.28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-317,546.55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35"/>
              <w:jc w:val="right"/>
              <w:rPr>
                <w:rFonts w:ascii="宋体" w:hAnsi="宋体" w:cs="宋体" w:eastAsia="宋体" w:hint="default"/>
                <w:sz w:val="18"/>
                <w:szCs w:val="18"/>
              </w:rPr>
            </w:pPr>
            <w:r>
              <w:rPr>
                <w:rFonts w:ascii="宋体" w:hAnsi="宋体" w:cs="宋体" w:eastAsia="宋体" w:hint="default"/>
                <w:spacing w:val="-1"/>
                <w:sz w:val="18"/>
                <w:szCs w:val="18"/>
              </w:rPr>
              <w:t>其中</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-719,981.28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-108,144.86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35"/>
              <w:jc w:val="right"/>
              <w:rPr>
                <w:rFonts w:ascii="宋体" w:hAnsi="宋体" w:cs="宋体" w:eastAsia="宋体" w:hint="default"/>
                <w:sz w:val="18"/>
                <w:szCs w:val="18"/>
              </w:rPr>
            </w:pPr>
            <w:r>
              <w:rPr>
                <w:rFonts w:ascii="宋体" w:hAnsi="宋体" w:cs="宋体" w:eastAsia="宋体" w:hint="default"/>
                <w:spacing w:val="-1"/>
                <w:sz w:val="18"/>
                <w:szCs w:val="18"/>
              </w:rPr>
              <w:t>其中</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无形资产处置收益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-209,401.69</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74</w:t>
      </w:r>
      <w:r>
        <w:rPr/>
        <w:t>、营业外收入</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2393"/>
        <w:gridCol w:w="2391"/>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2"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2393"/>
        <w:gridCol w:w="2391"/>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1,214,536.38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962,169.95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1,214,536.38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无法支付的应付款项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1,256,080.00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56,820.84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1,256,080.00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51,035.64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307,354.29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51,035.64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2,521,652.02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1,326,345.08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2,521,652.02</w:t>
            </w:r>
          </w:p>
        </w:tc>
      </w:tr>
    </w:tbl>
    <w:p>
      <w:pPr>
        <w:pStyle w:val="BodyText"/>
        <w:spacing w:line="240" w:lineRule="auto" w:before="49"/>
        <w:ind w:right="0"/>
        <w:jc w:val="left"/>
      </w:pPr>
      <w:r>
        <w:rPr/>
        <w:t>计入当期损益的政府补助：</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066"/>
        <w:gridCol w:w="1061"/>
        <w:gridCol w:w="1064"/>
        <w:gridCol w:w="1063"/>
        <w:gridCol w:w="1064"/>
        <w:gridCol w:w="1063"/>
        <w:gridCol w:w="1063"/>
        <w:gridCol w:w="1064"/>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76" w:right="75"/>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36" w:right="74"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36"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5"/>
              <w:jc w:val="left"/>
              <w:rPr>
                <w:rFonts w:ascii="宋体" w:hAnsi="宋体" w:cs="宋体" w:eastAsia="宋体" w:hint="default"/>
                <w:sz w:val="18"/>
                <w:szCs w:val="18"/>
              </w:rPr>
            </w:pPr>
            <w:r>
              <w:rPr>
                <w:rFonts w:ascii="宋体" w:hAnsi="宋体" w:cs="宋体" w:eastAsia="宋体" w:hint="default"/>
                <w:sz w:val="18"/>
                <w:szCs w:val="18"/>
              </w:rPr>
              <w:t>人力资源和 社会保障 局、海淀社 保局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1,117,880.13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589,082.25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28"/>
              <w:ind w:left="24"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年专利 资助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25"/>
              <w:jc w:val="left"/>
              <w:rPr>
                <w:rFonts w:ascii="宋体" w:hAnsi="宋体" w:cs="宋体" w:eastAsia="宋体" w:hint="default"/>
                <w:sz w:val="18"/>
                <w:szCs w:val="18"/>
              </w:rPr>
            </w:pPr>
            <w:r>
              <w:rPr>
                <w:rFonts w:ascii="宋体" w:hAnsi="宋体" w:cs="宋体" w:eastAsia="宋体" w:hint="default"/>
                <w:sz w:val="18"/>
                <w:szCs w:val="18"/>
              </w:rPr>
              <w:t>北京市知识 产权局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上海市残疾 人就业超比 例奖金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25"/>
              <w:jc w:val="both"/>
              <w:rPr>
                <w:rFonts w:ascii="宋体" w:hAnsi="宋体" w:cs="宋体" w:eastAsia="宋体" w:hint="default"/>
                <w:sz w:val="18"/>
                <w:szCs w:val="18"/>
              </w:rPr>
            </w:pPr>
            <w:r>
              <w:rPr>
                <w:rFonts w:ascii="宋体" w:hAnsi="宋体" w:cs="宋体" w:eastAsia="宋体" w:hint="default"/>
                <w:sz w:val="18"/>
                <w:szCs w:val="18"/>
              </w:rPr>
              <w:t>上海市残疾 人就业服务 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17,156.25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10,687.70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30"/>
              <w:jc w:val="left"/>
              <w:rPr>
                <w:rFonts w:ascii="宋体" w:hAnsi="宋体" w:cs="宋体" w:eastAsia="宋体" w:hint="default"/>
                <w:sz w:val="18"/>
                <w:szCs w:val="18"/>
              </w:rPr>
            </w:pPr>
            <w:r>
              <w:rPr>
                <w:rFonts w:ascii="宋体" w:hAnsi="宋体" w:cs="宋体" w:eastAsia="宋体" w:hint="default"/>
                <w:sz w:val="18"/>
                <w:szCs w:val="18"/>
              </w:rPr>
              <w:t>岗位补贴及 超比例奖金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25"/>
              <w:jc w:val="both"/>
              <w:rPr>
                <w:rFonts w:ascii="宋体" w:hAnsi="宋体" w:cs="宋体" w:eastAsia="宋体" w:hint="default"/>
                <w:sz w:val="18"/>
                <w:szCs w:val="18"/>
              </w:rPr>
            </w:pPr>
            <w:r>
              <w:rPr>
                <w:rFonts w:ascii="宋体" w:hAnsi="宋体" w:cs="宋体" w:eastAsia="宋体" w:hint="default"/>
                <w:sz w:val="18"/>
                <w:szCs w:val="18"/>
              </w:rPr>
              <w:t>海淀区残疾 人劳动就业 管理服务所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30"/>
              <w:jc w:val="left"/>
              <w:rPr>
                <w:rFonts w:ascii="宋体" w:hAnsi="宋体" w:cs="宋体" w:eastAsia="宋体" w:hint="default"/>
                <w:sz w:val="18"/>
                <w:szCs w:val="18"/>
              </w:rPr>
            </w:pPr>
            <w:r>
              <w:rPr>
                <w:rFonts w:ascii="宋体" w:hAnsi="宋体" w:cs="宋体" w:eastAsia="宋体" w:hint="default"/>
                <w:sz w:val="18"/>
                <w:szCs w:val="18"/>
              </w:rPr>
              <w:t>高层次人才 专项资金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25"/>
              <w:jc w:val="left"/>
              <w:rPr>
                <w:rFonts w:ascii="宋体" w:hAnsi="宋体" w:cs="宋体" w:eastAsia="宋体" w:hint="default"/>
                <w:sz w:val="18"/>
                <w:szCs w:val="18"/>
              </w:rPr>
            </w:pPr>
            <w:r>
              <w:rPr>
                <w:rFonts w:ascii="宋体" w:hAnsi="宋体" w:cs="宋体" w:eastAsia="宋体" w:hint="default"/>
                <w:sz w:val="18"/>
                <w:szCs w:val="18"/>
              </w:rPr>
              <w:t>高新区经贸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老旧汽车淘 汰更新补贴 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25"/>
              <w:jc w:val="left"/>
              <w:rPr>
                <w:rFonts w:ascii="宋体" w:hAnsi="宋体" w:cs="宋体" w:eastAsia="宋体" w:hint="default"/>
                <w:sz w:val="18"/>
                <w:szCs w:val="18"/>
              </w:rPr>
            </w:pPr>
            <w:r>
              <w:rPr>
                <w:rFonts w:ascii="宋体" w:hAnsi="宋体" w:cs="宋体" w:eastAsia="宋体" w:hint="default"/>
                <w:sz w:val="18"/>
                <w:szCs w:val="18"/>
              </w:rPr>
              <w:t>北京市环境 保护局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75</w:t>
      </w:r>
      <w:r>
        <w:rPr/>
        <w:t>、营业外支出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2393"/>
        <w:gridCol w:w="2391"/>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2"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688,704.71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873,182.50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688,704.71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赔偿金、违约金及罚款支出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131,409.03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27,524.03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131,409.03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8,067.57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397,431.48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8,067.57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828,181.31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1,298,138.01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828,181.31</w:t>
            </w:r>
          </w:p>
        </w:tc>
      </w:tr>
    </w:tbl>
    <w:p>
      <w:pPr>
        <w:spacing w:line="240" w:lineRule="auto" w:before="6"/>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76</w:t>
      </w:r>
      <w:r>
        <w:rPr/>
        <w:t>、所得税费用</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-59,958,521.71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132,833,849.05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17,588,850.51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-3,546,614.45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-42,369,671.20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129,287,234.60</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79"/>
        <w:gridCol w:w="4789"/>
      </w:tblGrid>
      <w:tr>
        <w:trPr>
          <w:trHeight w:val="39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264,105,573.44</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39,615,836.02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-4,238,486.32</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-84,264,638.10</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-25,410,683.03</w:t>
            </w:r>
            <w:r>
              <w:rPr>
                <w:rFonts w:ascii="Times New Roman"/>
                <w:sz w:val="18"/>
              </w:rPr>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7,583,057.24</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-3,509,429.18</w:t>
            </w:r>
          </w:p>
        </w:tc>
      </w:tr>
      <w:tr>
        <w:trPr>
          <w:trHeight w:val="71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27,854,672.17</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-42,369,671.20</w:t>
            </w:r>
          </w:p>
        </w:tc>
      </w:tr>
    </w:tbl>
    <w:p>
      <w:pPr>
        <w:pStyle w:val="BodyText"/>
        <w:spacing w:line="316" w:lineRule="auto" w:before="51"/>
        <w:ind w:right="1214"/>
        <w:jc w:val="left"/>
      </w:pPr>
      <w:r>
        <w:rPr/>
        <w:t>注：调整以前期间所得税的影响主要系免税、减计收入及加计扣除、境外所得可抵免税额及其他纳税调整事项等所得税汇 算清缴因素对以前期间所得税的影响所致。</w:t>
      </w:r>
    </w:p>
    <w:p>
      <w:pPr>
        <w:spacing w:after="0" w:line="316"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77</w:t>
      </w:r>
      <w:r>
        <w:rPr/>
        <w:t>、其他综合收益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详见附注</w:t>
      </w:r>
      <w:r>
        <w:rPr>
          <w:rFonts w:ascii="Times New Roman" w:hAnsi="Times New Roman" w:cs="Times New Roman" w:eastAsia="Times New Roman" w:hint="default"/>
        </w:rPr>
        <w:t>“</w:t>
      </w:r>
      <w:r>
        <w:rPr/>
        <w:t>七、</w:t>
      </w:r>
      <w:r>
        <w:rPr>
          <w:rFonts w:ascii="Times New Roman" w:hAnsi="Times New Roman" w:cs="Times New Roman" w:eastAsia="Times New Roman" w:hint="default"/>
        </w:rPr>
        <w:t>57”</w:t>
      </w:r>
      <w:r>
        <w:rPr/>
        <w:t>相关内容。</w:t>
      </w:r>
    </w:p>
    <w:p>
      <w:pPr>
        <w:spacing w:line="240" w:lineRule="auto" w:before="11"/>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78</w:t>
      </w:r>
      <w:r>
        <w:rPr/>
        <w:t>、现金流量表项目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项目拨款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76,239,594.03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39,930,380.60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保证金、往来款、备用金等收回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24,044,781.93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50,037,076.81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23,480,966.40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34,589,667.42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代收代交分红个人所得税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16,037,417.84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15,170,970.76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4,838,289.42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13,291,716.12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144,641,049.62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153,019,811.71</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数据费及技术咨询服务费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124,547,535.02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112,256,975.92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保证金、备用金、往来款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120,059,862.91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126,428,527.35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房租水电装修费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70,471,638.44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63,961,537.63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差旅交通车辆费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56,563,372.19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76,233,390.76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展会、会议及招待费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46,816,118.56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45,279,530.42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日常办公及耗材</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15,940,174.44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19,032,269.37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代收代交分红个人所得税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15,839,858.64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16,197,147.48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9,589,415.93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29,907,663.54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网络、通讯及网站维护费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7,897,047.77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20,319,421.70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22,919,769.87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16,331,786.47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490,644,793.77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525,948,250.64</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收回银行定期存款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92,940,844.00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3" w:right="0"/>
              <w:jc w:val="left"/>
              <w:rPr>
                <w:rFonts w:ascii="Times New Roman" w:hAnsi="Times New Roman" w:cs="Times New Roman" w:eastAsia="Times New Roman" w:hint="default"/>
                <w:sz w:val="18"/>
                <w:szCs w:val="18"/>
              </w:rPr>
            </w:pPr>
            <w:r>
              <w:rPr>
                <w:rFonts w:ascii="Times New Roman"/>
                <w:sz w:val="18"/>
              </w:rPr>
              <w:t>1,571,116,328.54</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8,398,989.25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41,175,526.93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收回借款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19,783,000.00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101,339,833.25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1,632,074,855.47</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银行定期存款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13,315,200.00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30,844,695.96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48,659.52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13,363,859.52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30,844,695.96</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代收代交分红个人所得税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1,209,824.50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2,104,620.60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28,516.37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1,209,824.50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2,133,136.97</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支付股票回购款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14,580,041.86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31,420,039.70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代收代交分红个人所得税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1,285,476.62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1,381,338.86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支付分红手续费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533,712.40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子公司支付少数股东股权回购款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62,281,956.32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16,399,230.88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95,083,334.88</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79</w:t>
      </w:r>
      <w:r>
        <w:rPr/>
        <w:t>、现金流量表补充资料</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362"/>
        <w:gridCol w:w="2604"/>
        <w:gridCol w:w="2602"/>
      </w:tblGrid>
      <w:tr>
        <w:trPr>
          <w:trHeight w:val="401"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8"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净利润</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5" w:right="0"/>
              <w:jc w:val="left"/>
              <w:rPr>
                <w:rFonts w:ascii="Times New Roman" w:hAnsi="Times New Roman" w:cs="Times New Roman" w:eastAsia="Times New Roman" w:hint="default"/>
                <w:sz w:val="18"/>
                <w:szCs w:val="18"/>
              </w:rPr>
            </w:pPr>
            <w:r>
              <w:rPr>
                <w:rFonts w:ascii="Times New Roman"/>
                <w:sz w:val="18"/>
              </w:rPr>
              <w:t>306,475,244.64</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5" w:right="0"/>
              <w:jc w:val="left"/>
              <w:rPr>
                <w:rFonts w:ascii="Times New Roman" w:hAnsi="Times New Roman" w:cs="Times New Roman" w:eastAsia="Times New Roman" w:hint="default"/>
                <w:sz w:val="18"/>
                <w:szCs w:val="18"/>
              </w:rPr>
            </w:pPr>
            <w:r>
              <w:rPr>
                <w:rFonts w:ascii="Times New Roman"/>
                <w:sz w:val="18"/>
              </w:rPr>
              <w:t>377,418,225.23</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4362"/>
        <w:gridCol w:w="2604"/>
        <w:gridCol w:w="2602"/>
      </w:tblGrid>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加：资产减值准备</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13,004,475.55</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945,892,718.64</w:t>
            </w:r>
          </w:p>
        </w:tc>
      </w:tr>
      <w:tr>
        <w:trPr>
          <w:trHeight w:val="714"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1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固定资产折旧、油气资产折耗、生产性生物 资产折旧</w:t>
            </w:r>
          </w:p>
        </w:tc>
        <w:tc>
          <w:tcPr>
            <w:tcW w:w="2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63,537,156.84</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69,545,683.21</w:t>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使用权资产折旧</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145,789,375.06</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209,680,175.44</w:t>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16,823,390.24</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96,325,169.04</w:t>
            </w:r>
          </w:p>
        </w:tc>
      </w:tr>
      <w:tr>
        <w:trPr>
          <w:trHeight w:val="714"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1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处置固定资产、无形资产和其他长期资产的 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719,981.28</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317,546.55</w:t>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17,571,352.92</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2,521,837.02</w:t>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-255,541,154.63</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-1,710,565,659.61</w:t>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17,588,850.51</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-3,546,614.45</w:t>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-10,504,251.78</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-7,838,267.12</w:t>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-252,188,103.70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213,668,992.07</w:t>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-40,811,256.06</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148,962,555.07</w:t>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32,104,384.63</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28,367,309.50</w:t>
            </w:r>
          </w:p>
        </w:tc>
      </w:tr>
      <w:tr>
        <w:trPr>
          <w:trHeight w:val="408"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经营活动产生的现金流量净额</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34,569,445.50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370,749,670.59</w:t>
            </w:r>
          </w:p>
        </w:tc>
      </w:tr>
      <w:tr>
        <w:trPr>
          <w:trHeight w:val="391"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236" w:right="0"/>
              <w:jc w:val="left"/>
              <w:rPr>
                <w:rFonts w:ascii="Times New Roman" w:hAnsi="Times New Roman" w:cs="Times New Roman" w:eastAsia="Times New Roman" w:hint="default"/>
                <w:sz w:val="18"/>
                <w:szCs w:val="18"/>
              </w:rPr>
            </w:pPr>
            <w:r>
              <w:rPr>
                <w:rFonts w:ascii="Times New Roman"/>
                <w:sz w:val="18"/>
              </w:rPr>
              <w:t>--</w:t>
            </w:r>
          </w:p>
        </w:tc>
        <w:tc>
          <w:tcPr>
            <w:tcW w:w="2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236" w:right="0"/>
              <w:jc w:val="left"/>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债务转为资本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一年内到期的可转换公司债券</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8"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融资租入固定资产</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1"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236" w:right="0"/>
              <w:jc w:val="left"/>
              <w:rPr>
                <w:rFonts w:ascii="Times New Roman" w:hAnsi="Times New Roman" w:cs="Times New Roman" w:eastAsia="Times New Roman" w:hint="default"/>
                <w:sz w:val="18"/>
                <w:szCs w:val="18"/>
              </w:rPr>
            </w:pPr>
            <w:r>
              <w:rPr>
                <w:rFonts w:ascii="Times New Roman"/>
                <w:sz w:val="18"/>
              </w:rPr>
              <w:t>--</w:t>
            </w:r>
          </w:p>
        </w:tc>
        <w:tc>
          <w:tcPr>
            <w:tcW w:w="2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236" w:right="0"/>
              <w:jc w:val="left"/>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现金的期末余额</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1,537,172,579.51</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2,009,445,465.65</w:t>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减：现金的期初余额</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2,009,445,465.65</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1,469,211,491.56</w:t>
            </w:r>
          </w:p>
        </w:tc>
      </w:tr>
      <w:tr>
        <w:trPr>
          <w:trHeight w:val="403"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加：现金等价物的期末余额</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41,703,705.08</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72,354,286.80</w:t>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减：现金等价物的期初余额</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72,354,286.80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220,764,018.40</w:t>
            </w:r>
          </w:p>
        </w:tc>
      </w:tr>
      <w:tr>
        <w:trPr>
          <w:trHeight w:val="403"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现金及现金等价物净增加额</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-502,923,467.86</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391,824,242.49</w:t>
            </w:r>
          </w:p>
        </w:tc>
      </w:tr>
    </w:tbl>
    <w:p>
      <w:pPr>
        <w:pStyle w:val="BodyText"/>
        <w:spacing w:line="240" w:lineRule="auto" w:before="49"/>
        <w:ind w:right="0"/>
        <w:jc w:val="left"/>
      </w:pPr>
      <w:r>
        <w:rPr/>
        <w:t>注：其他是以权益结算的股东支付，按照授予日公允价值在员工提供服务期间分期计入管理费用的金额。</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4988"/>
        <w:gridCol w:w="4580"/>
      </w:tblGrid>
      <w:tr>
        <w:trPr>
          <w:trHeight w:val="39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0"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4"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110,716,910.91</w:t>
            </w:r>
          </w:p>
        </w:tc>
      </w:tr>
      <w:tr>
        <w:trPr>
          <w:trHeight w:val="39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北京六分科技有限公司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110,716,910.91</w:t>
            </w:r>
          </w:p>
        </w:tc>
      </w:tr>
      <w:tr>
        <w:trPr>
          <w:trHeight w:val="409"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-110,716,910.91</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327"/>
        <w:gridCol w:w="3058"/>
        <w:gridCol w:w="3183"/>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1,537,172,579.51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2,009,445,465.65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128,170.90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235,969.78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1,537,044,408.61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2,009,209,495.87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可用于支付的存放中央银行款项</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存放同业款项</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拆放同业款项</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41,703,705.08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72,354,286.80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1,578,876,284.59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2,081,799,752.45</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5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349,143,093.57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390,646,083.60</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80</w:t>
      </w:r>
      <w:r>
        <w:rPr/>
        <w:t>、所有者权益变动表项目注释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5374"/>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line="240" w:lineRule="auto" w:before="6"/>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81</w:t>
      </w:r>
      <w:r>
        <w:rPr/>
        <w:t>、所有权或使用权受到限制的资产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327"/>
        <w:gridCol w:w="3058"/>
        <w:gridCol w:w="3183"/>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144,028,291.18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个月以上的定期存款及保证金</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144,028,291.18</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82</w:t>
      </w:r>
      <w:r>
        <w:rPr/>
        <w:t>、外币货币性项目</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473,572,909.69</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21,705,437.72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151,421,474.62</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40,663,287.45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317,803,923.07</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57,617,047.00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0.0641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3,693,252.71</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126,453.79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5.1739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654,259.29</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pacing w:val="-1"/>
                <w:sz w:val="18"/>
              </w:rPr>
              <w:t>132,852,549.02</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12,166,407.64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84,875,292.98</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6,138,731.50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7.8155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47,977,256.04</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265,166.68</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16,418.53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114,538.95</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1,144.02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8,941.09</w:t>
            </w:r>
            <w:r>
              <w:rPr>
                <w:rFonts w:ascii="Times New Roman"/>
                <w:sz w:val="18"/>
              </w:rPr>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2,210,400.00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0.0641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141,686.64</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56,232,279.90</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7,247,103.08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6.9762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50,557,240.51</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726,126.21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5,675,039.39</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89,605,085.84</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862,031.90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6,013,706.94</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10,622,026.00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7.8155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83,016,444.20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8,969,340.00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0.0641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574,934.69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14" w:lineRule="exact" w:before="30"/>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6"/>
        </w:rPr>
        <w:t> </w:t>
      </w:r>
      <w:r>
        <w:rPr>
          <w:spacing w:val="26"/>
        </w:rPr>
      </w:r>
      <w:r>
        <w:rPr/>
        <w:t>依据，记账本位币发生变化的还应披露原因。</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415" w:lineRule="auto"/>
        <w:ind w:left="513" w:right="499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本公司之境外子公司分别采用所在地区适用的外币作为记账本位币。</w:t>
      </w:r>
    </w:p>
    <w:p>
      <w:pPr>
        <w:pStyle w:val="BodyText"/>
        <w:spacing w:line="316" w:lineRule="auto" w:before="65"/>
        <w:ind w:right="1034" w:firstLine="360"/>
        <w:jc w:val="left"/>
      </w:pPr>
      <w:r>
        <w:rPr/>
        <w:t>本公司之境外子公司四维图新（香港）公司主要经营地为香港，原记账本位币为港币，因其主要业务结算货币为美元， 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日起其记账本位币变更为美元，编制财务报表时折算为人民币。</w:t>
      </w:r>
    </w:p>
    <w:p>
      <w:pPr>
        <w:pStyle w:val="BodyText"/>
        <w:spacing w:line="300" w:lineRule="auto" w:before="119"/>
        <w:ind w:right="1128" w:firstLine="360"/>
        <w:jc w:val="left"/>
      </w:pPr>
      <w:r>
        <w:rPr/>
        <w:t>本公司之境外子公司</w:t>
      </w:r>
      <w:r>
        <w:rPr>
          <w:rFonts w:ascii="Times New Roman" w:hAnsi="Times New Roman" w:cs="Times New Roman" w:eastAsia="Times New Roman" w:hint="default"/>
        </w:rPr>
        <w:t>Coöperatieve NavInfo U.A.</w:t>
      </w:r>
      <w:r>
        <w:rPr/>
        <w:t>、四维图新（欧洲）公司、</w:t>
      </w:r>
      <w:r>
        <w:rPr>
          <w:rFonts w:ascii="Times New Roman" w:hAnsi="Times New Roman" w:cs="Times New Roman" w:eastAsia="Times New Roman" w:hint="default"/>
        </w:rPr>
        <w:t>Mapscape</w:t>
      </w:r>
      <w:r>
        <w:rPr>
          <w:rFonts w:ascii="Times New Roman" w:hAnsi="Times New Roman" w:cs="Times New Roman" w:eastAsia="Times New Roman" w:hint="default"/>
          <w:spacing w:val="32"/>
        </w:rPr>
        <w:t> </w:t>
      </w:r>
      <w:r>
        <w:rPr>
          <w:rFonts w:ascii="Times New Roman" w:hAnsi="Times New Roman" w:cs="Times New Roman" w:eastAsia="Times New Roman" w:hint="default"/>
        </w:rPr>
        <w:t>B.V.</w:t>
      </w:r>
      <w:r>
        <w:rPr/>
        <w:t>主要经营地为荷兰，记账本位 币为欧元，编制财务报表时折算为人民币。</w:t>
      </w:r>
    </w:p>
    <w:p>
      <w:pPr>
        <w:spacing w:line="240" w:lineRule="auto" w:before="2"/>
        <w:rPr>
          <w:rFonts w:ascii="宋体" w:hAnsi="宋体" w:cs="宋体" w:eastAsia="宋体" w:hint="default"/>
          <w:sz w:val="8"/>
          <w:szCs w:val="8"/>
        </w:rPr>
      </w:pPr>
    </w:p>
    <w:p>
      <w:pPr>
        <w:pStyle w:val="BodyText"/>
        <w:spacing w:line="240" w:lineRule="auto" w:before="44"/>
        <w:ind w:left="513" w:right="0"/>
        <w:jc w:val="left"/>
      </w:pPr>
      <w:r>
        <w:rPr/>
        <w:t>本公司之境外子公司</w:t>
      </w:r>
      <w:r>
        <w:rPr>
          <w:rFonts w:ascii="Times New Roman" w:hAnsi="Times New Roman" w:cs="Times New Roman" w:eastAsia="Times New Roman" w:hint="default"/>
        </w:rPr>
        <w:t>Navinfo  North  America</w:t>
      </w:r>
      <w:r>
        <w:rPr>
          <w:rFonts w:ascii="Times New Roman" w:hAnsi="Times New Roman" w:cs="Times New Roman" w:eastAsia="Times New Roman" w:hint="default"/>
          <w:spacing w:val="-13"/>
        </w:rPr>
        <w:t> </w:t>
      </w:r>
      <w:r>
        <w:rPr>
          <w:rFonts w:ascii="Times New Roman" w:hAnsi="Times New Roman" w:cs="Times New Roman" w:eastAsia="Times New Roman" w:hint="default"/>
        </w:rPr>
        <w:t>Corp.</w:t>
      </w:r>
      <w:r>
        <w:rPr/>
        <w:t>主要经营地为美国，记账本位币为美元，编制财务报表时折算为人民</w:t>
      </w:r>
    </w:p>
    <w:p>
      <w:pPr>
        <w:pStyle w:val="BodyText"/>
        <w:spacing w:line="240" w:lineRule="auto" w:before="63"/>
        <w:ind w:right="0"/>
        <w:jc w:val="left"/>
      </w:pPr>
      <w:r>
        <w:rPr/>
        <w:t>币。</w:t>
      </w:r>
    </w:p>
    <w:p>
      <w:pPr>
        <w:spacing w:line="240" w:lineRule="auto" w:before="8"/>
        <w:rPr>
          <w:rFonts w:ascii="宋体" w:hAnsi="宋体" w:cs="宋体" w:eastAsia="宋体" w:hint="default"/>
          <w:sz w:val="11"/>
          <w:szCs w:val="11"/>
        </w:rPr>
      </w:pPr>
    </w:p>
    <w:p>
      <w:pPr>
        <w:pStyle w:val="BodyText"/>
        <w:spacing w:line="240" w:lineRule="auto" w:before="44"/>
        <w:ind w:left="513" w:right="0"/>
        <w:jc w:val="left"/>
      </w:pPr>
      <w:r>
        <w:rPr/>
        <w:t>本公司之境外子公司四维图新新加坡有限公司主要经营地为新加坡，记账本位币为美元，编制财务报表时折算为人民</w:t>
      </w:r>
    </w:p>
    <w:p>
      <w:pPr>
        <w:pStyle w:val="BodyText"/>
        <w:spacing w:line="240" w:lineRule="auto" w:before="76"/>
        <w:ind w:right="0"/>
        <w:jc w:val="left"/>
      </w:pPr>
      <w:r>
        <w:rPr/>
        <w:t>币。</w:t>
      </w:r>
    </w:p>
    <w:p>
      <w:pPr>
        <w:spacing w:line="240" w:lineRule="auto" w:before="8"/>
        <w:rPr>
          <w:rFonts w:ascii="宋体" w:hAnsi="宋体" w:cs="宋体" w:eastAsia="宋体" w:hint="default"/>
          <w:sz w:val="11"/>
          <w:szCs w:val="11"/>
        </w:rPr>
      </w:pPr>
    </w:p>
    <w:p>
      <w:pPr>
        <w:pStyle w:val="BodyText"/>
        <w:spacing w:line="240" w:lineRule="auto" w:before="44"/>
        <w:ind w:left="513" w:right="0"/>
        <w:jc w:val="left"/>
      </w:pPr>
      <w:r>
        <w:rPr/>
        <w:t>本公司之境外子公司四维图新日本有限公司主要经营地为日本，记账本位币为日元，编制财务报表时折算为人民币。</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83</w:t>
      </w:r>
      <w:r>
        <w:rPr/>
        <w:t>、套期</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84</w:t>
      </w:r>
      <w:r>
        <w:rPr/>
        <w:t>、政府补助</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四维图新第二总部项目政策 兑现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1027"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车联网芯片及方案项目使 用集成电路产业集聚发展基 地</w:t>
            </w:r>
            <w:r>
              <w:rPr>
                <w:rFonts w:ascii="Times New Roman" w:hAnsi="Times New Roman" w:cs="Times New Roman" w:eastAsia="Times New Roman" w:hint="default"/>
                <w:sz w:val="18"/>
                <w:szCs w:val="18"/>
              </w:rPr>
              <w:t>"</w:t>
            </w:r>
            <w:r>
              <w:rPr>
                <w:rFonts w:ascii="宋体" w:hAnsi="宋体" w:cs="宋体" w:eastAsia="宋体" w:hint="default"/>
                <w:sz w:val="18"/>
                <w:szCs w:val="18"/>
              </w:rPr>
              <w:t>借转补</w:t>
            </w:r>
            <w:r>
              <w:rPr>
                <w:rFonts w:ascii="Times New Roman" w:hAnsi="Times New Roman" w:cs="Times New Roman" w:eastAsia="Times New Roman" w:hint="default"/>
                <w:sz w:val="18"/>
                <w:szCs w:val="18"/>
              </w:rPr>
              <w:t>"</w:t>
            </w:r>
            <w:r>
              <w:rPr>
                <w:rFonts w:ascii="宋体" w:hAnsi="宋体" w:cs="宋体" w:eastAsia="宋体" w:hint="default"/>
                <w:sz w:val="18"/>
                <w:szCs w:val="18"/>
              </w:rPr>
              <w:t>专项财政扶持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11,700,000.00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4"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年度合肥市集成电路产 业专项资金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10,432,200.00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10,432,200.00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95"/>
              <w:jc w:val="left"/>
              <w:rPr>
                <w:rFonts w:ascii="宋体" w:hAnsi="宋体" w:cs="宋体" w:eastAsia="宋体" w:hint="default"/>
                <w:sz w:val="18"/>
                <w:szCs w:val="18"/>
              </w:rPr>
            </w:pPr>
            <w:r>
              <w:rPr>
                <w:rFonts w:ascii="宋体" w:hAnsi="宋体" w:cs="宋体" w:eastAsia="宋体" w:hint="default"/>
                <w:sz w:val="18"/>
                <w:szCs w:val="18"/>
              </w:rPr>
              <w:t>基于北斗的前装车载信息服 务平台研发与终端研制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102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5"/>
              <w:jc w:val="both"/>
              <w:rPr>
                <w:rFonts w:ascii="宋体" w:hAnsi="宋体" w:cs="宋体" w:eastAsia="宋体" w:hint="default"/>
                <w:sz w:val="18"/>
                <w:szCs w:val="18"/>
              </w:rPr>
            </w:pPr>
            <w:r>
              <w:rPr>
                <w:rFonts w:ascii="宋体" w:hAnsi="宋体" w:cs="宋体" w:eastAsia="宋体" w:hint="default"/>
                <w:sz w:val="18"/>
                <w:szCs w:val="18"/>
              </w:rPr>
              <w:t>可追溯商用车高效物流服务 平台北京市工程实验室创新 能力建设项目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2,443,833.33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2,443,833.33</w:t>
            </w:r>
          </w:p>
        </w:tc>
      </w:tr>
      <w:tr>
        <w:trPr>
          <w:trHeight w:val="1027"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5"/>
              <w:jc w:val="both"/>
              <w:rPr>
                <w:rFonts w:ascii="宋体" w:hAnsi="宋体" w:cs="宋体" w:eastAsia="宋体" w:hint="default"/>
                <w:sz w:val="18"/>
                <w:szCs w:val="18"/>
              </w:rPr>
            </w:pPr>
            <w:r>
              <w:rPr>
                <w:rFonts w:ascii="宋体" w:hAnsi="宋体" w:cs="宋体" w:eastAsia="宋体" w:hint="default"/>
                <w:sz w:val="18"/>
                <w:szCs w:val="18"/>
              </w:rPr>
              <w:t>新一代公众出行大数据支撑 平台关键技术研究及应用示 范项目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年海淀区研发补贴专项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年服务外包及技术资金 奖补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1,469,000.00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年集成电路战新基地创 新资金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1,460,000.00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年度中关村技术标准支 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1,387,000.00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1,387,000.00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高新财政拨付专项资金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小巨人</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科技专项补贴款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976,976.00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976,976.00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22"/>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IPv6 </w:t>
            </w:r>
            <w:r>
              <w:rPr>
                <w:rFonts w:ascii="宋体" w:hAnsi="宋体" w:cs="宋体" w:eastAsia="宋体" w:hint="default"/>
                <w:sz w:val="18"/>
                <w:szCs w:val="18"/>
              </w:rPr>
              <w:t>的北斗位置服务开 放平台项目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952,830.16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952,830.16</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海淀社保稳岗补贴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865,734.74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865,734.74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北京市科学技术委员会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年西安市工程技术研发 中心奖补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01"/>
              <w:jc w:val="left"/>
              <w:rPr>
                <w:rFonts w:ascii="宋体" w:hAnsi="宋体" w:cs="宋体" w:eastAsia="宋体" w:hint="default"/>
                <w:sz w:val="18"/>
                <w:szCs w:val="18"/>
              </w:rPr>
            </w:pPr>
            <w:r>
              <w:rPr>
                <w:rFonts w:ascii="宋体" w:hAnsi="宋体" w:cs="宋体" w:eastAsia="宋体" w:hint="default"/>
                <w:sz w:val="18"/>
                <w:szCs w:val="18"/>
              </w:rPr>
              <w:t>西安科技局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年研发投入 奖补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办公室房租补贴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警用设备可视化管理系统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递延收益、其他收益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-463,783.81</w:t>
            </w:r>
          </w:p>
        </w:tc>
      </w:tr>
      <w:tr>
        <w:trPr>
          <w:trHeight w:val="102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46"/>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年合肥市支持服务业发 展政策（服务外包）项目奖 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95"/>
              <w:jc w:val="left"/>
              <w:rPr>
                <w:rFonts w:ascii="宋体" w:hAnsi="宋体" w:cs="宋体" w:eastAsia="宋体" w:hint="default"/>
                <w:sz w:val="18"/>
                <w:szCs w:val="18"/>
              </w:rPr>
            </w:pPr>
            <w:r>
              <w:rPr>
                <w:rFonts w:ascii="宋体" w:hAnsi="宋体" w:cs="宋体" w:eastAsia="宋体" w:hint="default"/>
                <w:sz w:val="18"/>
                <w:szCs w:val="18"/>
              </w:rPr>
              <w:t>星基相位增强系统关键技术 与示范项目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安徽省政策资金、省级技术 中心奖补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室内高精度测图与实时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GIS</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技术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883,967.43</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高企公司政府补助款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380,000.00</w:t>
            </w:r>
          </w:p>
        </w:tc>
      </w:tr>
      <w:tr>
        <w:trPr>
          <w:trHeight w:val="1027"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34"/>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年湖南省移动互联网专 项资金发展项目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地下管线大 数据管理服务平台验收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基于北斗的高精度位置信息 数据服务平台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288,495.27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288,495.27</w:t>
            </w:r>
          </w:p>
        </w:tc>
      </w:tr>
      <w:tr>
        <w:trPr>
          <w:trHeight w:val="1027"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5"/>
              <w:jc w:val="both"/>
              <w:rPr>
                <w:rFonts w:ascii="宋体" w:hAnsi="宋体" w:cs="宋体" w:eastAsia="宋体" w:hint="default"/>
                <w:sz w:val="18"/>
                <w:szCs w:val="18"/>
              </w:rPr>
            </w:pPr>
            <w:r>
              <w:rPr>
                <w:rFonts w:ascii="宋体" w:hAnsi="宋体" w:cs="宋体" w:eastAsia="宋体" w:hint="default"/>
                <w:sz w:val="18"/>
                <w:szCs w:val="18"/>
              </w:rPr>
              <w:t>基于一致性超级感知容器的 自动驾驶汽车传感数据智能 全息融合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陕西省技术创新项目引导基 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年度表彰奖励项目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102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5"/>
              <w:jc w:val="both"/>
              <w:rPr>
                <w:rFonts w:ascii="宋体" w:hAnsi="宋体" w:cs="宋体" w:eastAsia="宋体" w:hint="default"/>
                <w:sz w:val="18"/>
                <w:szCs w:val="18"/>
              </w:rPr>
            </w:pPr>
            <w:r>
              <w:rPr>
                <w:rFonts w:ascii="宋体" w:hAnsi="宋体" w:cs="宋体" w:eastAsia="宋体" w:hint="default"/>
                <w:sz w:val="18"/>
                <w:szCs w:val="18"/>
              </w:rPr>
              <w:t>基于安全可控移动智能终端 操作系统的地图及位置服务 应用研发及产业化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167,303.32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167,303.32</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01"/>
              <w:jc w:val="left"/>
              <w:rPr>
                <w:rFonts w:ascii="宋体" w:hAnsi="宋体" w:cs="宋体" w:eastAsia="宋体" w:hint="default"/>
                <w:sz w:val="18"/>
                <w:szCs w:val="18"/>
              </w:rPr>
            </w:pPr>
            <w:r>
              <w:rPr>
                <w:rFonts w:ascii="宋体" w:hAnsi="宋体" w:cs="宋体" w:eastAsia="宋体" w:hint="default"/>
                <w:sz w:val="18"/>
                <w:szCs w:val="18"/>
              </w:rPr>
              <w:t>合肥市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年上半年发明专 利定额资助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自动驾驶电动汽车的多车通 信技术研究及开发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532,000.00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195"/>
              <w:jc w:val="left"/>
              <w:rPr>
                <w:rFonts w:ascii="宋体" w:hAnsi="宋体" w:cs="宋体" w:eastAsia="宋体" w:hint="default"/>
                <w:sz w:val="18"/>
                <w:szCs w:val="18"/>
              </w:rPr>
            </w:pPr>
            <w:r>
              <w:rPr>
                <w:rFonts w:ascii="宋体" w:hAnsi="宋体" w:cs="宋体" w:eastAsia="宋体" w:hint="default"/>
                <w:sz w:val="18"/>
                <w:szCs w:val="18"/>
              </w:rPr>
              <w:t>高新区科技局知识产权创造 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114,317.90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114,317.90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113,684.02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113,684.02</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高新技术企业项目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高新技术企业奖励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102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46"/>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年合肥高新区鼓励自助 创新培育发展新动能若干政 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195"/>
              <w:jc w:val="left"/>
              <w:rPr>
                <w:rFonts w:ascii="宋体" w:hAnsi="宋体" w:cs="宋体" w:eastAsia="宋体" w:hint="default"/>
                <w:sz w:val="18"/>
                <w:szCs w:val="18"/>
              </w:rPr>
            </w:pPr>
            <w:r>
              <w:rPr>
                <w:rFonts w:ascii="宋体" w:hAnsi="宋体" w:cs="宋体" w:eastAsia="宋体" w:hint="default"/>
                <w:sz w:val="18"/>
                <w:szCs w:val="18"/>
              </w:rPr>
              <w:t>新区科技发展基金（科技中 小企业技术创新）补贴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湖南省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年企业研发后补 助财政奖补资金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96,100.00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95"/>
              <w:jc w:val="left"/>
              <w:rPr>
                <w:rFonts w:ascii="宋体" w:hAnsi="宋体" w:cs="宋体" w:eastAsia="宋体" w:hint="default"/>
                <w:sz w:val="18"/>
                <w:szCs w:val="18"/>
              </w:rPr>
            </w:pPr>
            <w:r>
              <w:rPr>
                <w:rFonts w:ascii="宋体" w:hAnsi="宋体" w:cs="宋体" w:eastAsia="宋体" w:hint="default"/>
                <w:sz w:val="18"/>
                <w:szCs w:val="18"/>
              </w:rPr>
              <w:t>科学技术委员会（科技创新 券）补贴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85,000.00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知识产权处付企业国内外专 利预警专项资金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102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5"/>
              <w:jc w:val="both"/>
              <w:rPr>
                <w:rFonts w:ascii="宋体" w:hAnsi="宋体" w:cs="宋体" w:eastAsia="宋体" w:hint="default"/>
                <w:sz w:val="18"/>
                <w:szCs w:val="18"/>
              </w:rPr>
            </w:pPr>
            <w:r>
              <w:rPr>
                <w:rFonts w:ascii="宋体" w:hAnsi="宋体" w:cs="宋体" w:eastAsia="宋体" w:hint="default"/>
                <w:sz w:val="18"/>
                <w:szCs w:val="18"/>
              </w:rPr>
              <w:t>新一代公众出行大数据支撑 平台关键技术研究及应用示 范项目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停车导航系统研究与应用示 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73,968.25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73,968.25</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95"/>
              <w:jc w:val="left"/>
              <w:rPr>
                <w:rFonts w:ascii="宋体" w:hAnsi="宋体" w:cs="宋体" w:eastAsia="宋体" w:hint="default"/>
                <w:sz w:val="18"/>
                <w:szCs w:val="18"/>
              </w:rPr>
            </w:pPr>
            <w:r>
              <w:rPr>
                <w:rFonts w:ascii="宋体" w:hAnsi="宋体" w:cs="宋体" w:eastAsia="宋体" w:hint="default"/>
                <w:sz w:val="18"/>
                <w:szCs w:val="18"/>
              </w:rPr>
              <w:t>基于互联网迭加协议的全息 位置地图汇集融合技术项目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73,350.84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73,350.84</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70,454.19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70,454.19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年专利资助金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年中关村提升创新能力 优化创新环境支持资金补助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高新区科技局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年部分自 主创新政策兑现专项奖金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20192188-T-469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56,603.78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20192189-T-469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56,603.77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技术输出方奖补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56,000.00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国家知识产权局专利局北京 代办处补助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服务业小进规政策兑现补贴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海淀社保稳岗补贴收入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49,161.96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49,161.96</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4"/>
              <w:ind w:left="24"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年中关村技术创新能力 建设资金补助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年数字经济和创新创业 政策补贴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年度南京江北新区科技 创新券支持资金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29,638.00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29,638.00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城市道路标准制修订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23,595.07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23,595.07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18,845.22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18,845.22</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上海市残疾人就业超比例奖 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17,156.25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17,156.25</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95"/>
              <w:jc w:val="left"/>
              <w:rPr>
                <w:rFonts w:ascii="宋体" w:hAnsi="宋体" w:cs="宋体" w:eastAsia="宋体" w:hint="default"/>
                <w:sz w:val="18"/>
                <w:szCs w:val="18"/>
              </w:rPr>
            </w:pPr>
            <w:r>
              <w:rPr>
                <w:rFonts w:ascii="宋体" w:hAnsi="宋体" w:cs="宋体" w:eastAsia="宋体" w:hint="default"/>
                <w:sz w:val="18"/>
                <w:szCs w:val="18"/>
              </w:rPr>
              <w:t>长沙市财政局高新区分局补 贴款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岗位补贴及超比例奖金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tc>
      </w:tr>
      <w:tr>
        <w:trPr>
          <w:trHeight w:val="1027"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146"/>
              <w:jc w:val="left"/>
              <w:rPr>
                <w:rFonts w:ascii="宋体" w:hAnsi="宋体" w:cs="宋体" w:eastAsia="宋体" w:hint="default"/>
                <w:sz w:val="18"/>
                <w:szCs w:val="18"/>
              </w:rPr>
            </w:pPr>
            <w:r>
              <w:rPr>
                <w:rFonts w:ascii="宋体" w:hAnsi="宋体" w:cs="宋体" w:eastAsia="宋体" w:hint="default"/>
                <w:sz w:val="18"/>
                <w:szCs w:val="18"/>
              </w:rPr>
              <w:t>兰州市城关区科学技术局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年人才创新创业项目基 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10,242.00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10,242.00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年度科技发展计划和科 技经费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统计先进奖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95"/>
              <w:jc w:val="left"/>
              <w:rPr>
                <w:rFonts w:ascii="宋体" w:hAnsi="宋体" w:cs="宋体" w:eastAsia="宋体" w:hint="default"/>
                <w:sz w:val="18"/>
                <w:szCs w:val="18"/>
              </w:rPr>
            </w:pPr>
            <w:r>
              <w:rPr>
                <w:rFonts w:ascii="宋体" w:hAnsi="宋体" w:cs="宋体" w:eastAsia="宋体" w:hint="default"/>
                <w:sz w:val="18"/>
                <w:szCs w:val="18"/>
              </w:rPr>
              <w:t>南京江北新区知识产权专项 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w:t>
            </w:r>
          </w:p>
        </w:tc>
      </w:tr>
    </w:tbl>
    <w:p>
      <w:pPr>
        <w:spacing w:line="240" w:lineRule="auto" w:before="1"/>
        <w:rPr>
          <w:rFonts w:ascii="Times New Roman" w:hAnsi="Times New Roman" w:cs="Times New Roman" w:eastAsia="Times New Roman" w:hint="default"/>
          <w:sz w:val="22"/>
          <w:szCs w:val="22"/>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85</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after="0" w:line="240" w:lineRule="auto"/>
        <w:jc w:val="left"/>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八、合并范围的变更</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是否存在单次处置对子公司投资即丧失控制权的情形</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735"/>
        <w:gridCol w:w="737"/>
        <w:gridCol w:w="737"/>
        <w:gridCol w:w="735"/>
        <w:gridCol w:w="734"/>
        <w:gridCol w:w="737"/>
        <w:gridCol w:w="734"/>
        <w:gridCol w:w="735"/>
        <w:gridCol w:w="737"/>
        <w:gridCol w:w="737"/>
        <w:gridCol w:w="735"/>
        <w:gridCol w:w="737"/>
        <w:gridCol w:w="737"/>
      </w:tblGrid>
      <w:tr>
        <w:trPr>
          <w:trHeight w:val="3833"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82" w:right="89"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5"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3"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89"/>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6"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96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58"/>
              <w:jc w:val="both"/>
              <w:rPr>
                <w:rFonts w:ascii="宋体" w:hAnsi="宋体" w:cs="宋体" w:eastAsia="宋体" w:hint="default"/>
                <w:sz w:val="18"/>
                <w:szCs w:val="18"/>
              </w:rPr>
            </w:pPr>
            <w:r>
              <w:rPr>
                <w:rFonts w:ascii="宋体" w:hAnsi="宋体" w:cs="宋体" w:eastAsia="宋体" w:hint="default"/>
                <w:sz w:val="18"/>
                <w:szCs w:val="18"/>
              </w:rPr>
              <w:t>北京六 分技术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54,000,0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4.82%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59"/>
              <w:jc w:val="both"/>
              <w:rPr>
                <w:rFonts w:ascii="宋体" w:hAnsi="宋体" w:cs="宋体" w:eastAsia="宋体" w:hint="default"/>
                <w:sz w:val="18"/>
                <w:szCs w:val="18"/>
              </w:rPr>
            </w:pPr>
            <w:r>
              <w:rPr>
                <w:rFonts w:ascii="宋体" w:hAnsi="宋体" w:cs="宋体" w:eastAsia="宋体" w:hint="default"/>
                <w:sz w:val="18"/>
                <w:szCs w:val="18"/>
              </w:rPr>
              <w:t>第三方 股东增 资视同 处置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5"/>
              <w:jc w:val="both"/>
              <w:rPr>
                <w:rFonts w:ascii="宋体" w:hAnsi="宋体" w:cs="宋体" w:eastAsia="宋体" w:hint="default"/>
                <w:sz w:val="18"/>
                <w:szCs w:val="18"/>
              </w:rPr>
            </w:pPr>
            <w:r>
              <w:rPr>
                <w:rFonts w:ascii="宋体" w:hAnsi="宋体" w:cs="宋体" w:eastAsia="宋体" w:hint="default"/>
                <w:sz w:val="18"/>
                <w:szCs w:val="18"/>
              </w:rPr>
              <w:t>增资及 工商变 更登记 完成</w:t>
            </w:r>
            <w:r>
              <w:rPr>
                <w:rFonts w:ascii="Times New Roman" w:hAnsi="Times New Roman" w:cs="Times New Roman" w:eastAsia="Times New Roman" w:hint="default"/>
                <w:sz w:val="18"/>
                <w:szCs w:val="18"/>
              </w:rPr>
              <w:t>,</w:t>
            </w:r>
            <w:r>
              <w:rPr>
                <w:rFonts w:ascii="宋体" w:hAnsi="宋体" w:cs="宋体" w:eastAsia="宋体" w:hint="default"/>
                <w:sz w:val="18"/>
                <w:szCs w:val="18"/>
              </w:rPr>
              <w:t>董 事会对 外公告</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14,675,9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71.10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40.18%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22,500,0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427,500,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6" w:right="158"/>
              <w:jc w:val="left"/>
              <w:rPr>
                <w:rFonts w:ascii="宋体" w:hAnsi="宋体" w:cs="宋体" w:eastAsia="宋体" w:hint="default"/>
                <w:sz w:val="18"/>
                <w:szCs w:val="18"/>
              </w:rPr>
            </w:pPr>
            <w:r>
              <w:rPr>
                <w:rFonts w:ascii="宋体" w:hAnsi="宋体" w:cs="宋体" w:eastAsia="宋体" w:hint="default"/>
                <w:sz w:val="18"/>
                <w:szCs w:val="18"/>
              </w:rPr>
              <w:t>交易价 格</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其他说明</w:t>
      </w:r>
    </w:p>
    <w:p>
      <w:pPr>
        <w:pStyle w:val="BodyText"/>
        <w:spacing w:line="319" w:lineRule="auto" w:before="117"/>
        <w:ind w:right="1241"/>
        <w:jc w:val="left"/>
      </w:pPr>
      <w:r>
        <w:rPr/>
        <w:t>注：本报告期，因第三方股东增资导致本公司在北京六分科技有限公司（以下简称 六分科技）的持股比例由</w:t>
      </w:r>
      <w:r>
        <w:rPr>
          <w:spacing w:val="-42"/>
        </w:rPr>
        <w:t> </w:t>
      </w:r>
      <w:r>
        <w:rPr>
          <w:rFonts w:ascii="Times New Roman" w:hAnsi="Times New Roman" w:cs="Times New Roman" w:eastAsia="Times New Roman" w:hint="default"/>
        </w:rPr>
        <w:t>45.00%</w:t>
      </w:r>
      <w:r>
        <w:rPr/>
        <w:t>减少 到 </w:t>
      </w:r>
      <w:r>
        <w:rPr>
          <w:rFonts w:ascii="Times New Roman" w:hAnsi="Times New Roman" w:cs="Times New Roman" w:eastAsia="Times New Roman" w:hint="default"/>
        </w:rPr>
        <w:t>40.18%</w:t>
      </w:r>
      <w:r>
        <w:rPr/>
        <w:t>，详见本附注“十六、</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其他对投资者决策有影响的重要交易和事项”所述。 是否存在通过多次交易分步处置对子公司投资且在本期丧失控制权的情形</w:t>
      </w:r>
    </w:p>
    <w:p>
      <w:pPr>
        <w:pStyle w:val="BodyText"/>
        <w:spacing w:line="240" w:lineRule="auto" w:before="5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1"/>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2946"/>
        <w:gridCol w:w="1673"/>
        <w:gridCol w:w="1673"/>
        <w:gridCol w:w="1676"/>
        <w:gridCol w:w="1673"/>
      </w:tblGrid>
      <w:tr>
        <w:trPr>
          <w:trHeight w:val="348" w:hRule="exact"/>
        </w:trPr>
        <w:tc>
          <w:tcPr>
            <w:tcW w:w="29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6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合并范围变动原因</w:t>
            </w:r>
          </w:p>
        </w:tc>
        <w:tc>
          <w:tcPr>
            <w:tcW w:w="16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left="381" w:right="0"/>
              <w:jc w:val="left"/>
              <w:rPr>
                <w:rFonts w:ascii="宋体" w:hAnsi="宋体" w:cs="宋体" w:eastAsia="宋体" w:hint="default"/>
                <w:sz w:val="18"/>
                <w:szCs w:val="18"/>
              </w:rPr>
            </w:pPr>
            <w:r>
              <w:rPr>
                <w:rFonts w:ascii="宋体" w:hAnsi="宋体" w:cs="宋体" w:eastAsia="宋体" w:hint="default"/>
                <w:sz w:val="18"/>
                <w:szCs w:val="18"/>
              </w:rPr>
              <w:t>年末净资产</w:t>
            </w:r>
          </w:p>
        </w:tc>
        <w:tc>
          <w:tcPr>
            <w:tcW w:w="16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left="379" w:right="0"/>
              <w:jc w:val="left"/>
              <w:rPr>
                <w:rFonts w:ascii="宋体" w:hAnsi="宋体" w:cs="宋体" w:eastAsia="宋体" w:hint="default"/>
                <w:sz w:val="18"/>
                <w:szCs w:val="18"/>
              </w:rPr>
            </w:pPr>
            <w:r>
              <w:rPr>
                <w:rFonts w:ascii="宋体" w:hAnsi="宋体" w:cs="宋体" w:eastAsia="宋体" w:hint="default"/>
                <w:sz w:val="18"/>
                <w:szCs w:val="18"/>
              </w:rPr>
              <w:t>本年净利润</w:t>
            </w:r>
          </w:p>
        </w:tc>
      </w:tr>
      <w:tr>
        <w:trPr>
          <w:trHeight w:val="34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合肥四维图新科技有限公司</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108,955,672.83</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8,955,672.83</w:t>
            </w:r>
          </w:p>
        </w:tc>
      </w:tr>
      <w:tr>
        <w:trPr>
          <w:trHeight w:val="34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北京满电出行科技有限公司</w:t>
            </w:r>
            <w:r>
              <w:rPr>
                <w:rFonts w:ascii="宋体" w:hAnsi="宋体" w:cs="宋体" w:eastAsia="宋体" w:hint="default"/>
                <w:sz w:val="18"/>
                <w:szCs w:val="18"/>
              </w:rPr>
              <w:t> </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60.00</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0.00</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图新投资（香港）科技有限公司</w:t>
            </w:r>
            <w:r>
              <w:rPr>
                <w:rFonts w:ascii="宋体" w:hAnsi="宋体" w:cs="宋体" w:eastAsia="宋体" w:hint="default"/>
                <w:sz w:val="18"/>
                <w:szCs w:val="18"/>
              </w:rPr>
              <w:t> </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7" w:right="0"/>
              <w:jc w:val="center"/>
              <w:rPr>
                <w:rFonts w:ascii="宋体" w:hAnsi="宋体" w:cs="宋体" w:eastAsia="宋体" w:hint="default"/>
                <w:sz w:val="18"/>
                <w:szCs w:val="18"/>
              </w:rPr>
            </w:pPr>
            <w:r>
              <w:rPr>
                <w:rFonts w:ascii="宋体" w:hAnsi="宋体" w:cs="宋体" w:eastAsia="宋体" w:hint="default"/>
                <w:sz w:val="18"/>
                <w:szCs w:val="18"/>
              </w:rPr>
              <w:t>注销</w:t>
            </w:r>
            <w:r>
              <w:rPr>
                <w:rFonts w:ascii="宋体" w:hAnsi="宋体" w:cs="宋体" w:eastAsia="宋体" w:hint="default"/>
                <w:sz w:val="18"/>
                <w:szCs w:val="18"/>
              </w:rPr>
              <w:t> </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0.00</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-215.23</w:t>
            </w:r>
          </w:p>
        </w:tc>
      </w:tr>
    </w:tbl>
    <w:p>
      <w:pPr>
        <w:pStyle w:val="BodyText"/>
        <w:spacing w:line="316" w:lineRule="auto" w:before="10"/>
        <w:ind w:right="1124" w:firstLine="360"/>
        <w:jc w:val="left"/>
        <w:rPr>
          <w:rFonts w:ascii="宋体" w:hAnsi="宋体" w:cs="宋体" w:eastAsia="宋体" w:hint="default"/>
        </w:rPr>
      </w:pPr>
      <w:r>
        <w:rPr/>
        <w:t>注</w:t>
      </w:r>
      <w:r>
        <w:rPr>
          <w:rFonts w:ascii="宋体" w:hAnsi="宋体" w:cs="宋体" w:eastAsia="宋体" w:hint="default"/>
        </w:rPr>
        <w:t>1</w:t>
      </w:r>
      <w:r>
        <w:rPr/>
        <w:t>：合肥四维图新科技有限公司成立于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30</w:t>
      </w:r>
      <w:r>
        <w:rPr/>
        <w:t>日，是本公司全资设立的子公司，注册资本为</w:t>
      </w:r>
      <w:r>
        <w:rPr>
          <w:rFonts w:ascii="宋体" w:hAnsi="宋体" w:cs="宋体" w:eastAsia="宋体" w:hint="default"/>
        </w:rPr>
        <w:t>1</w:t>
      </w:r>
      <w:r>
        <w:rPr/>
        <w:t>亿元人民币，截至 </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日，本公司已全部缴付完成。</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24" w:firstLine="360"/>
        <w:jc w:val="left"/>
        <w:rPr>
          <w:rFonts w:ascii="宋体" w:hAnsi="宋体" w:cs="宋体" w:eastAsia="宋体" w:hint="default"/>
        </w:rPr>
      </w:pPr>
      <w:r>
        <w:rPr/>
        <w:t>注</w:t>
      </w:r>
      <w:r>
        <w:rPr>
          <w:rFonts w:ascii="宋体" w:hAnsi="宋体" w:cs="宋体" w:eastAsia="宋体" w:hint="default"/>
        </w:rPr>
        <w:t>2</w:t>
      </w:r>
      <w:r>
        <w:rPr/>
        <w:t>：北京满电出行科技有限公司成立于</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16</w:t>
      </w:r>
      <w:r>
        <w:rPr/>
        <w:t>日，是本公司与宁波梅山保税港区嘉业投资管理合伙企业（有限 合伙）合资设立的子公司，注册资本</w:t>
      </w:r>
      <w:r>
        <w:rPr>
          <w:rFonts w:ascii="宋体" w:hAnsi="宋体" w:cs="宋体" w:eastAsia="宋体" w:hint="default"/>
        </w:rPr>
        <w:t>1,000</w:t>
      </w:r>
      <w:r>
        <w:rPr/>
        <w:t>万元，截至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日，本公司尚未实际缴付出资。</w:t>
      </w:r>
      <w:r>
        <w:rPr>
          <w:rFonts w:ascii="宋体" w:hAnsi="宋体" w:cs="宋体" w:eastAsia="宋体" w:hint="default"/>
        </w:rPr>
        <w:t> </w:t>
      </w:r>
    </w:p>
    <w:p>
      <w:pPr>
        <w:pStyle w:val="BodyText"/>
        <w:spacing w:line="240" w:lineRule="auto" w:before="19"/>
        <w:ind w:left="513" w:right="0"/>
        <w:jc w:val="left"/>
        <w:rPr>
          <w:rFonts w:ascii="宋体" w:hAnsi="宋体" w:cs="宋体" w:eastAsia="宋体" w:hint="default"/>
        </w:rPr>
      </w:pPr>
      <w:r>
        <w:rPr/>
        <w:t>注</w:t>
      </w:r>
      <w:r>
        <w:rPr>
          <w:rFonts w:ascii="宋体" w:hAnsi="宋体" w:cs="宋体" w:eastAsia="宋体" w:hint="default"/>
        </w:rPr>
        <w:t>3</w:t>
      </w:r>
      <w:r>
        <w:rPr/>
        <w:t>：本公司之子公司图新投资（香港）科技有限公司于</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25</w:t>
      </w:r>
      <w:r>
        <w:rPr/>
        <w:t>日完成清算注销手续。</w:t>
      </w:r>
      <w:r>
        <w:rPr>
          <w:rFonts w:ascii="宋体" w:hAnsi="宋体" w:cs="宋体" w:eastAsia="宋体" w:hint="default"/>
        </w:rPr>
        <w:t> </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九、在其他主体中的权益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371"/>
        <w:gridCol w:w="1369"/>
        <w:gridCol w:w="1366"/>
        <w:gridCol w:w="1368"/>
        <w:gridCol w:w="1366"/>
        <w:gridCol w:w="1369"/>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7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北京图新经纬 导航系统有限公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导航电子地图销 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上海纳维信息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导航电子地图销 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北京四维图新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导航电子地图技 术开发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北京世纪高通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动态交通信息服 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四维图新（香 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导航电子地图产 品与技术开发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75"/>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上海四维图新 信息技术有限公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72"/>
              <w:jc w:val="left"/>
              <w:rPr>
                <w:rFonts w:ascii="宋体" w:hAnsi="宋体" w:cs="宋体" w:eastAsia="宋体" w:hint="default"/>
                <w:sz w:val="18"/>
                <w:szCs w:val="18"/>
              </w:rPr>
            </w:pPr>
            <w:r>
              <w:rPr>
                <w:rFonts w:ascii="宋体" w:hAnsi="宋体" w:cs="宋体" w:eastAsia="宋体" w:hint="default"/>
                <w:sz w:val="18"/>
                <w:szCs w:val="18"/>
              </w:rPr>
              <w:t>计算机软件开发 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75"/>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西安四维图新 信息技术有限公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9" w:lineRule="auto"/>
              <w:ind w:left="23" w:right="72"/>
              <w:jc w:val="left"/>
              <w:rPr>
                <w:rFonts w:ascii="宋体" w:hAnsi="宋体" w:cs="宋体" w:eastAsia="宋体" w:hint="default"/>
                <w:sz w:val="18"/>
                <w:szCs w:val="18"/>
              </w:rPr>
            </w:pPr>
            <w:r>
              <w:rPr>
                <w:rFonts w:ascii="宋体" w:hAnsi="宋体" w:cs="宋体" w:eastAsia="宋体" w:hint="default"/>
                <w:sz w:val="18"/>
                <w:szCs w:val="18"/>
              </w:rPr>
              <w:t>信息技术产品开 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75"/>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中交宇科（北 京）空间信息技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勘察测绘</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51.98%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75"/>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北京图迅丰达 信息技术有限公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车载导航地图系 统的技术开发及 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中寰卫星导航</w:t>
            </w:r>
            <w:r>
              <w:rPr>
                <w:rFonts w:ascii="宋体" w:hAnsi="宋体" w:cs="宋体" w:eastAsia="宋体" w:hint="default"/>
                <w:spacing w:val="-87"/>
                <w:sz w:val="18"/>
                <w:szCs w:val="18"/>
              </w:rPr>
              <w:t> </w:t>
            </w:r>
            <w:r>
              <w:rPr>
                <w:rFonts w:ascii="宋体" w:hAnsi="宋体" w:cs="宋体" w:eastAsia="宋体" w:hint="default"/>
                <w:sz w:val="18"/>
                <w:szCs w:val="18"/>
              </w:rPr>
              <w:t>通信有限公司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车载定位系统及 监控服务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43.68%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bl>
    <w:p>
      <w:pPr>
        <w:spacing w:after="0" w:line="314"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5"/>
        <w:rPr>
          <w:rFonts w:ascii="Microsoft JhengHei" w:hAnsi="Microsoft JhengHei" w:cs="Microsoft JhengHei" w:eastAsia="Microsoft JhengHei" w:hint="default"/>
          <w:b/>
          <w:bCs/>
          <w:sz w:val="21"/>
          <w:szCs w:val="21"/>
        </w:rPr>
      </w:pPr>
    </w:p>
    <w:tbl>
      <w:tblPr>
        <w:tblW w:w="0" w:type="auto"/>
        <w:jc w:val="left"/>
        <w:tblInd w:w="181" w:type="dxa"/>
        <w:tblLayout w:type="fixed"/>
        <w:tblCellMar>
          <w:top w:w="0" w:type="dxa"/>
          <w:left w:w="0" w:type="dxa"/>
          <w:bottom w:w="0" w:type="dxa"/>
          <w:right w:w="0" w:type="dxa"/>
        </w:tblCellMar>
        <w:tblLook w:val="01E0"/>
      </w:tblPr>
      <w:tblGrid>
        <w:gridCol w:w="1371"/>
        <w:gridCol w:w="1369"/>
        <w:gridCol w:w="1366"/>
        <w:gridCol w:w="1368"/>
        <w:gridCol w:w="1366"/>
        <w:gridCol w:w="1369"/>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长沙市海图科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地理信息系统的 研发及技术服务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44.10%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武汉四维图新</w:t>
            </w:r>
            <w:r>
              <w:rPr>
                <w:rFonts w:ascii="宋体" w:hAnsi="宋体" w:cs="宋体" w:eastAsia="宋体" w:hint="default"/>
                <w:spacing w:val="-87"/>
                <w:sz w:val="18"/>
                <w:szCs w:val="18"/>
              </w:rPr>
              <w:t> </w:t>
            </w:r>
            <w:r>
              <w:rPr>
                <w:rFonts w:ascii="宋体" w:hAnsi="宋体" w:cs="宋体" w:eastAsia="宋体" w:hint="default"/>
                <w:sz w:val="18"/>
                <w:szCs w:val="18"/>
              </w:rPr>
              <w:t>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2"/>
              <w:jc w:val="left"/>
              <w:rPr>
                <w:rFonts w:ascii="宋体" w:hAnsi="宋体" w:cs="宋体" w:eastAsia="宋体" w:hint="default"/>
                <w:sz w:val="18"/>
                <w:szCs w:val="18"/>
              </w:rPr>
            </w:pPr>
            <w:r>
              <w:rPr>
                <w:rFonts w:ascii="宋体" w:hAnsi="宋体" w:cs="宋体" w:eastAsia="宋体" w:hint="default"/>
                <w:sz w:val="18"/>
                <w:szCs w:val="18"/>
              </w:rPr>
              <w:t>导航电子地图技 术开发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00" w:lineRule="auto"/>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四维图新新加</w:t>
            </w:r>
            <w:r>
              <w:rPr>
                <w:rFonts w:ascii="宋体" w:hAnsi="宋体" w:cs="宋体" w:eastAsia="宋体" w:hint="default"/>
                <w:spacing w:val="-87"/>
                <w:sz w:val="18"/>
                <w:szCs w:val="18"/>
              </w:rPr>
              <w:t> </w:t>
            </w:r>
            <w:r>
              <w:rPr>
                <w:rFonts w:ascii="宋体" w:hAnsi="宋体" w:cs="宋体" w:eastAsia="宋体" w:hint="default"/>
                <w:sz w:val="18"/>
                <w:szCs w:val="18"/>
              </w:rPr>
              <w:t>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导航电子地图开 发和销售及车联 网业务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24" w:right="152"/>
              <w:jc w:val="left"/>
              <w:rPr>
                <w:rFonts w:ascii="Times New Roman" w:hAnsi="Times New Roman" w:cs="Times New Roman" w:eastAsia="Times New Roman" w:hint="default"/>
                <w:sz w:val="18"/>
                <w:szCs w:val="18"/>
              </w:rPr>
            </w:pPr>
            <w:r>
              <w:rPr>
                <w:rFonts w:ascii="Times New Roman" w:hAnsi="Times New Roman"/>
                <w:sz w:val="18"/>
              </w:rPr>
              <w:t>14.Coöperatieve</w:t>
            </w:r>
            <w:r>
              <w:rPr>
                <w:rFonts w:ascii="Times New Roman" w:hAnsi="Times New Roman"/>
                <w:w w:val="100"/>
                <w:sz w:val="18"/>
              </w:rPr>
              <w:t> </w:t>
            </w:r>
            <w:r>
              <w:rPr>
                <w:rFonts w:ascii="Times New Roman" w:hAnsi="Times New Roman"/>
                <w:sz w:val="18"/>
              </w:rPr>
              <w:t>NavInfo</w:t>
            </w:r>
            <w:r>
              <w:rPr>
                <w:rFonts w:ascii="Times New Roman" w:hAnsi="Times New Roman"/>
                <w:spacing w:val="-7"/>
                <w:sz w:val="18"/>
              </w:rPr>
              <w:t> </w:t>
            </w:r>
            <w:r>
              <w:rPr>
                <w:rFonts w:ascii="Times New Roman" w:hAnsi="Times New Roman"/>
                <w:sz w:val="18"/>
              </w:rPr>
              <w:t>U.A.</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2"/>
              <w:jc w:val="left"/>
              <w:rPr>
                <w:rFonts w:ascii="宋体" w:hAnsi="宋体" w:cs="宋体" w:eastAsia="宋体" w:hint="default"/>
                <w:sz w:val="18"/>
                <w:szCs w:val="18"/>
              </w:rPr>
            </w:pPr>
            <w:r>
              <w:rPr>
                <w:rFonts w:ascii="宋体" w:hAnsi="宋体" w:cs="宋体" w:eastAsia="宋体" w:hint="default"/>
                <w:sz w:val="18"/>
                <w:szCs w:val="18"/>
              </w:rPr>
              <w:t>导航电子地图相 关研发与销售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362" w:lineRule="auto"/>
              <w:ind w:left="24" w:right="55"/>
              <w:jc w:val="left"/>
              <w:rPr>
                <w:rFonts w:ascii="Times New Roman" w:hAnsi="Times New Roman" w:cs="Times New Roman" w:eastAsia="Times New Roman" w:hint="default"/>
                <w:sz w:val="18"/>
                <w:szCs w:val="18"/>
              </w:rPr>
            </w:pPr>
            <w:r>
              <w:rPr>
                <w:rFonts w:ascii="Times New Roman"/>
                <w:sz w:val="18"/>
              </w:rPr>
              <w:t>15.Navinfo</w:t>
            </w:r>
            <w:r>
              <w:rPr>
                <w:rFonts w:ascii="Times New Roman"/>
                <w:spacing w:val="-4"/>
                <w:sz w:val="18"/>
              </w:rPr>
              <w:t> </w:t>
            </w:r>
            <w:r>
              <w:rPr>
                <w:rFonts w:ascii="Times New Roman"/>
                <w:sz w:val="18"/>
              </w:rPr>
              <w:t>North</w:t>
            </w:r>
            <w:r>
              <w:rPr>
                <w:rFonts w:ascii="Times New Roman"/>
                <w:sz w:val="18"/>
              </w:rPr>
              <w:t> America</w:t>
            </w:r>
            <w:r>
              <w:rPr>
                <w:rFonts w:ascii="Times New Roman"/>
                <w:spacing w:val="-3"/>
                <w:sz w:val="18"/>
              </w:rPr>
              <w:t> </w:t>
            </w:r>
            <w:r>
              <w:rPr>
                <w:rFonts w:ascii="Times New Roman"/>
                <w:sz w:val="18"/>
              </w:rPr>
              <w:t>Corp.</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研发和销售汽车 导航相关软件产 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合肥杰发科技</w:t>
            </w:r>
            <w:r>
              <w:rPr>
                <w:rFonts w:ascii="宋体" w:hAnsi="宋体" w:cs="宋体" w:eastAsia="宋体" w:hint="default"/>
                <w:spacing w:val="-87"/>
                <w:sz w:val="18"/>
                <w:szCs w:val="18"/>
              </w:rPr>
              <w:t> </w:t>
            </w: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台湾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汽车电子芯片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00" w:lineRule="auto"/>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四维图新日本</w:t>
            </w:r>
            <w:r>
              <w:rPr>
                <w:rFonts w:ascii="宋体" w:hAnsi="宋体" w:cs="宋体" w:eastAsia="宋体" w:hint="default"/>
                <w:spacing w:val="-87"/>
                <w:sz w:val="18"/>
                <w:szCs w:val="18"/>
              </w:rPr>
              <w:t> </w:t>
            </w: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导航电子地图开 发和销售及车联 网业务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合肥四维图新</w:t>
            </w:r>
            <w:r>
              <w:rPr>
                <w:rFonts w:ascii="宋体" w:hAnsi="宋体" w:cs="宋体" w:eastAsia="宋体" w:hint="default"/>
                <w:spacing w:val="-87"/>
                <w:sz w:val="18"/>
                <w:szCs w:val="18"/>
              </w:rPr>
              <w:t> </w:t>
            </w:r>
            <w:r>
              <w:rPr>
                <w:rFonts w:ascii="宋体" w:hAnsi="宋体" w:cs="宋体" w:eastAsia="宋体" w:hint="default"/>
                <w:sz w:val="18"/>
                <w:szCs w:val="18"/>
              </w:rPr>
              <w:t>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2"/>
              <w:jc w:val="left"/>
              <w:rPr>
                <w:rFonts w:ascii="宋体" w:hAnsi="宋体" w:cs="宋体" w:eastAsia="宋体" w:hint="default"/>
                <w:sz w:val="18"/>
                <w:szCs w:val="18"/>
              </w:rPr>
            </w:pPr>
            <w:r>
              <w:rPr>
                <w:rFonts w:ascii="宋体" w:hAnsi="宋体" w:cs="宋体" w:eastAsia="宋体" w:hint="default"/>
                <w:sz w:val="18"/>
                <w:szCs w:val="18"/>
              </w:rPr>
              <w:t>自动驾驶技术研 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北京满电出 行科技有限公司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新能源汽车零部 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49"/>
        <w:ind w:right="6974"/>
        <w:jc w:val="left"/>
      </w:pPr>
      <w:r>
        <w:rPr/>
        <w:t>在子公司的持股比例不同于表决权比例的说明： 无</w:t>
      </w:r>
    </w:p>
    <w:p>
      <w:pPr>
        <w:pStyle w:val="BodyText"/>
        <w:spacing w:line="357" w:lineRule="auto" w:before="27"/>
        <w:ind w:right="2834"/>
        <w:jc w:val="left"/>
      </w:pPr>
      <w:r>
        <w:rPr/>
        <w:t>持有半数或以下表决权但仍控制被投资单位、以及持有半数以上表决权但不控制被投资单位的依据： 无</w:t>
      </w:r>
    </w:p>
    <w:p>
      <w:pPr>
        <w:pStyle w:val="BodyText"/>
        <w:spacing w:line="360" w:lineRule="auto" w:before="29"/>
        <w:ind w:right="6434"/>
        <w:jc w:val="left"/>
      </w:pPr>
      <w:r>
        <w:rPr/>
        <w:t>对于纳入合并范围的重要的结构化主体，控制的依据： 无</w:t>
      </w:r>
    </w:p>
    <w:p>
      <w:pPr>
        <w:pStyle w:val="BodyText"/>
        <w:spacing w:line="360" w:lineRule="auto" w:before="25"/>
        <w:ind w:right="7694"/>
        <w:jc w:val="left"/>
      </w:pPr>
      <w:r>
        <w:rPr/>
        <w:t>确定公司是代理人还是委托人的依据： 无</w:t>
      </w:r>
    </w:p>
    <w:p>
      <w:pPr>
        <w:spacing w:line="240" w:lineRule="auto" w:before="3"/>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916"/>
        <w:gridCol w:w="1916"/>
        <w:gridCol w:w="1913"/>
        <w:gridCol w:w="1913"/>
        <w:gridCol w:w="1913"/>
      </w:tblGrid>
      <w:tr>
        <w:trPr>
          <w:trHeight w:val="76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7"/>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7"/>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北京图新经纬导航系统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26,313.81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10,400,853.31</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北京世纪高通科技有限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9,935,408.09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7,113,412.76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19,840,222.85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916"/>
        <w:gridCol w:w="1916"/>
        <w:gridCol w:w="1913"/>
        <w:gridCol w:w="1913"/>
        <w:gridCol w:w="1913"/>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中交宇科（北京）空间 信息技术有限公司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-7,576,101.15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14,376,070.42</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81"/>
              <w:jc w:val="left"/>
              <w:rPr>
                <w:rFonts w:ascii="宋体" w:hAnsi="宋体" w:cs="宋体" w:eastAsia="宋体" w:hint="default"/>
                <w:sz w:val="18"/>
                <w:szCs w:val="18"/>
              </w:rPr>
            </w:pPr>
            <w:r>
              <w:rPr>
                <w:rFonts w:ascii="宋体" w:hAnsi="宋体" w:cs="宋体" w:eastAsia="宋体" w:hint="default"/>
                <w:sz w:val="18"/>
                <w:szCs w:val="18"/>
              </w:rPr>
              <w:t>北京图迅丰达信息技术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5,829,308.60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28,541,963.64</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中寰卫星导航通信有限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-23,051,819.92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118,644,988.20</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81"/>
              <w:jc w:val="left"/>
              <w:rPr>
                <w:rFonts w:ascii="宋体" w:hAnsi="宋体" w:cs="宋体" w:eastAsia="宋体" w:hint="default"/>
                <w:sz w:val="18"/>
                <w:szCs w:val="18"/>
              </w:rPr>
            </w:pPr>
            <w:r>
              <w:rPr>
                <w:rFonts w:ascii="宋体" w:hAnsi="宋体" w:cs="宋体" w:eastAsia="宋体" w:hint="default"/>
                <w:sz w:val="18"/>
                <w:szCs w:val="18"/>
              </w:rPr>
              <w:t>长沙市海图科技有限公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64,867.36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16,050.47</w:t>
            </w:r>
          </w:p>
        </w:tc>
      </w:tr>
    </w:tbl>
    <w:p>
      <w:pPr>
        <w:pStyle w:val="BodyText"/>
        <w:spacing w:line="240" w:lineRule="auto" w:before="49"/>
        <w:ind w:right="0"/>
        <w:jc w:val="left"/>
      </w:pPr>
      <w:r>
        <w:rPr/>
        <w:t>子公司少数股东的持股比例不同于表决权比例的说明：</w:t>
      </w:r>
    </w:p>
    <w:p>
      <w:pPr>
        <w:pStyle w:val="BodyText"/>
        <w:spacing w:line="240" w:lineRule="auto" w:before="117"/>
        <w:ind w:left="0" w:right="1128"/>
        <w:jc w:val="right"/>
        <w:rPr>
          <w:rFonts w:ascii="Times New Roman" w:hAnsi="Times New Roman" w:cs="Times New Roman" w:eastAsia="Times New Roman" w:hint="default"/>
        </w:rPr>
      </w:pPr>
      <w:r>
        <w:rPr/>
        <w:t>注</w:t>
      </w:r>
      <w:r>
        <w:rPr>
          <w:spacing w:val="-42"/>
        </w:rPr>
        <w:t> </w:t>
      </w:r>
      <w:r>
        <w:rPr>
          <w:rFonts w:ascii="Times New Roman" w:hAnsi="Times New Roman" w:cs="Times New Roman" w:eastAsia="Times New Roman" w:hint="default"/>
          <w:spacing w:val="-6"/>
        </w:rPr>
        <w:t>1</w:t>
      </w:r>
      <w:r>
        <w:rPr>
          <w:spacing w:val="-6"/>
        </w:rPr>
        <w:t>：中寰卫星导航通信有限公司（以下简称中寰卫星）认缴持股比例为</w:t>
      </w:r>
      <w:r>
        <w:rPr>
          <w:spacing w:val="-41"/>
        </w:rPr>
        <w:t> </w:t>
      </w:r>
      <w:r>
        <w:rPr>
          <w:rFonts w:ascii="Times New Roman" w:hAnsi="Times New Roman" w:cs="Times New Roman" w:eastAsia="Times New Roman" w:hint="default"/>
          <w:spacing w:val="-6"/>
        </w:rPr>
        <w:t>43.68%</w:t>
      </w:r>
      <w:r>
        <w:rPr>
          <w:spacing w:val="-6"/>
        </w:rPr>
        <w:t>，</w:t>
      </w:r>
      <w:r>
        <w:rPr>
          <w:rFonts w:ascii="Times New Roman" w:hAnsi="Times New Roman" w:cs="Times New Roman" w:eastAsia="Times New Roman" w:hint="default"/>
          <w:spacing w:val="-6"/>
        </w:rPr>
        <w:t>2019</w:t>
      </w:r>
      <w:r>
        <w:rPr>
          <w:rFonts w:ascii="Times New Roman" w:hAnsi="Times New Roman" w:cs="Times New Roman" w:eastAsia="Times New Roman" w:hint="default"/>
          <w:spacing w:val="5"/>
        </w:rPr>
        <w:t> </w:t>
      </w:r>
      <w:r>
        <w:rPr/>
        <w:t>年因收到股东孙玉国增资款</w:t>
      </w:r>
      <w:r>
        <w:rPr>
          <w:spacing w:val="-41"/>
        </w:rPr>
        <w:t> </w:t>
      </w:r>
      <w:r>
        <w:rPr>
          <w:rFonts w:ascii="Times New Roman" w:hAnsi="Times New Roman" w:cs="Times New Roman" w:eastAsia="Times New Roman" w:hint="default"/>
        </w:rPr>
        <w:t>1,500</w:t>
      </w:r>
    </w:p>
    <w:p>
      <w:pPr>
        <w:pStyle w:val="BodyText"/>
        <w:spacing w:line="240" w:lineRule="auto" w:before="63"/>
        <w:ind w:right="0"/>
        <w:jc w:val="left"/>
      </w:pPr>
      <w:r>
        <w:rPr/>
        <w:t>万元，本公司对中寰卫星的实缴持股比例由</w:t>
      </w:r>
      <w:r>
        <w:rPr>
          <w:spacing w:val="-43"/>
        </w:rPr>
        <w:t> </w:t>
      </w:r>
      <w:r>
        <w:rPr>
          <w:rFonts w:ascii="Times New Roman" w:hAnsi="Times New Roman" w:cs="Times New Roman" w:eastAsia="Times New Roman" w:hint="default"/>
        </w:rPr>
        <w:t>47.88%</w:t>
      </w:r>
      <w:r>
        <w:rPr/>
        <w:t>被稀释至</w:t>
      </w:r>
      <w:r>
        <w:rPr>
          <w:spacing w:val="-47"/>
        </w:rPr>
        <w:t> </w:t>
      </w:r>
      <w:r>
        <w:rPr>
          <w:rFonts w:ascii="Times New Roman" w:hAnsi="Times New Roman" w:cs="Times New Roman" w:eastAsia="Times New Roman" w:hint="default"/>
        </w:rPr>
        <w:t>45.64%</w:t>
      </w:r>
      <w:r>
        <w:rPr/>
        <w:t>。</w:t>
      </w:r>
    </w:p>
    <w:p>
      <w:pPr>
        <w:pStyle w:val="BodyText"/>
        <w:spacing w:line="300" w:lineRule="auto" w:before="103"/>
        <w:ind w:right="1131" w:firstLine="360"/>
        <w:jc w:val="both"/>
      </w:pPr>
      <w:r>
        <w:rPr/>
        <w:t>注</w:t>
      </w:r>
      <w:r>
        <w:rPr>
          <w:spacing w:val="-35"/>
        </w:rPr>
        <w:t> </w:t>
      </w:r>
      <w:r>
        <w:rPr>
          <w:rFonts w:ascii="Times New Roman" w:hAnsi="Times New Roman" w:cs="Times New Roman" w:eastAsia="Times New Roman" w:hint="default"/>
        </w:rPr>
        <w:t>2</w:t>
      </w:r>
      <w:r>
        <w:rPr/>
        <w:t>：本公司下属子公司北京世纪高通科技有限公司（以下简称世纪高通）于</w:t>
      </w:r>
      <w:r>
        <w:rPr>
          <w:spacing w:val="-3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月收购了另一子公司长沙市海 图科技有限公司（以下简称长沙海图）之</w:t>
      </w:r>
      <w:r>
        <w:rPr>
          <w:spacing w:val="-57"/>
        </w:rPr>
        <w:t> </w:t>
      </w:r>
      <w:r>
        <w:rPr>
          <w:rFonts w:ascii="Times New Roman" w:hAnsi="Times New Roman" w:cs="Times New Roman" w:eastAsia="Times New Roman" w:hint="default"/>
        </w:rPr>
        <w:t>11.19%</w:t>
      </w:r>
      <w:r>
        <w:rPr/>
        <w:t>少数股东持有的股权，由于本公司持有世纪高通</w:t>
      </w:r>
      <w:r>
        <w:rPr>
          <w:spacing w:val="-57"/>
        </w:rPr>
        <w:t> </w:t>
      </w:r>
      <w:r>
        <w:rPr>
          <w:rFonts w:ascii="Times New Roman" w:hAnsi="Times New Roman" w:cs="Times New Roman" w:eastAsia="Times New Roman" w:hint="default"/>
        </w:rPr>
        <w:t>90.00%</w:t>
      </w:r>
      <w:r>
        <w:rPr/>
        <w:t>股权，长沙海图少 数股东持股比例在合并层面自</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月起由</w:t>
      </w:r>
      <w:r>
        <w:rPr>
          <w:spacing w:val="-52"/>
        </w:rPr>
        <w:t> </w:t>
      </w:r>
      <w:r>
        <w:rPr>
          <w:rFonts w:ascii="Times New Roman" w:hAnsi="Times New Roman" w:cs="Times New Roman" w:eastAsia="Times New Roman" w:hint="default"/>
        </w:rPr>
        <w:t>14.97%</w:t>
      </w:r>
      <w:r>
        <w:rPr/>
        <w:t>变更为</w:t>
      </w:r>
      <w:r>
        <w:rPr>
          <w:spacing w:val="-50"/>
        </w:rPr>
        <w:t> </w:t>
      </w:r>
      <w:r>
        <w:rPr>
          <w:rFonts w:ascii="Times New Roman" w:hAnsi="Times New Roman" w:cs="Times New Roman" w:eastAsia="Times New Roman" w:hint="default"/>
        </w:rPr>
        <w:t>4.90%</w:t>
      </w:r>
      <w:r>
        <w:rPr/>
        <w:t>，本年归属于少数股东的损益及年末少数股东权益按照 收购后少数股东股权比例</w:t>
      </w:r>
      <w:r>
        <w:rPr>
          <w:spacing w:val="-48"/>
        </w:rPr>
        <w:t> </w:t>
      </w:r>
      <w:r>
        <w:rPr>
          <w:rFonts w:ascii="Times New Roman" w:hAnsi="Times New Roman" w:cs="Times New Roman" w:eastAsia="Times New Roman" w:hint="default"/>
        </w:rPr>
        <w:t>4.90%</w:t>
      </w:r>
      <w:r>
        <w:rPr/>
        <w:t>计算。</w:t>
      </w:r>
    </w:p>
    <w:p>
      <w:pPr>
        <w:pStyle w:val="BodyText"/>
        <w:spacing w:line="357" w:lineRule="auto" w:before="53"/>
        <w:ind w:right="9854"/>
        <w:jc w:val="left"/>
      </w:pPr>
      <w:r>
        <w:rPr/>
        <w:t>其他说明： 无</w:t>
      </w:r>
    </w:p>
    <w:p>
      <w:pPr>
        <w:spacing w:line="240" w:lineRule="auto" w:before="5"/>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735"/>
        <w:gridCol w:w="737"/>
        <w:gridCol w:w="737"/>
        <w:gridCol w:w="735"/>
        <w:gridCol w:w="737"/>
        <w:gridCol w:w="734"/>
        <w:gridCol w:w="737"/>
        <w:gridCol w:w="735"/>
        <w:gridCol w:w="734"/>
        <w:gridCol w:w="734"/>
        <w:gridCol w:w="737"/>
        <w:gridCol w:w="737"/>
        <w:gridCol w:w="737"/>
      </w:tblGrid>
      <w:tr>
        <w:trPr>
          <w:trHeight w:val="401" w:hRule="exact"/>
        </w:trPr>
        <w:tc>
          <w:tcPr>
            <w:tcW w:w="7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182" w:right="89"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5"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5"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5"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4" w:right="89" w:hanging="181"/>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4"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49"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北京图 新经纬 导航系 统有限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33,231,3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44.88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674,981.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33,906,3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26.49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12,680,0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95.25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12,680,0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95.25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52,345,1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84.44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1,268,99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9.25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53,614,1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83.69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32,441,6</w:t>
            </w:r>
          </w:p>
          <w:p>
            <w:pPr>
              <w:pStyle w:val="TableParagraph"/>
              <w:spacing w:line="240" w:lineRule="auto" w:before="105"/>
              <w:ind w:left="307" w:right="0"/>
              <w:jc w:val="left"/>
              <w:rPr>
                <w:rFonts w:ascii="Times New Roman" w:hAnsi="Times New Roman" w:cs="Times New Roman" w:eastAsia="Times New Roman" w:hint="default"/>
                <w:sz w:val="18"/>
                <w:szCs w:val="18"/>
              </w:rPr>
            </w:pPr>
            <w:r>
              <w:rPr>
                <w:rFonts w:ascii="Times New Roman"/>
                <w:sz w:val="18"/>
              </w:rPr>
              <w:t>54.11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32,441,6</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54.11</w:t>
            </w:r>
          </w:p>
        </w:tc>
      </w:tr>
      <w:tr>
        <w:trPr>
          <w:trHeight w:val="1340"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北京世 纪高通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202,356,</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434.90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76,229,1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54.98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278,585,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589.88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78,513,3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61.38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1,670,00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80,183,3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61.38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177,453,</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431.33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54,464,5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87.84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231,918,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019.17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60,785,7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43.92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61,735,7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43.92</w:t>
            </w:r>
          </w:p>
        </w:tc>
      </w:tr>
      <w:tr>
        <w:trPr>
          <w:trHeight w:val="1961"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中交宇 科（北 京）空 间信息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63,155,6</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06.72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1,853,52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4.80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65,009,1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31.52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35,284,6</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61.47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35,284,6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61.47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74,107,7</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80.30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2,455,87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3.93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76,563,6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54.23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33,182,7</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48.85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33,182,7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48.85</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735"/>
        <w:gridCol w:w="737"/>
        <w:gridCol w:w="737"/>
        <w:gridCol w:w="735"/>
        <w:gridCol w:w="737"/>
        <w:gridCol w:w="734"/>
        <w:gridCol w:w="737"/>
        <w:gridCol w:w="735"/>
        <w:gridCol w:w="734"/>
        <w:gridCol w:w="734"/>
        <w:gridCol w:w="737"/>
        <w:gridCol w:w="737"/>
        <w:gridCol w:w="737"/>
      </w:tblGrid>
      <w:tr>
        <w:trPr>
          <w:trHeight w:val="1649"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北京图 迅丰达 信息技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100,904,</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854.70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2,682,78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9.28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103,587,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643.98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45,338,7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38.59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45,338,7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38.59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73,725,5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52.44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3,760,08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7.76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77,485,6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31,133,2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82.98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31,133,2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82.98</w:t>
            </w:r>
          </w:p>
        </w:tc>
      </w:tr>
      <w:tr>
        <w:trPr>
          <w:trHeight w:val="1339"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9"/>
              <w:jc w:val="both"/>
              <w:rPr>
                <w:rFonts w:ascii="宋体" w:hAnsi="宋体" w:cs="宋体" w:eastAsia="宋体" w:hint="default"/>
                <w:sz w:val="18"/>
                <w:szCs w:val="18"/>
              </w:rPr>
            </w:pPr>
            <w:r>
              <w:rPr>
                <w:rFonts w:ascii="宋体" w:hAnsi="宋体" w:cs="宋体" w:eastAsia="宋体" w:hint="default"/>
                <w:sz w:val="18"/>
                <w:szCs w:val="18"/>
              </w:rPr>
              <w:t>中寰卫 星导航 通信有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222,223,</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364.47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77,904,1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37.03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300,127,</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501.50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100,883,</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096.72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1,735,38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102,618,</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479.05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265,046,</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392.65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54,491,7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32.07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319,538,</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124.72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85,515,8</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02.86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4,147,37</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7.49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89,663,1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80.35</w:t>
            </w:r>
          </w:p>
        </w:tc>
      </w:tr>
      <w:tr>
        <w:trPr>
          <w:trHeight w:val="1340"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长沙市 海图科 技有限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5,358,93</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1.17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1,741,10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4.48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7,100,03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6,772,47</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5.08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6,772,47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5,603,92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2,115,09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5.73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7,719,02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8,715,28</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5.11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8,715,28</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5.11</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061"/>
        <w:gridCol w:w="1061"/>
        <w:gridCol w:w="1061"/>
        <w:gridCol w:w="1066"/>
        <w:gridCol w:w="1066"/>
        <w:gridCol w:w="1063"/>
        <w:gridCol w:w="1063"/>
        <w:gridCol w:w="1064"/>
        <w:gridCol w:w="1066"/>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439"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北京图新经 纬导航系统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29,586,882.4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53,701.66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53,701.66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86" w:right="22" w:firstLine="885"/>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21,868,189.0</w:t>
            </w:r>
          </w:p>
          <w:p>
            <w:pPr>
              <w:pStyle w:val="TableParagraph"/>
              <w:spacing w:line="240" w:lineRule="auto" w:before="3"/>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57,556,129.5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-323,756.74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-323,756.74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88" w:right="19" w:firstLine="885"/>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47,877,494.8</w:t>
            </w:r>
          </w:p>
          <w:p>
            <w:pPr>
              <w:pStyle w:val="TableParagraph"/>
              <w:spacing w:line="240" w:lineRule="auto" w:before="3"/>
              <w:ind w:right="20"/>
              <w:jc w:val="right"/>
              <w:rPr>
                <w:rFonts w:ascii="Times New Roman" w:hAnsi="Times New Roman" w:cs="Times New Roman" w:eastAsia="Times New Roman" w:hint="default"/>
                <w:sz w:val="18"/>
                <w:szCs w:val="18"/>
              </w:rPr>
            </w:pPr>
            <w:r>
              <w:rPr>
                <w:rFonts w:ascii="Times New Roman"/>
                <w:sz w:val="18"/>
              </w:rPr>
              <w:t>3</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25"/>
              <w:jc w:val="both"/>
              <w:rPr>
                <w:rFonts w:ascii="宋体" w:hAnsi="宋体" w:cs="宋体" w:eastAsia="宋体" w:hint="default"/>
                <w:sz w:val="18"/>
                <w:szCs w:val="18"/>
              </w:rPr>
            </w:pPr>
            <w:r>
              <w:rPr>
                <w:rFonts w:ascii="宋体" w:hAnsi="宋体" w:cs="宋体" w:eastAsia="宋体" w:hint="default"/>
                <w:sz w:val="18"/>
                <w:szCs w:val="18"/>
              </w:rPr>
              <w:t>北京世纪高 通科技有限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289,630,912.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99,354,080.8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99,354,080.8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83,015,396.5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247,560,634.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79,037,919.5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79,037,919.5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66,414,996.5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r>
      <w:tr>
        <w:trPr>
          <w:trHeight w:val="133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中交宇科</w:t>
            </w:r>
          </w:p>
          <w:p>
            <w:pPr>
              <w:pStyle w:val="TableParagraph"/>
              <w:spacing w:line="316" w:lineRule="auto" w:before="76"/>
              <w:ind w:left="24" w:right="125"/>
              <w:jc w:val="both"/>
              <w:rPr>
                <w:rFonts w:ascii="宋体" w:hAnsi="宋体" w:cs="宋体" w:eastAsia="宋体" w:hint="default"/>
                <w:sz w:val="18"/>
                <w:szCs w:val="18"/>
              </w:rPr>
            </w:pPr>
            <w:r>
              <w:rPr>
                <w:rFonts w:ascii="宋体" w:hAnsi="宋体" w:cs="宋体" w:eastAsia="宋体" w:hint="default"/>
                <w:sz w:val="18"/>
                <w:szCs w:val="18"/>
              </w:rPr>
              <w:t>（北京）空 间信息技术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34,722,055.5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2" w:lineRule="auto"/>
              <w:ind w:left="83" w:right="19" w:firstLine="886"/>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15,614,485.0</w:t>
            </w:r>
          </w:p>
          <w:p>
            <w:pPr>
              <w:pStyle w:val="TableParagraph"/>
              <w:spacing w:line="240" w:lineRule="auto" w:before="3"/>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2" w:lineRule="auto"/>
              <w:ind w:left="88" w:right="19" w:firstLine="885"/>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15,614,485.0</w:t>
            </w:r>
          </w:p>
          <w:p>
            <w:pPr>
              <w:pStyle w:val="TableParagraph"/>
              <w:spacing w:line="240" w:lineRule="auto" w:before="3"/>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-2,218,844.48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25,404,638.1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2" w:lineRule="auto"/>
              <w:ind w:left="86" w:right="19" w:firstLine="885"/>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37,875,303.6</w:t>
            </w:r>
          </w:p>
          <w:p>
            <w:pPr>
              <w:pStyle w:val="TableParagraph"/>
              <w:spacing w:line="240" w:lineRule="auto" w:before="3"/>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2" w:lineRule="auto"/>
              <w:ind w:left="86" w:right="19" w:firstLine="886"/>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37,875,303.6</w:t>
            </w:r>
          </w:p>
          <w:p>
            <w:pPr>
              <w:pStyle w:val="TableParagraph"/>
              <w:spacing w:line="240" w:lineRule="auto" w:before="3"/>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-6,243,633.48</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5"/>
              <w:jc w:val="both"/>
              <w:rPr>
                <w:rFonts w:ascii="宋体" w:hAnsi="宋体" w:cs="宋体" w:eastAsia="宋体" w:hint="default"/>
                <w:sz w:val="18"/>
                <w:szCs w:val="18"/>
              </w:rPr>
            </w:pPr>
            <w:r>
              <w:rPr>
                <w:rFonts w:ascii="宋体" w:hAnsi="宋体" w:cs="宋体" w:eastAsia="宋体" w:hint="default"/>
                <w:sz w:val="18"/>
                <w:szCs w:val="18"/>
              </w:rPr>
              <w:t>北京图迅丰 达信息技术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173,256,631.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11,896,548.1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11,896,548.1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8,427,583.53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141,213,933.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8,101,724.19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8,101,724.19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13,059,131.1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中寰卫星导 航通信有限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357,750,895.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83" w:right="19" w:firstLine="886"/>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42,966,121.9</w:t>
            </w:r>
          </w:p>
          <w:p>
            <w:pPr>
              <w:pStyle w:val="TableParagraph"/>
              <w:spacing w:line="240" w:lineRule="auto" w:before="3"/>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88" w:right="19" w:firstLine="885"/>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42,966,121.9</w:t>
            </w:r>
          </w:p>
          <w:p>
            <w:pPr>
              <w:pStyle w:val="TableParagraph"/>
              <w:spacing w:line="240" w:lineRule="auto" w:before="3"/>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86" w:right="22" w:firstLine="885"/>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19,358,809.1</w:t>
            </w:r>
          </w:p>
          <w:p>
            <w:pPr>
              <w:pStyle w:val="TableParagraph"/>
              <w:spacing w:line="240" w:lineRule="auto" w:before="3"/>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229,806,355.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86" w:right="19" w:firstLine="885"/>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63,796,253.4</w:t>
            </w:r>
          </w:p>
          <w:p>
            <w:pPr>
              <w:pStyle w:val="TableParagraph"/>
              <w:spacing w:line="240" w:lineRule="auto" w:before="3"/>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86" w:right="19" w:firstLine="886"/>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63,796,253.4</w:t>
            </w:r>
          </w:p>
          <w:p>
            <w:pPr>
              <w:pStyle w:val="TableParagraph"/>
              <w:spacing w:line="240" w:lineRule="auto" w:before="3"/>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88" w:right="19" w:firstLine="885"/>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10,151,283.8</w:t>
            </w:r>
          </w:p>
          <w:p>
            <w:pPr>
              <w:pStyle w:val="TableParagraph"/>
              <w:spacing w:line="240" w:lineRule="auto" w:before="3"/>
              <w:ind w:right="20"/>
              <w:jc w:val="right"/>
              <w:rPr>
                <w:rFonts w:ascii="Times New Roman" w:hAnsi="Times New Roman" w:cs="Times New Roman" w:eastAsia="Times New Roman" w:hint="default"/>
                <w:sz w:val="18"/>
                <w:szCs w:val="18"/>
              </w:rPr>
            </w:pPr>
            <w:r>
              <w:rPr>
                <w:rFonts w:ascii="Times New Roman"/>
                <w:sz w:val="18"/>
              </w:rPr>
              <w:t>5</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5"/>
              <w:jc w:val="both"/>
              <w:rPr>
                <w:rFonts w:ascii="宋体" w:hAnsi="宋体" w:cs="宋体" w:eastAsia="宋体" w:hint="default"/>
                <w:sz w:val="18"/>
                <w:szCs w:val="18"/>
              </w:rPr>
            </w:pPr>
            <w:r>
              <w:rPr>
                <w:rFonts w:ascii="宋体" w:hAnsi="宋体" w:cs="宋体" w:eastAsia="宋体" w:hint="default"/>
                <w:sz w:val="18"/>
                <w:szCs w:val="18"/>
              </w:rPr>
              <w:t>长沙市海图 科技有限公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16,643,478.7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1,323,823.66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1,323,823.66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2,043,775.17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6,813,192.91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86" w:right="19" w:firstLine="885"/>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18,035,572.5</w:t>
            </w:r>
          </w:p>
          <w:p>
            <w:pPr>
              <w:pStyle w:val="TableParagraph"/>
              <w:spacing w:line="240" w:lineRule="auto" w:before="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86" w:right="19" w:firstLine="886"/>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18,035,572.5</w:t>
            </w:r>
          </w:p>
          <w:p>
            <w:pPr>
              <w:pStyle w:val="TableParagraph"/>
              <w:spacing w:line="240" w:lineRule="auto" w:before="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-1,869,429.89</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128" w:firstLine="360"/>
        <w:jc w:val="both"/>
      </w:pPr>
      <w:r>
        <w:rPr/>
        <w:t>本公司之子公司中寰卫星导航通信有限公司（以下简称中寰卫星）</w:t>
      </w:r>
      <w:r>
        <w:rPr>
          <w:rFonts w:ascii="Times New Roman" w:hAnsi="Times New Roman" w:cs="Times New Roman" w:eastAsia="Times New Roman" w:hint="default"/>
        </w:rPr>
        <w:t>2019</w:t>
      </w:r>
      <w:r>
        <w:rPr>
          <w:rFonts w:ascii="Times New Roman" w:hAnsi="Times New Roman" w:cs="Times New Roman" w:eastAsia="Times New Roman" w:hint="default"/>
          <w:spacing w:val="-17"/>
        </w:rPr>
        <w:t> </w:t>
      </w:r>
      <w:r>
        <w:rPr/>
        <w:t>年收到股东孙玉国出资款共计</w:t>
      </w:r>
      <w:r>
        <w:rPr>
          <w:spacing w:val="-62"/>
        </w:rPr>
        <w:t> </w:t>
      </w:r>
      <w:r>
        <w:rPr>
          <w:rFonts w:ascii="Times New Roman" w:hAnsi="Times New Roman" w:cs="Times New Roman" w:eastAsia="Times New Roman" w:hint="default"/>
        </w:rPr>
        <w:t>1,500</w:t>
      </w:r>
      <w:r>
        <w:rPr>
          <w:rFonts w:ascii="Times New Roman" w:hAnsi="Times New Roman" w:cs="Times New Roman" w:eastAsia="Times New Roman" w:hint="default"/>
          <w:spacing w:val="-17"/>
        </w:rPr>
        <w:t> </w:t>
      </w:r>
      <w:r>
        <w:rPr>
          <w:spacing w:val="-6"/>
        </w:rPr>
        <w:t>万元；增资</w:t>
      </w:r>
      <w:r>
        <w:rPr/>
        <w:t> 完成后，本公司在中寰卫星的实缴持股比例由原</w:t>
      </w:r>
      <w:r>
        <w:rPr>
          <w:spacing w:val="-45"/>
        </w:rPr>
        <w:t> </w:t>
      </w:r>
      <w:r>
        <w:rPr>
          <w:rFonts w:ascii="Times New Roman" w:hAnsi="Times New Roman" w:cs="Times New Roman" w:eastAsia="Times New Roman" w:hint="default"/>
        </w:rPr>
        <w:t>47.88%</w:t>
      </w:r>
      <w:r>
        <w:rPr/>
        <w:t>下降为</w:t>
      </w:r>
      <w:r>
        <w:rPr>
          <w:spacing w:val="-46"/>
        </w:rPr>
        <w:t> </w:t>
      </w:r>
      <w:r>
        <w:rPr>
          <w:rFonts w:ascii="Times New Roman" w:hAnsi="Times New Roman" w:cs="Times New Roman" w:eastAsia="Times New Roman" w:hint="default"/>
        </w:rPr>
        <w:t>45.64%</w:t>
      </w:r>
      <w:r>
        <w:rPr/>
        <w:t>。</w:t>
      </w:r>
    </w:p>
    <w:p>
      <w:pPr>
        <w:pStyle w:val="BodyText"/>
        <w:spacing w:line="300" w:lineRule="auto" w:before="51"/>
        <w:ind w:right="1129" w:firstLine="360"/>
        <w:jc w:val="both"/>
      </w:pPr>
      <w:r>
        <w:rPr/>
        <w:t>本公司之子公司北京世纪高通科技有限公司（以下简称世纪高通）于</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月零对价收购了本公司另一子公司长沙 市海图科技有限公司（以下简称长沙海图）少数股东持有的</w:t>
      </w:r>
      <w:r>
        <w:rPr>
          <w:spacing w:val="-56"/>
        </w:rPr>
        <w:t> </w:t>
      </w:r>
      <w:r>
        <w:rPr>
          <w:rFonts w:ascii="Times New Roman" w:hAnsi="Times New Roman" w:cs="Times New Roman" w:eastAsia="Times New Roman" w:hint="default"/>
        </w:rPr>
        <w:t>11.19%</w:t>
      </w:r>
      <w:r>
        <w:rPr/>
        <w:t>股权，由于本公司持有世纪高通</w:t>
      </w:r>
      <w:r>
        <w:rPr>
          <w:spacing w:val="-56"/>
        </w:rPr>
        <w:t> </w:t>
      </w:r>
      <w:r>
        <w:rPr>
          <w:rFonts w:ascii="Times New Roman" w:hAnsi="Times New Roman" w:cs="Times New Roman" w:eastAsia="Times New Roman" w:hint="default"/>
        </w:rPr>
        <w:t>90.00%</w:t>
      </w:r>
      <w:r>
        <w:rPr/>
        <w:t>股权，本公司对 长沙海图在合并层面持股比例自</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月起由</w:t>
      </w:r>
      <w:r>
        <w:rPr>
          <w:spacing w:val="-46"/>
        </w:rPr>
        <w:t> </w:t>
      </w:r>
      <w:r>
        <w:rPr>
          <w:rFonts w:ascii="Times New Roman" w:hAnsi="Times New Roman" w:cs="Times New Roman" w:eastAsia="Times New Roman" w:hint="default"/>
        </w:rPr>
        <w:t>85.03%</w:t>
      </w:r>
      <w:r>
        <w:rPr/>
        <w:t>上升为</w:t>
      </w:r>
      <w:r>
        <w:rPr>
          <w:spacing w:val="-46"/>
        </w:rPr>
        <w:t> </w:t>
      </w:r>
      <w:r>
        <w:rPr>
          <w:rFonts w:ascii="Times New Roman" w:hAnsi="Times New Roman" w:cs="Times New Roman" w:eastAsia="Times New Roman" w:hint="default"/>
          <w:spacing w:val="-4"/>
        </w:rPr>
        <w:t>95.10%</w:t>
      </w:r>
      <w:r>
        <w:rPr>
          <w:spacing w:val="-4"/>
        </w:rPr>
        <w:t>，该公司仍为本公司之子公司，纳入合并报表范围。</w:t>
      </w:r>
    </w:p>
    <w:p>
      <w:pPr>
        <w:spacing w:line="240" w:lineRule="auto" w:before="3"/>
        <w:rPr>
          <w:rFonts w:ascii="宋体" w:hAnsi="宋体" w:cs="宋体" w:eastAsia="宋体" w:hint="default"/>
          <w:sz w:val="17"/>
          <w:szCs w:val="17"/>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中寰卫星导航通信有限公司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9" w:right="0"/>
              <w:jc w:val="left"/>
              <w:rPr>
                <w:rFonts w:ascii="宋体" w:hAnsi="宋体" w:cs="宋体" w:eastAsia="宋体" w:hint="default"/>
                <w:sz w:val="18"/>
                <w:szCs w:val="18"/>
              </w:rPr>
            </w:pPr>
            <w:r>
              <w:rPr>
                <w:rFonts w:ascii="宋体" w:hAnsi="宋体" w:cs="宋体" w:eastAsia="宋体" w:hint="default"/>
                <w:sz w:val="18"/>
                <w:szCs w:val="18"/>
              </w:rPr>
              <w:t>长沙市海图科技有限公司</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44"/>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 司净资产份额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1,412,978.29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81,789.37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-1,412,978.29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-81,789.37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-1,412,978.29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-81,789.37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调整盈余公积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调整未分配利润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6"/>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371"/>
        <w:gridCol w:w="1369"/>
        <w:gridCol w:w="1366"/>
        <w:gridCol w:w="1368"/>
        <w:gridCol w:w="1366"/>
        <w:gridCol w:w="1369"/>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上海安吉四维信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导航电子地图销 售及服务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49.00%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5"/>
        <w:rPr>
          <w:rFonts w:ascii="Microsoft JhengHei" w:hAnsi="Microsoft JhengHei" w:cs="Microsoft JhengHei" w:eastAsia="Microsoft JhengHei" w:hint="default"/>
          <w:b/>
          <w:bCs/>
          <w:sz w:val="21"/>
          <w:szCs w:val="21"/>
        </w:rPr>
      </w:pPr>
    </w:p>
    <w:tbl>
      <w:tblPr>
        <w:tblW w:w="0" w:type="auto"/>
        <w:jc w:val="left"/>
        <w:tblInd w:w="181" w:type="dxa"/>
        <w:tblLayout w:type="fixed"/>
        <w:tblCellMar>
          <w:top w:w="0" w:type="dxa"/>
          <w:left w:w="0" w:type="dxa"/>
          <w:bottom w:w="0" w:type="dxa"/>
          <w:right w:w="0" w:type="dxa"/>
        </w:tblCellMar>
        <w:tblLook w:val="01E0"/>
      </w:tblPr>
      <w:tblGrid>
        <w:gridCol w:w="1371"/>
        <w:gridCol w:w="1369"/>
        <w:gridCol w:w="1366"/>
        <w:gridCol w:w="1368"/>
        <w:gridCol w:w="1366"/>
        <w:gridCol w:w="1369"/>
        <w:gridCol w:w="1366"/>
      </w:tblGrid>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4"/>
              <w:ind w:left="24" w:right="487"/>
              <w:jc w:val="left"/>
              <w:rPr>
                <w:rFonts w:ascii="Times New Roman" w:hAnsi="Times New Roman" w:cs="Times New Roman" w:eastAsia="Times New Roman" w:hint="default"/>
                <w:sz w:val="18"/>
                <w:szCs w:val="18"/>
              </w:rPr>
            </w:pPr>
            <w:r>
              <w:rPr>
                <w:rFonts w:ascii="Times New Roman"/>
                <w:sz w:val="18"/>
              </w:rPr>
              <w:t>Mapbar</w:t>
            </w:r>
            <w:r>
              <w:rPr>
                <w:rFonts w:ascii="Times New Roman"/>
                <w:w w:val="99"/>
                <w:sz w:val="18"/>
              </w:rPr>
              <w:t> </w:t>
            </w:r>
            <w:r>
              <w:rPr>
                <w:rFonts w:ascii="Times New Roman"/>
                <w:spacing w:val="-2"/>
                <w:sz w:val="18"/>
              </w:rPr>
              <w:t>Technology</w:t>
            </w:r>
            <w:r>
              <w:rPr>
                <w:rFonts w:ascii="Times New Roman"/>
                <w:spacing w:val="-40"/>
                <w:sz w:val="18"/>
              </w:rPr>
              <w:t> </w:t>
            </w:r>
            <w:r>
              <w:rPr>
                <w:rFonts w:ascii="Times New Roman"/>
                <w:spacing w:val="-40"/>
                <w:sz w:val="18"/>
              </w:rPr>
            </w:r>
            <w:r>
              <w:rPr>
                <w:rFonts w:ascii="Times New Roman"/>
                <w:sz w:val="18"/>
              </w:rPr>
              <w:t>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车联网事业相关 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40.77%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60" w:lineRule="auto" w:before="49"/>
        <w:ind w:right="5894"/>
        <w:jc w:val="left"/>
      </w:pPr>
      <w:r>
        <w:rPr/>
        <w:t>在合营企业或联营企业的持股比例不同于表决权比例的说明： 无</w:t>
      </w:r>
    </w:p>
    <w:p>
      <w:pPr>
        <w:pStyle w:val="BodyText"/>
        <w:spacing w:line="340" w:lineRule="auto" w:before="25"/>
        <w:ind w:right="3348"/>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 无</w:t>
      </w:r>
    </w:p>
    <w:p>
      <w:pPr>
        <w:spacing w:line="240" w:lineRule="auto" w:before="4"/>
        <w:rPr>
          <w:rFonts w:ascii="宋体" w:hAnsi="宋体" w:cs="宋体" w:eastAsia="宋体" w:hint="default"/>
          <w:sz w:val="16"/>
          <w:szCs w:val="1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92" w:right="50" w:hanging="540"/>
              <w:jc w:val="left"/>
              <w:rPr>
                <w:rFonts w:ascii="宋体" w:hAnsi="宋体" w:cs="宋体" w:eastAsia="宋体" w:hint="default"/>
                <w:sz w:val="18"/>
                <w:szCs w:val="18"/>
              </w:rPr>
            </w:pPr>
            <w:r>
              <w:rPr>
                <w:rFonts w:ascii="宋体" w:hAnsi="宋体" w:cs="宋体" w:eastAsia="宋体" w:hint="default"/>
                <w:sz w:val="18"/>
                <w:szCs w:val="18"/>
              </w:rPr>
              <w:t>上海安吉四维信息技术 有限公司</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92" w:right="51" w:hanging="540"/>
              <w:jc w:val="left"/>
              <w:rPr>
                <w:rFonts w:ascii="宋体" w:hAnsi="宋体" w:cs="宋体" w:eastAsia="宋体" w:hint="default"/>
                <w:sz w:val="18"/>
                <w:szCs w:val="18"/>
              </w:rPr>
            </w:pPr>
            <w:r>
              <w:rPr>
                <w:rFonts w:ascii="宋体" w:hAnsi="宋体" w:cs="宋体" w:eastAsia="宋体" w:hint="default"/>
                <w:sz w:val="18"/>
                <w:szCs w:val="18"/>
              </w:rPr>
              <w:t>上海安吉四维信息技术 有限公司</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93"/>
              <w:ind w:left="667" w:right="223" w:hanging="440"/>
              <w:jc w:val="left"/>
              <w:rPr>
                <w:rFonts w:ascii="Times New Roman" w:hAnsi="Times New Roman" w:cs="Times New Roman" w:eastAsia="Times New Roman" w:hint="default"/>
                <w:sz w:val="18"/>
                <w:szCs w:val="18"/>
              </w:rPr>
            </w:pPr>
            <w:r>
              <w:rPr>
                <w:rFonts w:ascii="Times New Roman"/>
                <w:sz w:val="18"/>
              </w:rPr>
              <w:t>Mapbar</w:t>
            </w:r>
            <w:r>
              <w:rPr>
                <w:rFonts w:ascii="Times New Roman"/>
                <w:spacing w:val="-15"/>
                <w:sz w:val="18"/>
              </w:rPr>
              <w:t> </w:t>
            </w:r>
            <w:r>
              <w:rPr>
                <w:rFonts w:ascii="Times New Roman"/>
                <w:sz w:val="18"/>
              </w:rPr>
              <w:t>Technology</w:t>
            </w:r>
            <w:r>
              <w:rPr>
                <w:rFonts w:ascii="Times New Roman"/>
                <w:sz w:val="18"/>
              </w:rPr>
              <w:t> Limited</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93"/>
              <w:ind w:left="667" w:right="226" w:hanging="440"/>
              <w:jc w:val="left"/>
              <w:rPr>
                <w:rFonts w:ascii="Times New Roman" w:hAnsi="Times New Roman" w:cs="Times New Roman" w:eastAsia="Times New Roman" w:hint="default"/>
                <w:sz w:val="18"/>
                <w:szCs w:val="18"/>
              </w:rPr>
            </w:pPr>
            <w:r>
              <w:rPr>
                <w:rFonts w:ascii="Times New Roman"/>
                <w:sz w:val="18"/>
              </w:rPr>
              <w:t>Mapbar</w:t>
            </w:r>
            <w:r>
              <w:rPr>
                <w:rFonts w:ascii="Times New Roman"/>
                <w:spacing w:val="-15"/>
                <w:sz w:val="18"/>
              </w:rPr>
              <w:t> </w:t>
            </w:r>
            <w:r>
              <w:rPr>
                <w:rFonts w:ascii="Times New Roman"/>
                <w:sz w:val="18"/>
              </w:rPr>
              <w:t>Technology</w:t>
            </w:r>
            <w:r>
              <w:rPr>
                <w:rFonts w:ascii="Times New Roman"/>
                <w:sz w:val="18"/>
              </w:rPr>
              <w:t> Limited</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75,368,043.46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108,455,430.82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535,172,596.36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641,990,790.31</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1,931,938.53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1,913,323.66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393,119,051.06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162,908,289.22</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77,299,981.99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110,368,754.48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928,291,647.42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804,899,079.53</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40,650,567.27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50,380,110.23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792,186,519.21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263,143,689.03</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1,044,185.45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41,150,567.27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50,880,110.23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793,230,704.66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275,143,689.03</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-4,603,092.51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-1,611,431.15</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36,149,414.72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59,488,644.25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139,664,035.27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531,366,821.65</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17,713,213.22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29,149,435.69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56,941,027.18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249,370,449.40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956,989,610.53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956,989,610.53</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956,989,610.53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956,989,610.53</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17,713,213.22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29,149,435.69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1,032,208,392.24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1,206,360,059.93</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存在公开报价的联营企 业权益投资的公允价值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138,578,815.64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230,547,239.33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310,585,396.02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15,989,948.96</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6,818,616.89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20,564,049.50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-466,603,515.35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-30,322,688.61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896,738.99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-6,088,456.42</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6,818,616.89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20,564,049.50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-465,706,776.36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-36,411,145.03</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81"/>
              <w:jc w:val="left"/>
              <w:rPr>
                <w:rFonts w:ascii="宋体" w:hAnsi="宋体" w:cs="宋体" w:eastAsia="宋体" w:hint="default"/>
                <w:sz w:val="18"/>
                <w:szCs w:val="18"/>
              </w:rPr>
            </w:pPr>
            <w:r>
              <w:rPr>
                <w:rFonts w:ascii="宋体" w:hAnsi="宋体" w:cs="宋体" w:eastAsia="宋体" w:hint="default"/>
                <w:sz w:val="18"/>
                <w:szCs w:val="18"/>
              </w:rPr>
              <w:t>本年度收到的来自联营 企业的股利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14,777,344.75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26,371,473.66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00" w:lineRule="auto" w:before="51"/>
        <w:ind w:right="1127" w:firstLine="360"/>
        <w:jc w:val="left"/>
      </w:pPr>
      <w:r>
        <w:rPr/>
        <w:t>注：</w:t>
      </w:r>
      <w:r>
        <w:rPr>
          <w:rFonts w:ascii="Times New Roman" w:hAnsi="Times New Roman" w:cs="Times New Roman" w:eastAsia="Times New Roman" w:hint="default"/>
        </w:rPr>
        <w:t>Mapbar</w:t>
      </w:r>
      <w:r>
        <w:rPr>
          <w:rFonts w:ascii="Times New Roman" w:hAnsi="Times New Roman" w:cs="Times New Roman" w:eastAsia="Times New Roman" w:hint="default"/>
          <w:spacing w:val="-19"/>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18"/>
        </w:rPr>
        <w:t> </w:t>
      </w:r>
      <w:r>
        <w:rPr>
          <w:rFonts w:ascii="Times New Roman" w:hAnsi="Times New Roman" w:cs="Times New Roman" w:eastAsia="Times New Roman" w:hint="default"/>
        </w:rPr>
        <w:t>Limited</w:t>
      </w:r>
      <w:r>
        <w:rPr/>
        <w:t>（以下简称</w:t>
      </w:r>
      <w:r>
        <w:rPr>
          <w:spacing w:val="-13"/>
        </w:rPr>
        <w:t> </w:t>
      </w:r>
      <w:r>
        <w:rPr/>
        <w:t>图吧</w:t>
      </w:r>
      <w:r>
        <w:rPr>
          <w:spacing w:val="-52"/>
        </w:rPr>
        <w:t> </w:t>
      </w:r>
      <w:r>
        <w:rPr>
          <w:rFonts w:ascii="Times New Roman" w:hAnsi="Times New Roman" w:cs="Times New Roman" w:eastAsia="Times New Roman" w:hint="default"/>
          <w:spacing w:val="-3"/>
        </w:rPr>
        <w:t>BVI</w:t>
      </w:r>
      <w:r>
        <w:rPr>
          <w:spacing w:val="-3"/>
        </w:rPr>
        <w:t>）自</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月起不再纳入集团合并范围，因此利润表项目上期</w:t>
      </w:r>
      <w:r>
        <w:rPr>
          <w:w w:val="99"/>
        </w:rPr>
        <w:t> </w:t>
      </w:r>
      <w:r>
        <w:rPr/>
        <w:t>列示为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月当月发生额。</w:t>
      </w:r>
    </w:p>
    <w:p>
      <w:pPr>
        <w:spacing w:line="240" w:lineRule="auto" w:before="1"/>
        <w:rPr>
          <w:rFonts w:ascii="宋体" w:hAnsi="宋体" w:cs="宋体" w:eastAsia="宋体" w:hint="default"/>
          <w:sz w:val="17"/>
          <w:szCs w:val="17"/>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325"/>
        <w:gridCol w:w="3058"/>
        <w:gridCol w:w="3188"/>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13,966,653.93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10,656,079.63</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-12,958,279.83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-9,788,447.19</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-12,958,279.83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-9,788,447.19</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590,849,289.37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52,112,481.55</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-5,235,717.58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-2,709,515.72</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11,849,384.72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6,613,667.14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-2,709,515.72</w:t>
            </w:r>
          </w:p>
        </w:tc>
      </w:tr>
    </w:tbl>
    <w:p>
      <w:pPr>
        <w:pStyle w:val="BodyText"/>
        <w:spacing w:line="360" w:lineRule="auto" w:before="49"/>
        <w:ind w:right="10034"/>
        <w:jc w:val="left"/>
      </w:pPr>
      <w:r>
        <w:rPr/>
        <w:t>其他说明 无</w:t>
      </w:r>
    </w:p>
    <w:p>
      <w:pPr>
        <w:spacing w:line="240" w:lineRule="auto" w:before="3"/>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十、与金融工具相关的风险</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6" w:lineRule="auto"/>
        <w:ind w:right="1133" w:firstLine="439"/>
        <w:jc w:val="both"/>
      </w:pPr>
      <w:r>
        <w:rPr/>
        <w:t>本集团的主要金融工具包括应收款项、应付款项、应付债券等，各项金融工具的详细情况说明见本附注七相关项目。 </w:t>
      </w:r>
      <w:r>
        <w:rPr>
          <w:spacing w:val="-2"/>
        </w:rPr>
        <w:t>与这些金融工具有关的风险，以及本集团为降低这些风险所采取的风险管理政策如下所述。本集团管理层对这些风险敞口进</w:t>
      </w:r>
      <w:r>
        <w:rPr>
          <w:spacing w:val="-64"/>
        </w:rPr>
        <w:t> </w:t>
      </w:r>
      <w:r>
        <w:rPr>
          <w:spacing w:val="-64"/>
        </w:rPr>
      </w:r>
      <w:r>
        <w:rPr/>
        <w:t>行管理和监控以确保将上述风险控制在限定的范围之内。</w:t>
      </w:r>
    </w:p>
    <w:p>
      <w:pPr>
        <w:pStyle w:val="BodyText"/>
        <w:spacing w:line="432" w:lineRule="exact" w:before="3"/>
        <w:ind w:left="592" w:right="1134" w:hanging="168"/>
        <w:jc w:val="left"/>
      </w:pPr>
      <w:r>
        <w:rPr>
          <w:rFonts w:ascii="Times New Roman" w:hAnsi="Times New Roman" w:cs="Times New Roman" w:eastAsia="Times New Roman" w:hint="default"/>
        </w:rPr>
        <w:t>1.</w:t>
      </w:r>
      <w:r>
        <w:rPr/>
        <w:t>各类风险管理目标和政策 本集团从事风险管理的目标是在风险和收益之间取得适当的平衡，将风险对本集团经营业绩的负面影响降低到最低水</w:t>
      </w:r>
    </w:p>
    <w:p>
      <w:pPr>
        <w:pStyle w:val="BodyText"/>
        <w:spacing w:line="316" w:lineRule="auto" w:before="15"/>
        <w:ind w:right="1129"/>
        <w:jc w:val="left"/>
      </w:pPr>
      <w:r>
        <w:rPr>
          <w:spacing w:val="-2"/>
        </w:rPr>
        <w:t>平，使股东及其它权益投资者的利益最大化。基于该风险管理目标，本集团风险管理的基本策略是确定和分析本集团所面临</w:t>
      </w:r>
      <w:r>
        <w:rPr>
          <w:spacing w:val="-63"/>
        </w:rPr>
        <w:t> </w:t>
      </w:r>
      <w:r>
        <w:rPr>
          <w:spacing w:val="-63"/>
        </w:rPr>
      </w:r>
      <w:r>
        <w:rPr>
          <w:spacing w:val="-5"/>
        </w:rPr>
        <w:t>的各种风险，建立适当的风险承受底线并进行风险管理，并及时可靠地对各种风险进行监督，将风险控制在限定的范围之内。</w:t>
      </w:r>
    </w:p>
    <w:p>
      <w:pPr>
        <w:pStyle w:val="BodyText"/>
        <w:spacing w:line="240" w:lineRule="auto" w:before="139"/>
        <w:ind w:left="592" w:right="0"/>
        <w:jc w:val="left"/>
      </w:pPr>
      <w:r>
        <w:rPr/>
        <w:t>（</w:t>
      </w:r>
      <w:r>
        <w:rPr>
          <w:rFonts w:ascii="Times New Roman" w:hAnsi="Times New Roman" w:cs="Times New Roman" w:eastAsia="Times New Roman" w:hint="default"/>
        </w:rPr>
        <w:t>1</w:t>
      </w:r>
      <w:r>
        <w:rPr/>
        <w:t>）市场风险</w:t>
      </w:r>
    </w:p>
    <w:p>
      <w:pPr>
        <w:pStyle w:val="BodyText"/>
        <w:spacing w:line="420" w:lineRule="atLeast" w:before="12"/>
        <w:ind w:left="592" w:right="1134"/>
        <w:jc w:val="left"/>
      </w:pPr>
      <w:r>
        <w:rPr>
          <w:rFonts w:ascii="Times New Roman" w:hAnsi="Times New Roman" w:cs="Times New Roman" w:eastAsia="Times New Roman" w:hint="default"/>
        </w:rPr>
        <w:t>1</w:t>
      </w:r>
      <w:r>
        <w:rPr/>
        <w:t>）汇率风险 汇率风险，是指金融工具的公允价值或未来现金流量因外汇汇率变动而发生波动的风险。本集团承受汇率风险主要与</w:t>
      </w:r>
    </w:p>
    <w:p>
      <w:pPr>
        <w:pStyle w:val="BodyText"/>
        <w:spacing w:line="316" w:lineRule="auto" w:before="76"/>
        <w:ind w:right="0"/>
        <w:jc w:val="left"/>
      </w:pPr>
      <w:r>
        <w:rPr>
          <w:spacing w:val="-2"/>
        </w:rPr>
        <w:t>欧元和美元有关，除本集团的境外子公司以欧元进行采购和销售外，本集团的其他境外业务主要以美元计价结算。外币余额</w:t>
      </w:r>
      <w:r>
        <w:rPr>
          <w:spacing w:val="-63"/>
        </w:rPr>
        <w:t> </w:t>
      </w:r>
      <w:r>
        <w:rPr>
          <w:spacing w:val="-63"/>
        </w:rPr>
      </w:r>
      <w:r>
        <w:rPr/>
        <w:t>的资产和负债产生的汇率风险可能对本集团的经营业绩产生影响。</w:t>
      </w:r>
    </w:p>
    <w:tbl>
      <w:tblPr>
        <w:tblW w:w="0" w:type="auto"/>
        <w:jc w:val="left"/>
        <w:tblInd w:w="164" w:type="dxa"/>
        <w:tblLayout w:type="fixed"/>
        <w:tblCellMar>
          <w:top w:w="0" w:type="dxa"/>
          <w:left w:w="0" w:type="dxa"/>
          <w:bottom w:w="0" w:type="dxa"/>
          <w:right w:w="0" w:type="dxa"/>
        </w:tblCellMar>
        <w:tblLook w:val="01E0"/>
      </w:tblPr>
      <w:tblGrid>
        <w:gridCol w:w="3745"/>
        <w:gridCol w:w="2876"/>
        <w:gridCol w:w="2878"/>
      </w:tblGrid>
      <w:tr>
        <w:trPr>
          <w:trHeight w:val="428" w:hRule="exact"/>
        </w:trPr>
        <w:tc>
          <w:tcPr>
            <w:tcW w:w="3745"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58"/>
              <w:ind w:right="46"/>
              <w:jc w:val="center"/>
              <w:rPr>
                <w:rFonts w:ascii="宋体" w:hAnsi="宋体" w:cs="宋体" w:eastAsia="宋体" w:hint="default"/>
                <w:sz w:val="18"/>
                <w:szCs w:val="18"/>
              </w:rPr>
            </w:pPr>
            <w:r>
              <w:rPr>
                <w:rFonts w:ascii="宋体" w:hAnsi="宋体" w:cs="宋体" w:eastAsia="宋体" w:hint="default"/>
                <w:sz w:val="18"/>
                <w:szCs w:val="18"/>
              </w:rPr>
              <w:t>项目</w:t>
            </w:r>
          </w:p>
        </w:tc>
        <w:tc>
          <w:tcPr>
            <w:tcW w:w="2876"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58"/>
              <w:ind w:left="6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878" w:type="dxa"/>
            <w:tcBorders>
              <w:top w:val="single" w:sz="6" w:space="0" w:color="000000"/>
              <w:left w:val="single" w:sz="6" w:space="0" w:color="000000"/>
              <w:bottom w:val="single" w:sz="6" w:space="0" w:color="000000"/>
              <w:right w:val="single" w:sz="4" w:space="0" w:color="000000"/>
            </w:tcBorders>
            <w:shd w:val="clear" w:color="auto" w:fill="D9D9D9"/>
          </w:tcPr>
          <w:p>
            <w:pPr>
              <w:pStyle w:val="TableParagraph"/>
              <w:spacing w:line="240" w:lineRule="auto" w:before="58"/>
              <w:ind w:left="6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29" w:hRule="exact"/>
        </w:trPr>
        <w:tc>
          <w:tcPr>
            <w:tcW w:w="37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left="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8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46"/>
              <w:jc w:val="right"/>
              <w:rPr>
                <w:rFonts w:ascii="Times New Roman" w:hAnsi="Times New Roman" w:cs="Times New Roman" w:eastAsia="Times New Roman" w:hint="default"/>
                <w:sz w:val="18"/>
                <w:szCs w:val="18"/>
              </w:rPr>
            </w:pPr>
            <w:r>
              <w:rPr>
                <w:rFonts w:ascii="Times New Roman"/>
                <w:spacing w:val="-1"/>
                <w:sz w:val="18"/>
              </w:rPr>
              <w:t>16,301,837.33</w:t>
            </w:r>
          </w:p>
        </w:tc>
        <w:tc>
          <w:tcPr>
            <w:tcW w:w="28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0"/>
              <w:ind w:right="48"/>
              <w:jc w:val="right"/>
              <w:rPr>
                <w:rFonts w:ascii="Times New Roman" w:hAnsi="Times New Roman" w:cs="Times New Roman" w:eastAsia="Times New Roman" w:hint="default"/>
                <w:sz w:val="18"/>
                <w:szCs w:val="18"/>
              </w:rPr>
            </w:pPr>
            <w:r>
              <w:rPr>
                <w:rFonts w:ascii="Times New Roman"/>
                <w:spacing w:val="-1"/>
                <w:sz w:val="18"/>
              </w:rPr>
              <w:t>21,129,926.84</w:t>
            </w:r>
          </w:p>
        </w:tc>
      </w:tr>
      <w:tr>
        <w:trPr>
          <w:trHeight w:val="425" w:hRule="exact"/>
        </w:trPr>
        <w:tc>
          <w:tcPr>
            <w:tcW w:w="37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28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45"/>
              <w:jc w:val="right"/>
              <w:rPr>
                <w:rFonts w:ascii="Times New Roman" w:hAnsi="Times New Roman" w:cs="Times New Roman" w:eastAsia="Times New Roman" w:hint="default"/>
                <w:sz w:val="18"/>
                <w:szCs w:val="18"/>
              </w:rPr>
            </w:pPr>
            <w:r>
              <w:rPr>
                <w:rFonts w:ascii="Times New Roman"/>
                <w:spacing w:val="-1"/>
                <w:sz w:val="18"/>
              </w:rPr>
              <w:t>5,561,856.00</w:t>
            </w:r>
          </w:p>
        </w:tc>
        <w:tc>
          <w:tcPr>
            <w:tcW w:w="28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8"/>
              <w:ind w:right="48"/>
              <w:jc w:val="right"/>
              <w:rPr>
                <w:rFonts w:ascii="Times New Roman" w:hAnsi="Times New Roman" w:cs="Times New Roman" w:eastAsia="Times New Roman" w:hint="default"/>
                <w:sz w:val="18"/>
                <w:szCs w:val="18"/>
              </w:rPr>
            </w:pPr>
            <w:r>
              <w:rPr>
                <w:rFonts w:ascii="Times New Roman"/>
                <w:spacing w:val="-1"/>
                <w:sz w:val="18"/>
              </w:rPr>
              <w:t>6,074,038.00</w:t>
            </w:r>
          </w:p>
        </w:tc>
      </w:tr>
      <w:tr>
        <w:trPr>
          <w:trHeight w:val="427" w:hRule="exact"/>
        </w:trPr>
        <w:tc>
          <w:tcPr>
            <w:tcW w:w="37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28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44"/>
              <w:jc w:val="right"/>
              <w:rPr>
                <w:rFonts w:ascii="Times New Roman" w:hAnsi="Times New Roman" w:cs="Times New Roman" w:eastAsia="Times New Roman" w:hint="default"/>
                <w:sz w:val="18"/>
                <w:szCs w:val="18"/>
              </w:rPr>
            </w:pPr>
            <w:r>
              <w:rPr>
                <w:rFonts w:ascii="Times New Roman"/>
                <w:spacing w:val="-2"/>
                <w:sz w:val="18"/>
              </w:rPr>
              <w:t>11.62</w:t>
            </w:r>
          </w:p>
        </w:tc>
        <w:tc>
          <w:tcPr>
            <w:tcW w:w="28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0"/>
              <w:ind w:right="47"/>
              <w:jc w:val="right"/>
              <w:rPr>
                <w:rFonts w:ascii="Times New Roman" w:hAnsi="Times New Roman" w:cs="Times New Roman" w:eastAsia="Times New Roman" w:hint="default"/>
                <w:sz w:val="18"/>
                <w:szCs w:val="18"/>
              </w:rPr>
            </w:pPr>
            <w:r>
              <w:rPr>
                <w:rFonts w:ascii="Times New Roman"/>
                <w:spacing w:val="-2"/>
                <w:sz w:val="18"/>
              </w:rPr>
              <w:t>11.62</w:t>
            </w:r>
          </w:p>
        </w:tc>
      </w:tr>
      <w:tr>
        <w:trPr>
          <w:trHeight w:val="427" w:hRule="exact"/>
        </w:trPr>
        <w:tc>
          <w:tcPr>
            <w:tcW w:w="37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港币</w:t>
            </w:r>
          </w:p>
        </w:tc>
        <w:tc>
          <w:tcPr>
            <w:tcW w:w="28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45"/>
              <w:jc w:val="right"/>
              <w:rPr>
                <w:rFonts w:ascii="Times New Roman" w:hAnsi="Times New Roman" w:cs="Times New Roman" w:eastAsia="Times New Roman" w:hint="default"/>
                <w:sz w:val="18"/>
                <w:szCs w:val="18"/>
              </w:rPr>
            </w:pPr>
            <w:r>
              <w:rPr>
                <w:rFonts w:ascii="Times New Roman"/>
                <w:spacing w:val="-1"/>
                <w:sz w:val="18"/>
              </w:rPr>
              <w:t>0.00</w:t>
            </w:r>
          </w:p>
        </w:tc>
        <w:tc>
          <w:tcPr>
            <w:tcW w:w="28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0"/>
              <w:ind w:right="48"/>
              <w:jc w:val="right"/>
              <w:rPr>
                <w:rFonts w:ascii="Times New Roman" w:hAnsi="Times New Roman" w:cs="Times New Roman" w:eastAsia="Times New Roman" w:hint="default"/>
                <w:sz w:val="18"/>
                <w:szCs w:val="18"/>
              </w:rPr>
            </w:pPr>
            <w:r>
              <w:rPr>
                <w:rFonts w:ascii="Times New Roman"/>
                <w:spacing w:val="-1"/>
                <w:sz w:val="18"/>
              </w:rPr>
              <w:t>203,238.03</w:t>
            </w:r>
          </w:p>
        </w:tc>
      </w:tr>
      <w:tr>
        <w:trPr>
          <w:trHeight w:val="427" w:hRule="exact"/>
        </w:trPr>
        <w:tc>
          <w:tcPr>
            <w:tcW w:w="37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新加坡元</w:t>
            </w:r>
          </w:p>
        </w:tc>
        <w:tc>
          <w:tcPr>
            <w:tcW w:w="28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45"/>
              <w:jc w:val="right"/>
              <w:rPr>
                <w:rFonts w:ascii="Times New Roman" w:hAnsi="Times New Roman" w:cs="Times New Roman" w:eastAsia="Times New Roman" w:hint="default"/>
                <w:sz w:val="18"/>
                <w:szCs w:val="18"/>
              </w:rPr>
            </w:pPr>
            <w:r>
              <w:rPr>
                <w:rFonts w:ascii="Times New Roman"/>
                <w:spacing w:val="-1"/>
                <w:sz w:val="18"/>
              </w:rPr>
              <w:t>126,453.79</w:t>
            </w:r>
          </w:p>
        </w:tc>
        <w:tc>
          <w:tcPr>
            <w:tcW w:w="28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0"/>
              <w:ind w:right="47"/>
              <w:jc w:val="right"/>
              <w:rPr>
                <w:rFonts w:ascii="Times New Roman" w:hAnsi="Times New Roman" w:cs="Times New Roman" w:eastAsia="Times New Roman" w:hint="default"/>
                <w:sz w:val="18"/>
                <w:szCs w:val="18"/>
              </w:rPr>
            </w:pPr>
            <w:r>
              <w:rPr>
                <w:rFonts w:ascii="Times New Roman"/>
                <w:spacing w:val="-1"/>
                <w:sz w:val="18"/>
              </w:rPr>
              <w:t>0.00</w:t>
            </w:r>
          </w:p>
        </w:tc>
      </w:tr>
      <w:tr>
        <w:trPr>
          <w:trHeight w:val="427" w:hRule="exact"/>
        </w:trPr>
        <w:tc>
          <w:tcPr>
            <w:tcW w:w="37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8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46"/>
              <w:jc w:val="right"/>
              <w:rPr>
                <w:rFonts w:ascii="Times New Roman" w:hAnsi="Times New Roman" w:cs="Times New Roman" w:eastAsia="Times New Roman" w:hint="default"/>
                <w:sz w:val="18"/>
                <w:szCs w:val="18"/>
              </w:rPr>
            </w:pPr>
            <w:r>
              <w:rPr>
                <w:rFonts w:ascii="Times New Roman"/>
                <w:spacing w:val="-1"/>
                <w:sz w:val="18"/>
              </w:rPr>
              <w:t>10,653,823.92</w:t>
            </w:r>
          </w:p>
        </w:tc>
        <w:tc>
          <w:tcPr>
            <w:tcW w:w="28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0"/>
              <w:ind w:right="48"/>
              <w:jc w:val="right"/>
              <w:rPr>
                <w:rFonts w:ascii="Times New Roman" w:hAnsi="Times New Roman" w:cs="Times New Roman" w:eastAsia="Times New Roman" w:hint="default"/>
                <w:sz w:val="18"/>
                <w:szCs w:val="18"/>
              </w:rPr>
            </w:pPr>
            <w:r>
              <w:rPr>
                <w:rFonts w:ascii="Times New Roman"/>
                <w:spacing w:val="-1"/>
                <w:sz w:val="18"/>
              </w:rPr>
              <w:t>22,731,838.25</w:t>
            </w:r>
          </w:p>
        </w:tc>
      </w:tr>
      <w:tr>
        <w:trPr>
          <w:trHeight w:val="427" w:hRule="exact"/>
        </w:trPr>
        <w:tc>
          <w:tcPr>
            <w:tcW w:w="37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28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45"/>
              <w:jc w:val="right"/>
              <w:rPr>
                <w:rFonts w:ascii="Times New Roman" w:hAnsi="Times New Roman" w:cs="Times New Roman" w:eastAsia="Times New Roman" w:hint="default"/>
                <w:sz w:val="18"/>
                <w:szCs w:val="18"/>
              </w:rPr>
            </w:pPr>
            <w:r>
              <w:rPr>
                <w:rFonts w:ascii="Times New Roman"/>
                <w:spacing w:val="-1"/>
                <w:sz w:val="18"/>
              </w:rPr>
              <w:t>469,922.34</w:t>
            </w:r>
          </w:p>
        </w:tc>
        <w:tc>
          <w:tcPr>
            <w:tcW w:w="28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0"/>
              <w:ind w:right="47"/>
              <w:jc w:val="right"/>
              <w:rPr>
                <w:rFonts w:ascii="Times New Roman" w:hAnsi="Times New Roman" w:cs="Times New Roman" w:eastAsia="Times New Roman" w:hint="default"/>
                <w:sz w:val="18"/>
                <w:szCs w:val="18"/>
              </w:rPr>
            </w:pPr>
            <w:r>
              <w:rPr>
                <w:rFonts w:ascii="Times New Roman"/>
                <w:w w:val="95"/>
                <w:sz w:val="18"/>
              </w:rPr>
              <w:t>6,127.66</w:t>
            </w:r>
          </w:p>
        </w:tc>
      </w:tr>
      <w:tr>
        <w:trPr>
          <w:trHeight w:val="427" w:hRule="exact"/>
        </w:trPr>
        <w:tc>
          <w:tcPr>
            <w:tcW w:w="37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28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45"/>
              <w:jc w:val="right"/>
              <w:rPr>
                <w:rFonts w:ascii="Times New Roman" w:hAnsi="Times New Roman" w:cs="Times New Roman" w:eastAsia="Times New Roman" w:hint="default"/>
                <w:sz w:val="18"/>
                <w:szCs w:val="18"/>
              </w:rPr>
            </w:pPr>
            <w:r>
              <w:rPr>
                <w:rFonts w:ascii="Times New Roman"/>
                <w:w w:val="95"/>
                <w:sz w:val="18"/>
              </w:rPr>
              <w:t>1,144.02</w:t>
            </w:r>
          </w:p>
        </w:tc>
        <w:tc>
          <w:tcPr>
            <w:tcW w:w="287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98"/>
              <w:ind w:right="47"/>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64" w:type="dxa"/>
        <w:tblLayout w:type="fixed"/>
        <w:tblCellMar>
          <w:top w:w="0" w:type="dxa"/>
          <w:left w:w="0" w:type="dxa"/>
          <w:bottom w:w="0" w:type="dxa"/>
          <w:right w:w="0" w:type="dxa"/>
        </w:tblCellMar>
        <w:tblLook w:val="01E0"/>
      </w:tblPr>
      <w:tblGrid>
        <w:gridCol w:w="3745"/>
        <w:gridCol w:w="2876"/>
        <w:gridCol w:w="2878"/>
      </w:tblGrid>
      <w:tr>
        <w:trPr>
          <w:trHeight w:val="430" w:hRule="exact"/>
        </w:trPr>
        <w:tc>
          <w:tcPr>
            <w:tcW w:w="374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87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01"/>
              <w:ind w:right="45"/>
              <w:jc w:val="right"/>
              <w:rPr>
                <w:rFonts w:ascii="Times New Roman" w:hAnsi="Times New Roman" w:cs="Times New Roman" w:eastAsia="Times New Roman" w:hint="default"/>
                <w:sz w:val="18"/>
                <w:szCs w:val="18"/>
              </w:rPr>
            </w:pPr>
            <w:r>
              <w:rPr>
                <w:rFonts w:ascii="Times New Roman"/>
                <w:spacing w:val="-1"/>
                <w:sz w:val="18"/>
              </w:rPr>
              <w:t>5,303,103.08</w:t>
            </w:r>
          </w:p>
        </w:tc>
        <w:tc>
          <w:tcPr>
            <w:tcW w:w="28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48"/>
              <w:jc w:val="right"/>
              <w:rPr>
                <w:rFonts w:ascii="Times New Roman" w:hAnsi="Times New Roman" w:cs="Times New Roman" w:eastAsia="Times New Roman" w:hint="default"/>
                <w:sz w:val="18"/>
                <w:szCs w:val="18"/>
              </w:rPr>
            </w:pPr>
            <w:r>
              <w:rPr>
                <w:rFonts w:ascii="Times New Roman"/>
                <w:spacing w:val="-1"/>
                <w:sz w:val="18"/>
              </w:rPr>
              <w:t>8,384,510.51</w:t>
            </w:r>
          </w:p>
        </w:tc>
      </w:tr>
      <w:tr>
        <w:trPr>
          <w:trHeight w:val="427" w:hRule="exact"/>
        </w:trPr>
        <w:tc>
          <w:tcPr>
            <w:tcW w:w="37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8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45"/>
              <w:jc w:val="right"/>
              <w:rPr>
                <w:rFonts w:ascii="Times New Roman" w:hAnsi="Times New Roman" w:cs="Times New Roman" w:eastAsia="Times New Roman" w:hint="default"/>
                <w:sz w:val="18"/>
                <w:szCs w:val="18"/>
              </w:rPr>
            </w:pPr>
            <w:r>
              <w:rPr>
                <w:rFonts w:ascii="Times New Roman"/>
                <w:spacing w:val="-1"/>
                <w:sz w:val="18"/>
              </w:rPr>
              <w:t>862,031.90</w:t>
            </w:r>
          </w:p>
        </w:tc>
        <w:tc>
          <w:tcPr>
            <w:tcW w:w="287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98"/>
              <w:ind w:right="48"/>
              <w:jc w:val="right"/>
              <w:rPr>
                <w:rFonts w:ascii="Times New Roman" w:hAnsi="Times New Roman" w:cs="Times New Roman" w:eastAsia="Times New Roman" w:hint="default"/>
                <w:sz w:val="18"/>
                <w:szCs w:val="18"/>
              </w:rPr>
            </w:pPr>
            <w:r>
              <w:rPr>
                <w:rFonts w:ascii="Times New Roman"/>
                <w:spacing w:val="-1"/>
                <w:sz w:val="18"/>
              </w:rPr>
              <w:t>580,469.17</w:t>
            </w:r>
          </w:p>
        </w:tc>
      </w:tr>
    </w:tbl>
    <w:p>
      <w:pPr>
        <w:spacing w:line="240" w:lineRule="auto" w:before="8"/>
        <w:rPr>
          <w:rFonts w:ascii="宋体" w:hAnsi="宋体" w:cs="宋体" w:eastAsia="宋体" w:hint="default"/>
          <w:sz w:val="6"/>
          <w:szCs w:val="6"/>
        </w:rPr>
      </w:pPr>
    </w:p>
    <w:p>
      <w:pPr>
        <w:pStyle w:val="BodyText"/>
        <w:spacing w:line="240" w:lineRule="auto" w:before="44"/>
        <w:ind w:left="592" w:right="0"/>
        <w:jc w:val="left"/>
      </w:pPr>
      <w:r>
        <w:rPr/>
        <w:t>本集团密切关注汇率变动对本集团的影响。</w:t>
      </w:r>
    </w:p>
    <w:p>
      <w:pPr>
        <w:pStyle w:val="BodyText"/>
        <w:spacing w:line="420" w:lineRule="atLeast" w:before="25"/>
        <w:ind w:left="592" w:right="1121"/>
        <w:jc w:val="left"/>
      </w:pPr>
      <w:r>
        <w:rPr>
          <w:rFonts w:ascii="Times New Roman" w:hAnsi="Times New Roman" w:cs="Times New Roman" w:eastAsia="Times New Roman" w:hint="default"/>
        </w:rPr>
        <w:t>2</w:t>
      </w:r>
      <w:r>
        <w:rPr/>
        <w:t>）价格风险 本集团以市场价格提供导航、芯片、高级辅助驾驶及自动驾驶、位置大数据、车联网等产品及服务，因此受到此种价</w:t>
      </w:r>
    </w:p>
    <w:p>
      <w:pPr>
        <w:pStyle w:val="BodyText"/>
        <w:spacing w:line="240" w:lineRule="auto" w:before="76"/>
        <w:ind w:right="0"/>
        <w:jc w:val="left"/>
      </w:pPr>
      <w:r>
        <w:rPr/>
        <w:t>格波动的影响。</w:t>
      </w:r>
    </w:p>
    <w:p>
      <w:pPr>
        <w:pStyle w:val="BodyText"/>
        <w:spacing w:line="430" w:lineRule="atLeast" w:before="15"/>
        <w:ind w:left="592" w:right="1121"/>
        <w:jc w:val="left"/>
      </w:pPr>
      <w:r>
        <w:rPr/>
        <w:t>（</w:t>
      </w:r>
      <w:r>
        <w:rPr>
          <w:rFonts w:ascii="Times New Roman" w:hAnsi="Times New Roman" w:cs="Times New Roman" w:eastAsia="Times New Roman" w:hint="default"/>
        </w:rPr>
        <w:t>2</w:t>
      </w:r>
      <w:r>
        <w:rPr/>
        <w:t>）信用风险 信用风险是指金融工具的一方不履行义务，造成另一方发生财务损失的风险。于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日，可能引起本集团财</w:t>
      </w:r>
    </w:p>
    <w:p>
      <w:pPr>
        <w:pStyle w:val="BodyText"/>
        <w:spacing w:line="319" w:lineRule="auto" w:before="63"/>
        <w:ind w:right="0"/>
        <w:jc w:val="left"/>
      </w:pPr>
      <w:r>
        <w:rPr/>
        <w:t>务损失的最大信用风险敞口主要来自于合同另一方未能履行义务而导致本集团金融资产产生的损失以及本集团承担的财务</w:t>
      </w:r>
      <w:r>
        <w:rPr>
          <w:spacing w:val="-11"/>
        </w:rPr>
        <w:t> </w:t>
      </w:r>
      <w:r>
        <w:rPr>
          <w:spacing w:val="-11"/>
        </w:rPr>
      </w:r>
      <w:r>
        <w:rPr/>
        <w:t>担保，具体包括：</w:t>
      </w:r>
    </w:p>
    <w:p>
      <w:pPr>
        <w:pStyle w:val="BodyText"/>
        <w:spacing w:line="316" w:lineRule="auto" w:before="137"/>
        <w:ind w:right="1136" w:firstLine="439"/>
        <w:jc w:val="both"/>
      </w:pPr>
      <w:r>
        <w:rPr>
          <w:spacing w:val="-4"/>
        </w:rPr>
        <w:t>合并资产负债表中已确认的金融资产的账面金额；对于以公允价值计量的金融工具而言，账面价值反映了其风险敞口，</w:t>
      </w:r>
      <w:r>
        <w:rPr/>
        <w:t> 但并非最大风险敞口，其最大风险敞口将随着未来公允价值的变化而改变。</w:t>
      </w:r>
    </w:p>
    <w:p>
      <w:pPr>
        <w:pStyle w:val="BodyText"/>
        <w:spacing w:line="316" w:lineRule="auto" w:before="139"/>
        <w:ind w:right="1133" w:firstLine="439"/>
        <w:jc w:val="both"/>
      </w:pPr>
      <w:r>
        <w:rPr/>
        <w:t>为降低信用风险，本集团成立专门部门确定信用额度、进行信用审批，并执行其它监控程序以确保采取必要的措施回 </w:t>
      </w:r>
      <w:r>
        <w:rPr>
          <w:spacing w:val="-2"/>
        </w:rPr>
        <w:t>收过期债权。此外，本集团于每个资产负债表日审核每一单项应收款的回收情况，以确保就无法回收的款项计提充分的坏账</w:t>
      </w:r>
      <w:r>
        <w:rPr>
          <w:spacing w:val="-66"/>
        </w:rPr>
        <w:t> </w:t>
      </w:r>
      <w:r>
        <w:rPr>
          <w:spacing w:val="-66"/>
        </w:rPr>
      </w:r>
      <w:r>
        <w:rPr/>
        <w:t>准备。因此，本集团管理层认为本集团所承担的信用风险已经大为降低。</w:t>
      </w:r>
    </w:p>
    <w:p>
      <w:pPr>
        <w:pStyle w:val="BodyText"/>
        <w:spacing w:line="432" w:lineRule="exact" w:before="3"/>
        <w:ind w:left="592" w:right="1134"/>
        <w:jc w:val="left"/>
      </w:pPr>
      <w:r>
        <w:rPr/>
        <w:t>本集团的流动资金存放在信用评级较高的银行，故流动资金的信用风险较低。 本集团采用了必要的政策确保所有销售客户均具有良好的信用记录。除应收账款金额前五名外，本集团无其他重大信</w:t>
      </w:r>
    </w:p>
    <w:p>
      <w:pPr>
        <w:pStyle w:val="BodyText"/>
        <w:spacing w:line="240" w:lineRule="auto" w:before="15"/>
        <w:ind w:right="0"/>
        <w:jc w:val="left"/>
      </w:pPr>
      <w:r>
        <w:rPr/>
        <w:t>用集中风险。</w:t>
      </w:r>
    </w:p>
    <w:p>
      <w:pPr>
        <w:spacing w:line="240" w:lineRule="auto" w:before="1"/>
        <w:rPr>
          <w:rFonts w:ascii="宋体" w:hAnsi="宋体" w:cs="宋体" w:eastAsia="宋体" w:hint="default"/>
          <w:sz w:val="15"/>
          <w:szCs w:val="15"/>
        </w:rPr>
      </w:pPr>
    </w:p>
    <w:p>
      <w:pPr>
        <w:pStyle w:val="BodyText"/>
        <w:spacing w:line="240" w:lineRule="auto"/>
        <w:ind w:left="592" w:right="0"/>
        <w:jc w:val="left"/>
        <w:rPr>
          <w:rFonts w:ascii="宋体" w:hAnsi="宋体" w:cs="宋体" w:eastAsia="宋体" w:hint="default"/>
        </w:rPr>
      </w:pPr>
      <w:r>
        <w:rPr/>
        <w:t>应收账款前五名金额合计：</w:t>
      </w:r>
      <w:r>
        <w:rPr>
          <w:rFonts w:ascii="Times New Roman" w:hAnsi="Times New Roman" w:cs="Times New Roman" w:eastAsia="Times New Roman" w:hint="default"/>
        </w:rPr>
        <w:t>278,459,790.07</w:t>
      </w:r>
      <w:r>
        <w:rPr>
          <w:rFonts w:ascii="Times New Roman" w:hAnsi="Times New Roman" w:cs="Times New Roman" w:eastAsia="Times New Roman" w:hint="default"/>
          <w:spacing w:val="21"/>
        </w:rPr>
        <w:t> </w:t>
      </w:r>
      <w:r>
        <w:rPr/>
        <w:t>元。</w:t>
      </w:r>
      <w:r>
        <w:rPr>
          <w:rFonts w:ascii="宋体" w:hAnsi="宋体" w:cs="宋体" w:eastAsia="宋体" w:hint="default"/>
        </w:rPr>
        <w:t> </w:t>
      </w:r>
    </w:p>
    <w:p>
      <w:pPr>
        <w:pStyle w:val="BodyText"/>
        <w:spacing w:line="420" w:lineRule="atLeast" w:before="12"/>
        <w:ind w:left="592" w:right="1134"/>
        <w:jc w:val="left"/>
      </w:pPr>
      <w:r>
        <w:rPr/>
        <w:t>（</w:t>
      </w:r>
      <w:r>
        <w:rPr>
          <w:rFonts w:ascii="Times New Roman" w:hAnsi="Times New Roman" w:cs="Times New Roman" w:eastAsia="Times New Roman" w:hint="default"/>
        </w:rPr>
        <w:t>3</w:t>
      </w:r>
      <w:r>
        <w:rPr/>
        <w:t>）流动风险 流动风险，是指公司在履行以交付现金或其他金融资产的方式结算的义务时发生资金短缺的风险。本公司的政策是确</w:t>
      </w:r>
    </w:p>
    <w:p>
      <w:pPr>
        <w:pStyle w:val="BodyText"/>
        <w:spacing w:line="316" w:lineRule="auto" w:before="76"/>
        <w:ind w:right="0"/>
        <w:jc w:val="left"/>
      </w:pPr>
      <w:r>
        <w:rPr>
          <w:spacing w:val="-2"/>
        </w:rPr>
        <w:t>保拥有充足的现金以偿还到期债务。流动性风险由本公司的财务部门集中控制。财务部门通过监控现金余额、可随时变现的</w:t>
      </w:r>
      <w:r>
        <w:rPr>
          <w:spacing w:val="-63"/>
        </w:rPr>
        <w:t> </w:t>
      </w:r>
      <w:r>
        <w:rPr>
          <w:spacing w:val="-63"/>
        </w:rPr>
      </w:r>
      <w:r>
        <w:rPr/>
        <w:t>有价证券以及对未来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pStyle w:val="BodyText"/>
        <w:spacing w:line="316" w:lineRule="auto" w:before="119"/>
        <w:ind w:right="1136" w:firstLine="439"/>
        <w:jc w:val="both"/>
      </w:pPr>
      <w:r>
        <w:rPr/>
        <w:t>本集团管理流动性风险的方法是确保有足够的资金流动性来履行到期债务，而不至于造成不可接受的损失或对企业信 誉造成损害。本集团定期分析负债结构和期限，以确保有充裕的资金。</w:t>
      </w:r>
    </w:p>
    <w:p>
      <w:pPr>
        <w:pStyle w:val="BodyText"/>
        <w:spacing w:line="240" w:lineRule="auto" w:before="139"/>
        <w:ind w:left="592" w:right="0"/>
        <w:jc w:val="left"/>
      </w:pPr>
      <w:r>
        <w:rPr/>
        <w:t>本集团持有的金融资产和金融负债按未折现剩余合同义务的到期期限分析如下：</w:t>
      </w:r>
    </w:p>
    <w:p>
      <w:pPr>
        <w:spacing w:line="240" w:lineRule="auto" w:before="7"/>
        <w:rPr>
          <w:rFonts w:ascii="宋体" w:hAnsi="宋体" w:cs="宋体" w:eastAsia="宋体" w:hint="default"/>
          <w:sz w:val="13"/>
          <w:szCs w:val="13"/>
        </w:rPr>
      </w:pPr>
    </w:p>
    <w:p>
      <w:pPr>
        <w:pStyle w:val="BodyText"/>
        <w:spacing w:line="240" w:lineRule="auto"/>
        <w:ind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日金额：</w:t>
      </w:r>
    </w:p>
    <w:p>
      <w:pPr>
        <w:spacing w:line="240" w:lineRule="auto" w:before="3"/>
        <w:rPr>
          <w:rFonts w:ascii="宋体" w:hAnsi="宋体" w:cs="宋体" w:eastAsia="宋体" w:hint="default"/>
          <w:sz w:val="13"/>
          <w:szCs w:val="13"/>
        </w:rPr>
      </w:pPr>
    </w:p>
    <w:tbl>
      <w:tblPr>
        <w:tblW w:w="0" w:type="auto"/>
        <w:jc w:val="left"/>
        <w:tblInd w:w="164" w:type="dxa"/>
        <w:tblLayout w:type="fixed"/>
        <w:tblCellMar>
          <w:top w:w="0" w:type="dxa"/>
          <w:left w:w="0" w:type="dxa"/>
          <w:bottom w:w="0" w:type="dxa"/>
          <w:right w:w="0" w:type="dxa"/>
        </w:tblCellMar>
        <w:tblLook w:val="01E0"/>
      </w:tblPr>
      <w:tblGrid>
        <w:gridCol w:w="2410"/>
        <w:gridCol w:w="1445"/>
        <w:gridCol w:w="1445"/>
        <w:gridCol w:w="1448"/>
        <w:gridCol w:w="1445"/>
        <w:gridCol w:w="1447"/>
      </w:tblGrid>
      <w:tr>
        <w:trPr>
          <w:trHeight w:val="430" w:hRule="exact"/>
        </w:trPr>
        <w:tc>
          <w:tcPr>
            <w:tcW w:w="2410"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58"/>
              <w:ind w:right="45"/>
              <w:jc w:val="center"/>
              <w:rPr>
                <w:rFonts w:ascii="宋体" w:hAnsi="宋体" w:cs="宋体" w:eastAsia="宋体" w:hint="default"/>
                <w:sz w:val="18"/>
                <w:szCs w:val="18"/>
              </w:rPr>
            </w:pPr>
            <w:r>
              <w:rPr>
                <w:rFonts w:ascii="宋体" w:hAnsi="宋体" w:cs="宋体" w:eastAsia="宋体" w:hint="default"/>
                <w:sz w:val="18"/>
                <w:szCs w:val="18"/>
              </w:rPr>
              <w:t>项目</w:t>
            </w:r>
          </w:p>
        </w:tc>
        <w:tc>
          <w:tcPr>
            <w:tcW w:w="1445"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58"/>
              <w:ind w:left="331"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45"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58"/>
              <w:ind w:left="331"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448"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58"/>
              <w:ind w:left="333" w:right="0"/>
              <w:jc w:val="left"/>
              <w:rPr>
                <w:rFonts w:ascii="宋体" w:hAnsi="宋体" w:cs="宋体" w:eastAsia="宋体" w:hint="default"/>
                <w:sz w:val="18"/>
                <w:szCs w:val="18"/>
              </w:rPr>
            </w:pPr>
            <w:r>
              <w:rPr>
                <w:rFonts w:ascii="宋体" w:hAnsi="宋体" w:cs="宋体" w:eastAsia="宋体" w:hint="default"/>
                <w:sz w:val="18"/>
                <w:szCs w:val="18"/>
              </w:rPr>
              <w:t>二到五年</w:t>
            </w:r>
          </w:p>
        </w:tc>
        <w:tc>
          <w:tcPr>
            <w:tcW w:w="1445" w:type="dxa"/>
            <w:tcBorders>
              <w:top w:val="single" w:sz="6" w:space="0" w:color="000000"/>
              <w:left w:val="single" w:sz="6" w:space="0" w:color="000000"/>
              <w:bottom w:val="single" w:sz="8" w:space="0" w:color="000000"/>
              <w:right w:val="single" w:sz="4" w:space="0" w:color="000000"/>
            </w:tcBorders>
            <w:shd w:val="clear" w:color="auto" w:fill="D9D9D9"/>
          </w:tcPr>
          <w:p>
            <w:pPr>
              <w:pStyle w:val="TableParagraph"/>
              <w:spacing w:line="240" w:lineRule="auto" w:before="58"/>
              <w:ind w:left="331"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4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4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7" w:hRule="exact"/>
        </w:trPr>
        <w:tc>
          <w:tcPr>
            <w:tcW w:w="2410" w:type="dxa"/>
            <w:tcBorders>
              <w:top w:val="single" w:sz="8" w:space="0" w:color="000000"/>
              <w:left w:val="single" w:sz="6" w:space="0" w:color="000000"/>
              <w:bottom w:val="single" w:sz="8" w:space="0" w:color="000000"/>
              <w:right w:val="single" w:sz="6" w:space="0" w:color="000000"/>
            </w:tcBorders>
          </w:tcPr>
          <w:p>
            <w:pPr>
              <w:pStyle w:val="TableParagraph"/>
              <w:spacing w:line="310" w:lineRule="exact"/>
              <w:ind w:left="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金融资产</w:t>
            </w:r>
            <w:r>
              <w:rPr>
                <w:rFonts w:ascii="Microsoft JhengHei" w:hAnsi="Microsoft JhengHei" w:cs="Microsoft JhengHei" w:eastAsia="Microsoft JhengHei" w:hint="default"/>
                <w:sz w:val="18"/>
                <w:szCs w:val="18"/>
              </w:rPr>
            </w:r>
          </w:p>
        </w:tc>
        <w:tc>
          <w:tcPr>
            <w:tcW w:w="1445" w:type="dxa"/>
            <w:tcBorders>
              <w:top w:val="single" w:sz="8" w:space="0" w:color="000000"/>
              <w:left w:val="single" w:sz="6" w:space="0" w:color="000000"/>
              <w:bottom w:val="single" w:sz="8" w:space="0" w:color="000000"/>
              <w:right w:val="single" w:sz="6" w:space="0" w:color="000000"/>
            </w:tcBorders>
          </w:tcPr>
          <w:p>
            <w:pPr/>
          </w:p>
        </w:tc>
        <w:tc>
          <w:tcPr>
            <w:tcW w:w="1445" w:type="dxa"/>
            <w:tcBorders>
              <w:top w:val="single" w:sz="8" w:space="0" w:color="000000"/>
              <w:left w:val="single" w:sz="6" w:space="0" w:color="000000"/>
              <w:bottom w:val="single" w:sz="8" w:space="0" w:color="000000"/>
              <w:right w:val="single" w:sz="6" w:space="0" w:color="000000"/>
            </w:tcBorders>
          </w:tcPr>
          <w:p>
            <w:pPr/>
          </w:p>
        </w:tc>
        <w:tc>
          <w:tcPr>
            <w:tcW w:w="1448" w:type="dxa"/>
            <w:tcBorders>
              <w:top w:val="single" w:sz="8" w:space="0" w:color="000000"/>
              <w:left w:val="single" w:sz="6" w:space="0" w:color="000000"/>
              <w:bottom w:val="single" w:sz="8" w:space="0" w:color="000000"/>
              <w:right w:val="single" w:sz="6" w:space="0" w:color="000000"/>
            </w:tcBorders>
          </w:tcPr>
          <w:p>
            <w:pPr/>
          </w:p>
        </w:tc>
        <w:tc>
          <w:tcPr>
            <w:tcW w:w="1445" w:type="dxa"/>
            <w:tcBorders>
              <w:top w:val="single" w:sz="8" w:space="0" w:color="000000"/>
              <w:left w:val="single" w:sz="6" w:space="0" w:color="000000"/>
              <w:bottom w:val="single" w:sz="8"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24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49"/>
              <w:jc w:val="right"/>
              <w:rPr>
                <w:rFonts w:ascii="Times New Roman" w:hAnsi="Times New Roman" w:cs="Times New Roman" w:eastAsia="Times New Roman" w:hint="default"/>
                <w:sz w:val="18"/>
                <w:szCs w:val="18"/>
              </w:rPr>
            </w:pPr>
            <w:r>
              <w:rPr>
                <w:rFonts w:ascii="Times New Roman"/>
                <w:spacing w:val="-1"/>
                <w:sz w:val="18"/>
              </w:rPr>
              <w:t>1,722,904,575.77</w:t>
            </w:r>
          </w:p>
        </w:tc>
        <w:tc>
          <w:tcPr>
            <w:tcW w:w="14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45"/>
              <w:jc w:val="right"/>
              <w:rPr>
                <w:rFonts w:ascii="Times New Roman" w:hAnsi="Times New Roman" w:cs="Times New Roman" w:eastAsia="Times New Roman" w:hint="default"/>
                <w:sz w:val="18"/>
                <w:szCs w:val="18"/>
              </w:rPr>
            </w:pPr>
            <w:r>
              <w:rPr>
                <w:rFonts w:ascii="Times New Roman"/>
                <w:spacing w:val="-1"/>
                <w:sz w:val="18"/>
              </w:rPr>
              <w:t>0.00</w:t>
            </w:r>
          </w:p>
        </w:tc>
        <w:tc>
          <w:tcPr>
            <w:tcW w:w="14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45"/>
              <w:jc w:val="right"/>
              <w:rPr>
                <w:rFonts w:ascii="Times New Roman" w:hAnsi="Times New Roman" w:cs="Times New Roman" w:eastAsia="Times New Roman" w:hint="default"/>
                <w:sz w:val="18"/>
                <w:szCs w:val="18"/>
              </w:rPr>
            </w:pPr>
            <w:r>
              <w:rPr>
                <w:rFonts w:ascii="Times New Roman"/>
                <w:spacing w:val="-1"/>
                <w:sz w:val="18"/>
              </w:rPr>
              <w:t>0.00</w:t>
            </w:r>
          </w:p>
        </w:tc>
        <w:tc>
          <w:tcPr>
            <w:tcW w:w="1445"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1"/>
                <w:sz w:val="18"/>
              </w:rPr>
              <w:t>0.00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8"/>
              <w:jc w:val="right"/>
              <w:rPr>
                <w:rFonts w:ascii="Times New Roman" w:hAnsi="Times New Roman" w:cs="Times New Roman" w:eastAsia="Times New Roman" w:hint="default"/>
                <w:sz w:val="18"/>
                <w:szCs w:val="18"/>
              </w:rPr>
            </w:pPr>
            <w:r>
              <w:rPr>
                <w:rFonts w:ascii="Times New Roman"/>
                <w:spacing w:val="-1"/>
                <w:sz w:val="18"/>
              </w:rPr>
              <w:t>1,722,904,575.77</w:t>
            </w:r>
          </w:p>
        </w:tc>
      </w:tr>
      <w:tr>
        <w:trPr>
          <w:trHeight w:val="425" w:hRule="exact"/>
        </w:trPr>
        <w:tc>
          <w:tcPr>
            <w:tcW w:w="24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1"/>
                <w:sz w:val="18"/>
              </w:rPr>
              <w:t>39,734,190.23</w:t>
            </w:r>
          </w:p>
        </w:tc>
        <w:tc>
          <w:tcPr>
            <w:tcW w:w="14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45"/>
              <w:jc w:val="right"/>
              <w:rPr>
                <w:rFonts w:ascii="Times New Roman" w:hAnsi="Times New Roman" w:cs="Times New Roman" w:eastAsia="Times New Roman" w:hint="default"/>
                <w:sz w:val="18"/>
                <w:szCs w:val="18"/>
              </w:rPr>
            </w:pPr>
            <w:r>
              <w:rPr>
                <w:rFonts w:ascii="Times New Roman"/>
                <w:spacing w:val="-1"/>
                <w:sz w:val="18"/>
              </w:rPr>
              <w:t>0.00</w:t>
            </w:r>
          </w:p>
        </w:tc>
        <w:tc>
          <w:tcPr>
            <w:tcW w:w="14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45"/>
              <w:jc w:val="right"/>
              <w:rPr>
                <w:rFonts w:ascii="Times New Roman" w:hAnsi="Times New Roman" w:cs="Times New Roman" w:eastAsia="Times New Roman" w:hint="default"/>
                <w:sz w:val="18"/>
                <w:szCs w:val="18"/>
              </w:rPr>
            </w:pPr>
            <w:r>
              <w:rPr>
                <w:rFonts w:ascii="Times New Roman"/>
                <w:spacing w:val="-1"/>
                <w:sz w:val="18"/>
              </w:rPr>
              <w:t>0.00</w:t>
            </w:r>
          </w:p>
        </w:tc>
        <w:tc>
          <w:tcPr>
            <w:tcW w:w="1445"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1"/>
                <w:sz w:val="18"/>
              </w:rPr>
              <w:t>0.00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8"/>
              <w:jc w:val="right"/>
              <w:rPr>
                <w:rFonts w:ascii="Times New Roman" w:hAnsi="Times New Roman" w:cs="Times New Roman" w:eastAsia="Times New Roman" w:hint="default"/>
                <w:sz w:val="18"/>
                <w:szCs w:val="18"/>
              </w:rPr>
            </w:pPr>
            <w:r>
              <w:rPr>
                <w:rFonts w:ascii="Times New Roman"/>
                <w:spacing w:val="-1"/>
                <w:sz w:val="18"/>
              </w:rPr>
              <w:t>39,734,190.23</w:t>
            </w:r>
          </w:p>
        </w:tc>
      </w:tr>
      <w:tr>
        <w:trPr>
          <w:trHeight w:val="427" w:hRule="exact"/>
        </w:trPr>
        <w:tc>
          <w:tcPr>
            <w:tcW w:w="24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49"/>
              <w:jc w:val="right"/>
              <w:rPr>
                <w:rFonts w:ascii="Times New Roman" w:hAnsi="Times New Roman" w:cs="Times New Roman" w:eastAsia="Times New Roman" w:hint="default"/>
                <w:sz w:val="18"/>
                <w:szCs w:val="18"/>
              </w:rPr>
            </w:pPr>
            <w:r>
              <w:rPr>
                <w:rFonts w:ascii="Times New Roman"/>
                <w:spacing w:val="-1"/>
                <w:sz w:val="18"/>
              </w:rPr>
              <w:t>783,710,487.53</w:t>
            </w:r>
          </w:p>
        </w:tc>
        <w:tc>
          <w:tcPr>
            <w:tcW w:w="14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45"/>
              <w:jc w:val="right"/>
              <w:rPr>
                <w:rFonts w:ascii="Times New Roman" w:hAnsi="Times New Roman" w:cs="Times New Roman" w:eastAsia="Times New Roman" w:hint="default"/>
                <w:sz w:val="18"/>
                <w:szCs w:val="18"/>
              </w:rPr>
            </w:pPr>
            <w:r>
              <w:rPr>
                <w:rFonts w:ascii="Times New Roman"/>
                <w:spacing w:val="-1"/>
                <w:sz w:val="18"/>
              </w:rPr>
              <w:t>0.00</w:t>
            </w:r>
          </w:p>
        </w:tc>
        <w:tc>
          <w:tcPr>
            <w:tcW w:w="14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45"/>
              <w:jc w:val="right"/>
              <w:rPr>
                <w:rFonts w:ascii="Times New Roman" w:hAnsi="Times New Roman" w:cs="Times New Roman" w:eastAsia="Times New Roman" w:hint="default"/>
                <w:sz w:val="18"/>
                <w:szCs w:val="18"/>
              </w:rPr>
            </w:pPr>
            <w:r>
              <w:rPr>
                <w:rFonts w:ascii="Times New Roman"/>
                <w:spacing w:val="-1"/>
                <w:sz w:val="18"/>
              </w:rPr>
              <w:t>0.00</w:t>
            </w:r>
          </w:p>
        </w:tc>
        <w:tc>
          <w:tcPr>
            <w:tcW w:w="1445"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98"/>
              <w:ind w:right="48"/>
              <w:jc w:val="right"/>
              <w:rPr>
                <w:rFonts w:ascii="Times New Roman" w:hAnsi="Times New Roman" w:cs="Times New Roman" w:eastAsia="Times New Roman" w:hint="default"/>
                <w:sz w:val="18"/>
                <w:szCs w:val="18"/>
              </w:rPr>
            </w:pPr>
            <w:r>
              <w:rPr>
                <w:rFonts w:ascii="Times New Roman"/>
                <w:spacing w:val="-1"/>
                <w:sz w:val="18"/>
              </w:rPr>
              <w:t>0.00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8"/>
              <w:jc w:val="right"/>
              <w:rPr>
                <w:rFonts w:ascii="Times New Roman" w:hAnsi="Times New Roman" w:cs="Times New Roman" w:eastAsia="Times New Roman" w:hint="default"/>
                <w:sz w:val="18"/>
                <w:szCs w:val="18"/>
              </w:rPr>
            </w:pPr>
            <w:r>
              <w:rPr>
                <w:rFonts w:ascii="Times New Roman"/>
                <w:spacing w:val="-1"/>
                <w:sz w:val="18"/>
              </w:rPr>
              <w:t>783,710,487.53</w:t>
            </w:r>
          </w:p>
        </w:tc>
      </w:tr>
      <w:tr>
        <w:trPr>
          <w:trHeight w:val="427" w:hRule="exact"/>
        </w:trPr>
        <w:tc>
          <w:tcPr>
            <w:tcW w:w="24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48"/>
              <w:jc w:val="right"/>
              <w:rPr>
                <w:rFonts w:ascii="Times New Roman" w:hAnsi="Times New Roman" w:cs="Times New Roman" w:eastAsia="Times New Roman" w:hint="default"/>
                <w:sz w:val="18"/>
                <w:szCs w:val="18"/>
              </w:rPr>
            </w:pPr>
            <w:r>
              <w:rPr>
                <w:rFonts w:ascii="Times New Roman"/>
                <w:spacing w:val="-1"/>
                <w:sz w:val="18"/>
              </w:rPr>
              <w:t>37,769,447.30</w:t>
            </w:r>
          </w:p>
        </w:tc>
        <w:tc>
          <w:tcPr>
            <w:tcW w:w="14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45"/>
              <w:jc w:val="right"/>
              <w:rPr>
                <w:rFonts w:ascii="Times New Roman" w:hAnsi="Times New Roman" w:cs="Times New Roman" w:eastAsia="Times New Roman" w:hint="default"/>
                <w:sz w:val="18"/>
                <w:szCs w:val="18"/>
              </w:rPr>
            </w:pPr>
            <w:r>
              <w:rPr>
                <w:rFonts w:ascii="Times New Roman"/>
                <w:spacing w:val="-1"/>
                <w:sz w:val="18"/>
              </w:rPr>
              <w:t>0.00</w:t>
            </w:r>
          </w:p>
        </w:tc>
        <w:tc>
          <w:tcPr>
            <w:tcW w:w="14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right="45"/>
              <w:jc w:val="right"/>
              <w:rPr>
                <w:rFonts w:ascii="Times New Roman" w:hAnsi="Times New Roman" w:cs="Times New Roman" w:eastAsia="Times New Roman" w:hint="default"/>
                <w:sz w:val="18"/>
                <w:szCs w:val="18"/>
              </w:rPr>
            </w:pPr>
            <w:r>
              <w:rPr>
                <w:rFonts w:ascii="Times New Roman"/>
                <w:spacing w:val="-1"/>
                <w:sz w:val="18"/>
              </w:rPr>
              <w:t>0.00</w:t>
            </w:r>
          </w:p>
        </w:tc>
        <w:tc>
          <w:tcPr>
            <w:tcW w:w="1445"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98"/>
              <w:ind w:right="48"/>
              <w:jc w:val="right"/>
              <w:rPr>
                <w:rFonts w:ascii="Times New Roman" w:hAnsi="Times New Roman" w:cs="Times New Roman" w:eastAsia="Times New Roman" w:hint="default"/>
                <w:sz w:val="18"/>
                <w:szCs w:val="18"/>
              </w:rPr>
            </w:pPr>
            <w:r>
              <w:rPr>
                <w:rFonts w:ascii="Times New Roman"/>
                <w:spacing w:val="-1"/>
                <w:sz w:val="18"/>
              </w:rPr>
              <w:t>0.00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8"/>
              <w:jc w:val="right"/>
              <w:rPr>
                <w:rFonts w:ascii="Times New Roman" w:hAnsi="Times New Roman" w:cs="Times New Roman" w:eastAsia="Times New Roman" w:hint="default"/>
                <w:sz w:val="18"/>
                <w:szCs w:val="18"/>
              </w:rPr>
            </w:pPr>
            <w:r>
              <w:rPr>
                <w:rFonts w:ascii="Times New Roman"/>
                <w:spacing w:val="-1"/>
                <w:sz w:val="18"/>
              </w:rPr>
              <w:t>37,769,447.30</w:t>
            </w:r>
          </w:p>
        </w:tc>
      </w:tr>
      <w:tr>
        <w:trPr>
          <w:trHeight w:val="430" w:hRule="exact"/>
        </w:trPr>
        <w:tc>
          <w:tcPr>
            <w:tcW w:w="2410" w:type="dxa"/>
            <w:tcBorders>
              <w:top w:val="single" w:sz="8" w:space="0" w:color="000000"/>
              <w:left w:val="single" w:sz="6" w:space="0" w:color="000000"/>
              <w:bottom w:val="single" w:sz="8" w:space="0" w:color="000000"/>
              <w:right w:val="single" w:sz="6" w:space="0" w:color="000000"/>
            </w:tcBorders>
          </w:tcPr>
          <w:p>
            <w:pPr>
              <w:pStyle w:val="TableParagraph"/>
              <w:spacing w:line="312" w:lineRule="exact"/>
              <w:ind w:left="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金融负债</w:t>
            </w:r>
            <w:r>
              <w:rPr>
                <w:rFonts w:ascii="Microsoft JhengHei" w:hAnsi="Microsoft JhengHei" w:cs="Microsoft JhengHei" w:eastAsia="Microsoft JhengHei" w:hint="default"/>
                <w:sz w:val="18"/>
                <w:szCs w:val="18"/>
              </w:rPr>
            </w:r>
          </w:p>
        </w:tc>
        <w:tc>
          <w:tcPr>
            <w:tcW w:w="1445" w:type="dxa"/>
            <w:tcBorders>
              <w:top w:val="single" w:sz="8" w:space="0" w:color="000000"/>
              <w:left w:val="single" w:sz="6" w:space="0" w:color="000000"/>
              <w:bottom w:val="single" w:sz="8" w:space="0" w:color="000000"/>
              <w:right w:val="single" w:sz="6" w:space="0" w:color="000000"/>
            </w:tcBorders>
          </w:tcPr>
          <w:p>
            <w:pPr/>
          </w:p>
        </w:tc>
        <w:tc>
          <w:tcPr>
            <w:tcW w:w="1445" w:type="dxa"/>
            <w:tcBorders>
              <w:top w:val="single" w:sz="8" w:space="0" w:color="000000"/>
              <w:left w:val="single" w:sz="6" w:space="0" w:color="000000"/>
              <w:bottom w:val="single" w:sz="8" w:space="0" w:color="000000"/>
              <w:right w:val="single" w:sz="6" w:space="0" w:color="000000"/>
            </w:tcBorders>
          </w:tcPr>
          <w:p>
            <w:pPr/>
          </w:p>
        </w:tc>
        <w:tc>
          <w:tcPr>
            <w:tcW w:w="1448" w:type="dxa"/>
            <w:tcBorders>
              <w:top w:val="single" w:sz="8" w:space="0" w:color="000000"/>
              <w:left w:val="single" w:sz="6" w:space="0" w:color="000000"/>
              <w:bottom w:val="single" w:sz="8" w:space="0" w:color="000000"/>
              <w:right w:val="single" w:sz="6" w:space="0" w:color="000000"/>
            </w:tcBorders>
          </w:tcPr>
          <w:p>
            <w:pPr/>
          </w:p>
        </w:tc>
        <w:tc>
          <w:tcPr>
            <w:tcW w:w="1445" w:type="dxa"/>
            <w:tcBorders>
              <w:top w:val="single" w:sz="8" w:space="0" w:color="000000"/>
              <w:left w:val="single" w:sz="6" w:space="0" w:color="000000"/>
              <w:bottom w:val="single" w:sz="8"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64" w:type="dxa"/>
        <w:tblLayout w:type="fixed"/>
        <w:tblCellMar>
          <w:top w:w="0" w:type="dxa"/>
          <w:left w:w="0" w:type="dxa"/>
          <w:bottom w:w="0" w:type="dxa"/>
          <w:right w:w="0" w:type="dxa"/>
        </w:tblCellMar>
        <w:tblLook w:val="01E0"/>
      </w:tblPr>
      <w:tblGrid>
        <w:gridCol w:w="2410"/>
        <w:gridCol w:w="1445"/>
        <w:gridCol w:w="1445"/>
        <w:gridCol w:w="1448"/>
        <w:gridCol w:w="1445"/>
        <w:gridCol w:w="1447"/>
      </w:tblGrid>
      <w:tr>
        <w:trPr>
          <w:trHeight w:val="430" w:hRule="exact"/>
        </w:trPr>
        <w:tc>
          <w:tcPr>
            <w:tcW w:w="241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4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01"/>
              <w:ind w:right="48"/>
              <w:jc w:val="right"/>
              <w:rPr>
                <w:rFonts w:ascii="Times New Roman" w:hAnsi="Times New Roman" w:cs="Times New Roman" w:eastAsia="Times New Roman" w:hint="default"/>
                <w:sz w:val="18"/>
                <w:szCs w:val="18"/>
              </w:rPr>
            </w:pPr>
            <w:r>
              <w:rPr>
                <w:rFonts w:ascii="Times New Roman"/>
                <w:spacing w:val="-1"/>
                <w:sz w:val="18"/>
              </w:rPr>
              <w:t>10,614,650.15</w:t>
            </w:r>
          </w:p>
        </w:tc>
        <w:tc>
          <w:tcPr>
            <w:tcW w:w="144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01"/>
              <w:ind w:right="45"/>
              <w:jc w:val="right"/>
              <w:rPr>
                <w:rFonts w:ascii="Times New Roman" w:hAnsi="Times New Roman" w:cs="Times New Roman" w:eastAsia="Times New Roman" w:hint="default"/>
                <w:sz w:val="18"/>
                <w:szCs w:val="18"/>
              </w:rPr>
            </w:pPr>
            <w:r>
              <w:rPr>
                <w:rFonts w:ascii="Times New Roman"/>
                <w:spacing w:val="-1"/>
                <w:sz w:val="18"/>
              </w:rPr>
              <w:t>0.00</w:t>
            </w:r>
          </w:p>
        </w:tc>
        <w:tc>
          <w:tcPr>
            <w:tcW w:w="144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01"/>
              <w:ind w:right="45"/>
              <w:jc w:val="right"/>
              <w:rPr>
                <w:rFonts w:ascii="Times New Roman" w:hAnsi="Times New Roman" w:cs="Times New Roman" w:eastAsia="Times New Roman" w:hint="default"/>
                <w:sz w:val="18"/>
                <w:szCs w:val="18"/>
              </w:rPr>
            </w:pPr>
            <w:r>
              <w:rPr>
                <w:rFonts w:ascii="Times New Roman"/>
                <w:spacing w:val="-1"/>
                <w:sz w:val="18"/>
              </w:rPr>
              <w:t>0.00</w:t>
            </w:r>
          </w:p>
        </w:tc>
        <w:tc>
          <w:tcPr>
            <w:tcW w:w="1445"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101"/>
              <w:ind w:right="48"/>
              <w:jc w:val="right"/>
              <w:rPr>
                <w:rFonts w:ascii="Times New Roman" w:hAnsi="Times New Roman" w:cs="Times New Roman" w:eastAsia="Times New Roman" w:hint="default"/>
                <w:sz w:val="18"/>
                <w:szCs w:val="18"/>
              </w:rPr>
            </w:pPr>
            <w:r>
              <w:rPr>
                <w:rFonts w:ascii="Times New Roman"/>
                <w:spacing w:val="-1"/>
                <w:sz w:val="18"/>
              </w:rPr>
              <w:t>0.00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8"/>
              <w:jc w:val="right"/>
              <w:rPr>
                <w:rFonts w:ascii="Times New Roman" w:hAnsi="Times New Roman" w:cs="Times New Roman" w:eastAsia="Times New Roman" w:hint="default"/>
                <w:sz w:val="18"/>
                <w:szCs w:val="18"/>
              </w:rPr>
            </w:pPr>
            <w:r>
              <w:rPr>
                <w:rFonts w:ascii="Times New Roman"/>
                <w:spacing w:val="-1"/>
                <w:sz w:val="18"/>
              </w:rPr>
              <w:t>10,614,650.15</w:t>
            </w:r>
          </w:p>
        </w:tc>
      </w:tr>
      <w:tr>
        <w:trPr>
          <w:trHeight w:val="427" w:hRule="exact"/>
        </w:trPr>
        <w:tc>
          <w:tcPr>
            <w:tcW w:w="24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49"/>
              <w:jc w:val="right"/>
              <w:rPr>
                <w:rFonts w:ascii="Times New Roman" w:hAnsi="Times New Roman" w:cs="Times New Roman" w:eastAsia="Times New Roman" w:hint="default"/>
                <w:sz w:val="18"/>
                <w:szCs w:val="18"/>
              </w:rPr>
            </w:pPr>
            <w:r>
              <w:rPr>
                <w:rFonts w:ascii="Times New Roman"/>
                <w:spacing w:val="-1"/>
                <w:sz w:val="18"/>
              </w:rPr>
              <w:t>216,094,388.75</w:t>
            </w:r>
          </w:p>
        </w:tc>
        <w:tc>
          <w:tcPr>
            <w:tcW w:w="14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45"/>
              <w:jc w:val="right"/>
              <w:rPr>
                <w:rFonts w:ascii="Times New Roman" w:hAnsi="Times New Roman" w:cs="Times New Roman" w:eastAsia="Times New Roman" w:hint="default"/>
                <w:sz w:val="18"/>
                <w:szCs w:val="18"/>
              </w:rPr>
            </w:pPr>
            <w:r>
              <w:rPr>
                <w:rFonts w:ascii="Times New Roman"/>
                <w:spacing w:val="-1"/>
                <w:sz w:val="18"/>
              </w:rPr>
              <w:t>0.00</w:t>
            </w:r>
          </w:p>
        </w:tc>
        <w:tc>
          <w:tcPr>
            <w:tcW w:w="14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45"/>
              <w:jc w:val="right"/>
              <w:rPr>
                <w:rFonts w:ascii="Times New Roman" w:hAnsi="Times New Roman" w:cs="Times New Roman" w:eastAsia="Times New Roman" w:hint="default"/>
                <w:sz w:val="18"/>
                <w:szCs w:val="18"/>
              </w:rPr>
            </w:pPr>
            <w:r>
              <w:rPr>
                <w:rFonts w:ascii="Times New Roman"/>
                <w:spacing w:val="-1"/>
                <w:sz w:val="18"/>
              </w:rPr>
              <w:t>0.00</w:t>
            </w:r>
          </w:p>
        </w:tc>
        <w:tc>
          <w:tcPr>
            <w:tcW w:w="1445"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1"/>
                <w:sz w:val="18"/>
              </w:rPr>
              <w:t>0.00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8"/>
              <w:jc w:val="right"/>
              <w:rPr>
                <w:rFonts w:ascii="Times New Roman" w:hAnsi="Times New Roman" w:cs="Times New Roman" w:eastAsia="Times New Roman" w:hint="default"/>
                <w:sz w:val="18"/>
                <w:szCs w:val="18"/>
              </w:rPr>
            </w:pPr>
            <w:r>
              <w:rPr>
                <w:rFonts w:ascii="Times New Roman"/>
                <w:spacing w:val="-1"/>
                <w:sz w:val="18"/>
              </w:rPr>
              <w:t>216,094,388.75</w:t>
            </w:r>
          </w:p>
        </w:tc>
      </w:tr>
      <w:tr>
        <w:trPr>
          <w:trHeight w:val="427" w:hRule="exact"/>
        </w:trPr>
        <w:tc>
          <w:tcPr>
            <w:tcW w:w="24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49"/>
              <w:jc w:val="right"/>
              <w:rPr>
                <w:rFonts w:ascii="Times New Roman" w:hAnsi="Times New Roman" w:cs="Times New Roman" w:eastAsia="Times New Roman" w:hint="default"/>
                <w:sz w:val="18"/>
                <w:szCs w:val="18"/>
              </w:rPr>
            </w:pPr>
            <w:r>
              <w:rPr>
                <w:rFonts w:ascii="Times New Roman"/>
                <w:spacing w:val="-1"/>
                <w:sz w:val="18"/>
              </w:rPr>
              <w:t>288,117,621.10</w:t>
            </w:r>
          </w:p>
        </w:tc>
        <w:tc>
          <w:tcPr>
            <w:tcW w:w="14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45"/>
              <w:jc w:val="right"/>
              <w:rPr>
                <w:rFonts w:ascii="Times New Roman" w:hAnsi="Times New Roman" w:cs="Times New Roman" w:eastAsia="Times New Roman" w:hint="default"/>
                <w:sz w:val="18"/>
                <w:szCs w:val="18"/>
              </w:rPr>
            </w:pPr>
            <w:r>
              <w:rPr>
                <w:rFonts w:ascii="Times New Roman"/>
                <w:spacing w:val="-1"/>
                <w:sz w:val="18"/>
              </w:rPr>
              <w:t>0.00</w:t>
            </w:r>
          </w:p>
        </w:tc>
        <w:tc>
          <w:tcPr>
            <w:tcW w:w="14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45"/>
              <w:jc w:val="right"/>
              <w:rPr>
                <w:rFonts w:ascii="Times New Roman" w:hAnsi="Times New Roman" w:cs="Times New Roman" w:eastAsia="Times New Roman" w:hint="default"/>
                <w:sz w:val="18"/>
                <w:szCs w:val="18"/>
              </w:rPr>
            </w:pPr>
            <w:r>
              <w:rPr>
                <w:rFonts w:ascii="Times New Roman"/>
                <w:spacing w:val="-1"/>
                <w:sz w:val="18"/>
              </w:rPr>
              <w:t>0.00</w:t>
            </w:r>
          </w:p>
        </w:tc>
        <w:tc>
          <w:tcPr>
            <w:tcW w:w="1445"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1"/>
                <w:sz w:val="18"/>
              </w:rPr>
              <w:t>0.00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8"/>
              <w:jc w:val="right"/>
              <w:rPr>
                <w:rFonts w:ascii="Times New Roman" w:hAnsi="Times New Roman" w:cs="Times New Roman" w:eastAsia="Times New Roman" w:hint="default"/>
                <w:sz w:val="18"/>
                <w:szCs w:val="18"/>
              </w:rPr>
            </w:pPr>
            <w:r>
              <w:rPr>
                <w:rFonts w:ascii="Times New Roman"/>
                <w:spacing w:val="-1"/>
                <w:sz w:val="18"/>
              </w:rPr>
              <w:t>288,117,621.10</w:t>
            </w:r>
          </w:p>
        </w:tc>
      </w:tr>
      <w:tr>
        <w:trPr>
          <w:trHeight w:val="427" w:hRule="exact"/>
        </w:trPr>
        <w:tc>
          <w:tcPr>
            <w:tcW w:w="24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49"/>
              <w:jc w:val="right"/>
              <w:rPr>
                <w:rFonts w:ascii="Times New Roman" w:hAnsi="Times New Roman" w:cs="Times New Roman" w:eastAsia="Times New Roman" w:hint="default"/>
                <w:sz w:val="18"/>
                <w:szCs w:val="18"/>
              </w:rPr>
            </w:pPr>
            <w:r>
              <w:rPr>
                <w:rFonts w:ascii="Times New Roman"/>
                <w:spacing w:val="-1"/>
                <w:sz w:val="18"/>
              </w:rPr>
              <w:t>329,347,524.73</w:t>
            </w:r>
          </w:p>
        </w:tc>
        <w:tc>
          <w:tcPr>
            <w:tcW w:w="14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45"/>
              <w:jc w:val="right"/>
              <w:rPr>
                <w:rFonts w:ascii="Times New Roman" w:hAnsi="Times New Roman" w:cs="Times New Roman" w:eastAsia="Times New Roman" w:hint="default"/>
                <w:sz w:val="18"/>
                <w:szCs w:val="18"/>
              </w:rPr>
            </w:pPr>
            <w:r>
              <w:rPr>
                <w:rFonts w:ascii="Times New Roman"/>
                <w:spacing w:val="-1"/>
                <w:sz w:val="18"/>
              </w:rPr>
              <w:t>0.00</w:t>
            </w:r>
          </w:p>
        </w:tc>
        <w:tc>
          <w:tcPr>
            <w:tcW w:w="14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45"/>
              <w:jc w:val="right"/>
              <w:rPr>
                <w:rFonts w:ascii="Times New Roman" w:hAnsi="Times New Roman" w:cs="Times New Roman" w:eastAsia="Times New Roman" w:hint="default"/>
                <w:sz w:val="18"/>
                <w:szCs w:val="18"/>
              </w:rPr>
            </w:pPr>
            <w:r>
              <w:rPr>
                <w:rFonts w:ascii="Times New Roman"/>
                <w:spacing w:val="-1"/>
                <w:sz w:val="18"/>
              </w:rPr>
              <w:t>0.00</w:t>
            </w:r>
          </w:p>
        </w:tc>
        <w:tc>
          <w:tcPr>
            <w:tcW w:w="1445"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1"/>
                <w:sz w:val="18"/>
              </w:rPr>
              <w:t>0.00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8"/>
              <w:jc w:val="right"/>
              <w:rPr>
                <w:rFonts w:ascii="Times New Roman" w:hAnsi="Times New Roman" w:cs="Times New Roman" w:eastAsia="Times New Roman" w:hint="default"/>
                <w:sz w:val="18"/>
                <w:szCs w:val="18"/>
              </w:rPr>
            </w:pPr>
            <w:r>
              <w:rPr>
                <w:rFonts w:ascii="Times New Roman"/>
                <w:spacing w:val="-1"/>
                <w:sz w:val="18"/>
              </w:rPr>
              <w:t>329,347,524.73</w:t>
            </w:r>
          </w:p>
        </w:tc>
      </w:tr>
      <w:tr>
        <w:trPr>
          <w:trHeight w:val="427" w:hRule="exact"/>
        </w:trPr>
        <w:tc>
          <w:tcPr>
            <w:tcW w:w="24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4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1"/>
                <w:sz w:val="18"/>
              </w:rPr>
              <w:t>1,191,100.00</w:t>
            </w:r>
          </w:p>
        </w:tc>
        <w:tc>
          <w:tcPr>
            <w:tcW w:w="14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45"/>
              <w:jc w:val="right"/>
              <w:rPr>
                <w:rFonts w:ascii="Times New Roman" w:hAnsi="Times New Roman" w:cs="Times New Roman" w:eastAsia="Times New Roman" w:hint="default"/>
                <w:sz w:val="18"/>
                <w:szCs w:val="18"/>
              </w:rPr>
            </w:pPr>
            <w:r>
              <w:rPr>
                <w:rFonts w:ascii="Times New Roman"/>
                <w:spacing w:val="-1"/>
                <w:sz w:val="18"/>
              </w:rPr>
              <w:t>0.00</w:t>
            </w:r>
          </w:p>
        </w:tc>
        <w:tc>
          <w:tcPr>
            <w:tcW w:w="14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45"/>
              <w:jc w:val="right"/>
              <w:rPr>
                <w:rFonts w:ascii="Times New Roman" w:hAnsi="Times New Roman" w:cs="Times New Roman" w:eastAsia="Times New Roman" w:hint="default"/>
                <w:sz w:val="18"/>
                <w:szCs w:val="18"/>
              </w:rPr>
            </w:pPr>
            <w:r>
              <w:rPr>
                <w:rFonts w:ascii="Times New Roman"/>
                <w:spacing w:val="-1"/>
                <w:sz w:val="18"/>
              </w:rPr>
              <w:t>0.00</w:t>
            </w:r>
          </w:p>
        </w:tc>
        <w:tc>
          <w:tcPr>
            <w:tcW w:w="1445"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1"/>
                <w:sz w:val="18"/>
              </w:rPr>
              <w:t>0.00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8"/>
              <w:jc w:val="right"/>
              <w:rPr>
                <w:rFonts w:ascii="Times New Roman" w:hAnsi="Times New Roman" w:cs="Times New Roman" w:eastAsia="Times New Roman" w:hint="default"/>
                <w:sz w:val="18"/>
                <w:szCs w:val="18"/>
              </w:rPr>
            </w:pPr>
            <w:r>
              <w:rPr>
                <w:rFonts w:ascii="Times New Roman"/>
                <w:spacing w:val="-1"/>
                <w:sz w:val="18"/>
              </w:rPr>
              <w:t>1,191,100.00</w:t>
            </w:r>
          </w:p>
        </w:tc>
      </w:tr>
    </w:tbl>
    <w:p>
      <w:pPr>
        <w:spacing w:line="240" w:lineRule="auto" w:before="8"/>
        <w:rPr>
          <w:rFonts w:ascii="宋体" w:hAnsi="宋体" w:cs="宋体" w:eastAsia="宋体" w:hint="default"/>
          <w:sz w:val="6"/>
          <w:szCs w:val="6"/>
        </w:rPr>
      </w:pPr>
    </w:p>
    <w:p>
      <w:pPr>
        <w:pStyle w:val="BodyText"/>
        <w:spacing w:line="240" w:lineRule="auto" w:before="44"/>
        <w:ind w:left="513" w:right="0"/>
        <w:jc w:val="left"/>
      </w:pPr>
      <w:r>
        <w:rPr>
          <w:rFonts w:ascii="Times New Roman" w:hAnsi="Times New Roman" w:cs="Times New Roman" w:eastAsia="Times New Roman" w:hint="default"/>
        </w:rPr>
        <w:t>2.</w:t>
      </w:r>
      <w:r>
        <w:rPr/>
        <w:t>敏感性分析</w:t>
      </w:r>
    </w:p>
    <w:p>
      <w:pPr>
        <w:spacing w:line="240" w:lineRule="auto" w:before="13"/>
        <w:rPr>
          <w:rFonts w:ascii="宋体" w:hAnsi="宋体" w:cs="宋体" w:eastAsia="宋体" w:hint="default"/>
          <w:sz w:val="13"/>
          <w:szCs w:val="13"/>
        </w:rPr>
      </w:pPr>
    </w:p>
    <w:p>
      <w:pPr>
        <w:pStyle w:val="BodyText"/>
        <w:spacing w:line="316" w:lineRule="auto"/>
        <w:ind w:right="1133" w:firstLine="439"/>
        <w:jc w:val="both"/>
      </w:pPr>
      <w:r>
        <w:rPr/>
        <w:t>本集团采用敏感性分析技术分析风险变量的合理、可能变化对当期损益或所有者权益可能产生的影响。由于任何风险 </w:t>
      </w:r>
      <w:r>
        <w:rPr>
          <w:spacing w:val="-2"/>
        </w:rPr>
        <w:t>变量很少孤立的发生变化，而变量之间存在的相关性对某一风险变量变化的最终影响金额将产生重大作用，因此下述内容是</w:t>
      </w:r>
      <w:r>
        <w:rPr>
          <w:spacing w:val="-64"/>
        </w:rPr>
        <w:t> </w:t>
      </w:r>
      <w:r>
        <w:rPr>
          <w:spacing w:val="-64"/>
        </w:rPr>
      </w:r>
      <w:r>
        <w:rPr/>
        <w:t>在假设每一变量的变化是独立的情况下进行的。</w:t>
      </w:r>
    </w:p>
    <w:p>
      <w:pPr>
        <w:pStyle w:val="BodyText"/>
        <w:spacing w:line="415" w:lineRule="auto" w:before="139"/>
        <w:ind w:left="592" w:right="3294" w:hanging="224"/>
        <w:jc w:val="left"/>
      </w:pPr>
      <w:r>
        <w:rPr/>
        <w:t>（</w:t>
      </w:r>
      <w:r>
        <w:rPr>
          <w:rFonts w:ascii="Times New Roman" w:hAnsi="Times New Roman" w:cs="Times New Roman" w:eastAsia="Times New Roman" w:hint="default"/>
        </w:rPr>
        <w:t>1</w:t>
      </w:r>
      <w:r>
        <w:rPr/>
        <w:t>）外汇风险敏感性分析 在其它变量不变的情况下，汇率可能发生的合理变动对当期损益和权益的税后影响如下：</w:t>
      </w:r>
    </w:p>
    <w:p>
      <w:pPr>
        <w:spacing w:line="240" w:lineRule="auto" w:before="2"/>
        <w:rPr>
          <w:rFonts w:ascii="宋体" w:hAnsi="宋体" w:cs="宋体" w:eastAsia="宋体" w:hint="default"/>
          <w:sz w:val="4"/>
          <w:szCs w:val="4"/>
        </w:rPr>
      </w:pPr>
    </w:p>
    <w:tbl>
      <w:tblPr>
        <w:tblW w:w="0" w:type="auto"/>
        <w:jc w:val="left"/>
        <w:tblInd w:w="164" w:type="dxa"/>
        <w:tblLayout w:type="fixed"/>
        <w:tblCellMar>
          <w:top w:w="0" w:type="dxa"/>
          <w:left w:w="0" w:type="dxa"/>
          <w:bottom w:w="0" w:type="dxa"/>
          <w:right w:w="0" w:type="dxa"/>
        </w:tblCellMar>
        <w:tblLook w:val="01E0"/>
      </w:tblPr>
      <w:tblGrid>
        <w:gridCol w:w="958"/>
        <w:gridCol w:w="1560"/>
        <w:gridCol w:w="1736"/>
        <w:gridCol w:w="1700"/>
        <w:gridCol w:w="1702"/>
        <w:gridCol w:w="1985"/>
      </w:tblGrid>
      <w:tr>
        <w:trPr>
          <w:trHeight w:val="348" w:hRule="exact"/>
        </w:trPr>
        <w:tc>
          <w:tcPr>
            <w:tcW w:w="95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6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3435" w:type="dxa"/>
            <w:gridSpan w:val="2"/>
            <w:tcBorders>
              <w:top w:val="single" w:sz="6" w:space="0" w:color="000000"/>
              <w:left w:val="single" w:sz="6" w:space="0" w:color="000000"/>
              <w:bottom w:val="single" w:sz="8" w:space="0" w:color="000000"/>
              <w:right w:val="single" w:sz="4" w:space="0" w:color="000000"/>
            </w:tcBorders>
            <w:shd w:val="clear" w:color="auto" w:fill="D9D9D9"/>
          </w:tcPr>
          <w:p>
            <w:pPr>
              <w:pStyle w:val="TableParagraph"/>
              <w:spacing w:line="240" w:lineRule="auto" w:before="13"/>
              <w:ind w:right="43"/>
              <w:jc w:val="center"/>
              <w:rPr>
                <w:rFonts w:ascii="等线" w:hAnsi="等线" w:cs="等线" w:eastAsia="等线"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等线" w:hAnsi="等线" w:cs="等线" w:eastAsia="等线" w:hint="default"/>
                <w:sz w:val="18"/>
                <w:szCs w:val="18"/>
              </w:rPr>
              <w:t>度</w:t>
            </w:r>
          </w:p>
        </w:tc>
        <w:tc>
          <w:tcPr>
            <w:tcW w:w="3687" w:type="dxa"/>
            <w:gridSpan w:val="2"/>
            <w:tcBorders>
              <w:top w:val="single" w:sz="4" w:space="0" w:color="000000"/>
              <w:left w:val="single" w:sz="4" w:space="0" w:color="000000"/>
              <w:bottom w:val="single" w:sz="6" w:space="0" w:color="000000"/>
              <w:right w:val="single" w:sz="4" w:space="0" w:color="000000"/>
            </w:tcBorders>
            <w:shd w:val="clear" w:color="auto" w:fill="D9D9D9"/>
          </w:tcPr>
          <w:p>
            <w:pPr>
              <w:pStyle w:val="TableParagraph"/>
              <w:spacing w:line="240" w:lineRule="auto" w:before="15"/>
              <w:ind w:right="43"/>
              <w:jc w:val="center"/>
              <w:rPr>
                <w:rFonts w:ascii="等线" w:hAnsi="等线" w:cs="等线" w:eastAsia="等线"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等线" w:hAnsi="等线" w:cs="等线" w:eastAsia="等线" w:hint="default"/>
                <w:sz w:val="18"/>
                <w:szCs w:val="18"/>
              </w:rPr>
              <w:t>度</w:t>
            </w:r>
          </w:p>
        </w:tc>
      </w:tr>
      <w:tr>
        <w:trPr>
          <w:trHeight w:val="348" w:hRule="exact"/>
        </w:trPr>
        <w:tc>
          <w:tcPr>
            <w:tcW w:w="958" w:type="dxa"/>
            <w:vMerge/>
            <w:tcBorders>
              <w:left w:val="single" w:sz="6" w:space="0" w:color="000000"/>
              <w:bottom w:val="single" w:sz="8" w:space="0" w:color="000000"/>
              <w:right w:val="single" w:sz="6" w:space="0" w:color="000000"/>
            </w:tcBorders>
            <w:shd w:val="clear" w:color="auto" w:fill="D9D9D9"/>
          </w:tcPr>
          <w:p>
            <w:pPr/>
          </w:p>
        </w:tc>
        <w:tc>
          <w:tcPr>
            <w:tcW w:w="1560" w:type="dxa"/>
            <w:vMerge/>
            <w:tcBorders>
              <w:left w:val="single" w:sz="6" w:space="0" w:color="000000"/>
              <w:bottom w:val="single" w:sz="8" w:space="0" w:color="000000"/>
              <w:right w:val="single" w:sz="6" w:space="0" w:color="000000"/>
            </w:tcBorders>
            <w:shd w:val="clear" w:color="auto" w:fill="D9D9D9"/>
          </w:tcPr>
          <w:p>
            <w:pPr/>
          </w:p>
        </w:tc>
        <w:tc>
          <w:tcPr>
            <w:tcW w:w="1736" w:type="dxa"/>
            <w:tcBorders>
              <w:top w:val="single" w:sz="8"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7"/>
              <w:ind w:left="206" w:right="0"/>
              <w:jc w:val="left"/>
              <w:rPr>
                <w:rFonts w:ascii="宋体" w:hAnsi="宋体" w:cs="宋体" w:eastAsia="宋体" w:hint="default"/>
                <w:sz w:val="18"/>
                <w:szCs w:val="18"/>
              </w:rPr>
            </w:pPr>
            <w:r>
              <w:rPr>
                <w:rFonts w:ascii="宋体" w:hAnsi="宋体" w:cs="宋体" w:eastAsia="宋体" w:hint="default"/>
                <w:sz w:val="18"/>
                <w:szCs w:val="18"/>
              </w:rPr>
              <w:t>对净利润的影响</w:t>
            </w:r>
          </w:p>
        </w:tc>
        <w:tc>
          <w:tcPr>
            <w:tcW w:w="1700" w:type="dxa"/>
            <w:tcBorders>
              <w:top w:val="single" w:sz="8"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7"/>
              <w:ind w:right="53"/>
              <w:jc w:val="right"/>
              <w:rPr>
                <w:rFonts w:ascii="宋体" w:hAnsi="宋体" w:cs="宋体" w:eastAsia="宋体" w:hint="default"/>
                <w:sz w:val="18"/>
                <w:szCs w:val="18"/>
              </w:rPr>
            </w:pPr>
            <w:r>
              <w:rPr>
                <w:rFonts w:ascii="宋体" w:hAnsi="宋体" w:cs="宋体" w:eastAsia="宋体" w:hint="default"/>
                <w:sz w:val="18"/>
                <w:szCs w:val="18"/>
              </w:rPr>
              <w:t>对所有者权益的影响</w:t>
            </w:r>
          </w:p>
        </w:tc>
        <w:tc>
          <w:tcPr>
            <w:tcW w:w="1702" w:type="dxa"/>
            <w:tcBorders>
              <w:top w:val="single" w:sz="6" w:space="0" w:color="000000"/>
              <w:left w:val="single" w:sz="6" w:space="0" w:color="000000"/>
              <w:bottom w:val="single" w:sz="8" w:space="0" w:color="000000"/>
              <w:right w:val="single" w:sz="4" w:space="0" w:color="000000"/>
            </w:tcBorders>
            <w:shd w:val="clear" w:color="auto" w:fill="D9D9D9"/>
          </w:tcPr>
          <w:p>
            <w:pPr>
              <w:pStyle w:val="TableParagraph"/>
              <w:spacing w:line="240" w:lineRule="auto" w:before="20"/>
              <w:ind w:left="192" w:right="0"/>
              <w:jc w:val="left"/>
              <w:rPr>
                <w:rFonts w:ascii="宋体" w:hAnsi="宋体" w:cs="宋体" w:eastAsia="宋体" w:hint="default"/>
                <w:sz w:val="18"/>
                <w:szCs w:val="18"/>
              </w:rPr>
            </w:pPr>
            <w:r>
              <w:rPr>
                <w:rFonts w:ascii="宋体" w:hAnsi="宋体" w:cs="宋体" w:eastAsia="宋体" w:hint="default"/>
                <w:sz w:val="18"/>
                <w:szCs w:val="18"/>
              </w:rPr>
              <w:t>对净利润的影响</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55" w:right="0"/>
              <w:jc w:val="left"/>
              <w:rPr>
                <w:rFonts w:ascii="宋体" w:hAnsi="宋体" w:cs="宋体" w:eastAsia="宋体" w:hint="default"/>
                <w:sz w:val="18"/>
                <w:szCs w:val="18"/>
              </w:rPr>
            </w:pPr>
            <w:r>
              <w:rPr>
                <w:rFonts w:ascii="宋体" w:hAnsi="宋体" w:cs="宋体" w:eastAsia="宋体" w:hint="default"/>
                <w:sz w:val="18"/>
                <w:szCs w:val="18"/>
              </w:rPr>
              <w:t>对所有者权益的影响</w:t>
            </w:r>
          </w:p>
        </w:tc>
      </w:tr>
      <w:tr>
        <w:trPr>
          <w:trHeight w:val="427" w:hRule="exact"/>
        </w:trPr>
        <w:tc>
          <w:tcPr>
            <w:tcW w:w="9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132"/>
              <w:jc w:val="right"/>
              <w:rPr>
                <w:rFonts w:ascii="宋体" w:hAnsi="宋体" w:cs="宋体" w:eastAsia="宋体" w:hint="default"/>
                <w:sz w:val="18"/>
                <w:szCs w:val="18"/>
              </w:rPr>
            </w:pPr>
            <w:r>
              <w:rPr>
                <w:rFonts w:ascii="宋体" w:hAnsi="宋体" w:cs="宋体" w:eastAsia="宋体" w:hint="default"/>
                <w:sz w:val="18"/>
                <w:szCs w:val="18"/>
              </w:rPr>
              <w:t>所有外币</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38"/>
              <w:jc w:val="center"/>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p>
        </w:tc>
        <w:tc>
          <w:tcPr>
            <w:tcW w:w="17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1"/>
                <w:sz w:val="18"/>
              </w:rPr>
              <w:t>7,486,567.68</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46"/>
              <w:jc w:val="right"/>
              <w:rPr>
                <w:rFonts w:ascii="Times New Roman" w:hAnsi="Times New Roman" w:cs="Times New Roman" w:eastAsia="Times New Roman" w:hint="default"/>
                <w:sz w:val="18"/>
                <w:szCs w:val="18"/>
              </w:rPr>
            </w:pPr>
            <w:r>
              <w:rPr>
                <w:rFonts w:ascii="Times New Roman"/>
                <w:spacing w:val="-1"/>
                <w:sz w:val="18"/>
              </w:rPr>
              <w:t>23,042,662.98</w:t>
            </w:r>
          </w:p>
        </w:tc>
        <w:tc>
          <w:tcPr>
            <w:tcW w:w="170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1"/>
                <w:sz w:val="18"/>
              </w:rPr>
              <w:t>14,882,517.40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8"/>
              <w:jc w:val="right"/>
              <w:rPr>
                <w:rFonts w:ascii="Times New Roman" w:hAnsi="Times New Roman" w:cs="Times New Roman" w:eastAsia="Times New Roman" w:hint="default"/>
                <w:sz w:val="18"/>
                <w:szCs w:val="18"/>
              </w:rPr>
            </w:pPr>
            <w:r>
              <w:rPr>
                <w:rFonts w:ascii="Times New Roman"/>
                <w:spacing w:val="-1"/>
                <w:sz w:val="18"/>
              </w:rPr>
              <w:t>34,029,745.45</w:t>
            </w:r>
          </w:p>
        </w:tc>
      </w:tr>
      <w:tr>
        <w:trPr>
          <w:trHeight w:val="427" w:hRule="exact"/>
        </w:trPr>
        <w:tc>
          <w:tcPr>
            <w:tcW w:w="9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132"/>
              <w:jc w:val="right"/>
              <w:rPr>
                <w:rFonts w:ascii="宋体" w:hAnsi="宋体" w:cs="宋体" w:eastAsia="宋体" w:hint="default"/>
                <w:sz w:val="18"/>
                <w:szCs w:val="18"/>
              </w:rPr>
            </w:pPr>
            <w:r>
              <w:rPr>
                <w:rFonts w:ascii="宋体" w:hAnsi="宋体" w:cs="宋体" w:eastAsia="宋体" w:hint="default"/>
                <w:sz w:val="18"/>
                <w:szCs w:val="18"/>
              </w:rPr>
              <w:t>所有外币</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38"/>
              <w:jc w:val="center"/>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p>
        </w:tc>
        <w:tc>
          <w:tcPr>
            <w:tcW w:w="17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1"/>
                <w:sz w:val="18"/>
              </w:rPr>
              <w:t>-7,486,567.68</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46"/>
              <w:jc w:val="right"/>
              <w:rPr>
                <w:rFonts w:ascii="Times New Roman" w:hAnsi="Times New Roman" w:cs="Times New Roman" w:eastAsia="Times New Roman" w:hint="default"/>
                <w:sz w:val="18"/>
                <w:szCs w:val="18"/>
              </w:rPr>
            </w:pPr>
            <w:r>
              <w:rPr>
                <w:rFonts w:ascii="Times New Roman"/>
                <w:spacing w:val="-1"/>
                <w:sz w:val="18"/>
              </w:rPr>
              <w:t>-23,042,662.98</w:t>
            </w:r>
          </w:p>
        </w:tc>
        <w:tc>
          <w:tcPr>
            <w:tcW w:w="170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96"/>
              <w:ind w:right="48"/>
              <w:jc w:val="right"/>
              <w:rPr>
                <w:rFonts w:ascii="Times New Roman" w:hAnsi="Times New Roman" w:cs="Times New Roman" w:eastAsia="Times New Roman" w:hint="default"/>
                <w:sz w:val="18"/>
                <w:szCs w:val="18"/>
              </w:rPr>
            </w:pPr>
            <w:r>
              <w:rPr>
                <w:rFonts w:ascii="Times New Roman"/>
                <w:spacing w:val="-1"/>
                <w:sz w:val="18"/>
              </w:rPr>
              <w:t>-14,882,517.40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8"/>
              <w:jc w:val="right"/>
              <w:rPr>
                <w:rFonts w:ascii="Times New Roman" w:hAnsi="Times New Roman" w:cs="Times New Roman" w:eastAsia="Times New Roman" w:hint="default"/>
                <w:sz w:val="18"/>
                <w:szCs w:val="18"/>
              </w:rPr>
            </w:pPr>
            <w:r>
              <w:rPr>
                <w:rFonts w:ascii="Times New Roman"/>
                <w:spacing w:val="-1"/>
                <w:sz w:val="18"/>
              </w:rPr>
              <w:t>-34,029,745.45</w:t>
            </w:r>
          </w:p>
        </w:tc>
      </w:tr>
    </w:tbl>
    <w:p>
      <w:pPr>
        <w:spacing w:line="240" w:lineRule="auto" w:before="8"/>
        <w:rPr>
          <w:rFonts w:ascii="宋体" w:hAnsi="宋体" w:cs="宋体" w:eastAsia="宋体" w:hint="default"/>
          <w:sz w:val="6"/>
          <w:szCs w:val="6"/>
        </w:rPr>
      </w:pPr>
    </w:p>
    <w:p>
      <w:pPr>
        <w:pStyle w:val="BodyText"/>
        <w:spacing w:line="240" w:lineRule="auto" w:before="44"/>
        <w:ind w:left="513" w:right="0"/>
        <w:jc w:val="left"/>
      </w:pPr>
      <w:r>
        <w:rPr/>
        <w:t>（</w:t>
      </w:r>
      <w:r>
        <w:rPr>
          <w:rFonts w:ascii="Times New Roman" w:hAnsi="Times New Roman" w:cs="Times New Roman" w:eastAsia="Times New Roman" w:hint="default"/>
        </w:rPr>
        <w:t>2</w:t>
      </w:r>
      <w:r>
        <w:rPr/>
        <w:t>）利率风险敏感性分析</w:t>
      </w:r>
    </w:p>
    <w:p>
      <w:pPr>
        <w:spacing w:line="240" w:lineRule="auto" w:before="13"/>
        <w:rPr>
          <w:rFonts w:ascii="宋体" w:hAnsi="宋体" w:cs="宋体" w:eastAsia="宋体" w:hint="default"/>
          <w:sz w:val="13"/>
          <w:szCs w:val="13"/>
        </w:rPr>
      </w:pPr>
    </w:p>
    <w:p>
      <w:pPr>
        <w:pStyle w:val="BodyText"/>
        <w:spacing w:line="319" w:lineRule="auto"/>
        <w:ind w:right="1132" w:firstLine="360"/>
        <w:jc w:val="both"/>
      </w:pPr>
      <w:r>
        <w:rPr>
          <w:spacing w:val="-2"/>
        </w:rPr>
        <w:t>利率风险敏感性分析基于下述假设：市场利率变化影响可变利率金融工具的利息收入或费用；对于以公允价值计量的固</w:t>
      </w:r>
      <w:r>
        <w:rPr/>
        <w:t> </w:t>
      </w:r>
      <w:r>
        <w:rPr>
          <w:spacing w:val="-2"/>
        </w:rPr>
        <w:t>定利率金融工具，市场利率变化仅仅影响其利息收入或费用；以资产负债表日市场利率采用现金流量折现法计算衍生金融工</w:t>
      </w:r>
      <w:r>
        <w:rPr>
          <w:spacing w:val="-64"/>
        </w:rPr>
        <w:t> </w:t>
      </w:r>
      <w:r>
        <w:rPr>
          <w:spacing w:val="-64"/>
        </w:rPr>
      </w:r>
      <w:r>
        <w:rPr/>
        <w:t>具及其它金融资产和负债的公允价值变化。</w:t>
      </w:r>
    </w:p>
    <w:p>
      <w:pPr>
        <w:pStyle w:val="BodyText"/>
        <w:spacing w:line="300" w:lineRule="auto" w:before="137"/>
        <w:ind w:right="1129" w:firstLine="360"/>
        <w:jc w:val="both"/>
      </w:pPr>
      <w:r>
        <w:rPr>
          <w:spacing w:val="-2"/>
        </w:rPr>
        <w:t>在上述假设的基础上，在其它变量不变的情况下，由于本集团截至</w:t>
      </w:r>
      <w:r>
        <w:rPr>
          <w:rFonts w:ascii="Times New Roman" w:hAnsi="Times New Roman" w:cs="Times New Roman" w:eastAsia="Times New Roman" w:hint="default"/>
          <w:spacing w:val="-2"/>
        </w:rPr>
        <w:t>2019</w:t>
      </w:r>
      <w:r>
        <w:rPr>
          <w:spacing w:val="-2"/>
        </w:rPr>
        <w:t>年末已无浮动利率借款，因此利率的合理变动对</w:t>
      </w:r>
      <w:r>
        <w:rPr/>
        <w:t> 当期损益和权益不产生影响。</w:t>
      </w:r>
    </w:p>
    <w:p>
      <w:pPr>
        <w:spacing w:line="240" w:lineRule="auto" w:before="13"/>
        <w:rPr>
          <w:rFonts w:ascii="宋体" w:hAnsi="宋体" w:cs="宋体" w:eastAsia="宋体" w:hint="default"/>
          <w:sz w:val="15"/>
          <w:szCs w:val="15"/>
        </w:rPr>
      </w:pPr>
    </w:p>
    <w:p>
      <w:pPr>
        <w:pStyle w:val="Heading2"/>
        <w:spacing w:line="240" w:lineRule="auto"/>
        <w:ind w:right="0"/>
        <w:jc w:val="left"/>
        <w:rPr>
          <w:b w:val="0"/>
          <w:bCs w:val="0"/>
        </w:rPr>
      </w:pPr>
      <w:r>
        <w:rPr/>
        <w:t>十一、公允价值的披露</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1892"/>
        <w:gridCol w:w="1889"/>
        <w:gridCol w:w="1891"/>
        <w:gridCol w:w="1633"/>
      </w:tblGrid>
      <w:tr>
        <w:trPr>
          <w:trHeight w:val="206" w:hRule="exact"/>
        </w:trPr>
        <w:tc>
          <w:tcPr>
            <w:tcW w:w="22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5"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96" w:hRule="exact"/>
        </w:trPr>
        <w:tc>
          <w:tcPr>
            <w:tcW w:w="22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305" w:type="dxa"/>
            <w:gridSpan w:val="4"/>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68" w:type="dxa"/>
            <w:vMerge/>
            <w:tcBorders>
              <w:left w:val="single" w:sz="4" w:space="0" w:color="000000"/>
              <w:bottom w:val="nil" w:sz="6" w:space="0" w:color="auto"/>
              <w:right w:val="single" w:sz="4" w:space="0" w:color="000000"/>
            </w:tcBorders>
            <w:shd w:val="clear" w:color="auto" w:fill="D2D2D2"/>
          </w:tcPr>
          <w:p>
            <w:pPr/>
          </w:p>
        </w:tc>
        <w:tc>
          <w:tcPr>
            <w:tcW w:w="18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8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8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6" w:hRule="exact"/>
        </w:trPr>
        <w:tc>
          <w:tcPr>
            <w:tcW w:w="2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892" w:type="dxa"/>
            <w:vMerge/>
            <w:tcBorders>
              <w:left w:val="single" w:sz="4" w:space="0" w:color="000000"/>
              <w:bottom w:val="single" w:sz="4" w:space="0" w:color="000000"/>
              <w:right w:val="single" w:sz="4" w:space="0" w:color="000000"/>
            </w:tcBorders>
            <w:shd w:val="clear" w:color="auto" w:fill="D2D2D2"/>
          </w:tcPr>
          <w:p>
            <w:pPr/>
          </w:p>
        </w:tc>
        <w:tc>
          <w:tcPr>
            <w:tcW w:w="1889" w:type="dxa"/>
            <w:vMerge/>
            <w:tcBorders>
              <w:left w:val="single" w:sz="4" w:space="0" w:color="000000"/>
              <w:bottom w:val="single" w:sz="4" w:space="0" w:color="000000"/>
              <w:right w:val="single" w:sz="4" w:space="0" w:color="000000"/>
            </w:tcBorders>
            <w:shd w:val="clear" w:color="auto" w:fill="D2D2D2"/>
          </w:tcPr>
          <w:p>
            <w:pPr/>
          </w:p>
        </w:tc>
        <w:tc>
          <w:tcPr>
            <w:tcW w:w="1891" w:type="dxa"/>
            <w:vMerge/>
            <w:tcBorders>
              <w:left w:val="single" w:sz="4" w:space="0" w:color="000000"/>
              <w:bottom w:val="single" w:sz="4" w:space="0" w:color="000000"/>
              <w:right w:val="single" w:sz="4" w:space="0" w:color="000000"/>
            </w:tcBorders>
            <w:shd w:val="clear" w:color="auto" w:fill="D2D2D2"/>
          </w:tcPr>
          <w:p>
            <w:pPr/>
          </w:p>
        </w:tc>
        <w:tc>
          <w:tcPr>
            <w:tcW w:w="163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 计入当期损益的金融资产</w:t>
            </w:r>
          </w:p>
        </w:tc>
        <w:tc>
          <w:tcPr>
            <w:tcW w:w="18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8"/>
        <w:gridCol w:w="1892"/>
        <w:gridCol w:w="1889"/>
        <w:gridCol w:w="1891"/>
        <w:gridCol w:w="1633"/>
      </w:tblGrid>
      <w:tr>
        <w:trPr>
          <w:trHeight w:val="102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指定以公允价值计量且其 变动计入当期损益的金融资 产</w:t>
            </w:r>
          </w:p>
        </w:tc>
        <w:tc>
          <w:tcPr>
            <w:tcW w:w="18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（二）其他债权投资</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（三）其他权益工具投资</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93,397,227.16</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31,673,540.50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125,070,767.66</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（四）投资性房地产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出租用的土地使用权</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出租的建筑物</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1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持有并准备增值后转让的 土地使用权</w:t>
            </w:r>
          </w:p>
        </w:tc>
        <w:tc>
          <w:tcPr>
            <w:tcW w:w="18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（五）生物资产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消耗性生物资产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生产性生物资产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（六）其他非流动金融资产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125,089,646.91</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88,000,000.00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213,089,646.91</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72"/>
              <w:jc w:val="left"/>
              <w:rPr>
                <w:rFonts w:ascii="宋体" w:hAnsi="宋体" w:cs="宋体" w:eastAsia="宋体" w:hint="default"/>
                <w:sz w:val="18"/>
                <w:szCs w:val="18"/>
              </w:rPr>
            </w:pPr>
            <w:r>
              <w:rPr>
                <w:rFonts w:ascii="宋体" w:hAnsi="宋体" w:cs="宋体" w:eastAsia="宋体" w:hint="default"/>
                <w:sz w:val="18"/>
                <w:szCs w:val="18"/>
              </w:rPr>
              <w:t>持续以公允价值计量的资产 总额</w:t>
            </w:r>
          </w:p>
        </w:tc>
        <w:tc>
          <w:tcPr>
            <w:tcW w:w="18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218,486,874.07</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119,673,540.50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338,160,414.57</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（七）交易性金融负债</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其中：发行的交易性债券</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（八）指定为以公允价值计 量且变动计入当期损益的金 融负债</w:t>
            </w:r>
          </w:p>
        </w:tc>
        <w:tc>
          <w:tcPr>
            <w:tcW w:w="18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72"/>
              <w:jc w:val="left"/>
              <w:rPr>
                <w:rFonts w:ascii="宋体" w:hAnsi="宋体" w:cs="宋体" w:eastAsia="宋体" w:hint="default"/>
                <w:sz w:val="18"/>
                <w:szCs w:val="18"/>
              </w:rPr>
            </w:pPr>
            <w:r>
              <w:rPr>
                <w:rFonts w:ascii="宋体" w:hAnsi="宋体" w:cs="宋体" w:eastAsia="宋体" w:hint="default"/>
                <w:sz w:val="18"/>
                <w:szCs w:val="18"/>
              </w:rPr>
              <w:t>持续以公允价值计量的负债 总额</w:t>
            </w:r>
          </w:p>
        </w:tc>
        <w:tc>
          <w:tcPr>
            <w:tcW w:w="18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（一）持有待售资产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非持续以公允价值计量的资 产总额</w:t>
            </w:r>
          </w:p>
        </w:tc>
        <w:tc>
          <w:tcPr>
            <w:tcW w:w="18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72"/>
              <w:jc w:val="left"/>
              <w:rPr>
                <w:rFonts w:ascii="宋体" w:hAnsi="宋体" w:cs="宋体" w:eastAsia="宋体" w:hint="default"/>
                <w:sz w:val="18"/>
                <w:szCs w:val="18"/>
              </w:rPr>
            </w:pPr>
            <w:r>
              <w:rPr>
                <w:rFonts w:ascii="宋体" w:hAnsi="宋体" w:cs="宋体" w:eastAsia="宋体" w:hint="default"/>
                <w:sz w:val="18"/>
                <w:szCs w:val="18"/>
              </w:rPr>
              <w:t>非持续以公允价值计量的负 债总额</w:t>
            </w:r>
          </w:p>
        </w:tc>
        <w:tc>
          <w:tcPr>
            <w:tcW w:w="18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相同资产或负债在活跃市场上未经调整的报价。</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除第一层次输入值外相关资产或负债直接或间接可观察的输入值。</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相关资产或负债的不可观察输入值。</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0"/>
        <w:jc w:val="left"/>
        <w:rPr>
          <w:rFonts w:ascii="宋体" w:hAnsi="宋体" w:cs="宋体" w:eastAsia="宋体" w:hint="default"/>
        </w:rPr>
      </w:pPr>
      <w:r>
        <w:rPr/>
        <w:t>本集团以摊余成本计量的金融资产和金融负债主要包括：应收款项、应付款项、应付债券等。 于</w:t>
      </w:r>
      <w:r>
        <w:rPr>
          <w:rFonts w:ascii="宋体" w:hAnsi="宋体" w:cs="宋体" w:eastAsia="宋体" w:hint="default"/>
        </w:rPr>
        <w:t>2019</w:t>
      </w:r>
      <w:r>
        <w:rPr/>
        <w:t>年末及</w:t>
      </w:r>
      <w:r>
        <w:rPr>
          <w:rFonts w:ascii="宋体" w:hAnsi="宋体" w:cs="宋体" w:eastAsia="宋体" w:hint="default"/>
        </w:rPr>
        <w:t>2018</w:t>
      </w:r>
      <w:r>
        <w:rPr/>
        <w:t>年末，上述不以公允价值计量的金融资产和金融负债的账面价值与公允价值差异很小。</w:t>
      </w:r>
      <w:r>
        <w:rPr>
          <w:rFonts w:ascii="宋体" w:hAnsi="宋体" w:cs="宋体" w:eastAsia="宋体" w:hint="default"/>
        </w:rPr>
        <w:t> </w:t>
      </w:r>
    </w:p>
    <w:p>
      <w:pPr>
        <w:spacing w:line="240" w:lineRule="auto" w:before="7"/>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十二、关联方及关联交易</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本企业的母公司情况的说明</w:t>
      </w:r>
    </w:p>
    <w:p>
      <w:pPr>
        <w:spacing w:line="240" w:lineRule="auto" w:before="1"/>
        <w:rPr>
          <w:rFonts w:ascii="宋体" w:hAnsi="宋体" w:cs="宋体" w:eastAsia="宋体" w:hint="default"/>
          <w:sz w:val="15"/>
          <w:szCs w:val="15"/>
        </w:rPr>
      </w:pPr>
    </w:p>
    <w:p>
      <w:pPr>
        <w:pStyle w:val="BodyText"/>
        <w:spacing w:line="300" w:lineRule="auto"/>
        <w:ind w:right="0" w:firstLine="300"/>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29</w:t>
      </w:r>
      <w:r>
        <w:rPr>
          <w:spacing w:val="-1"/>
        </w:rPr>
        <w:t>日，公司原控股股东中国四维测绘技术有限公司与深圳市腾讯产业投资基金有限公司签署了股份转让协议，</w:t>
      </w:r>
      <w:r>
        <w:rPr/>
        <w:t> 转让中国四维测绘技术有限公司持有的公司部分股份</w:t>
      </w:r>
      <w:r>
        <w:rPr>
          <w:rFonts w:ascii="Times New Roman" w:hAnsi="Times New Roman" w:cs="Times New Roman" w:eastAsia="Times New Roman" w:hint="default"/>
        </w:rPr>
        <w:t>78,000,000.00</w:t>
      </w:r>
      <w:r>
        <w:rPr/>
        <w:t>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日，公司收到中国四维测绘技术有限公</w:t>
      </w:r>
      <w:r>
        <w:rPr>
          <w:spacing w:val="-48"/>
        </w:rPr>
        <w:t> </w:t>
      </w:r>
      <w:r>
        <w:rPr>
          <w:spacing w:val="-48"/>
        </w:rPr>
      </w:r>
      <w:r>
        <w:rPr>
          <w:spacing w:val="-2"/>
        </w:rPr>
        <w:t>司转来的中国证券登记结算有限责任公司深圳分公司出具的过户登记确认书，确认过户登记手续于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spacing w:val="-2"/>
        </w:rPr>
        <w:t>日办理完毕。</w:t>
      </w:r>
    </w:p>
    <w:p>
      <w:pPr>
        <w:pStyle w:val="BodyText"/>
        <w:spacing w:line="482" w:lineRule="auto" w:before="133"/>
        <w:ind w:right="5149" w:firstLine="360"/>
        <w:jc w:val="left"/>
      </w:pPr>
      <w:r>
        <w:rPr/>
        <w:t>本公司自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日起，无控股股东及最终控制方。 </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、本企业的子公司情况</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t>本企业子公司的情况详见附注</w:t>
      </w:r>
      <w:r>
        <w:rPr>
          <w:rFonts w:ascii="Times New Roman" w:hAnsi="Times New Roman" w:cs="Times New Roman" w:eastAsia="Times New Roman" w:hint="default"/>
        </w:rPr>
        <w:t>“</w:t>
      </w:r>
      <w:r>
        <w:rPr/>
        <w:t>九、</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）企业集团的构成</w:t>
      </w:r>
      <w:r>
        <w:rPr>
          <w:rFonts w:ascii="Times New Roman" w:hAnsi="Times New Roman" w:cs="Times New Roman" w:eastAsia="Times New Roman" w:hint="default"/>
        </w:rPr>
        <w:t>”</w:t>
      </w:r>
      <w:r>
        <w:rPr/>
        <w:t>相关内容。</w:t>
      </w:r>
    </w:p>
    <w:p>
      <w:pPr>
        <w:spacing w:after="0" w:line="482"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2294"/>
        <w:jc w:val="left"/>
      </w:pPr>
      <w:r>
        <w:rPr/>
        <w:t>本企业重要的合营或联营企业详见附注</w:t>
      </w:r>
      <w:r>
        <w:rPr>
          <w:rFonts w:ascii="Times New Roman" w:hAnsi="Times New Roman" w:cs="Times New Roman" w:eastAsia="Times New Roman" w:hint="default"/>
        </w:rPr>
        <w:t>“</w:t>
      </w:r>
      <w:r>
        <w:rPr/>
        <w:t>九、</w:t>
      </w:r>
      <w:r>
        <w:rPr>
          <w:rFonts w:ascii="Times New Roman" w:hAnsi="Times New Roman" w:cs="Times New Roman" w:eastAsia="Times New Roman" w:hint="default"/>
        </w:rPr>
        <w:t>3.</w:t>
      </w:r>
      <w:r>
        <w:rPr/>
        <w:t>（</w:t>
      </w:r>
      <w:r>
        <w:rPr>
          <w:rFonts w:ascii="Times New Roman" w:hAnsi="Times New Roman" w:cs="Times New Roman" w:eastAsia="Times New Roman" w:hint="default"/>
        </w:rPr>
        <w:t>1</w:t>
      </w:r>
      <w:r>
        <w:rPr/>
        <w:t>）重要的合营企业或联营企业</w:t>
      </w:r>
      <w:r>
        <w:rPr>
          <w:rFonts w:ascii="Times New Roman" w:hAnsi="Times New Roman" w:cs="Times New Roman" w:eastAsia="Times New Roman" w:hint="default"/>
        </w:rPr>
        <w:t>”</w:t>
      </w:r>
      <w:r>
        <w:rPr/>
        <w:t>相关内容。 本期与本公司发生关联方交易，或前期与本公司发生关联方交易形成余额的其他合营或联营企业情况如下：</w:t>
      </w:r>
    </w:p>
    <w:p>
      <w:pPr>
        <w:spacing w:line="240" w:lineRule="auto" w:before="7"/>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北京图新瀚和科技有限公司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上海安吉四维信息技术有限公司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北京四维互联基金管理中心（有限合伙）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北京图新数聚科技有限公司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北京四维万兴科技有限公司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嘉兴四维智城信息科技有限公司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北京蜂云科创信息技术有限公司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北京万兔思睿科技有限公司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北京六分科技有限公司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深圳市腾讯计算机系统有限公司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北京航天世景信息技术有限公司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腾讯云计算（北京）有限责任公司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普强信息技术（北京）有限公司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腾讯大地通途（北京）科技有限公司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上海蔚来汽车有限公司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四维高景卫星遥感有限公司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云南腾云信息产业有限公司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中再巨灾风险管理股份有限公司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北京四维智联科技有限公司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北京图吧科技有限公司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四维智联（大连）科技有限公司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上海趣驾信息科技有限公司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和骊安</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汽车信息系统有限公司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bl>
    <w:p>
      <w:pPr>
        <w:pStyle w:val="BodyText"/>
        <w:spacing w:line="360" w:lineRule="auto" w:before="49"/>
        <w:ind w:right="3374"/>
        <w:jc w:val="left"/>
      </w:pPr>
      <w:r>
        <w:rPr/>
        <w:t>其他说明 注：会计准则规定的关联方与深圳证券交易所《股票上市规则》规定的关联方定义有所不同。</w:t>
      </w:r>
    </w:p>
    <w:p>
      <w:pPr>
        <w:spacing w:after="0" w:line="36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39"/>
        <w:gridCol w:w="1455"/>
        <w:gridCol w:w="1454"/>
        <w:gridCol w:w="1707"/>
        <w:gridCol w:w="1709"/>
        <w:gridCol w:w="1707"/>
      </w:tblGrid>
      <w:tr>
        <w:trPr>
          <w:trHeight w:val="402"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普强信息技术（北 京）有限公司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1,913,166.51</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8,577,511.92</w:t>
            </w:r>
          </w:p>
        </w:tc>
      </w:tr>
      <w:tr>
        <w:trPr>
          <w:trHeight w:val="716"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63"/>
              <w:jc w:val="left"/>
              <w:rPr>
                <w:rFonts w:ascii="宋体" w:hAnsi="宋体" w:cs="宋体" w:eastAsia="宋体" w:hint="default"/>
                <w:sz w:val="18"/>
                <w:szCs w:val="18"/>
              </w:rPr>
            </w:pPr>
            <w:r>
              <w:rPr>
                <w:rFonts w:ascii="宋体" w:hAnsi="宋体" w:cs="宋体" w:eastAsia="宋体" w:hint="default"/>
                <w:sz w:val="18"/>
                <w:szCs w:val="18"/>
              </w:rPr>
              <w:t>普强信息技术（北 京）有限公司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1,020,000.05</w:t>
            </w:r>
          </w:p>
        </w:tc>
      </w:tr>
      <w:tr>
        <w:trPr>
          <w:trHeight w:val="71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北京四维智联科技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23,386,217.15</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169,732.07</w:t>
            </w:r>
          </w:p>
        </w:tc>
      </w:tr>
      <w:tr>
        <w:trPr>
          <w:trHeight w:val="715"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63"/>
              <w:jc w:val="left"/>
              <w:rPr>
                <w:rFonts w:ascii="宋体" w:hAnsi="宋体" w:cs="宋体" w:eastAsia="宋体" w:hint="default"/>
                <w:sz w:val="18"/>
                <w:szCs w:val="18"/>
              </w:rPr>
            </w:pPr>
            <w:r>
              <w:rPr>
                <w:rFonts w:ascii="宋体" w:hAnsi="宋体" w:cs="宋体" w:eastAsia="宋体" w:hint="default"/>
                <w:sz w:val="18"/>
                <w:szCs w:val="18"/>
              </w:rPr>
              <w:t>北京四维智联科技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113,782,033.40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15,339,264.95</w:t>
            </w:r>
          </w:p>
        </w:tc>
      </w:tr>
      <w:tr>
        <w:trPr>
          <w:trHeight w:val="71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上海趣驾信息科技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3,181,316.51</w:t>
            </w:r>
          </w:p>
        </w:tc>
      </w:tr>
      <w:tr>
        <w:trPr>
          <w:trHeight w:val="715"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63"/>
              <w:jc w:val="left"/>
              <w:rPr>
                <w:rFonts w:ascii="宋体" w:hAnsi="宋体" w:cs="宋体" w:eastAsia="宋体" w:hint="default"/>
                <w:sz w:val="18"/>
                <w:szCs w:val="18"/>
              </w:rPr>
            </w:pPr>
            <w:r>
              <w:rPr>
                <w:rFonts w:ascii="宋体" w:hAnsi="宋体" w:cs="宋体" w:eastAsia="宋体" w:hint="default"/>
                <w:sz w:val="18"/>
                <w:szCs w:val="18"/>
              </w:rPr>
              <w:t>上海趣驾信息科技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799,883.36</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和骊安</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汽车 信息系统有限公司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2,384,367.66</w:t>
            </w:r>
          </w:p>
        </w:tc>
      </w:tr>
      <w:tr>
        <w:trPr>
          <w:trHeight w:val="715"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63"/>
              <w:jc w:val="left"/>
              <w:rPr>
                <w:rFonts w:ascii="宋体" w:hAnsi="宋体" w:cs="宋体" w:eastAsia="宋体" w:hint="default"/>
                <w:sz w:val="18"/>
                <w:szCs w:val="18"/>
              </w:rPr>
            </w:pPr>
            <w:r>
              <w:rPr>
                <w:rFonts w:ascii="宋体" w:hAnsi="宋体" w:cs="宋体" w:eastAsia="宋体" w:hint="default"/>
                <w:sz w:val="18"/>
                <w:szCs w:val="18"/>
              </w:rPr>
              <w:t>腾讯云计算（北 京）有限责任公司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4,038,802.28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3,925,037.93</w:t>
            </w:r>
          </w:p>
        </w:tc>
      </w:tr>
      <w:tr>
        <w:trPr>
          <w:trHeight w:val="71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嘉兴四维智城信息 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94,339.62</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330,188.69</w:t>
            </w:r>
          </w:p>
        </w:tc>
      </w:tr>
      <w:tr>
        <w:trPr>
          <w:trHeight w:val="715"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63"/>
              <w:jc w:val="left"/>
              <w:rPr>
                <w:rFonts w:ascii="宋体" w:hAnsi="宋体" w:cs="宋体" w:eastAsia="宋体" w:hint="default"/>
                <w:sz w:val="18"/>
                <w:szCs w:val="18"/>
              </w:rPr>
            </w:pPr>
            <w:r>
              <w:rPr>
                <w:rFonts w:ascii="宋体" w:hAnsi="宋体" w:cs="宋体" w:eastAsia="宋体" w:hint="default"/>
                <w:sz w:val="18"/>
                <w:szCs w:val="18"/>
              </w:rPr>
              <w:t>上海安吉四维信息 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78,843.28</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上海安吉四维信息 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48,893.47</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45,755.30</w:t>
            </w:r>
          </w:p>
        </w:tc>
      </w:tr>
      <w:tr>
        <w:trPr>
          <w:trHeight w:val="716"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3"/>
              <w:jc w:val="left"/>
              <w:rPr>
                <w:rFonts w:ascii="宋体" w:hAnsi="宋体" w:cs="宋体" w:eastAsia="宋体" w:hint="default"/>
                <w:sz w:val="18"/>
                <w:szCs w:val="18"/>
              </w:rPr>
            </w:pPr>
            <w:r>
              <w:rPr>
                <w:rFonts w:ascii="宋体" w:hAnsi="宋体" w:cs="宋体" w:eastAsia="宋体" w:hint="default"/>
                <w:sz w:val="18"/>
                <w:szCs w:val="18"/>
              </w:rPr>
              <w:t>北京航天世景信息 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1,820,566.05</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2,229,500.96</w:t>
            </w:r>
          </w:p>
        </w:tc>
      </w:tr>
      <w:tr>
        <w:trPr>
          <w:trHeight w:val="71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北京航天世景信息 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220,754.72</w:t>
            </w:r>
          </w:p>
        </w:tc>
      </w:tr>
      <w:tr>
        <w:trPr>
          <w:trHeight w:val="715"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63"/>
              <w:jc w:val="left"/>
              <w:rPr>
                <w:rFonts w:ascii="宋体" w:hAnsi="宋体" w:cs="宋体" w:eastAsia="宋体" w:hint="default"/>
                <w:sz w:val="18"/>
                <w:szCs w:val="18"/>
              </w:rPr>
            </w:pPr>
            <w:r>
              <w:rPr>
                <w:rFonts w:ascii="宋体" w:hAnsi="宋体" w:cs="宋体" w:eastAsia="宋体" w:hint="default"/>
                <w:sz w:val="18"/>
                <w:szCs w:val="18"/>
              </w:rPr>
              <w:t>深圳市腾讯计算机 系统有限公司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1,466.04</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883.02</w:t>
            </w:r>
          </w:p>
        </w:tc>
      </w:tr>
      <w:tr>
        <w:trPr>
          <w:trHeight w:val="71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北京图新数聚科技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1,277,932.52</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5,346,943.64</w:t>
            </w:r>
          </w:p>
        </w:tc>
      </w:tr>
      <w:tr>
        <w:trPr>
          <w:trHeight w:val="715"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63"/>
              <w:jc w:val="left"/>
              <w:rPr>
                <w:rFonts w:ascii="宋体" w:hAnsi="宋体" w:cs="宋体" w:eastAsia="宋体" w:hint="default"/>
                <w:sz w:val="18"/>
                <w:szCs w:val="18"/>
              </w:rPr>
            </w:pPr>
            <w:r>
              <w:rPr>
                <w:rFonts w:ascii="宋体" w:hAnsi="宋体" w:cs="宋体" w:eastAsia="宋体" w:hint="default"/>
                <w:sz w:val="18"/>
                <w:szCs w:val="18"/>
              </w:rPr>
              <w:t>四维智联（大连） 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294,499.99</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539"/>
        <w:gridCol w:w="1455"/>
        <w:gridCol w:w="1454"/>
        <w:gridCol w:w="1707"/>
        <w:gridCol w:w="1709"/>
        <w:gridCol w:w="1707"/>
      </w:tblGrid>
      <w:tr>
        <w:trPr>
          <w:trHeight w:val="71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北京四维万兴科技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1,632,452.66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9" w:right="0"/>
              <w:jc w:val="left"/>
              <w:rPr>
                <w:rFonts w:ascii="Times New Roman" w:hAnsi="Times New Roman" w:cs="Times New Roman" w:eastAsia="Times New Roman" w:hint="default"/>
                <w:sz w:val="18"/>
                <w:szCs w:val="18"/>
              </w:rPr>
            </w:pPr>
            <w:r>
              <w:rPr>
                <w:rFonts w:ascii="Times New Roman"/>
                <w:sz w:val="18"/>
              </w:rPr>
              <w:t>2,000,000.00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63"/>
              <w:jc w:val="left"/>
              <w:rPr>
                <w:rFonts w:ascii="宋体" w:hAnsi="宋体" w:cs="宋体" w:eastAsia="宋体" w:hint="default"/>
                <w:sz w:val="18"/>
                <w:szCs w:val="18"/>
              </w:rPr>
            </w:pPr>
            <w:r>
              <w:rPr>
                <w:rFonts w:ascii="宋体" w:hAnsi="宋体" w:cs="宋体" w:eastAsia="宋体" w:hint="default"/>
                <w:sz w:val="18"/>
                <w:szCs w:val="18"/>
              </w:rPr>
              <w:t>中国四维测绘技术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287,735.85</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北京万兔思睿科技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48,471.64</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802"/>
        <w:gridCol w:w="1855"/>
        <w:gridCol w:w="2259"/>
        <w:gridCol w:w="2653"/>
      </w:tblGrid>
      <w:tr>
        <w:trPr>
          <w:trHeight w:val="401"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北京四维智联科技有限公司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13,034,482.71</w:t>
            </w: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北京四维智联科技有限公司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27,870,943.40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上海安吉四维信息技术有限公司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76,943,023.98</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146,927,349.58</w:t>
            </w: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上海安吉四维信息技术有限公司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44,144,066.75</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29,138,119.59</w:t>
            </w:r>
          </w:p>
        </w:tc>
      </w:tr>
      <w:tr>
        <w:trPr>
          <w:trHeight w:val="715"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6"/>
              <w:jc w:val="left"/>
              <w:rPr>
                <w:rFonts w:ascii="宋体" w:hAnsi="宋体" w:cs="宋体" w:eastAsia="宋体" w:hint="default"/>
                <w:sz w:val="18"/>
                <w:szCs w:val="18"/>
              </w:rPr>
            </w:pPr>
            <w:r>
              <w:rPr>
                <w:rFonts w:ascii="宋体" w:hAnsi="宋体" w:cs="宋体" w:eastAsia="宋体" w:hint="default"/>
                <w:sz w:val="18"/>
                <w:szCs w:val="18"/>
              </w:rPr>
              <w:t>腾讯大地通途（北京）科技有限公 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34,431,583.38</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26,276,198.28</w:t>
            </w:r>
          </w:p>
        </w:tc>
      </w:tr>
      <w:tr>
        <w:trPr>
          <w:trHeight w:val="71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6"/>
              <w:jc w:val="left"/>
              <w:rPr>
                <w:rFonts w:ascii="宋体" w:hAnsi="宋体" w:cs="宋体" w:eastAsia="宋体" w:hint="default"/>
                <w:sz w:val="18"/>
                <w:szCs w:val="18"/>
              </w:rPr>
            </w:pPr>
            <w:r>
              <w:rPr>
                <w:rFonts w:ascii="宋体" w:hAnsi="宋体" w:cs="宋体" w:eastAsia="宋体" w:hint="default"/>
                <w:sz w:val="18"/>
                <w:szCs w:val="18"/>
              </w:rPr>
              <w:t>腾讯大地通途（北京）科技有限公 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1,981,132.02</w:t>
            </w: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腾讯云计算（北京）有限责任公司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2,907,825.30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腾讯云计算（北京）有限责任公司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411,764.15</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深圳市腾讯计算机系统有限公司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6,683,438.27</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4,006,414.98</w:t>
            </w: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深圳市腾讯计算机系统有限公司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6,289,308.12</w:t>
            </w: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北京图新瀚和科技有限公司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15,733,929.38</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3,711,768.05</w:t>
            </w: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上海蔚来汽车有限公司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2,822,939.06</w:t>
            </w: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嘉兴四维智城信息科技有限公司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193,396.22</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174,528.30</w:t>
            </w: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普强信息技术（北京）有限公司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128,185.60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2,342,449.91</w:t>
            </w: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北京图新数聚科技有限公司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385,618.18</w:t>
            </w:r>
          </w:p>
        </w:tc>
      </w:tr>
      <w:tr>
        <w:trPr>
          <w:trHeight w:val="40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四维高景卫星遥感有限公司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72,595.27</w:t>
            </w: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北京图吧科技有限公司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6,120,000.00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四维智联（大连）科技有限公司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4,110,600.00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中再巨灾风险管理股份有限公司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1,654,716.98</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云南腾云信息产业有限公司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94,339.62</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3,094,339.63</w:t>
            </w: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上海趣驾信息科技有限公司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37,450.46</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60,966.04</w:t>
            </w: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北京四维万兴科技有限公司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1,882,075.48</w:t>
            </w: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北京蜂云科创信息技术有限公司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30,188.68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802"/>
        <w:gridCol w:w="1980"/>
        <w:gridCol w:w="2393"/>
        <w:gridCol w:w="2393"/>
      </w:tblGrid>
      <w:tr>
        <w:trPr>
          <w:trHeight w:val="402"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6"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北京图吧科技有限公司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7,878,469.55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普强信息技术（北京）有限公司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2,235,080.65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2,178,737.57</w:t>
            </w: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北京图新瀚和科技有限公司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1,864,944.82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1,783,087.31</w:t>
            </w: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北京四维万兴科技有限公司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842,517.40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60" w:lineRule="auto" w:before="49"/>
        <w:ind w:right="9134"/>
        <w:jc w:val="left"/>
      </w:pPr>
      <w:r>
        <w:rPr/>
        <w:t>本公司作为承租方： 无</w:t>
      </w:r>
    </w:p>
    <w:p>
      <w:pPr>
        <w:spacing w:line="240" w:lineRule="auto" w:before="3"/>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本公司作为担保方</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802"/>
        <w:gridCol w:w="1418"/>
        <w:gridCol w:w="1719"/>
        <w:gridCol w:w="1718"/>
        <w:gridCol w:w="1913"/>
      </w:tblGrid>
      <w:tr>
        <w:trPr>
          <w:trHeight w:val="404"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5"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图新投资（香港）科技有限公司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合肥杰发科技有限公司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both"/>
      </w:pPr>
      <w:r>
        <w:rPr/>
        <w:t>关联担保情况说明</w:t>
      </w:r>
    </w:p>
    <w:p>
      <w:pPr>
        <w:pStyle w:val="BodyText"/>
        <w:spacing w:line="300" w:lineRule="auto" w:before="117"/>
        <w:ind w:right="1129"/>
        <w:jc w:val="both"/>
      </w:pPr>
      <w:r>
        <w:rPr/>
        <w:t>注</w:t>
      </w:r>
      <w:r>
        <w:rPr>
          <w:rFonts w:ascii="Times New Roman" w:hAnsi="Times New Roman" w:cs="Times New Roman" w:eastAsia="Times New Roman" w:hint="default"/>
        </w:rPr>
        <w:t>1</w:t>
      </w:r>
      <w:r>
        <w:rPr/>
        <w:t>：本公司向所属子公司图新投资（香港）科技有限公司的银行借款提供总额为</w:t>
      </w:r>
      <w:r>
        <w:rPr>
          <w:rFonts w:ascii="Times New Roman" w:hAnsi="Times New Roman" w:cs="Times New Roman" w:eastAsia="Times New Roman" w:hint="default"/>
        </w:rPr>
        <w:t>11,000.00</w:t>
      </w:r>
      <w:r>
        <w:rPr/>
        <w:t>万欧元的担保，担保有效期限为</w:t>
      </w:r>
      <w:r>
        <w:rPr>
          <w:spacing w:val="-83"/>
        </w:rPr>
        <w:t> </w:t>
      </w:r>
      <w:r>
        <w:rPr>
          <w:spacing w:val="-83"/>
        </w:rPr>
      </w:r>
      <w:r>
        <w:rPr>
          <w:spacing w:val="-2"/>
        </w:rPr>
        <w:t>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日起</w:t>
      </w:r>
      <w:r>
        <w:rPr>
          <w:rFonts w:ascii="Times New Roman" w:hAnsi="Times New Roman" w:cs="Times New Roman" w:eastAsia="Times New Roman" w:hint="default"/>
          <w:spacing w:val="-2"/>
        </w:rPr>
        <w:t>5</w:t>
      </w:r>
      <w:r>
        <w:rPr>
          <w:spacing w:val="-2"/>
        </w:rPr>
        <w:t>年，实际使用借款金额为零。</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日，图新投资（香港）科技有限公司注销，相关担保已经履</w:t>
      </w:r>
      <w:r>
        <w:rPr>
          <w:spacing w:val="-60"/>
        </w:rPr>
        <w:t> </w:t>
      </w:r>
      <w:r>
        <w:rPr>
          <w:spacing w:val="-60"/>
        </w:rPr>
      </w:r>
      <w:r>
        <w:rPr/>
        <w:t>行完毕。</w:t>
      </w:r>
    </w:p>
    <w:p>
      <w:pPr>
        <w:pStyle w:val="BodyText"/>
        <w:spacing w:line="307" w:lineRule="auto" w:before="72"/>
        <w:ind w:right="1130"/>
        <w:jc w:val="both"/>
      </w:pPr>
      <w:r>
        <w:rPr>
          <w:spacing w:val="2"/>
        </w:rPr>
        <w:t>注</w:t>
      </w:r>
      <w:r>
        <w:rPr>
          <w:rFonts w:ascii="Times New Roman" w:hAnsi="Times New Roman" w:cs="Times New Roman" w:eastAsia="Times New Roman" w:hint="default"/>
          <w:spacing w:val="2"/>
        </w:rPr>
        <w:t>2</w:t>
      </w:r>
      <w:r>
        <w:rPr>
          <w:spacing w:val="2"/>
        </w:rPr>
        <w:t>：本公司及全资子公司合肥杰发科技有限公司（简称 杰发科技）与 </w:t>
      </w:r>
      <w:r>
        <w:rPr>
          <w:rFonts w:ascii="Times New Roman" w:hAnsi="Times New Roman" w:cs="Times New Roman" w:eastAsia="Times New Roman" w:hint="default"/>
        </w:rPr>
        <w:t>Dolby Laboratories Licensing Corporation </w:t>
      </w:r>
      <w:r>
        <w:rPr/>
        <w:t>及</w:t>
      </w:r>
      <w:r>
        <w:rPr>
          <w:spacing w:val="-4"/>
        </w:rPr>
        <w:t> </w:t>
      </w:r>
      <w:r>
        <w:rPr>
          <w:rFonts w:ascii="Times New Roman" w:hAnsi="Times New Roman" w:cs="Times New Roman" w:eastAsia="Times New Roman" w:hint="default"/>
        </w:rPr>
        <w:t>Dolby International AB</w:t>
      </w:r>
      <w:r>
        <w:rPr/>
        <w:t>（以下合称</w:t>
      </w:r>
      <w:r>
        <w:rPr>
          <w:rFonts w:ascii="Times New Roman" w:hAnsi="Times New Roman" w:cs="Times New Roman" w:eastAsia="Times New Roman" w:hint="default"/>
        </w:rPr>
        <w:t>“Dolby </w:t>
      </w:r>
      <w:r>
        <w:rPr/>
        <w:t>公司</w:t>
      </w:r>
      <w:r>
        <w:rPr>
          <w:rFonts w:ascii="Times New Roman" w:hAnsi="Times New Roman" w:cs="Times New Roman" w:eastAsia="Times New Roman" w:hint="default"/>
        </w:rPr>
        <w:t>”</w:t>
      </w:r>
      <w:r>
        <w:rPr/>
        <w:t>）签署技术许可协议，由</w:t>
      </w:r>
      <w:r>
        <w:rPr>
          <w:rFonts w:ascii="Times New Roman" w:hAnsi="Times New Roman" w:cs="Times New Roman" w:eastAsia="Times New Roman" w:hint="default"/>
        </w:rPr>
        <w:t>Dolby</w:t>
      </w:r>
      <w:r>
        <w:rPr/>
        <w:t>公司授权本公司和杰发科技利用 </w:t>
      </w:r>
      <w:r>
        <w:rPr>
          <w:rFonts w:ascii="Times New Roman" w:hAnsi="Times New Roman" w:cs="Times New Roman" w:eastAsia="Times New Roman" w:hint="default"/>
        </w:rPr>
        <w:t>Dolby</w:t>
      </w:r>
      <w:r>
        <w:rPr>
          <w:rFonts w:ascii="Times New Roman" w:hAnsi="Times New Roman" w:cs="Times New Roman" w:eastAsia="Times New Roman" w:hint="default"/>
          <w:spacing w:val="15"/>
        </w:rPr>
        <w:t> </w:t>
      </w:r>
      <w:r>
        <w:rPr/>
        <w:t>公司某音频 </w:t>
      </w:r>
      <w:r>
        <w:rPr>
          <w:spacing w:val="-2"/>
        </w:rPr>
        <w:t>解码技术进行生产和销售芯片产品的权利，该技术现阶段主要用于已经量产的产品，本公司对杰发科技违反协议约定的违约</w:t>
      </w:r>
      <w:r>
        <w:rPr>
          <w:spacing w:val="-64"/>
        </w:rPr>
        <w:t> </w:t>
      </w:r>
      <w:r>
        <w:rPr>
          <w:spacing w:val="-64"/>
        </w:rPr>
      </w:r>
      <w:r>
        <w:rPr/>
        <w:t>行为承担连带赔偿责任，担保期自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日起</w:t>
      </w:r>
      <w:r>
        <w:rPr>
          <w:rFonts w:ascii="Times New Roman" w:hAnsi="Times New Roman" w:cs="Times New Roman" w:eastAsia="Times New Roman" w:hint="default"/>
        </w:rPr>
        <w:t>5</w:t>
      </w:r>
      <w:r>
        <w:rPr/>
        <w:t>年，截至本年末，实际担保金额为零。</w:t>
      </w:r>
    </w:p>
    <w:p>
      <w:pPr>
        <w:spacing w:line="240" w:lineRule="auto" w:before="10"/>
        <w:rPr>
          <w:rFonts w:ascii="宋体" w:hAnsi="宋体" w:cs="宋体" w:eastAsia="宋体" w:hint="default"/>
          <w:sz w:val="16"/>
          <w:szCs w:val="16"/>
        </w:rPr>
      </w:pPr>
    </w:p>
    <w:p>
      <w:pPr>
        <w:pStyle w:val="Heading4"/>
        <w:spacing w:line="240" w:lineRule="auto"/>
        <w:ind w:right="0"/>
        <w:jc w:val="both"/>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76"/>
        <w:gridCol w:w="1798"/>
        <w:gridCol w:w="1800"/>
        <w:gridCol w:w="1798"/>
        <w:gridCol w:w="1798"/>
      </w:tblGrid>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5"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北京四维天盛投资管理有限 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1" w:right="0"/>
              <w:jc w:val="left"/>
              <w:rPr>
                <w:rFonts w:ascii="Times New Roman" w:hAnsi="Times New Roman" w:cs="Times New Roman" w:eastAsia="Times New Roman" w:hint="default"/>
                <w:sz w:val="18"/>
                <w:szCs w:val="18"/>
              </w:rPr>
            </w:pPr>
            <w:r>
              <w:rPr>
                <w:rFonts w:ascii="Times New Roman"/>
                <w:sz w:val="18"/>
              </w:rPr>
              <w:t>1,800,000.00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北京四维互联基金管理中心</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出售北京车联天下信息技术 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7.86%</w:t>
            </w:r>
            <w:r>
              <w:rPr>
                <w:rFonts w:ascii="宋体" w:hAnsi="宋体" w:cs="宋体" w:eastAsia="宋体" w:hint="default"/>
                <w:sz w:val="18"/>
                <w:szCs w:val="18"/>
              </w:rPr>
              <w:t>股权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5" w:right="0"/>
              <w:jc w:val="left"/>
              <w:rPr>
                <w:rFonts w:ascii="Times New Roman" w:hAnsi="Times New Roman" w:cs="Times New Roman" w:eastAsia="Times New Roman" w:hint="default"/>
                <w:sz w:val="18"/>
                <w:szCs w:val="18"/>
              </w:rPr>
            </w:pPr>
            <w:r>
              <w:rPr>
                <w:rFonts w:ascii="Times New Roman"/>
                <w:sz w:val="18"/>
              </w:rPr>
              <w:t>76,520,000.00</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11,780,000.00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12,370,000.00</w:t>
            </w:r>
          </w:p>
        </w:tc>
      </w:tr>
    </w:tbl>
    <w:p>
      <w:pPr>
        <w:spacing w:line="240" w:lineRule="auto" w:before="5"/>
        <w:rPr>
          <w:rFonts w:ascii="宋体" w:hAnsi="宋体" w:cs="宋体" w:eastAsia="宋体" w:hint="default"/>
          <w:sz w:val="19"/>
          <w:szCs w:val="19"/>
        </w:rPr>
      </w:pPr>
    </w:p>
    <w:p>
      <w:pPr>
        <w:pStyle w:val="Heading4"/>
        <w:spacing w:line="335" w:lineRule="exact"/>
        <w:ind w:right="0"/>
        <w:jc w:val="both"/>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134"/>
        <w:jc w:val="right"/>
      </w:pPr>
      <w:r>
        <w:rPr>
          <w:spacing w:val="-1"/>
        </w:rPr>
        <w:t>公司于</w:t>
      </w:r>
      <w:r>
        <w:rPr>
          <w:rFonts w:ascii="宋体" w:hAnsi="宋体" w:cs="宋体" w:eastAsia="宋体" w:hint="default"/>
          <w:spacing w:val="-1"/>
        </w:rPr>
        <w:t>2019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9</w:t>
      </w:r>
      <w:r>
        <w:rPr>
          <w:spacing w:val="-1"/>
        </w:rPr>
        <w:t>日召开第四届董事会第二十次会议、</w:t>
      </w:r>
      <w:r>
        <w:rPr>
          <w:rFonts w:ascii="宋体" w:hAnsi="宋体" w:cs="宋体" w:eastAsia="宋体" w:hint="default"/>
          <w:spacing w:val="-1"/>
        </w:rPr>
        <w:t>2019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27</w:t>
      </w:r>
      <w:r>
        <w:rPr>
          <w:spacing w:val="-1"/>
        </w:rPr>
        <w:t>日召开</w:t>
      </w:r>
      <w:r>
        <w:rPr>
          <w:rFonts w:ascii="宋体" w:hAnsi="宋体" w:cs="宋体" w:eastAsia="宋体" w:hint="default"/>
          <w:spacing w:val="-1"/>
        </w:rPr>
        <w:t>2019</w:t>
      </w:r>
      <w:r>
        <w:rPr>
          <w:spacing w:val="-1"/>
        </w:rPr>
        <w:t>年第二次临时股东大会，审议通过了</w:t>
      </w:r>
    </w:p>
    <w:p>
      <w:pPr>
        <w:pStyle w:val="BodyText"/>
        <w:spacing w:line="316" w:lineRule="auto" w:before="76"/>
        <w:ind w:right="1128"/>
        <w:jc w:val="both"/>
      </w:pPr>
      <w:r>
        <w:rPr>
          <w:spacing w:val="-2"/>
        </w:rPr>
        <w:t>《关于子公司北京六分科技有限公司接受投资暨关联交易的议案》，公司控股子公司北京六分科技有限公司（以下简称“六</w:t>
      </w:r>
      <w:r>
        <w:rPr>
          <w:spacing w:val="-64"/>
        </w:rPr>
        <w:t> </w:t>
      </w:r>
      <w:r>
        <w:rPr>
          <w:spacing w:val="-64"/>
        </w:rPr>
      </w:r>
      <w:r>
        <w:rPr>
          <w:spacing w:val="-2"/>
        </w:rPr>
        <w:t>分科技”）拟进行增资扩股，引进投资者洪鑫源、北京北斗通、南方工业、北京四维互联基金管理中心（有限合伙）。相关</w:t>
      </w:r>
      <w:r>
        <w:rPr>
          <w:spacing w:val="-64"/>
        </w:rPr>
        <w:t> </w:t>
      </w:r>
      <w:r>
        <w:rPr>
          <w:spacing w:val="-64"/>
        </w:rPr>
      </w:r>
      <w:r>
        <w:rPr>
          <w:spacing w:val="-2"/>
        </w:rPr>
        <w:t>事项完成后，公司对六分科技的持股比例将降为</w:t>
      </w:r>
      <w:r>
        <w:rPr>
          <w:rFonts w:ascii="宋体" w:hAnsi="宋体" w:cs="宋体" w:eastAsia="宋体" w:hint="default"/>
          <w:spacing w:val="-2"/>
        </w:rPr>
        <w:t>40.18%</w:t>
      </w:r>
      <w:r>
        <w:rPr>
          <w:spacing w:val="-2"/>
        </w:rPr>
        <w:t>，六分科技将不再纳入公司合并范围。因北京四维互联基金管理中心</w:t>
      </w:r>
    </w:p>
    <w:p>
      <w:pPr>
        <w:pStyle w:val="BodyText"/>
        <w:spacing w:line="240" w:lineRule="auto" w:before="19"/>
        <w:ind w:right="0"/>
        <w:jc w:val="both"/>
        <w:rPr>
          <w:rFonts w:ascii="宋体" w:hAnsi="宋体" w:cs="宋体" w:eastAsia="宋体" w:hint="default"/>
        </w:rPr>
      </w:pPr>
      <w:r>
        <w:rPr/>
        <w:t>（有限合伙）为本公司的关联方，本次交易涉及北京四维互联基金管理中心（有限合伙）的部分构成本公司的关联交易。</w:t>
      </w:r>
      <w:r>
        <w:rPr>
          <w:rFonts w:ascii="宋体" w:hAnsi="宋体" w:cs="宋体" w:eastAsia="宋体" w:hint="default"/>
        </w:rPr>
        <w:t> </w:t>
      </w:r>
    </w:p>
    <w:p>
      <w:pPr>
        <w:spacing w:line="240" w:lineRule="auto" w:before="2"/>
        <w:rPr>
          <w:rFonts w:ascii="宋体" w:hAnsi="宋体" w:cs="宋体" w:eastAsia="宋体" w:hint="default"/>
          <w:sz w:val="22"/>
          <w:szCs w:val="22"/>
        </w:rPr>
      </w:pPr>
    </w:p>
    <w:p>
      <w:pPr>
        <w:pStyle w:val="Heading4"/>
        <w:spacing w:line="240" w:lineRule="auto"/>
        <w:ind w:right="0"/>
        <w:jc w:val="both"/>
        <w:rPr>
          <w:rFonts w:ascii="Arial" w:hAnsi="Arial" w:cs="Arial" w:eastAsia="Arial" w:hint="default"/>
          <w:b w:val="0"/>
          <w:bCs w:val="0"/>
        </w:rPr>
      </w:pPr>
      <w:r>
        <w:rPr>
          <w:rFonts w:ascii="Times New Roman" w:hAnsi="Times New Roman" w:cs="Times New Roman" w:eastAsia="Times New Roman" w:hint="default"/>
        </w:rPr>
        <w:t>6</w:t>
      </w:r>
      <w:r>
        <w:rPr/>
        <w:t>、关联方应收应付款项</w:t>
      </w:r>
      <w:r>
        <w:rPr>
          <w:rFonts w:ascii="Arial" w:hAnsi="Arial" w:cs="Arial" w:eastAsia="Arial" w:hint="default"/>
          <w:w w:val="180"/>
        </w:rPr>
        <w:t> </w:t>
      </w:r>
      <w:r>
        <w:rPr>
          <w:rFonts w:ascii="Arial" w:hAnsi="Arial" w:cs="Arial" w:eastAsia="Arial" w:hint="default"/>
          <w:b w:val="0"/>
          <w:bCs w:val="0"/>
        </w:rPr>
      </w:r>
    </w:p>
    <w:p>
      <w:pPr>
        <w:spacing w:line="240" w:lineRule="auto" w:before="7"/>
        <w:rPr>
          <w:rFonts w:ascii="Arial" w:hAnsi="Arial" w:cs="Arial" w:eastAsia="Arial" w:hint="default"/>
          <w:b/>
          <w:bCs/>
          <w:sz w:val="21"/>
          <w:szCs w:val="21"/>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403"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上海安吉四维信息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6,280,755.39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8,606,621.94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北京四维智联科技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95,350,000.00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911,100.00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10,747,835.74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150,469.70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腾讯大地通途（北 京）科技有限公司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20,983,250.00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209,832.50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9,500,390.00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133,005.46</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上海安吉四维信息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21,904,260.78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131,425.56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2,206,024.53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20,707.57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北京六分科技有限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5,518,890.95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55,188.91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中国四维测绘技术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2,398,614.86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738,022.86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2,398,614.86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657,548.86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深圳市腾讯计算机 系统有限公司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4,752.00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8,400.00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2"/>
              <w:jc w:val="left"/>
              <w:rPr>
                <w:rFonts w:ascii="宋体" w:hAnsi="宋体" w:cs="宋体" w:eastAsia="宋体" w:hint="default"/>
                <w:sz w:val="18"/>
                <w:szCs w:val="18"/>
              </w:rPr>
            </w:pPr>
            <w:r>
              <w:rPr>
                <w:rFonts w:ascii="宋体" w:hAnsi="宋体" w:cs="宋体" w:eastAsia="宋体" w:hint="default"/>
                <w:sz w:val="18"/>
                <w:szCs w:val="18"/>
              </w:rPr>
              <w:t>嘉兴四维智城信息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473,851.33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268,851.33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1,881.96</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中再巨灾风险管理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4,551.00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2"/>
              <w:jc w:val="left"/>
              <w:rPr>
                <w:rFonts w:ascii="宋体" w:hAnsi="宋体" w:cs="宋体" w:eastAsia="宋体" w:hint="default"/>
                <w:sz w:val="18"/>
                <w:szCs w:val="18"/>
              </w:rPr>
            </w:pPr>
            <w:r>
              <w:rPr>
                <w:rFonts w:ascii="宋体" w:hAnsi="宋体" w:cs="宋体" w:eastAsia="宋体" w:hint="default"/>
                <w:sz w:val="18"/>
                <w:szCs w:val="18"/>
              </w:rPr>
              <w:t>上海蔚来汽车有限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2,568,315.41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35,956.42</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普强信息技术（北 京）有限公司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2,375,611.55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16,629.28</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3" w:right="122"/>
              <w:jc w:val="left"/>
              <w:rPr>
                <w:rFonts w:ascii="宋体" w:hAnsi="宋体" w:cs="宋体" w:eastAsia="宋体" w:hint="default"/>
                <w:sz w:val="18"/>
                <w:szCs w:val="18"/>
              </w:rPr>
            </w:pPr>
            <w:r>
              <w:rPr>
                <w:rFonts w:ascii="宋体" w:hAnsi="宋体" w:cs="宋体" w:eastAsia="宋体" w:hint="default"/>
                <w:sz w:val="18"/>
                <w:szCs w:val="18"/>
              </w:rPr>
              <w:t>北京四维万兴科技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1,995,000.00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13,965.00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云南腾云信息产业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20,720.00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2"/>
              <w:jc w:val="left"/>
              <w:rPr>
                <w:rFonts w:ascii="宋体" w:hAnsi="宋体" w:cs="宋体" w:eastAsia="宋体" w:hint="default"/>
                <w:sz w:val="18"/>
                <w:szCs w:val="18"/>
              </w:rPr>
            </w:pPr>
            <w:r>
              <w:rPr>
                <w:rFonts w:ascii="宋体" w:hAnsi="宋体" w:cs="宋体" w:eastAsia="宋体" w:hint="default"/>
                <w:sz w:val="18"/>
                <w:szCs w:val="18"/>
              </w:rPr>
              <w:t>北京图新数聚科技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152,198.11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北京四维万兴科技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47,169.81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2"/>
              <w:jc w:val="left"/>
              <w:rPr>
                <w:rFonts w:ascii="宋体" w:hAnsi="宋体" w:cs="宋体" w:eastAsia="宋体" w:hint="default"/>
                <w:sz w:val="18"/>
                <w:szCs w:val="18"/>
              </w:rPr>
            </w:pPr>
            <w:r>
              <w:rPr>
                <w:rFonts w:ascii="宋体" w:hAnsi="宋体" w:cs="宋体" w:eastAsia="宋体" w:hint="default"/>
                <w:sz w:val="18"/>
                <w:szCs w:val="18"/>
              </w:rPr>
              <w:t>腾讯云计算（北 京）有限责任公司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19,480.43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601,095.36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北京六分科技有限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2,097,538.88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20,975.39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2"/>
              <w:jc w:val="left"/>
              <w:rPr>
                <w:rFonts w:ascii="宋体" w:hAnsi="宋体" w:cs="宋体" w:eastAsia="宋体" w:hint="default"/>
                <w:sz w:val="18"/>
                <w:szCs w:val="18"/>
              </w:rPr>
            </w:pPr>
            <w:r>
              <w:rPr>
                <w:rFonts w:ascii="宋体" w:hAnsi="宋体" w:cs="宋体" w:eastAsia="宋体" w:hint="default"/>
                <w:sz w:val="18"/>
                <w:szCs w:val="18"/>
              </w:rPr>
              <w:t>北京四维智联科技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1,137,500.00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普强信息技术（北 京）有限公司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1,786,808.48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17,868.08</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2"/>
              <w:jc w:val="left"/>
              <w:rPr>
                <w:rFonts w:ascii="宋体" w:hAnsi="宋体" w:cs="宋体" w:eastAsia="宋体" w:hint="default"/>
                <w:sz w:val="18"/>
                <w:szCs w:val="18"/>
              </w:rPr>
            </w:pPr>
            <w:r>
              <w:rPr>
                <w:rFonts w:ascii="宋体" w:hAnsi="宋体" w:cs="宋体" w:eastAsia="宋体" w:hint="default"/>
                <w:sz w:val="18"/>
                <w:szCs w:val="18"/>
              </w:rPr>
              <w:t>中国四维测绘技术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75,500.00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北京四维智联科技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2"/>
              <w:jc w:val="left"/>
              <w:rPr>
                <w:rFonts w:ascii="宋体" w:hAnsi="宋体" w:cs="宋体" w:eastAsia="宋体" w:hint="default"/>
                <w:sz w:val="18"/>
                <w:szCs w:val="18"/>
              </w:rPr>
            </w:pPr>
            <w:r>
              <w:rPr>
                <w:rFonts w:ascii="宋体" w:hAnsi="宋体" w:cs="宋体" w:eastAsia="宋体" w:hint="default"/>
                <w:sz w:val="18"/>
                <w:szCs w:val="18"/>
              </w:rPr>
              <w:t>普强信息技术（北 京）有限公司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10,029,000.00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16" w:lineRule="auto" w:before="10"/>
        <w:ind w:right="1214"/>
        <w:jc w:val="left"/>
        <w:rPr>
          <w:rFonts w:ascii="宋体" w:hAnsi="宋体" w:cs="宋体" w:eastAsia="宋体" w:hint="default"/>
        </w:rPr>
      </w:pPr>
      <w:r>
        <w:rPr/>
        <w:t>注：截至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日，公司独立董事李想不在上海蔚来汽车有限公司担任董事已满</w:t>
      </w:r>
      <w:r>
        <w:rPr>
          <w:rFonts w:ascii="宋体" w:hAnsi="宋体" w:cs="宋体" w:eastAsia="宋体" w:hint="default"/>
        </w:rPr>
        <w:t>12</w:t>
      </w:r>
      <w:r>
        <w:rPr/>
        <w:t>个月，上海蔚来汽车有限公司年 末不属于公司关联方。</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北京四维智联科技有限公司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47,343,272.15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254,655.30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97"/>
              <w:jc w:val="left"/>
              <w:rPr>
                <w:rFonts w:ascii="宋体" w:hAnsi="宋体" w:cs="宋体" w:eastAsia="宋体" w:hint="default"/>
                <w:sz w:val="18"/>
                <w:szCs w:val="18"/>
              </w:rPr>
            </w:pPr>
            <w:r>
              <w:rPr>
                <w:rFonts w:ascii="宋体" w:hAnsi="宋体" w:cs="宋体" w:eastAsia="宋体" w:hint="default"/>
                <w:sz w:val="18"/>
                <w:szCs w:val="18"/>
              </w:rPr>
              <w:t>嘉兴四维智城信息科技有限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上海趣驾信息科技有限公司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472,083.13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389,881.59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北京图新数聚科技有限公司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368,300.00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1,091,032.51</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普强信息技术（北京）有限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97"/>
              <w:jc w:val="left"/>
              <w:rPr>
                <w:rFonts w:ascii="宋体" w:hAnsi="宋体" w:cs="宋体" w:eastAsia="宋体" w:hint="default"/>
                <w:sz w:val="18"/>
                <w:szCs w:val="18"/>
              </w:rPr>
            </w:pPr>
            <w:r>
              <w:rPr>
                <w:rFonts w:ascii="宋体" w:hAnsi="宋体" w:cs="宋体" w:eastAsia="宋体" w:hint="default"/>
                <w:sz w:val="18"/>
                <w:szCs w:val="18"/>
              </w:rPr>
              <w:t>上海安吉四维信息技术有限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40,381.82</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北京航天世景信息技术有限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35,256.00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97"/>
              <w:jc w:val="left"/>
              <w:rPr>
                <w:rFonts w:ascii="宋体" w:hAnsi="宋体" w:cs="宋体" w:eastAsia="宋体" w:hint="default"/>
                <w:sz w:val="18"/>
                <w:szCs w:val="18"/>
              </w:rPr>
            </w:pPr>
            <w:r>
              <w:rPr>
                <w:rFonts w:ascii="宋体" w:hAnsi="宋体" w:cs="宋体" w:eastAsia="宋体" w:hint="default"/>
                <w:sz w:val="18"/>
                <w:szCs w:val="18"/>
              </w:rPr>
              <w:t>嘉兴四维智城信息科技有限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北京图吧科技有限公司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590,302.33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97"/>
              <w:jc w:val="left"/>
              <w:rPr>
                <w:rFonts w:ascii="宋体" w:hAnsi="宋体" w:cs="宋体" w:eastAsia="宋体" w:hint="default"/>
                <w:sz w:val="18"/>
                <w:szCs w:val="18"/>
              </w:rPr>
            </w:pPr>
            <w:r>
              <w:rPr>
                <w:rFonts w:ascii="宋体" w:hAnsi="宋体" w:cs="宋体" w:eastAsia="宋体" w:hint="default"/>
                <w:sz w:val="18"/>
                <w:szCs w:val="18"/>
              </w:rPr>
              <w:t>嘉兴四维智城信息科技有限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上海趣驾信息科技有限公司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296,110.01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3,627,579.91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北京六分科技有限公司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196,524.52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北京图新数聚科技有限公司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179,267.00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129,452.30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北京图新瀚和科技有限公司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149,186.45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140,852.28</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普强信息技术（北京）有限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136,455.25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136,455.25</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97"/>
              <w:jc w:val="left"/>
              <w:rPr>
                <w:rFonts w:ascii="宋体" w:hAnsi="宋体" w:cs="宋体" w:eastAsia="宋体" w:hint="default"/>
                <w:sz w:val="18"/>
                <w:szCs w:val="18"/>
              </w:rPr>
            </w:pPr>
            <w:r>
              <w:rPr>
                <w:rFonts w:ascii="宋体" w:hAnsi="宋体" w:cs="宋体" w:eastAsia="宋体" w:hint="default"/>
                <w:sz w:val="18"/>
                <w:szCs w:val="18"/>
              </w:rPr>
              <w:t>腾讯云计算（北京）有限责 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66,542.43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北京四维万兴科技有限公司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60,774.93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77"/>
              <w:jc w:val="left"/>
              <w:rPr>
                <w:rFonts w:ascii="宋体" w:hAnsi="宋体" w:cs="宋体" w:eastAsia="宋体" w:hint="default"/>
                <w:sz w:val="18"/>
                <w:szCs w:val="18"/>
              </w:rPr>
            </w:pPr>
            <w:r>
              <w:rPr>
                <w:rFonts w:ascii="宋体" w:hAnsi="宋体" w:cs="宋体" w:eastAsia="宋体" w:hint="default"/>
                <w:sz w:val="18"/>
                <w:szCs w:val="18"/>
              </w:rPr>
              <w:t>和骊安</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汽车信息系统有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北京四维智联科技有限公司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310,181.95</w:t>
            </w:r>
          </w:p>
        </w:tc>
      </w:tr>
    </w:tbl>
    <w:p>
      <w:pPr>
        <w:spacing w:line="240" w:lineRule="auto" w:before="6"/>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after="0" w:line="240" w:lineRule="auto"/>
        <w:jc w:val="left"/>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十三、股份支付</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8" w:footer="979"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8"/>
        <w:jc w:val="left"/>
      </w:pPr>
      <w:r>
        <w:rPr>
          <w:rFonts w:ascii="Times New Roman" w:hAnsi="Times New Roman" w:cs="Times New Roman" w:eastAsia="Times New Roman" w:hint="default"/>
        </w:rPr>
        <w:t>1</w:t>
      </w:r>
      <w:r>
        <w:rPr/>
        <w:t>）本公司股份支付总体情况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405" w:space="6425"/>
            <w:col w:w="2100"/>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937"/>
        <w:gridCol w:w="5631"/>
      </w:tblGrid>
      <w:tr>
        <w:trPr>
          <w:trHeight w:val="403"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1,475,300.00</w:t>
            </w:r>
          </w:p>
        </w:tc>
      </w:tr>
      <w:tr>
        <w:trPr>
          <w:trHeight w:val="401"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5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15,821,488.00</w:t>
            </w:r>
          </w:p>
        </w:tc>
      </w:tr>
      <w:tr>
        <w:trPr>
          <w:trHeight w:val="403"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3,538,342.00</w:t>
            </w:r>
          </w:p>
        </w:tc>
      </w:tr>
      <w:tr>
        <w:trPr>
          <w:trHeight w:val="3521"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4" w:lineRule="auto"/>
              <w:ind w:left="24" w:right="121"/>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 合同剩余期限</w:t>
            </w:r>
          </w:p>
        </w:tc>
        <w:tc>
          <w:tcPr>
            <w:tcW w:w="5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年限制性股票激励计划首次授予激励对象的授予日为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日，授予数量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27,046,469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股，授予价格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12.15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股，锁定期为自</w:t>
            </w:r>
          </w:p>
          <w:p>
            <w:pPr>
              <w:pStyle w:val="TableParagraph"/>
              <w:spacing w:line="300" w:lineRule="auto" w:before="63"/>
              <w:ind w:left="23" w:right="14"/>
              <w:jc w:val="both"/>
              <w:rPr>
                <w:rFonts w:ascii="Times New Roman" w:hAnsi="Times New Roman" w:cs="Times New Roman" w:eastAsia="Times New Roman" w:hint="default"/>
                <w:sz w:val="18"/>
                <w:szCs w:val="18"/>
              </w:rPr>
            </w:pPr>
            <w:r>
              <w:rPr>
                <w:rFonts w:ascii="宋体" w:hAnsi="宋体" w:cs="宋体" w:eastAsia="宋体" w:hint="default"/>
                <w:sz w:val="18"/>
                <w:szCs w:val="18"/>
              </w:rPr>
              <w:t>首次授予日起</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个月，锁定期后若达到计划规定的解锁条件，激励对象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可分三次申请解锁，分别自首次授予日起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 月后各申请解锁授予限制性股票总量的</w:t>
            </w:r>
            <w:r>
              <w:rPr>
                <w:rFonts w:ascii="宋体" w:hAnsi="宋体" w:cs="宋体" w:eastAsia="宋体" w:hint="default"/>
                <w:spacing w:val="-42"/>
                <w:sz w:val="18"/>
                <w:szCs w:val="18"/>
              </w:rPr>
              <w:t> </w:t>
            </w:r>
            <w:r>
              <w:rPr>
                <w:rFonts w:ascii="Times New Roman" w:hAnsi="Times New Roman" w:cs="Times New Roman" w:eastAsia="Times New Roman" w:hint="default"/>
                <w:spacing w:val="-10"/>
                <w:sz w:val="18"/>
                <w:szCs w:val="18"/>
              </w:rPr>
              <w:t>40%</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30%</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30%</w:t>
            </w:r>
            <w:r>
              <w:rPr>
                <w:rFonts w:ascii="宋体" w:hAnsi="宋体" w:cs="宋体" w:eastAsia="宋体" w:hint="default"/>
                <w:spacing w:val="-10"/>
                <w:sz w:val="18"/>
                <w:szCs w:val="18"/>
              </w:rPr>
              <w:t>。其中首批</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股票已于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年解锁，解锁价格 </w:t>
            </w:r>
            <w:r>
              <w:rPr>
                <w:rFonts w:ascii="Times New Roman" w:hAnsi="Times New Roman" w:cs="Times New Roman" w:eastAsia="Times New Roman" w:hint="default"/>
                <w:sz w:val="18"/>
                <w:szCs w:val="18"/>
              </w:rPr>
              <w:t>127,563,383.91 </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年度限制性</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股票激励计划预留授予于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日登记完成，预留授予数量</w:t>
            </w:r>
          </w:p>
          <w:p>
            <w:pPr>
              <w:pStyle w:val="TableParagraph"/>
              <w:spacing w:line="307" w:lineRule="auto" w:before="63"/>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1,475,300</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股，授予价格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12.80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元，锁定期为自预留授予日起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个月，锁</w:t>
            </w:r>
            <w:r>
              <w:rPr>
                <w:rFonts w:ascii="宋体" w:hAnsi="宋体" w:cs="宋体" w:eastAsia="宋体" w:hint="default"/>
                <w:sz w:val="18"/>
                <w:szCs w:val="18"/>
              </w:rPr>
              <w:t> 定期后若达到计划规定的解锁条件，激励对象可分两次申请解锁，分别 自预留授予日起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个月后各申请解锁授予限制性股票总量 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r>
      <w:tr>
        <w:trPr>
          <w:trHeight w:val="716"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1"/>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 围和合同剩余期限</w:t>
            </w:r>
          </w:p>
        </w:tc>
        <w:tc>
          <w:tcPr>
            <w:tcW w:w="5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rFonts w:ascii="Times New Roman" w:hAnsi="Times New Roman" w:cs="Times New Roman" w:eastAsia="Times New Roman" w:hint="default"/>
        </w:rPr>
        <w:t>2</w:t>
      </w:r>
      <w:r>
        <w:rPr/>
        <w:t>）本公司下属子公司中寰卫星导航通信有限公司股份支付总体情况</w:t>
      </w:r>
    </w:p>
    <w:p>
      <w:pPr>
        <w:spacing w:line="240" w:lineRule="auto" w:before="1"/>
        <w:rPr>
          <w:rFonts w:ascii="宋体" w:hAnsi="宋体" w:cs="宋体" w:eastAsia="宋体" w:hint="default"/>
          <w:sz w:val="7"/>
          <w:szCs w:val="7"/>
        </w:rPr>
      </w:pPr>
    </w:p>
    <w:tbl>
      <w:tblPr>
        <w:tblW w:w="0" w:type="auto"/>
        <w:jc w:val="left"/>
        <w:tblInd w:w="164" w:type="dxa"/>
        <w:tblLayout w:type="fixed"/>
        <w:tblCellMar>
          <w:top w:w="0" w:type="dxa"/>
          <w:left w:w="0" w:type="dxa"/>
          <w:bottom w:w="0" w:type="dxa"/>
          <w:right w:w="0" w:type="dxa"/>
        </w:tblCellMar>
        <w:tblLook w:val="01E0"/>
      </w:tblPr>
      <w:tblGrid>
        <w:gridCol w:w="5226"/>
        <w:gridCol w:w="4273"/>
      </w:tblGrid>
      <w:tr>
        <w:trPr>
          <w:trHeight w:val="432" w:hRule="exact"/>
        </w:trPr>
        <w:tc>
          <w:tcPr>
            <w:tcW w:w="52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公司本年授予的各项权益工具总额</w:t>
            </w:r>
          </w:p>
        </w:tc>
        <w:tc>
          <w:tcPr>
            <w:tcW w:w="4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27" w:hRule="exact"/>
        </w:trPr>
        <w:tc>
          <w:tcPr>
            <w:tcW w:w="52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公司本年行权的各项权益工具总额</w:t>
            </w:r>
          </w:p>
        </w:tc>
        <w:tc>
          <w:tcPr>
            <w:tcW w:w="4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27" w:hRule="exact"/>
        </w:trPr>
        <w:tc>
          <w:tcPr>
            <w:tcW w:w="52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公司本年失效的各项权益工具总额</w:t>
            </w:r>
          </w:p>
        </w:tc>
        <w:tc>
          <w:tcPr>
            <w:tcW w:w="4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27" w:hRule="exact"/>
        </w:trPr>
        <w:tc>
          <w:tcPr>
            <w:tcW w:w="52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公司年末发行在外的股份期权行权价格的范围和合同剩余期限</w:t>
            </w:r>
          </w:p>
        </w:tc>
        <w:tc>
          <w:tcPr>
            <w:tcW w:w="4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22" w:hRule="exact"/>
        </w:trPr>
        <w:tc>
          <w:tcPr>
            <w:tcW w:w="52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公司年末其他权益工具行权价格的范围和合同剩余期限</w:t>
            </w:r>
          </w:p>
        </w:tc>
        <w:tc>
          <w:tcPr>
            <w:tcW w:w="4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type w:val="continuous"/>
          <w:pgSz w:w="11910" w:h="16840"/>
          <w:pgMar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8"/>
        <w:jc w:val="left"/>
      </w:pPr>
      <w:r>
        <w:rPr>
          <w:rFonts w:ascii="Times New Roman" w:hAnsi="Times New Roman" w:cs="Times New Roman" w:eastAsia="Times New Roman" w:hint="default"/>
        </w:rPr>
        <w:t>1</w:t>
      </w:r>
      <w:r>
        <w:rPr/>
        <w:t>）本公司以权益结算的股份支付情况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125" w:space="5705"/>
            <w:col w:w="2100"/>
          </w:cols>
        </w:sectPr>
      </w:pP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4983"/>
        <w:gridCol w:w="4585"/>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斯科尔斯期权定价模型为基础计算确定</w:t>
            </w:r>
          </w:p>
        </w:tc>
      </w:tr>
      <w:tr>
        <w:trPr>
          <w:trHeight w:val="714"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9"/>
              <w:jc w:val="left"/>
              <w:rPr>
                <w:rFonts w:ascii="宋体" w:hAnsi="宋体" w:cs="宋体" w:eastAsia="宋体" w:hint="default"/>
                <w:sz w:val="18"/>
                <w:szCs w:val="18"/>
              </w:rPr>
            </w:pPr>
            <w:r>
              <w:rPr>
                <w:rFonts w:ascii="宋体" w:hAnsi="宋体" w:cs="宋体" w:eastAsia="宋体" w:hint="default"/>
                <w:sz w:val="18"/>
                <w:szCs w:val="18"/>
              </w:rPr>
              <w:t>公司根据最新取得的可行权人数并预期后续变动，及对未 来年度业绩完成情况的预测进行确定</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178,653,493.82</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30,174,184.63</w:t>
            </w:r>
          </w:p>
        </w:tc>
      </w:tr>
    </w:tbl>
    <w:p>
      <w:pPr>
        <w:pStyle w:val="BodyText"/>
        <w:spacing w:line="240" w:lineRule="auto" w:before="49"/>
        <w:ind w:right="0"/>
        <w:jc w:val="left"/>
      </w:pPr>
      <w:r>
        <w:rPr>
          <w:rFonts w:ascii="Times New Roman" w:hAnsi="Times New Roman" w:cs="Times New Roman" w:eastAsia="Times New Roman" w:hint="default"/>
        </w:rPr>
        <w:t>2</w:t>
      </w:r>
      <w:r>
        <w:rPr/>
        <w:t>）本公司下属子公司中寰卫星导航通信有限公司以权益结算的股份支付情况</w:t>
      </w:r>
    </w:p>
    <w:p>
      <w:pPr>
        <w:spacing w:line="240" w:lineRule="auto" w:before="1"/>
        <w:rPr>
          <w:rFonts w:ascii="宋体" w:hAnsi="宋体" w:cs="宋体" w:eastAsia="宋体" w:hint="default"/>
          <w:sz w:val="7"/>
          <w:szCs w:val="7"/>
        </w:rPr>
      </w:pPr>
    </w:p>
    <w:tbl>
      <w:tblPr>
        <w:tblW w:w="0" w:type="auto"/>
        <w:jc w:val="left"/>
        <w:tblInd w:w="164" w:type="dxa"/>
        <w:tblLayout w:type="fixed"/>
        <w:tblCellMar>
          <w:top w:w="0" w:type="dxa"/>
          <w:left w:w="0" w:type="dxa"/>
          <w:bottom w:w="0" w:type="dxa"/>
          <w:right w:w="0" w:type="dxa"/>
        </w:tblCellMar>
        <w:tblLook w:val="01E0"/>
      </w:tblPr>
      <w:tblGrid>
        <w:gridCol w:w="4962"/>
        <w:gridCol w:w="4537"/>
      </w:tblGrid>
      <w:tr>
        <w:trPr>
          <w:trHeight w:val="427" w:hRule="exact"/>
        </w:trPr>
        <w:tc>
          <w:tcPr>
            <w:tcW w:w="49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以布莱克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斯科尔斯期权定价模型为基础计算确定</w:t>
            </w:r>
          </w:p>
        </w:tc>
      </w:tr>
      <w:tr>
        <w:trPr>
          <w:trHeight w:val="739" w:hRule="exact"/>
        </w:trPr>
        <w:tc>
          <w:tcPr>
            <w:tcW w:w="49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对可行权权益工具数量的确定依据</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z w:val="18"/>
                <w:szCs w:val="18"/>
              </w:rPr>
              <w:t>公司根据最新取得的可行权人数并预期后续变动，及对未</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来年度业绩完成情况的预测进行确定</w:t>
            </w:r>
          </w:p>
        </w:tc>
      </w:tr>
      <w:tr>
        <w:trPr>
          <w:trHeight w:val="427" w:hRule="exact"/>
        </w:trPr>
        <w:tc>
          <w:tcPr>
            <w:tcW w:w="49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本年估计与上年估计有重大差异的原因</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27" w:hRule="exact"/>
        </w:trPr>
        <w:tc>
          <w:tcPr>
            <w:tcW w:w="49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2,707,300.00</w:t>
            </w:r>
          </w:p>
        </w:tc>
      </w:tr>
      <w:tr>
        <w:trPr>
          <w:trHeight w:val="428" w:hRule="exact"/>
        </w:trPr>
        <w:tc>
          <w:tcPr>
            <w:tcW w:w="49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其中：归属于母公司资本公积</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1,215,186.84</w:t>
            </w:r>
          </w:p>
        </w:tc>
      </w:tr>
      <w:tr>
        <w:trPr>
          <w:trHeight w:val="427" w:hRule="exact"/>
        </w:trPr>
        <w:tc>
          <w:tcPr>
            <w:tcW w:w="49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本年以权益结算的股份支付确认的费用总额</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1,930,200.00</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482"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Microsoft JhengHei" w:hAnsi="Microsoft JhengHei" w:cs="Microsoft JhengHei" w:eastAsia="Microsoft JhengHei" w:hint="default"/>
          <w:b/>
          <w:bCs/>
          <w:spacing w:val="-1"/>
          <w:sz w:val="21"/>
          <w:szCs w:val="21"/>
        </w:rPr>
        <w:t>、股份支付的修改、终止情况</w:t>
      </w:r>
      <w:r>
        <w:rPr>
          <w:rFonts w:ascii="Microsoft JhengHei" w:hAnsi="Microsoft JhengHei" w:cs="Microsoft JhengHei" w:eastAsia="Microsoft JhengHei" w:hint="default"/>
          <w:b/>
          <w:bCs/>
          <w:spacing w:val="-29"/>
          <w:sz w:val="21"/>
          <w:szCs w:val="21"/>
        </w:rPr>
        <w:t> </w:t>
      </w:r>
      <w:r>
        <w:rPr>
          <w:rFonts w:ascii="Microsoft JhengHei" w:hAnsi="Microsoft JhengHei" w:cs="Microsoft JhengHei" w:eastAsia="Microsoft JhengHei" w:hint="default"/>
          <w:b/>
          <w:bCs/>
          <w:spacing w:val="-29"/>
          <w:sz w:val="21"/>
          <w:szCs w:val="21"/>
        </w:rPr>
      </w:r>
      <w:r>
        <w:rPr>
          <w:rFonts w:ascii="宋体" w:hAnsi="宋体" w:cs="宋体" w:eastAsia="宋体" w:hint="default"/>
          <w:sz w:val="18"/>
          <w:szCs w:val="18"/>
        </w:rPr>
        <w:t>无</w:t>
      </w:r>
    </w:p>
    <w:p>
      <w:pPr>
        <w:pStyle w:val="Heading4"/>
        <w:spacing w:line="240" w:lineRule="auto" w:before="107"/>
        <w:ind w:right="0"/>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十四、承诺及或有事项</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资产负债表日存在的重要承诺</w:t>
      </w:r>
    </w:p>
    <w:p>
      <w:pPr>
        <w:spacing w:line="240" w:lineRule="auto" w:before="0"/>
        <w:rPr>
          <w:rFonts w:ascii="宋体" w:hAnsi="宋体" w:cs="宋体" w:eastAsia="宋体" w:hint="default"/>
          <w:sz w:val="15"/>
          <w:szCs w:val="15"/>
        </w:rPr>
      </w:pPr>
    </w:p>
    <w:p>
      <w:pPr>
        <w:pStyle w:val="BodyText"/>
        <w:spacing w:line="415" w:lineRule="auto"/>
        <w:ind w:left="513" w:right="1523"/>
        <w:jc w:val="left"/>
      </w:pPr>
      <w:r>
        <w:rPr/>
        <w:pict>
          <v:shape style="position:absolute;margin-left:57.240002pt;margin-top:37.994701pt;width:476.05pt;height:126.4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83"/>
                    <w:gridCol w:w="2907"/>
                    <w:gridCol w:w="2909"/>
                  </w:tblGrid>
                  <w:tr>
                    <w:trPr>
                      <w:trHeight w:val="359" w:hRule="exact"/>
                    </w:trPr>
                    <w:tc>
                      <w:tcPr>
                        <w:tcW w:w="36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3"/>
                          <w:ind w:left="578" w:right="0"/>
                          <w:jc w:val="left"/>
                          <w:rPr>
                            <w:rFonts w:ascii="宋体" w:hAnsi="宋体" w:cs="宋体" w:eastAsia="宋体" w:hint="default"/>
                            <w:sz w:val="18"/>
                            <w:szCs w:val="18"/>
                          </w:rPr>
                        </w:pPr>
                        <w:r>
                          <w:rPr>
                            <w:rFonts w:ascii="宋体" w:hAnsi="宋体" w:cs="宋体" w:eastAsia="宋体" w:hint="default"/>
                            <w:sz w:val="18"/>
                            <w:szCs w:val="18"/>
                          </w:rPr>
                          <w:t>期间</w:t>
                        </w:r>
                      </w:p>
                    </w:tc>
                    <w:tc>
                      <w:tcPr>
                        <w:tcW w:w="29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3"/>
                          <w:ind w:left="1372" w:right="0"/>
                          <w:jc w:val="left"/>
                          <w:rPr>
                            <w:rFonts w:ascii="宋体" w:hAnsi="宋体" w:cs="宋体" w:eastAsia="宋体" w:hint="default"/>
                            <w:sz w:val="18"/>
                            <w:szCs w:val="18"/>
                          </w:rPr>
                        </w:pPr>
                        <w:r>
                          <w:rPr>
                            <w:rFonts w:ascii="宋体" w:hAnsi="宋体" w:cs="宋体" w:eastAsia="宋体" w:hint="default"/>
                            <w:sz w:val="18"/>
                            <w:szCs w:val="18"/>
                          </w:rPr>
                          <w:t>经营租赁</w:t>
                        </w:r>
                      </w:p>
                    </w:tc>
                    <w:tc>
                      <w:tcPr>
                        <w:tcW w:w="29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融资租赁</w:t>
                        </w:r>
                      </w:p>
                    </w:tc>
                  </w:tr>
                  <w:tr>
                    <w:trPr>
                      <w:trHeight w:val="446" w:hRule="exact"/>
                    </w:trPr>
                    <w:tc>
                      <w:tcPr>
                        <w:tcW w:w="36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9"/>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T+1</w:t>
                        </w:r>
                        <w:r>
                          <w:rPr>
                            <w:rFonts w:ascii="宋体" w:hAnsi="宋体" w:cs="宋体" w:eastAsia="宋体" w:hint="default"/>
                            <w:sz w:val="18"/>
                            <w:szCs w:val="18"/>
                          </w:rPr>
                          <w:t>年</w:t>
                        </w:r>
                      </w:p>
                    </w:tc>
                    <w:tc>
                      <w:tcPr>
                        <w:tcW w:w="2907" w:type="dxa"/>
                        <w:tcBorders>
                          <w:top w:val="single" w:sz="21" w:space="0" w:color="D9D9D9"/>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21,070,585.13</w:t>
                        </w:r>
                      </w:p>
                    </w:tc>
                    <w:tc>
                      <w:tcPr>
                        <w:tcW w:w="2909" w:type="dxa"/>
                        <w:tcBorders>
                          <w:top w:val="single" w:sz="21" w:space="0" w:color="D9D9D9"/>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27" w:hRule="exact"/>
                    </w:trPr>
                    <w:tc>
                      <w:tcPr>
                        <w:tcW w:w="36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T+2</w:t>
                        </w:r>
                        <w:r>
                          <w:rPr>
                            <w:rFonts w:ascii="宋体" w:hAnsi="宋体" w:cs="宋体" w:eastAsia="宋体" w:hint="default"/>
                            <w:sz w:val="18"/>
                            <w:szCs w:val="18"/>
                          </w:rPr>
                          <w:t>年</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13,963,917.33</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26" w:hRule="exact"/>
                    </w:trPr>
                    <w:tc>
                      <w:tcPr>
                        <w:tcW w:w="36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T+3</w:t>
                        </w:r>
                        <w:r>
                          <w:rPr>
                            <w:rFonts w:ascii="宋体" w:hAnsi="宋体" w:cs="宋体" w:eastAsia="宋体" w:hint="default"/>
                            <w:sz w:val="18"/>
                            <w:szCs w:val="18"/>
                          </w:rPr>
                          <w:t>年</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6,162,857.31</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27" w:hRule="exact"/>
                    </w:trPr>
                    <w:tc>
                      <w:tcPr>
                        <w:tcW w:w="36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T+3</w:t>
                        </w:r>
                        <w:r>
                          <w:rPr>
                            <w:rFonts w:ascii="宋体" w:hAnsi="宋体" w:cs="宋体" w:eastAsia="宋体" w:hint="default"/>
                            <w:sz w:val="18"/>
                            <w:szCs w:val="18"/>
                          </w:rPr>
                          <w:t>年以后</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2,522,578.05</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27" w:hRule="exact"/>
                    </w:trPr>
                    <w:tc>
                      <w:tcPr>
                        <w:tcW w:w="36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57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43,719,937.82</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0.00</w:t>
                        </w:r>
                      </w:p>
                    </w:tc>
                  </w:tr>
                </w:tbl>
                <w:p>
                  <w:pPr/>
                </w:p>
              </w:txbxContent>
            </v:textbox>
            <w10:wrap type="none"/>
          </v:shape>
        </w:pict>
      </w:r>
      <w:r>
        <w:rPr/>
        <w:t>（</w:t>
      </w:r>
      <w:r>
        <w:rPr>
          <w:rFonts w:ascii="Times New Roman" w:hAnsi="Times New Roman" w:cs="Times New Roman" w:eastAsia="Times New Roman" w:hint="default"/>
        </w:rPr>
        <w:t>1</w:t>
      </w:r>
      <w:r>
        <w:rPr/>
        <w:t>）已签订的正在或准备履行的租赁合同及财务影响 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(T)</w:t>
      </w:r>
      <w:r>
        <w:rPr/>
        <w:t>，本集团就经营用房等项目之不可撤销经营租赁和融资租赁所需于下列期间承担款项如下：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415" w:lineRule="auto" w:before="44"/>
        <w:ind w:left="513" w:right="3913"/>
        <w:jc w:val="left"/>
      </w:pPr>
      <w:r>
        <w:rPr/>
        <w:t>（</w:t>
      </w:r>
      <w:r>
        <w:rPr>
          <w:rFonts w:ascii="Times New Roman" w:hAnsi="Times New Roman" w:cs="Times New Roman" w:eastAsia="Times New Roman" w:hint="default"/>
        </w:rPr>
        <w:t>2</w:t>
      </w:r>
      <w:r>
        <w:rPr/>
        <w:t>）前期承诺履行情况 截止至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日，本集团未发生不履行已签订租赁合同等承诺事项的情况。</w:t>
      </w:r>
    </w:p>
    <w:p>
      <w:pPr>
        <w:spacing w:after="0" w:line="415"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0"/>
        <w:jc w:val="left"/>
      </w:pPr>
      <w:r>
        <w:rPr/>
        <w:t>（</w:t>
      </w:r>
      <w:r>
        <w:rPr>
          <w:rFonts w:ascii="Times New Roman" w:hAnsi="Times New Roman" w:cs="Times New Roman" w:eastAsia="Times New Roman" w:hint="default"/>
        </w:rPr>
        <w:t>3</w:t>
      </w:r>
      <w:r>
        <w:rPr/>
        <w:t>）除上述承诺事项外，截至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日，本集团不存在应披露未披露的其他重大承诺事项。</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公司不存在需要披露的重要或有事项。</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十五、资产负债表日后事项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w:t>
      </w:r>
      <w:r>
        <w:rPr>
          <w:spacing w:val="1"/>
        </w:rPr>
        <w:t> </w:t>
      </w:r>
      <w:r>
        <w:rPr/>
        <w:t>重要的非调整事项</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w:t>
      </w:r>
      <w:r>
        <w:rPr/>
        <w:t>、</w:t>
      </w:r>
      <w:r>
        <w:rPr>
          <w:spacing w:val="-1"/>
        </w:rPr>
        <w:t> </w:t>
      </w:r>
      <w:r>
        <w:rPr/>
        <w:t>利润分配情况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222"/>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4983"/>
        <w:gridCol w:w="4585"/>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35,308,137.06</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35,308,137.06</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十六、其他重要事项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31" w:firstLine="439"/>
        <w:jc w:val="both"/>
        <w:rPr>
          <w:rFonts w:ascii="宋体" w:hAnsi="宋体" w:cs="宋体" w:eastAsia="宋体" w:hint="default"/>
        </w:rPr>
      </w:pPr>
      <w:r>
        <w:rPr/>
        <w:t>本集团以数据、算法和算力为核心，以全面技术发展为战略，不断加大内外部资源整合和一站式云平台建设，面向市 </w:t>
      </w:r>
      <w:r>
        <w:rPr>
          <w:spacing w:val="-2"/>
        </w:rPr>
        <w:t>场和客户需求，推动主要业务板块协同发展，打造“智能汽车大脑”，形成“数据</w:t>
      </w:r>
      <w:r>
        <w:rPr>
          <w:rFonts w:ascii="宋体" w:hAnsi="宋体" w:cs="宋体" w:eastAsia="宋体" w:hint="default"/>
          <w:spacing w:val="-2"/>
        </w:rPr>
        <w:t>+</w:t>
      </w:r>
      <w:r>
        <w:rPr>
          <w:spacing w:val="-2"/>
        </w:rPr>
        <w:t>云</w:t>
      </w:r>
      <w:r>
        <w:rPr>
          <w:rFonts w:ascii="宋体" w:hAnsi="宋体" w:cs="宋体" w:eastAsia="宋体" w:hint="default"/>
          <w:spacing w:val="-2"/>
        </w:rPr>
        <w:t>+AI+</w:t>
      </w:r>
      <w:r>
        <w:rPr>
          <w:spacing w:val="-2"/>
        </w:rPr>
        <w:t>芯片</w:t>
      </w:r>
      <w:r>
        <w:rPr>
          <w:rFonts w:ascii="宋体" w:hAnsi="宋体" w:cs="宋体" w:eastAsia="宋体" w:hint="default"/>
          <w:spacing w:val="-2"/>
        </w:rPr>
        <w:t>+</w:t>
      </w:r>
      <w:r>
        <w:rPr>
          <w:spacing w:val="-2"/>
        </w:rPr>
        <w:t>软硬一体化”的综合解决方</w:t>
      </w:r>
      <w:r>
        <w:rPr>
          <w:spacing w:val="-65"/>
        </w:rPr>
        <w:t> </w:t>
      </w:r>
      <w:r>
        <w:rPr>
          <w:spacing w:val="-65"/>
        </w:rPr>
      </w:r>
      <w:r>
        <w:rPr/>
        <w:t>案，生产、定价、销售等环节均密不可分，因此，报告期内本集团无报告分部。</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both"/>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129" w:firstLine="360"/>
        <w:jc w:val="left"/>
      </w:pPr>
      <w:r>
        <w:rPr/>
        <w:t>本公司于</w:t>
      </w:r>
      <w:r>
        <w:rPr>
          <w:spacing w:val="-3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35"/>
        </w:rPr>
        <w:t> </w:t>
      </w:r>
      <w:r>
        <w:rPr>
          <w:rFonts w:ascii="Times New Roman" w:hAnsi="Times New Roman" w:cs="Times New Roman" w:eastAsia="Times New Roman" w:hint="default"/>
        </w:rPr>
        <w:t>27</w:t>
      </w:r>
      <w:r>
        <w:rPr>
          <w:rFonts w:ascii="Times New Roman" w:hAnsi="Times New Roman" w:cs="Times New Roman" w:eastAsia="Times New Roman" w:hint="default"/>
          <w:spacing w:val="11"/>
        </w:rPr>
        <w:t> </w:t>
      </w:r>
      <w:r>
        <w:rPr/>
        <w:t>日召开</w:t>
      </w:r>
      <w:r>
        <w:rPr>
          <w:spacing w:val="-3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年第二次临时股东大会，会议通过决议，同意下属子公司六分科技进行增资扩 股，引进投资者洪鑫源、北京北斗通、南方工业、四维互联基金。</w:t>
      </w:r>
    </w:p>
    <w:p>
      <w:pPr>
        <w:pStyle w:val="BodyText"/>
        <w:spacing w:line="240" w:lineRule="auto" w:before="70"/>
        <w:ind w:left="513" w:right="0"/>
        <w:jc w:val="left"/>
      </w:pPr>
      <w:r>
        <w:rPr/>
        <w:t>洪鑫源拟以人民币</w:t>
      </w:r>
      <w:r>
        <w:rPr>
          <w:spacing w:val="-49"/>
        </w:rPr>
        <w:t> </w:t>
      </w:r>
      <w:r>
        <w:rPr>
          <w:rFonts w:ascii="Times New Roman" w:hAnsi="Times New Roman" w:cs="Times New Roman" w:eastAsia="Times New Roman" w:hint="default"/>
        </w:rPr>
        <w:t>6,000</w:t>
      </w:r>
      <w:r>
        <w:rPr>
          <w:rFonts w:ascii="Times New Roman" w:hAnsi="Times New Roman" w:cs="Times New Roman" w:eastAsia="Times New Roman" w:hint="default"/>
          <w:spacing w:val="-2"/>
        </w:rPr>
        <w:t> </w:t>
      </w:r>
      <w:r>
        <w:rPr/>
        <w:t>万元认购六分科技人民币</w:t>
      </w:r>
      <w:r>
        <w:rPr>
          <w:spacing w:val="-48"/>
        </w:rPr>
        <w:t> </w:t>
      </w:r>
      <w:r>
        <w:rPr>
          <w:rFonts w:ascii="Times New Roman" w:hAnsi="Times New Roman" w:cs="Times New Roman" w:eastAsia="Times New Roman" w:hint="default"/>
        </w:rPr>
        <w:t>300</w:t>
      </w:r>
      <w:r>
        <w:rPr>
          <w:rFonts w:ascii="Times New Roman" w:hAnsi="Times New Roman" w:cs="Times New Roman" w:eastAsia="Times New Roman" w:hint="default"/>
          <w:spacing w:val="-3"/>
        </w:rPr>
        <w:t> </w:t>
      </w:r>
      <w:r>
        <w:rPr/>
        <w:t>万元新增注册资本，投后持股比例为</w:t>
      </w:r>
      <w:r>
        <w:rPr>
          <w:spacing w:val="-49"/>
        </w:rPr>
        <w:t> </w:t>
      </w:r>
      <w:r>
        <w:rPr>
          <w:rFonts w:ascii="Times New Roman" w:hAnsi="Times New Roman" w:cs="Times New Roman" w:eastAsia="Times New Roman" w:hint="default"/>
        </w:rPr>
        <w:t>5.36%</w:t>
      </w:r>
      <w:r>
        <w:rPr/>
        <w:t>；北京北斗通拟以人</w:t>
      </w:r>
    </w:p>
    <w:p>
      <w:pPr>
        <w:pStyle w:val="BodyText"/>
        <w:spacing w:line="240" w:lineRule="auto" w:before="63"/>
        <w:ind w:right="0"/>
        <w:jc w:val="both"/>
      </w:pPr>
      <w:r>
        <w:rPr/>
        <w:t>民币</w:t>
      </w:r>
      <w:r>
        <w:rPr>
          <w:spacing w:val="-54"/>
        </w:rPr>
        <w:t> </w:t>
      </w:r>
      <w:r>
        <w:rPr>
          <w:rFonts w:ascii="Times New Roman" w:hAnsi="Times New Roman" w:cs="Times New Roman" w:eastAsia="Times New Roman" w:hint="default"/>
        </w:rPr>
        <w:t>1,000</w:t>
      </w:r>
      <w:r>
        <w:rPr>
          <w:rFonts w:ascii="Times New Roman" w:hAnsi="Times New Roman" w:cs="Times New Roman" w:eastAsia="Times New Roman" w:hint="default"/>
          <w:spacing w:val="-8"/>
        </w:rPr>
        <w:t> </w:t>
      </w:r>
      <w:r>
        <w:rPr/>
        <w:t>万元认购六分科技人民币</w:t>
      </w:r>
      <w:r>
        <w:rPr>
          <w:spacing w:val="-54"/>
        </w:rPr>
        <w:t> </w:t>
      </w:r>
      <w:r>
        <w:rPr>
          <w:rFonts w:ascii="Times New Roman" w:hAnsi="Times New Roman" w:cs="Times New Roman" w:eastAsia="Times New Roman" w:hint="default"/>
        </w:rPr>
        <w:t>50</w:t>
      </w:r>
      <w:r>
        <w:rPr>
          <w:rFonts w:ascii="Times New Roman" w:hAnsi="Times New Roman" w:cs="Times New Roman" w:eastAsia="Times New Roman" w:hint="default"/>
          <w:spacing w:val="-9"/>
        </w:rPr>
        <w:t> </w:t>
      </w:r>
      <w:r>
        <w:rPr/>
        <w:t>万元的新增注册资本，投后持股比例为</w:t>
      </w:r>
      <w:r>
        <w:rPr>
          <w:spacing w:val="-54"/>
        </w:rPr>
        <w:t> </w:t>
      </w:r>
      <w:r>
        <w:rPr>
          <w:rFonts w:ascii="Times New Roman" w:hAnsi="Times New Roman" w:cs="Times New Roman" w:eastAsia="Times New Roman" w:hint="default"/>
        </w:rPr>
        <w:t>0.89%</w:t>
      </w:r>
      <w:r>
        <w:rPr/>
        <w:t>；南方工业拟以人民币</w:t>
      </w:r>
      <w:r>
        <w:rPr>
          <w:spacing w:val="-54"/>
        </w:rPr>
        <w:t> </w:t>
      </w:r>
      <w:r>
        <w:rPr>
          <w:rFonts w:ascii="Times New Roman" w:hAnsi="Times New Roman" w:cs="Times New Roman" w:eastAsia="Times New Roman" w:hint="default"/>
        </w:rPr>
        <w:t>1,000</w:t>
      </w:r>
      <w:r>
        <w:rPr>
          <w:rFonts w:ascii="Times New Roman" w:hAnsi="Times New Roman" w:cs="Times New Roman" w:eastAsia="Times New Roman" w:hint="default"/>
          <w:spacing w:val="-8"/>
        </w:rPr>
        <w:t> </w:t>
      </w:r>
      <w:r>
        <w:rPr/>
        <w:t>万元认购</w:t>
      </w:r>
    </w:p>
    <w:p>
      <w:pPr>
        <w:pStyle w:val="BodyText"/>
        <w:spacing w:line="300" w:lineRule="auto" w:before="63"/>
        <w:ind w:right="1126"/>
        <w:jc w:val="both"/>
      </w:pPr>
      <w:r>
        <w:rPr/>
        <w:t>六分科技人民币</w:t>
      </w:r>
      <w:r>
        <w:rPr>
          <w:spacing w:val="-41"/>
        </w:rPr>
        <w:t> </w:t>
      </w:r>
      <w:r>
        <w:rPr>
          <w:rFonts w:ascii="Times New Roman" w:hAnsi="Times New Roman" w:cs="Times New Roman" w:eastAsia="Times New Roman" w:hint="default"/>
        </w:rPr>
        <w:t>50</w:t>
      </w:r>
      <w:r>
        <w:rPr>
          <w:rFonts w:ascii="Times New Roman" w:hAnsi="Times New Roman" w:cs="Times New Roman" w:eastAsia="Times New Roman" w:hint="default"/>
          <w:spacing w:val="4"/>
        </w:rPr>
        <w:t> </w:t>
      </w:r>
      <w:r>
        <w:rPr>
          <w:spacing w:val="-4"/>
        </w:rPr>
        <w:t>万元的新增注册资本，投后持股比例为</w:t>
      </w:r>
      <w:r>
        <w:rPr>
          <w:spacing w:val="-41"/>
        </w:rPr>
        <w:t> </w:t>
      </w:r>
      <w:r>
        <w:rPr>
          <w:rFonts w:ascii="Times New Roman" w:hAnsi="Times New Roman" w:cs="Times New Roman" w:eastAsia="Times New Roman" w:hint="default"/>
          <w:spacing w:val="-4"/>
        </w:rPr>
        <w:t>0.89%</w:t>
      </w:r>
      <w:r>
        <w:rPr>
          <w:spacing w:val="-4"/>
        </w:rPr>
        <w:t>；四维互联基金拟以人民币</w:t>
      </w:r>
      <w:r>
        <w:rPr>
          <w:spacing w:val="-41"/>
        </w:rPr>
        <w:t> </w:t>
      </w:r>
      <w:r>
        <w:rPr>
          <w:rFonts w:ascii="Times New Roman" w:hAnsi="Times New Roman" w:cs="Times New Roman" w:eastAsia="Times New Roman" w:hint="default"/>
        </w:rPr>
        <w:t>4,000</w:t>
      </w:r>
      <w:r>
        <w:rPr>
          <w:rFonts w:ascii="Times New Roman" w:hAnsi="Times New Roman" w:cs="Times New Roman" w:eastAsia="Times New Roman" w:hint="default"/>
          <w:spacing w:val="6"/>
        </w:rPr>
        <w:t> </w:t>
      </w:r>
      <w:r>
        <w:rPr/>
        <w:t>万元认购六分科技</w:t>
      </w:r>
      <w:r>
        <w:rPr>
          <w:spacing w:val="-41"/>
        </w:rPr>
        <w:t> </w:t>
      </w:r>
      <w:r>
        <w:rPr>
          <w:rFonts w:ascii="Times New Roman" w:hAnsi="Times New Roman" w:cs="Times New Roman" w:eastAsia="Times New Roman" w:hint="default"/>
        </w:rPr>
        <w:t>200</w:t>
      </w:r>
      <w:r>
        <w:rPr>
          <w:rFonts w:ascii="Times New Roman" w:hAnsi="Times New Roman" w:cs="Times New Roman" w:eastAsia="Times New Roman" w:hint="default"/>
          <w:spacing w:val="4"/>
        </w:rPr>
        <w:t> </w:t>
      </w:r>
      <w:r>
        <w:rPr/>
        <w:t>万 </w:t>
      </w:r>
      <w:r>
        <w:rPr>
          <w:spacing w:val="-1"/>
        </w:rPr>
        <w:t>元的新增注册资本，投后持股比例为</w:t>
      </w:r>
      <w:r>
        <w:rPr>
          <w:spacing w:val="-19"/>
        </w:rPr>
        <w:t> </w:t>
      </w:r>
      <w:r>
        <w:rPr>
          <w:rFonts w:ascii="Times New Roman" w:hAnsi="Times New Roman" w:cs="Times New Roman" w:eastAsia="Times New Roman" w:hint="default"/>
          <w:spacing w:val="-2"/>
        </w:rPr>
        <w:t>3.57%</w:t>
      </w:r>
      <w:r>
        <w:rPr>
          <w:spacing w:val="-2"/>
        </w:rPr>
        <w:t>。洪鑫源、北京北斗通、南方工业、四维互联基金的增资完成后，公司对六分科</w:t>
      </w:r>
      <w:r>
        <w:rPr>
          <w:spacing w:val="-79"/>
        </w:rPr>
        <w:t> </w:t>
      </w:r>
      <w:r>
        <w:rPr>
          <w:spacing w:val="-79"/>
        </w:rPr>
      </w:r>
      <w:r>
        <w:rPr/>
        <w:t>技的持股比例降为</w:t>
      </w:r>
      <w:r>
        <w:rPr>
          <w:spacing w:val="-43"/>
        </w:rPr>
        <w:t> </w:t>
      </w:r>
      <w:r>
        <w:rPr>
          <w:rFonts w:ascii="Times New Roman" w:hAnsi="Times New Roman" w:cs="Times New Roman" w:eastAsia="Times New Roman" w:hint="default"/>
        </w:rPr>
        <w:t>40.18%</w:t>
      </w:r>
      <w:r>
        <w:rPr/>
        <w:t>。</w:t>
      </w:r>
    </w:p>
    <w:p>
      <w:pPr>
        <w:pStyle w:val="BodyText"/>
        <w:spacing w:line="240" w:lineRule="auto" w:before="53"/>
        <w:ind w:left="513" w:right="0"/>
        <w:jc w:val="left"/>
      </w:pPr>
      <w:r>
        <w:rPr/>
        <w:t>六分科技于</w:t>
      </w:r>
      <w:r>
        <w:rPr>
          <w:spacing w:val="-62"/>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r>
        <w:rPr>
          <w:rFonts w:ascii="Times New Roman" w:hAnsi="Times New Roman" w:cs="Times New Roman" w:eastAsia="Times New Roman" w:hint="default"/>
          <w:spacing w:val="-15"/>
        </w:rPr>
        <w:t> </w:t>
      </w:r>
      <w:r>
        <w:rPr/>
        <w:t>年</w:t>
      </w:r>
      <w:r>
        <w:rPr>
          <w:spacing w:val="-62"/>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月</w:t>
      </w:r>
      <w:r>
        <w:rPr>
          <w:spacing w:val="-6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0</w:t>
      </w:r>
      <w:r>
        <w:rPr>
          <w:rFonts w:ascii="Times New Roman" w:hAnsi="Times New Roman" w:cs="Times New Roman" w:eastAsia="Times New Roman" w:hint="default"/>
          <w:spacing w:val="-15"/>
        </w:rPr>
        <w:t> </w:t>
      </w:r>
      <w:r>
        <w:rPr>
          <w:spacing w:val="-3"/>
        </w:rPr>
        <w:t>日</w:t>
      </w:r>
      <w:r>
        <w:rPr/>
        <w:t>完成最后的增资手续</w:t>
      </w:r>
      <w:r>
        <w:rPr>
          <w:spacing w:val="-92"/>
        </w:rPr>
        <w:t>。</w:t>
      </w:r>
      <w:r>
        <w:rPr/>
        <w:t>增资后</w:t>
      </w:r>
      <w:r>
        <w:rPr>
          <w:spacing w:val="-89"/>
        </w:rPr>
        <w:t>，</w:t>
      </w:r>
      <w:r>
        <w:rPr/>
        <w:t>本公司委派六分科技董事人数</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人</w:t>
      </w:r>
      <w:r>
        <w:rPr>
          <w:spacing w:val="-92"/>
        </w:rPr>
        <w:t>，</w:t>
      </w:r>
      <w:r>
        <w:rPr/>
        <w:t>占董事会人数</w:t>
      </w:r>
      <w:r>
        <w:rPr>
          <w:spacing w:val="-61"/>
        </w:rPr>
        <w:t> </w:t>
      </w:r>
      <w:r>
        <w:rPr>
          <w:rFonts w:ascii="Times New Roman" w:hAnsi="Times New Roman" w:cs="Times New Roman" w:eastAsia="Times New Roman" w:hint="default"/>
          <w:spacing w:val="1"/>
        </w:rPr>
        <w:t>42</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w:t>
      </w:r>
      <w:r>
        <w:rPr/>
        <w:t>，</w:t>
      </w:r>
    </w:p>
    <w:p>
      <w:pPr>
        <w:pStyle w:val="BodyText"/>
        <w:spacing w:line="300" w:lineRule="auto" w:before="63"/>
        <w:ind w:right="1123"/>
        <w:jc w:val="left"/>
      </w:pPr>
      <w:r>
        <w:rPr/>
        <w:t>无法就六分科技的经营事项单独做出决定，因此失去对六分科技的控制权，自</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日起，六分科技不再纳入合 并报表范围，</w:t>
      </w:r>
      <w:r>
        <w:rPr>
          <w:rFonts w:ascii="Times New Roman" w:hAnsi="Times New Roman" w:cs="Times New Roman" w:eastAsia="Times New Roman" w:hint="default"/>
        </w:rPr>
        <w:t>2020 </w:t>
      </w:r>
      <w:r>
        <w:rPr/>
        <w:t>年</w:t>
      </w:r>
      <w:r>
        <w:rPr>
          <w:spacing w:val="-48"/>
        </w:rPr>
        <w:t> </w:t>
      </w:r>
      <w:r>
        <w:rPr>
          <w:rFonts w:ascii="Times New Roman" w:hAnsi="Times New Roman" w:cs="Times New Roman" w:eastAsia="Times New Roman" w:hint="default"/>
        </w:rPr>
        <w:t>1 </w:t>
      </w:r>
      <w:r>
        <w:rPr/>
        <w:t>月起，本公司对六分科技按照权益法核算。</w:t>
      </w:r>
    </w:p>
    <w:p>
      <w:pPr>
        <w:spacing w:line="240" w:lineRule="auto" w:before="3"/>
        <w:rPr>
          <w:rFonts w:ascii="宋体" w:hAnsi="宋体" w:cs="宋体" w:eastAsia="宋体" w:hint="default"/>
          <w:sz w:val="17"/>
          <w:szCs w:val="17"/>
        </w:rPr>
      </w:pPr>
    </w:p>
    <w:p>
      <w:pPr>
        <w:pStyle w:val="Heading4"/>
        <w:spacing w:line="240" w:lineRule="auto"/>
        <w:ind w:right="0"/>
        <w:jc w:val="both"/>
        <w:rPr>
          <w:b w:val="0"/>
          <w:bCs w:val="0"/>
        </w:rPr>
      </w:pPr>
      <w:r>
        <w:rPr>
          <w:rFonts w:ascii="Times New Roman" w:hAnsi="Times New Roman" w:cs="Times New Roman" w:eastAsia="Times New Roman" w:hint="default"/>
        </w:rPr>
        <w:t>8</w:t>
      </w:r>
      <w:r>
        <w:rPr/>
        <w:t>、其他</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both"/>
      </w:pPr>
      <w:r>
        <w:rPr/>
        <w:t>无</w:t>
      </w:r>
    </w:p>
    <w:p>
      <w:pPr>
        <w:spacing w:line="240" w:lineRule="auto" w:before="5"/>
        <w:rPr>
          <w:rFonts w:ascii="宋体" w:hAnsi="宋体" w:cs="宋体" w:eastAsia="宋体" w:hint="default"/>
          <w:sz w:val="19"/>
          <w:szCs w:val="19"/>
        </w:rPr>
      </w:pPr>
    </w:p>
    <w:p>
      <w:pPr>
        <w:pStyle w:val="Heading2"/>
        <w:spacing w:line="240" w:lineRule="auto"/>
        <w:ind w:right="0"/>
        <w:jc w:val="both"/>
        <w:rPr>
          <w:b w:val="0"/>
          <w:bCs w:val="0"/>
        </w:rPr>
      </w:pPr>
      <w:r>
        <w:rPr/>
        <w:t>十七、母公司财务报表主要项目注释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both"/>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635"/>
        <w:gridCol w:w="763"/>
        <w:gridCol w:w="761"/>
        <w:gridCol w:w="763"/>
        <w:gridCol w:w="763"/>
        <w:gridCol w:w="790"/>
        <w:gridCol w:w="775"/>
        <w:gridCol w:w="797"/>
        <w:gridCol w:w="799"/>
        <w:gridCol w:w="790"/>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其中：单项金额重 大并单项计提坏账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单项金额虽不重大 但单项计提坏账准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322,915,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096.47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13,931,3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13.24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308,983,7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83.23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105,978,8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48.98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13,075,93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12.34%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92,902,918.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8"/>
              <w:jc w:val="right"/>
              <w:rPr>
                <w:rFonts w:ascii="Times New Roman" w:hAnsi="Times New Roman" w:cs="Times New Roman" w:eastAsia="Times New Roman" w:hint="default"/>
                <w:sz w:val="18"/>
                <w:szCs w:val="18"/>
              </w:rPr>
            </w:pPr>
            <w:r>
              <w:rPr>
                <w:rFonts w:ascii="Times New Roman"/>
                <w:sz w:val="18"/>
              </w:rPr>
              <w:t>304,385,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94.26%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z w:val="18"/>
              </w:rPr>
              <w:t>13,931,3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290,454,1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76,955,04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72.61%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13,075,93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16.99%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8"/>
              <w:jc w:val="right"/>
              <w:rPr>
                <w:rFonts w:ascii="Times New Roman" w:hAnsi="Times New Roman" w:cs="Times New Roman" w:eastAsia="Times New Roman" w:hint="default"/>
                <w:sz w:val="18"/>
                <w:szCs w:val="18"/>
              </w:rPr>
            </w:pPr>
            <w:r>
              <w:rPr>
                <w:rFonts w:ascii="Times New Roman"/>
                <w:spacing w:val="-2"/>
                <w:sz w:val="18"/>
              </w:rPr>
              <w:t>63,879,111.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635"/>
        <w:gridCol w:w="763"/>
        <w:gridCol w:w="761"/>
        <w:gridCol w:w="763"/>
        <w:gridCol w:w="763"/>
        <w:gridCol w:w="790"/>
        <w:gridCol w:w="775"/>
        <w:gridCol w:w="797"/>
        <w:gridCol w:w="799"/>
        <w:gridCol w:w="790"/>
        <w:gridCol w:w="931"/>
      </w:tblGrid>
      <w:tr>
        <w:trPr>
          <w:trHeight w:val="363" w:hRule="exact"/>
        </w:trPr>
        <w:tc>
          <w:tcPr>
            <w:tcW w:w="1635"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7" w:right="0"/>
              <w:jc w:val="left"/>
              <w:rPr>
                <w:rFonts w:ascii="Times New Roman" w:hAnsi="Times New Roman" w:cs="Times New Roman" w:eastAsia="Times New Roman" w:hint="default"/>
                <w:sz w:val="18"/>
                <w:szCs w:val="18"/>
              </w:rPr>
            </w:pPr>
            <w:r>
              <w:rPr>
                <w:rFonts w:ascii="Times New Roman"/>
                <w:sz w:val="18"/>
              </w:rPr>
              <w:t>504.49</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13.24</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0" w:right="0"/>
              <w:jc w:val="left"/>
              <w:rPr>
                <w:rFonts w:ascii="Times New Roman" w:hAnsi="Times New Roman" w:cs="Times New Roman" w:eastAsia="Times New Roman" w:hint="default"/>
                <w:sz w:val="18"/>
                <w:szCs w:val="18"/>
              </w:rPr>
            </w:pPr>
            <w:r>
              <w:rPr>
                <w:rFonts w:ascii="Times New Roman"/>
                <w:sz w:val="18"/>
              </w:rPr>
              <w:t>91.25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29" w:right="0"/>
              <w:jc w:val="left"/>
              <w:rPr>
                <w:rFonts w:ascii="Times New Roman" w:hAnsi="Times New Roman" w:cs="Times New Roman" w:eastAsia="Times New Roman" w:hint="default"/>
                <w:sz w:val="18"/>
                <w:szCs w:val="18"/>
              </w:rPr>
            </w:pPr>
            <w:r>
              <w:rPr>
                <w:rFonts w:ascii="Times New Roman"/>
                <w:sz w:val="18"/>
              </w:rPr>
              <w:t>2.23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0.95</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18"/>
                <w:szCs w:val="18"/>
              </w:rPr>
            </w:pPr>
            <w:r>
              <w:rPr>
                <w:rFonts w:ascii="Times New Roman"/>
                <w:sz w:val="18"/>
              </w:rPr>
              <w:t>28</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低风险组合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18,529,5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91.98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18,529,59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1.98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29,023,80</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6.75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27.39%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29,023,806.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322,915,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096.47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13,931,3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13.24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4.31%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308,983,7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83.23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105,978,8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48.98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13,075,93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12.34%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92,902,918.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r>
    </w:tbl>
    <w:p>
      <w:pPr>
        <w:pStyle w:val="BodyText"/>
        <w:spacing w:line="240" w:lineRule="auto" w:before="49"/>
        <w:ind w:right="0"/>
        <w:jc w:val="left"/>
      </w:pPr>
      <w:r>
        <w:rPr/>
        <w:t>按组合计提坏账准备：账龄组合</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292,089,139.63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2,920,891.40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1,822,864.86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568,733.84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31.20%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100,188.00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75.90%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644,000.00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9,048,500.00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9,048,500.00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304,385,504.49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13,931,313.24</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9" w:top="1060" w:bottom="1160" w:left="980" w:right="0"/>
        </w:sectPr>
      </w:pPr>
    </w:p>
    <w:p>
      <w:pPr>
        <w:pStyle w:val="BodyText"/>
        <w:spacing w:line="360" w:lineRule="auto" w:before="49"/>
        <w:ind w:right="700"/>
        <w:jc w:val="left"/>
      </w:pPr>
      <w:r>
        <w:rPr/>
        <w:t>确定该组合依据的说明： 无</w:t>
      </w:r>
    </w:p>
    <w:p>
      <w:pPr>
        <w:pStyle w:val="BodyText"/>
        <w:spacing w:line="240" w:lineRule="auto" w:before="25"/>
        <w:ind w:right="-20"/>
        <w:jc w:val="left"/>
      </w:pPr>
      <w:r>
        <w:rPr/>
        <w:t>按组合计提坏账准备：低风险组合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853" w:space="5976"/>
            <w:col w:w="2101"/>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低风险组合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18,529,591.98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18,529,591.98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0" w:lineRule="auto" w:before="49"/>
        <w:ind w:right="1164"/>
        <w:jc w:val="left"/>
      </w:pPr>
      <w:r>
        <w:rPr/>
        <w:t>确定该组合依据的说明： 注：以应收账款的交易对象信誉</w:t>
      </w:r>
      <w:r>
        <w:rPr>
          <w:rFonts w:ascii="Times New Roman" w:hAnsi="Times New Roman" w:cs="Times New Roman" w:eastAsia="Times New Roman" w:hint="default"/>
        </w:rPr>
        <w:t>/</w:t>
      </w:r>
      <w:r>
        <w:rPr/>
        <w:t>交易对象关系为信用风险特征划分组合，主要为应收关联方及信誉保证度高的客户款项。 如是按照预期信用损失一般模型计提应收账款坏账准备，请参照其他应收款的披露方式披露坏账准备的相关信息：</w:t>
      </w:r>
    </w:p>
    <w:p>
      <w:pPr>
        <w:pStyle w:val="BodyText"/>
        <w:spacing w:line="338" w:lineRule="auto" w:before="3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310,618,731.61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1,822,864.86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132,000.00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10,341,500.00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9,048,500.00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322,915,096.47</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177"/>
        <w:gridCol w:w="1368"/>
        <w:gridCol w:w="1366"/>
        <w:gridCol w:w="1368"/>
        <w:gridCol w:w="1366"/>
        <w:gridCol w:w="1368"/>
      </w:tblGrid>
      <w:tr>
        <w:trPr>
          <w:trHeight w:val="401"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77"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组合计提坏账准备</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13,075,930.95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855,382.29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13,931,313.24</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13,075,930.95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855,382.29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13,931,313.24</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3"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847,500.00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50,278,149.79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502,781.50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39,663,575.77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396,635.76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30,403,306.88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304,033.07</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20,983,250.00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209,832.50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226,078,282.44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70.01%</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6"/>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9854"/>
        <w:jc w:val="left"/>
      </w:pPr>
      <w:r>
        <w:rPr/>
        <w:t>无 其他说明： 无</w:t>
      </w:r>
    </w:p>
    <w:p>
      <w:pPr>
        <w:spacing w:after="0" w:line="36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246,689.54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4,887,916.28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25,468,968.54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21,061,382.78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25,715,658.08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25,949,299.06</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8"/>
              <w:jc w:val="right"/>
              <w:rPr>
                <w:rFonts w:ascii="Times New Roman" w:hAnsi="Times New Roman" w:cs="Times New Roman" w:eastAsia="Times New Roman" w:hint="default"/>
                <w:sz w:val="18"/>
                <w:szCs w:val="18"/>
              </w:rPr>
            </w:pPr>
            <w:r>
              <w:rPr>
                <w:rFonts w:ascii="Times New Roman"/>
                <w:spacing w:val="-1"/>
                <w:sz w:val="18"/>
              </w:rPr>
              <w:t>246,689.54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
              <w:jc w:val="right"/>
              <w:rPr>
                <w:rFonts w:ascii="Times New Roman" w:hAnsi="Times New Roman" w:cs="Times New Roman" w:eastAsia="Times New Roman" w:hint="default"/>
                <w:sz w:val="18"/>
                <w:szCs w:val="18"/>
              </w:rPr>
            </w:pPr>
            <w:r>
              <w:rPr>
                <w:rFonts w:ascii="Times New Roman"/>
                <w:spacing w:val="-1"/>
                <w:sz w:val="18"/>
              </w:rPr>
              <w:t>1,777,369.97</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7"/>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债券投资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7"/>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内部资金拆借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7"/>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
              <w:jc w:val="right"/>
              <w:rPr>
                <w:rFonts w:ascii="Times New Roman" w:hAnsi="Times New Roman" w:cs="Times New Roman" w:eastAsia="Times New Roman" w:hint="default"/>
                <w:sz w:val="18"/>
                <w:szCs w:val="18"/>
              </w:rPr>
            </w:pPr>
            <w:r>
              <w:rPr>
                <w:rFonts w:ascii="Times New Roman"/>
                <w:spacing w:val="-1"/>
                <w:sz w:val="18"/>
              </w:rPr>
              <w:t>3,110,546.31</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8"/>
              <w:jc w:val="right"/>
              <w:rPr>
                <w:rFonts w:ascii="Times New Roman" w:hAnsi="Times New Roman" w:cs="Times New Roman" w:eastAsia="Times New Roman" w:hint="default"/>
                <w:sz w:val="18"/>
                <w:szCs w:val="18"/>
              </w:rPr>
            </w:pPr>
            <w:r>
              <w:rPr>
                <w:rFonts w:ascii="Times New Roman"/>
                <w:spacing w:val="-1"/>
                <w:sz w:val="18"/>
              </w:rPr>
              <w:t>246,689.54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
              <w:jc w:val="right"/>
              <w:rPr>
                <w:rFonts w:ascii="Times New Roman" w:hAnsi="Times New Roman" w:cs="Times New Roman" w:eastAsia="Times New Roman" w:hint="default"/>
                <w:sz w:val="18"/>
                <w:szCs w:val="18"/>
              </w:rPr>
            </w:pPr>
            <w:r>
              <w:rPr>
                <w:rFonts w:ascii="Times New Roman"/>
                <w:spacing w:val="-1"/>
                <w:sz w:val="18"/>
              </w:rPr>
              <w:t>4,887,916.28</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10,673,603.33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1,942,913.49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2,784,181.36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往来款及代垫款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7,093,679.01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14,400,488.14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3,443,450.67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4,443,001.05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社保及公积金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2,736,598.40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1,786,808.48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资产转让款及其他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2,599,699.03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664,771.83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28,489,943.93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24,079,250.86</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6"/>
        <w:gridCol w:w="1652"/>
        <w:gridCol w:w="2098"/>
        <w:gridCol w:w="2100"/>
        <w:gridCol w:w="1803"/>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3"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17,868.08</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3,017,868.08</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转回第二阶段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3,107.31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3,107.31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20,975.39</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3,020,975.39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8"/>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23,745,308.00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873,733.62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212,499.52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3,658,402.79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190,238.76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102,627.18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3,365,536.85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28,489,943.93</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80"/>
        <w:gridCol w:w="1087"/>
        <w:gridCol w:w="1333"/>
        <w:gridCol w:w="1330"/>
        <w:gridCol w:w="1090"/>
        <w:gridCol w:w="1577"/>
        <w:gridCol w:w="1574"/>
      </w:tblGrid>
      <w:tr>
        <w:trPr>
          <w:trHeight w:val="401"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5"/>
              <w:jc w:val="left"/>
              <w:rPr>
                <w:rFonts w:ascii="宋体" w:hAnsi="宋体" w:cs="宋体" w:eastAsia="宋体" w:hint="default"/>
                <w:sz w:val="18"/>
                <w:szCs w:val="18"/>
              </w:rPr>
            </w:pPr>
            <w:r>
              <w:rPr>
                <w:rFonts w:ascii="宋体" w:hAnsi="宋体" w:cs="宋体" w:eastAsia="宋体" w:hint="default"/>
                <w:sz w:val="18"/>
                <w:szCs w:val="18"/>
              </w:rPr>
              <w:t>按单项计提坏账准 备</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17,868.08</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3,107.31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20,975.39</w:t>
            </w:r>
          </w:p>
        </w:tc>
      </w:tr>
      <w:tr>
        <w:trPr>
          <w:trHeight w:val="401"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3,017,868.08</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3,107.31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3,020,975.39</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683"/>
        <w:gridCol w:w="1553"/>
        <w:gridCol w:w="1550"/>
        <w:gridCol w:w="1553"/>
        <w:gridCol w:w="1616"/>
        <w:gridCol w:w="1615"/>
      </w:tblGrid>
      <w:tr>
        <w:trPr>
          <w:trHeight w:val="713"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7"/>
              <w:jc w:val="left"/>
              <w:rPr>
                <w:rFonts w:ascii="宋体" w:hAnsi="宋体" w:cs="宋体" w:eastAsia="宋体" w:hint="default"/>
                <w:sz w:val="18"/>
                <w:szCs w:val="18"/>
              </w:rPr>
            </w:pPr>
            <w:r>
              <w:rPr>
                <w:rFonts w:ascii="宋体" w:hAnsi="宋体" w:cs="宋体" w:eastAsia="宋体" w:hint="default"/>
                <w:sz w:val="18"/>
                <w:szCs w:val="18"/>
              </w:rPr>
              <w:t>应收增值税即征即退 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10,673,603.33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7"/>
              <w:jc w:val="left"/>
              <w:rPr>
                <w:rFonts w:ascii="宋体" w:hAnsi="宋体" w:cs="宋体" w:eastAsia="宋体" w:hint="default"/>
                <w:sz w:val="18"/>
                <w:szCs w:val="18"/>
              </w:rPr>
            </w:pPr>
            <w:r>
              <w:rPr>
                <w:rFonts w:ascii="宋体" w:hAnsi="宋体" w:cs="宋体" w:eastAsia="宋体" w:hint="default"/>
                <w:sz w:val="18"/>
                <w:szCs w:val="18"/>
              </w:rPr>
              <w:t>北京老虎宝典科技有 限责任公司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往来款及代垫款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10.53%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5"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7"/>
              <w:jc w:val="left"/>
              <w:rPr>
                <w:rFonts w:ascii="宋体" w:hAnsi="宋体" w:cs="宋体" w:eastAsia="宋体" w:hint="default"/>
                <w:sz w:val="18"/>
                <w:szCs w:val="18"/>
              </w:rPr>
            </w:pPr>
            <w:r>
              <w:rPr>
                <w:rFonts w:ascii="宋体" w:hAnsi="宋体" w:cs="宋体" w:eastAsia="宋体" w:hint="default"/>
                <w:sz w:val="18"/>
                <w:szCs w:val="18"/>
              </w:rPr>
              <w:t>北京六分科技有限公 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往来款及代垫款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2,097,538.88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20,975.39</w:t>
            </w:r>
          </w:p>
        </w:tc>
      </w:tr>
      <w:tr>
        <w:trPr>
          <w:trHeight w:val="713"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27"/>
              <w:jc w:val="left"/>
              <w:rPr>
                <w:rFonts w:ascii="宋体" w:hAnsi="宋体" w:cs="宋体" w:eastAsia="宋体" w:hint="default"/>
                <w:sz w:val="18"/>
                <w:szCs w:val="18"/>
              </w:rPr>
            </w:pPr>
            <w:r>
              <w:rPr>
                <w:rFonts w:ascii="宋体" w:hAnsi="宋体" w:cs="宋体" w:eastAsia="宋体" w:hint="default"/>
                <w:sz w:val="18"/>
                <w:szCs w:val="18"/>
              </w:rPr>
              <w:t>中交宇科（北京）空 间信息技术有限公司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往来款及代垫款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1,968,438.99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7"/>
              <w:jc w:val="left"/>
              <w:rPr>
                <w:rFonts w:ascii="宋体" w:hAnsi="宋体" w:cs="宋体" w:eastAsia="宋体" w:hint="default"/>
                <w:sz w:val="18"/>
                <w:szCs w:val="18"/>
              </w:rPr>
            </w:pPr>
            <w:r>
              <w:rPr>
                <w:rFonts w:ascii="宋体" w:hAnsi="宋体" w:cs="宋体" w:eastAsia="宋体" w:hint="default"/>
                <w:sz w:val="18"/>
                <w:szCs w:val="18"/>
              </w:rPr>
              <w:t>北京四维智联科技有 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往来款及代垫款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1,137,500.00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18,877,081.20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66.26%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3,020,975.39</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9854"/>
        <w:jc w:val="left"/>
      </w:pPr>
      <w:r>
        <w:rPr/>
        <w:t>无 其他说明： 无</w:t>
      </w:r>
    </w:p>
    <w:p>
      <w:pPr>
        <w:spacing w:line="240" w:lineRule="auto" w:before="5"/>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4,841,414,576.62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697,682,415.00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4,143,732,161.62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4,684,089,430.31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697,682,415.00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3,986,407,015.31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555,801,712.27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555,801,712.27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589,318,394.35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589,318,394.35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5,397,216,288.89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697,682,415.00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4,699,533,873.89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5,273,407,824.66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697,682,415.00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4,575,725,409.66</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268"/>
        <w:gridCol w:w="1166"/>
        <w:gridCol w:w="1165"/>
        <w:gridCol w:w="1166"/>
        <w:gridCol w:w="1167"/>
        <w:gridCol w:w="1212"/>
        <w:gridCol w:w="1215"/>
        <w:gridCol w:w="1212"/>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7"/>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7"/>
              <w:ind w:left="393"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422" w:right="5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上海纳维信息 技术有限公司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79,837,618.05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79,837,618.05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4,221,015.00</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北京四维图新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上海四维图新 信息技术有限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四维图新（香 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48,219,371.00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11,513,016.00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59,732,387.00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四维图新日本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4,804,077.60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4,804,077.60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合肥四维图新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西安四维图新 信息技术有限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268"/>
        <w:gridCol w:w="1166"/>
        <w:gridCol w:w="1165"/>
        <w:gridCol w:w="1166"/>
        <w:gridCol w:w="1167"/>
        <w:gridCol w:w="1212"/>
        <w:gridCol w:w="1215"/>
        <w:gridCol w:w="1212"/>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7"/>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7"/>
              <w:ind w:left="393"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422" w:right="5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武汉四维图新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北京世纪高通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143,939,092.0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143,939,092.00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中交宇科（北 京）空间信息 技术有限公司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29,628,600.00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29,628,600.00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108,371,400.00</w:t>
            </w: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3"/>
              <w:jc w:val="both"/>
              <w:rPr>
                <w:rFonts w:ascii="宋体" w:hAnsi="宋体" w:cs="宋体" w:eastAsia="宋体" w:hint="default"/>
                <w:sz w:val="18"/>
                <w:szCs w:val="18"/>
              </w:rPr>
            </w:pPr>
            <w:r>
              <w:rPr>
                <w:rFonts w:ascii="宋体" w:hAnsi="宋体" w:cs="宋体" w:eastAsia="宋体" w:hint="default"/>
                <w:sz w:val="18"/>
                <w:szCs w:val="18"/>
              </w:rPr>
              <w:t>北京图新经纬 导航系统有限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3,825,000.00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3,825,000.00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北京图迅丰达 信息技术有限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29,523,471.60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29,523,471.60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长沙市海图科 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27,000,000.00</w:t>
            </w: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中寰卫星导航 通信有限公司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110,549,179.3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110,549,179.37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24" w:right="24"/>
              <w:jc w:val="left"/>
              <w:rPr>
                <w:rFonts w:ascii="Times New Roman" w:hAnsi="Times New Roman" w:cs="Times New Roman" w:eastAsia="Times New Roman" w:hint="default"/>
                <w:sz w:val="18"/>
                <w:szCs w:val="18"/>
              </w:rPr>
            </w:pPr>
            <w:r>
              <w:rPr>
                <w:rFonts w:ascii="Times New Roman"/>
                <w:spacing w:val="-3"/>
                <w:sz w:val="18"/>
              </w:rPr>
              <w:t>NAVINFONorth</w:t>
            </w:r>
            <w:r>
              <w:rPr>
                <w:rFonts w:ascii="Times New Roman"/>
                <w:spacing w:val="-35"/>
                <w:sz w:val="18"/>
              </w:rPr>
              <w:t> </w:t>
            </w:r>
            <w:r>
              <w:rPr>
                <w:rFonts w:ascii="Times New Roman"/>
                <w:spacing w:val="-35"/>
                <w:sz w:val="18"/>
              </w:rPr>
            </w:r>
            <w:r>
              <w:rPr>
                <w:rFonts w:ascii="Times New Roman"/>
                <w:sz w:val="18"/>
              </w:rPr>
              <w:t>AmericaCorp.</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35,985,020.00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35,985,020.00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62"/>
              <w:jc w:val="left"/>
              <w:rPr>
                <w:rFonts w:ascii="Times New Roman" w:hAnsi="Times New Roman" w:cs="Times New Roman" w:eastAsia="Times New Roman" w:hint="default"/>
                <w:sz w:val="18"/>
                <w:szCs w:val="18"/>
              </w:rPr>
            </w:pPr>
            <w:r>
              <w:rPr>
                <w:rFonts w:ascii="Times New Roman"/>
                <w:sz w:val="18"/>
              </w:rPr>
              <w:t>CooperatieveNa</w:t>
            </w:r>
            <w:r>
              <w:rPr>
                <w:rFonts w:ascii="Times New Roman"/>
                <w:w w:val="99"/>
                <w:sz w:val="18"/>
              </w:rPr>
              <w:t> </w:t>
            </w:r>
            <w:r>
              <w:rPr>
                <w:rFonts w:ascii="Times New Roman"/>
                <w:sz w:val="18"/>
              </w:rPr>
              <w:t>vInfoU.A.</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105,002,216.0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105,002,216.00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3"/>
              <w:jc w:val="both"/>
              <w:rPr>
                <w:rFonts w:ascii="宋体" w:hAnsi="宋体" w:cs="宋体" w:eastAsia="宋体" w:hint="default"/>
                <w:sz w:val="18"/>
                <w:szCs w:val="18"/>
              </w:rPr>
            </w:pPr>
            <w:r>
              <w:rPr>
                <w:rFonts w:ascii="宋体" w:hAnsi="宋体" w:cs="宋体" w:eastAsia="宋体" w:hint="default"/>
                <w:sz w:val="18"/>
                <w:szCs w:val="18"/>
              </w:rPr>
              <w:t>图新投资（香 港）科技有限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8,991,947.29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8,991,947.29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合肥杰发科技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3,317,010,000.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3,317,010,000.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558,090,000.00</w:t>
            </w: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24" w:right="86"/>
              <w:jc w:val="both"/>
              <w:rPr>
                <w:rFonts w:ascii="Times New Roman" w:hAnsi="Times New Roman" w:cs="Times New Roman" w:eastAsia="Times New Roman" w:hint="default"/>
                <w:sz w:val="18"/>
                <w:szCs w:val="18"/>
              </w:rPr>
            </w:pPr>
            <w:r>
              <w:rPr>
                <w:rFonts w:ascii="Times New Roman"/>
                <w:spacing w:val="-3"/>
                <w:sz w:val="18"/>
              </w:rPr>
              <w:t>NAVINFO(SIN</w:t>
            </w:r>
            <w:r>
              <w:rPr>
                <w:rFonts w:ascii="Times New Roman"/>
                <w:spacing w:val="-38"/>
                <w:sz w:val="18"/>
              </w:rPr>
              <w:t> </w:t>
            </w:r>
            <w:r>
              <w:rPr>
                <w:rFonts w:ascii="Times New Roman"/>
                <w:spacing w:val="-38"/>
                <w:sz w:val="18"/>
              </w:rPr>
            </w:r>
            <w:r>
              <w:rPr>
                <w:rFonts w:ascii="Times New Roman"/>
                <w:sz w:val="18"/>
              </w:rPr>
              <w:t>GAPORE)PTE.</w:t>
            </w:r>
            <w:r>
              <w:rPr>
                <w:rFonts w:ascii="Times New Roman"/>
                <w:w w:val="100"/>
                <w:sz w:val="18"/>
              </w:rPr>
              <w:t> </w:t>
            </w:r>
            <w:r>
              <w:rPr>
                <w:rFonts w:ascii="Times New Roman"/>
                <w:spacing w:val="-7"/>
                <w:sz w:val="18"/>
              </w:rPr>
              <w:t>LTD</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18,895,500.00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18,895,500.00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北京六分科技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22,500,000.00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北京满电出行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3,986,407,015.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188,817,093.6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31,491,947.29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4,143,732,161.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697,682,415.00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3"/>
        <w:rPr>
          <w:rFonts w:ascii="Times New Roman" w:hAnsi="Times New Roman" w:cs="Times New Roman" w:eastAsia="Times New Roman" w:hint="default"/>
          <w:sz w:val="28"/>
          <w:szCs w:val="28"/>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795"/>
        <w:gridCol w:w="799"/>
        <w:gridCol w:w="797"/>
        <w:gridCol w:w="797"/>
        <w:gridCol w:w="799"/>
        <w:gridCol w:w="797"/>
        <w:gridCol w:w="800"/>
        <w:gridCol w:w="797"/>
        <w:gridCol w:w="799"/>
        <w:gridCol w:w="797"/>
        <w:gridCol w:w="799"/>
        <w:gridCol w:w="797"/>
      </w:tblGrid>
      <w:tr>
        <w:trPr>
          <w:trHeight w:val="403" w:hRule="exact"/>
        </w:trPr>
        <w:tc>
          <w:tcPr>
            <w:tcW w:w="7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9" w:lineRule="auto"/>
              <w:ind w:left="35"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5"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北京图新 瀚和科技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6,139,539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16,237,83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45" w:right="21"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9,250,483</w:t>
            </w:r>
          </w:p>
          <w:p>
            <w:pPr>
              <w:pStyle w:val="TableParagraph"/>
              <w:spacing w:line="240" w:lineRule="auto" w:before="4"/>
              <w:ind w:right="21"/>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13,126,88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6,139,539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16,237,83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45" w:right="21"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9,250,483</w:t>
            </w:r>
          </w:p>
          <w:p>
            <w:pPr>
              <w:pStyle w:val="TableParagraph"/>
              <w:spacing w:line="240" w:lineRule="auto" w:before="3"/>
              <w:ind w:right="21"/>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13,126,88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上海安吉 四维信息 技术有限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29,149,43</w:t>
            </w:r>
          </w:p>
          <w:p>
            <w:pPr>
              <w:pStyle w:val="TableParagraph"/>
              <w:spacing w:line="240" w:lineRule="auto" w:before="105"/>
              <w:ind w:left="453" w:right="0"/>
              <w:jc w:val="left"/>
              <w:rPr>
                <w:rFonts w:ascii="Times New Roman" w:hAnsi="Times New Roman" w:cs="Times New Roman" w:eastAsia="Times New Roman" w:hint="default"/>
                <w:sz w:val="18"/>
                <w:szCs w:val="18"/>
              </w:rPr>
            </w:pPr>
            <w:r>
              <w:rPr>
                <w:rFonts w:ascii="Times New Roman"/>
                <w:sz w:val="18"/>
              </w:rPr>
              <w:t>5.69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3,341,122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14,777,34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17,713,21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北京图新 数聚科技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1,002,952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45" w:right="21"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730,651.8</w:t>
            </w:r>
          </w:p>
          <w:p>
            <w:pPr>
              <w:pStyle w:val="TableParagraph"/>
              <w:spacing w:line="240" w:lineRule="auto" w:before="3"/>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272,300.6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北京四维 天盛投资 管理有限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3,801,154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1,951,823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61,502.00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1,708,912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4,105,567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北京四维 天和科技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1,646,884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45" w:right="21"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351,137.2</w:t>
            </w:r>
          </w:p>
          <w:p>
            <w:pPr>
              <w:pStyle w:val="TableParagraph"/>
              <w:spacing w:line="240" w:lineRule="auto" w:before="3"/>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1,295,746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8"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北京万兔 思睿科技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2,997,109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45" w:right="21"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140,876.5</w:t>
            </w:r>
          </w:p>
          <w:p>
            <w:pPr>
              <w:pStyle w:val="TableParagraph"/>
              <w:spacing w:line="240" w:lineRule="auto" w:before="3"/>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2,856,233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22"/>
              <w:jc w:val="left"/>
              <w:rPr>
                <w:rFonts w:ascii="Times New Roman" w:hAnsi="Times New Roman" w:cs="Times New Roman" w:eastAsia="Times New Roman" w:hint="default"/>
                <w:sz w:val="18"/>
                <w:szCs w:val="18"/>
              </w:rPr>
            </w:pPr>
            <w:r>
              <w:rPr>
                <w:rFonts w:ascii="Times New Roman"/>
                <w:spacing w:val="-2"/>
                <w:sz w:val="18"/>
              </w:rPr>
              <w:t>MapbarTe</w:t>
            </w:r>
            <w:r>
              <w:rPr>
                <w:rFonts w:ascii="Times New Roman"/>
                <w:spacing w:val="-43"/>
                <w:sz w:val="18"/>
              </w:rPr>
              <w:t> </w:t>
            </w:r>
            <w:r>
              <w:rPr>
                <w:rFonts w:ascii="Times New Roman"/>
                <w:spacing w:val="-43"/>
                <w:sz w:val="18"/>
              </w:rPr>
            </w:r>
            <w:r>
              <w:rPr>
                <w:rFonts w:ascii="Times New Roman"/>
                <w:sz w:val="18"/>
              </w:rPr>
              <w:t>chnology</w:t>
            </w:r>
            <w:r>
              <w:rPr>
                <w:rFonts w:ascii="Times New Roman"/>
                <w:sz w:val="18"/>
              </w:rPr>
              <w:t> Limited</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509,991,5</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70.56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45" w:right="21"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208,222,1</w:t>
            </w:r>
          </w:p>
          <w:p>
            <w:pPr>
              <w:pStyle w:val="TableParagraph"/>
              <w:spacing w:line="240" w:lineRule="auto" w:before="3"/>
              <w:ind w:left="359" w:right="0"/>
              <w:jc w:val="left"/>
              <w:rPr>
                <w:rFonts w:ascii="Times New Roman" w:hAnsi="Times New Roman" w:cs="Times New Roman" w:eastAsia="Times New Roman" w:hint="default"/>
                <w:sz w:val="18"/>
                <w:szCs w:val="18"/>
              </w:rPr>
            </w:pPr>
            <w:r>
              <w:rPr>
                <w:rFonts w:ascii="Times New Roman"/>
                <w:sz w:val="18"/>
              </w:rPr>
              <w:t>10.15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648,142.9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33,422,29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335,839,9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02.87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51"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北京四维 互联基金 管理中心</w:t>
            </w:r>
          </w:p>
          <w:p>
            <w:pPr>
              <w:pStyle w:val="TableParagraph"/>
              <w:spacing w:line="316" w:lineRule="auto" w:before="19"/>
              <w:ind w:left="24" w:right="39"/>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34,589,74</w:t>
            </w:r>
          </w:p>
          <w:p>
            <w:pPr>
              <w:pStyle w:val="TableParagraph"/>
              <w:spacing w:line="240" w:lineRule="auto" w:before="105"/>
              <w:ind w:left="453" w:right="0"/>
              <w:jc w:val="left"/>
              <w:rPr>
                <w:rFonts w:ascii="Times New Roman" w:hAnsi="Times New Roman" w:cs="Times New Roman" w:eastAsia="Times New Roman" w:hint="default"/>
                <w:sz w:val="18"/>
                <w:szCs w:val="18"/>
              </w:rPr>
            </w:pPr>
            <w:r>
              <w:rPr>
                <w:rFonts w:ascii="Times New Roman"/>
                <w:sz w:val="18"/>
              </w:rPr>
              <w:t>8.20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74,000,00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62" w:lineRule="auto"/>
              <w:ind w:left="45" w:right="21"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5,249,941</w:t>
            </w:r>
          </w:p>
          <w:p>
            <w:pPr>
              <w:pStyle w:val="TableParagraph"/>
              <w:spacing w:line="240" w:lineRule="auto" w:before="3"/>
              <w:ind w:right="21"/>
              <w:jc w:val="right"/>
              <w:rPr>
                <w:rFonts w:ascii="Times New Roman" w:hAnsi="Times New Roman" w:cs="Times New Roman" w:eastAsia="Times New Roman" w:hint="default"/>
                <w:sz w:val="18"/>
                <w:szCs w:val="18"/>
              </w:rPr>
            </w:pPr>
            <w:r>
              <w:rPr>
                <w:rFonts w:ascii="Times New Roman"/>
                <w:sz w:val="18"/>
              </w:rPr>
              <w:t>.19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11,787,88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2.72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115,127,6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89.73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795"/>
        <w:gridCol w:w="799"/>
        <w:gridCol w:w="797"/>
        <w:gridCol w:w="797"/>
        <w:gridCol w:w="799"/>
        <w:gridCol w:w="797"/>
        <w:gridCol w:w="800"/>
        <w:gridCol w:w="797"/>
        <w:gridCol w:w="799"/>
        <w:gridCol w:w="797"/>
        <w:gridCol w:w="799"/>
        <w:gridCol w:w="797"/>
      </w:tblGrid>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firstLine="91"/>
              <w:jc w:val="left"/>
              <w:rPr>
                <w:rFonts w:ascii="宋体" w:hAnsi="宋体" w:cs="宋体" w:eastAsia="宋体" w:hint="default"/>
                <w:sz w:val="18"/>
                <w:szCs w:val="18"/>
              </w:rPr>
            </w:pPr>
            <w:r>
              <w:rPr>
                <w:rFonts w:ascii="宋体" w:hAnsi="宋体" w:cs="宋体" w:eastAsia="宋体" w:hint="default"/>
                <w:sz w:val="18"/>
                <w:szCs w:val="18"/>
              </w:rPr>
              <w:t>北京六 分科技有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4"/>
              <w:ind w:left="45" w:right="21"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13,103,54</w:t>
            </w:r>
          </w:p>
          <w:p>
            <w:pPr>
              <w:pStyle w:val="TableParagraph"/>
              <w:spacing w:line="240" w:lineRule="auto" w:before="3"/>
              <w:ind w:left="451" w:right="0"/>
              <w:jc w:val="left"/>
              <w:rPr>
                <w:rFonts w:ascii="Times New Roman" w:hAnsi="Times New Roman" w:cs="Times New Roman" w:eastAsia="Times New Roman" w:hint="default"/>
                <w:sz w:val="18"/>
                <w:szCs w:val="18"/>
              </w:rPr>
            </w:pPr>
            <w:r>
              <w:rPr>
                <w:rFonts w:ascii="Times New Roman"/>
                <w:sz w:val="18"/>
              </w:rPr>
              <w:t>5.62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68,303,57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55,200,02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9" w:firstLine="91"/>
              <w:jc w:val="left"/>
              <w:rPr>
                <w:rFonts w:ascii="宋体" w:hAnsi="宋体" w:cs="宋体" w:eastAsia="宋体" w:hint="default"/>
                <w:sz w:val="18"/>
                <w:szCs w:val="18"/>
              </w:rPr>
            </w:pPr>
            <w:r>
              <w:rPr>
                <w:rFonts w:ascii="宋体" w:hAnsi="宋体" w:cs="宋体" w:eastAsia="宋体" w:hint="default"/>
                <w:sz w:val="18"/>
                <w:szCs w:val="18"/>
              </w:rPr>
              <w:t>广东为 辰信息科 技有限公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264,146.8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10,264,14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583,178,8</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55.00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84,000,00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45" w:right="21"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222,241,1</w:t>
            </w:r>
          </w:p>
          <w:p>
            <w:pPr>
              <w:pStyle w:val="TableParagraph"/>
              <w:spacing w:line="240" w:lineRule="auto" w:before="3"/>
              <w:ind w:left="359" w:right="0"/>
              <w:jc w:val="left"/>
              <w:rPr>
                <w:rFonts w:ascii="Times New Roman" w:hAnsi="Times New Roman" w:cs="Times New Roman" w:eastAsia="Times New Roman" w:hint="default"/>
                <w:sz w:val="18"/>
                <w:szCs w:val="18"/>
              </w:rPr>
            </w:pPr>
            <w:r>
              <w:rPr>
                <w:rFonts w:ascii="Times New Roman"/>
                <w:sz w:val="18"/>
              </w:rPr>
              <w:t>69.94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12,497,52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7.64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33,422,29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16,486,25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7.38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68,303,57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542,674,8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26.29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8"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589,318,3</w:t>
            </w:r>
          </w:p>
          <w:p>
            <w:pPr>
              <w:pStyle w:val="TableParagraph"/>
              <w:spacing w:line="240" w:lineRule="auto" w:before="102"/>
              <w:ind w:left="362" w:right="0"/>
              <w:jc w:val="left"/>
              <w:rPr>
                <w:rFonts w:ascii="Times New Roman" w:hAnsi="Times New Roman" w:cs="Times New Roman" w:eastAsia="Times New Roman" w:hint="default"/>
                <w:sz w:val="18"/>
                <w:szCs w:val="18"/>
              </w:rPr>
            </w:pPr>
            <w:r>
              <w:rPr>
                <w:rFonts w:ascii="Times New Roman"/>
                <w:sz w:val="18"/>
              </w:rPr>
              <w:t>94.35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100,237,8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45" w:right="21"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231,491,6</w:t>
            </w:r>
          </w:p>
          <w:p>
            <w:pPr>
              <w:pStyle w:val="TableParagraph"/>
              <w:spacing w:line="240" w:lineRule="auto" w:before="5"/>
              <w:ind w:left="359" w:right="0"/>
              <w:jc w:val="left"/>
              <w:rPr>
                <w:rFonts w:ascii="Times New Roman" w:hAnsi="Times New Roman" w:cs="Times New Roman" w:eastAsia="Times New Roman" w:hint="default"/>
                <w:sz w:val="18"/>
                <w:szCs w:val="18"/>
              </w:rPr>
            </w:pPr>
            <w:r>
              <w:rPr>
                <w:rFonts w:ascii="Times New Roman"/>
                <w:sz w:val="18"/>
              </w:rPr>
              <w:t>53.31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12,497,52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7.64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33,422,29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16,486,25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7.38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68,303,57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1.43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555,801,7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12.27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124" w:firstLine="360"/>
        <w:jc w:val="left"/>
        <w:rPr>
          <w:rFonts w:ascii="宋体" w:hAnsi="宋体" w:cs="宋体" w:eastAsia="宋体" w:hint="default"/>
        </w:rPr>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日，公司对北京满电出行科技有限公司尚未实际缴付出资，详见本附注“八、</w:t>
      </w:r>
      <w:r>
        <w:rPr>
          <w:rFonts w:ascii="Times New Roman" w:hAnsi="Times New Roman" w:cs="Times New Roman" w:eastAsia="Times New Roman" w:hint="default"/>
        </w:rPr>
        <w:t>5</w:t>
      </w:r>
      <w:r>
        <w:rPr/>
        <w:t>其他原因的合并范围 变动”所述。</w:t>
      </w:r>
      <w:r>
        <w:rPr>
          <w:rFonts w:ascii="宋体" w:hAnsi="宋体" w:cs="宋体" w:eastAsia="宋体" w:hint="default"/>
        </w:rPr>
        <w:t> </w:t>
      </w:r>
    </w:p>
    <w:p>
      <w:pPr>
        <w:spacing w:line="240" w:lineRule="auto" w:before="8"/>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95"/>
        <w:gridCol w:w="1837"/>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908,507,444.92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127,167,424.46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640,929,340.47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123,204,433.21</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40,866,192.09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16,112,049.38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26,090,069.86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3,908,786.59</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949,373,637.01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143,279,473.84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667,019,410.33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127,113,219.80</w:t>
            </w:r>
          </w:p>
        </w:tc>
      </w:tr>
    </w:tbl>
    <w:p>
      <w:pPr>
        <w:pStyle w:val="BodyText"/>
        <w:spacing w:line="240" w:lineRule="auto" w:before="49"/>
        <w:ind w:right="0"/>
        <w:jc w:val="left"/>
      </w:pPr>
      <w:r>
        <w:rPr/>
        <w:t>是否已执行新收入准则</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325"/>
        <w:gridCol w:w="3058"/>
        <w:gridCol w:w="3188"/>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70,959,043.86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102,370,906.65</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-231,491,653.31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-14,050,174.33</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36,820,565.26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114,531,489.71</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387,847.00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5,985,000.00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325"/>
        <w:gridCol w:w="3058"/>
        <w:gridCol w:w="3188"/>
      </w:tblGrid>
      <w:tr>
        <w:trPr>
          <w:trHeight w:val="71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9"/>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 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10,441,464.13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20,111,070.57</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1,183,069.00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6,520,000.00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处置持有至到期投资取得的投资收益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49"/>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债权投资在持有期间取得的利息收入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其他债权投资在持有期间取得的利息收入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处置其他债权投资取得的投资收益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处置交易性金融负债取得的投资收益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615,921,759.91</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-106,897,733.06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846,588,121.51</w:t>
            </w:r>
          </w:p>
        </w:tc>
      </w:tr>
    </w:tbl>
    <w:p>
      <w:pPr>
        <w:spacing w:line="240" w:lineRule="auto" w:before="5"/>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十八、补充资料</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302"/>
        <w:gridCol w:w="3069"/>
        <w:gridCol w:w="3188"/>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16" w:right="0"/>
              <w:jc w:val="left"/>
              <w:rPr>
                <w:rFonts w:ascii="Times New Roman" w:hAnsi="Times New Roman" w:cs="Times New Roman" w:eastAsia="Times New Roman" w:hint="default"/>
                <w:sz w:val="18"/>
                <w:szCs w:val="18"/>
              </w:rPr>
            </w:pPr>
            <w:r>
              <w:rPr>
                <w:rFonts w:ascii="Times New Roman"/>
                <w:sz w:val="18"/>
              </w:rPr>
              <w:t>441,411,886.14</w:t>
            </w:r>
          </w:p>
        </w:tc>
        <w:tc>
          <w:tcPr>
            <w:tcW w:w="3188"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92"/>
              <w:jc w:val="left"/>
              <w:rPr>
                <w:rFonts w:ascii="宋体" w:hAnsi="宋体" w:cs="宋体" w:eastAsia="宋体" w:hint="default"/>
                <w:sz w:val="18"/>
                <w:szCs w:val="18"/>
              </w:rPr>
            </w:pPr>
            <w:r>
              <w:rPr>
                <w:rFonts w:ascii="宋体" w:hAnsi="宋体" w:cs="宋体" w:eastAsia="宋体" w:hint="default"/>
                <w:sz w:val="18"/>
                <w:szCs w:val="18"/>
              </w:rPr>
              <w:t>主要系处置子公司北京六分科技有限公 司的投资收益</w:t>
            </w:r>
          </w:p>
        </w:tc>
      </w:tr>
      <w:tr>
        <w:trPr>
          <w:trHeight w:val="394" w:hRule="exact"/>
        </w:trPr>
        <w:tc>
          <w:tcPr>
            <w:tcW w:w="3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9" w:type="dxa"/>
            <w:vMerge/>
            <w:tcBorders>
              <w:left w:val="single" w:sz="4" w:space="0" w:color="000000"/>
              <w:right w:val="single" w:sz="4" w:space="0" w:color="000000"/>
            </w:tcBorders>
          </w:tcPr>
          <w:p>
            <w:pPr/>
          </w:p>
        </w:tc>
        <w:tc>
          <w:tcPr>
            <w:tcW w:w="3188" w:type="dxa"/>
            <w:vMerge/>
            <w:tcBorders>
              <w:left w:val="single" w:sz="4" w:space="0" w:color="000000"/>
              <w:right w:val="single" w:sz="4" w:space="0" w:color="000000"/>
            </w:tcBorders>
          </w:tcPr>
          <w:p>
            <w:pPr/>
          </w:p>
        </w:tc>
      </w:tr>
      <w:tr>
        <w:trPr>
          <w:trHeight w:val="161" w:hRule="exact"/>
        </w:trPr>
        <w:tc>
          <w:tcPr>
            <w:tcW w:w="3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69" w:type="dxa"/>
            <w:vMerge/>
            <w:tcBorders>
              <w:left w:val="single" w:sz="4" w:space="0" w:color="000000"/>
              <w:bottom w:val="single" w:sz="4" w:space="0" w:color="000000"/>
              <w:right w:val="single" w:sz="4" w:space="0" w:color="000000"/>
            </w:tcBorders>
          </w:tcPr>
          <w:p>
            <w:pPr/>
          </w:p>
        </w:tc>
        <w:tc>
          <w:tcPr>
            <w:tcW w:w="3188" w:type="dxa"/>
            <w:vMerge/>
            <w:tcBorders>
              <w:left w:val="single" w:sz="4" w:space="0" w:color="000000"/>
              <w:bottom w:val="single" w:sz="4" w:space="0" w:color="000000"/>
              <w:right w:val="single" w:sz="4" w:space="0" w:color="000000"/>
            </w:tcBorders>
          </w:tcPr>
          <w:p>
            <w:pPr/>
          </w:p>
        </w:tc>
      </w:tr>
      <w:tr>
        <w:trPr>
          <w:trHeight w:val="71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1,214,536.38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92"/>
              <w:jc w:val="left"/>
              <w:rPr>
                <w:rFonts w:ascii="宋体" w:hAnsi="宋体" w:cs="宋体" w:eastAsia="宋体" w:hint="default"/>
                <w:sz w:val="18"/>
                <w:szCs w:val="18"/>
              </w:rPr>
            </w:pPr>
            <w:r>
              <w:rPr>
                <w:rFonts w:ascii="宋体" w:hAnsi="宋体" w:cs="宋体" w:eastAsia="宋体" w:hint="default"/>
                <w:sz w:val="18"/>
                <w:szCs w:val="18"/>
              </w:rPr>
              <w:t>公司收到政府项目资助，并在本期确认 营业外收入</w:t>
            </w:r>
          </w:p>
        </w:tc>
      </w:tr>
      <w:tr>
        <w:trPr>
          <w:trHeight w:val="71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30,111,425.47</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银行理财收益</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325"/>
        <w:gridCol w:w="3058"/>
        <w:gridCol w:w="3188"/>
      </w:tblGrid>
      <w:tr>
        <w:trPr>
          <w:trHeight w:val="71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9"/>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9"/>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49"/>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9"/>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26,372,847.00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92"/>
              <w:jc w:val="left"/>
              <w:rPr>
                <w:rFonts w:ascii="宋体" w:hAnsi="宋体" w:cs="宋体" w:eastAsia="宋体" w:hint="default"/>
                <w:sz w:val="18"/>
                <w:szCs w:val="18"/>
              </w:rPr>
            </w:pPr>
            <w:r>
              <w:rPr>
                <w:rFonts w:ascii="宋体" w:hAnsi="宋体" w:cs="宋体" w:eastAsia="宋体" w:hint="default"/>
                <w:sz w:val="18"/>
                <w:szCs w:val="18"/>
              </w:rPr>
              <w:t>主要系其他非流动金融资产的公允价值 变动及处置收益</w:t>
            </w:r>
          </w:p>
        </w:tc>
      </w:tr>
      <w:tr>
        <w:trPr>
          <w:trHeight w:val="71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49"/>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 减值准备转回</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49"/>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9"/>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478,934.33</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2,314,365.13</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78,442.24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497,196,821.95</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对公司根据《公开发行证券的公司信息披露解释性公告第</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非经常性损益》定义界定的非经常性损益项目，以及把</w:t>
      </w:r>
    </w:p>
    <w:p>
      <w:pPr>
        <w:pStyle w:val="BodyText"/>
        <w:spacing w:line="300" w:lineRule="auto" w:before="60"/>
        <w:ind w:right="1216"/>
        <w:jc w:val="left"/>
      </w:pPr>
      <w:r>
        <w:rPr/>
        <w:t>《公开发行证券的公司信息披露解释性公告第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非经常性损益》中列举的非经常性损益项目界定为经常性损益的项 目，应说明原因。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1"/>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2662"/>
        <w:gridCol w:w="3080"/>
        <w:gridCol w:w="382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5"/>
        <w:rPr>
          <w:rFonts w:ascii="Microsoft JhengHei" w:hAnsi="Microsoft JhengHei" w:cs="Microsoft JhengHei" w:eastAsia="Microsoft JhengHei" w:hint="default"/>
          <w:b/>
          <w:bCs/>
          <w:sz w:val="21"/>
          <w:szCs w:val="21"/>
        </w:rPr>
      </w:pPr>
    </w:p>
    <w:tbl>
      <w:tblPr>
        <w:tblW w:w="0" w:type="auto"/>
        <w:jc w:val="left"/>
        <w:tblInd w:w="181" w:type="dxa"/>
        <w:tblLayout w:type="fixed"/>
        <w:tblCellMar>
          <w:top w:w="0" w:type="dxa"/>
          <w:left w:w="0" w:type="dxa"/>
          <w:bottom w:w="0" w:type="dxa"/>
          <w:right w:w="0" w:type="dxa"/>
        </w:tblCellMar>
        <w:tblLook w:val="01E0"/>
      </w:tblPr>
      <w:tblGrid>
        <w:gridCol w:w="2662"/>
        <w:gridCol w:w="3080"/>
        <w:gridCol w:w="1913"/>
        <w:gridCol w:w="1913"/>
      </w:tblGrid>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0.1759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0.1749</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-0.0820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-0.0815</w:t>
            </w:r>
            <w:r>
              <w:rPr>
                <w:rFonts w:ascii="Times New Roman"/>
                <w:sz w:val="18"/>
              </w:rPr>
            </w:r>
          </w:p>
        </w:tc>
      </w:tr>
    </w:tbl>
    <w:p>
      <w:pPr>
        <w:spacing w:line="240" w:lineRule="auto" w:before="10"/>
        <w:rPr>
          <w:rFonts w:ascii="Microsoft JhengHei" w:hAnsi="Microsoft JhengHei" w:cs="Microsoft JhengHei" w:eastAsia="Microsoft JhengHei" w:hint="default"/>
          <w:b/>
          <w:bCs/>
          <w:sz w:val="14"/>
          <w:szCs w:val="14"/>
        </w:rPr>
      </w:pPr>
    </w:p>
    <w:p>
      <w:pPr>
        <w:pStyle w:val="Heading4"/>
        <w:spacing w:line="335" w:lineRule="exact"/>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5"/>
          <w:szCs w:val="25"/>
        </w:rPr>
      </w:pPr>
    </w:p>
    <w:p>
      <w:pPr>
        <w:pStyle w:val="Heading4"/>
        <w:spacing w:line="314" w:lineRule="exact"/>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26"/>
        </w:rPr>
        <w:t> </w:t>
      </w:r>
      <w:r>
        <w:rPr>
          <w:spacing w:val="26"/>
        </w:rPr>
      </w:r>
      <w:r>
        <w:rPr/>
        <w:t>明该境外机构的名称</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after="0" w:line="24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1"/>
        <w:spacing w:line="456" w:lineRule="exact"/>
        <w:ind w:right="1475"/>
        <w:jc w:val="center"/>
        <w:rPr>
          <w:b w:val="0"/>
          <w:bCs w:val="0"/>
        </w:rPr>
      </w:pPr>
      <w:bookmarkStart w:name="_bookmark12" w:id="13"/>
      <w:bookmarkEnd w:id="13"/>
      <w:r>
        <w:rPr>
          <w:b w:val="0"/>
          <w:bCs w:val="0"/>
        </w:rPr>
      </w:r>
      <w:r>
        <w:rPr/>
        <w:t>第十三节 </w:t>
      </w:r>
      <w:r>
        <w:rPr>
          <w:spacing w:val="8"/>
        </w:rPr>
        <w:t> </w:t>
      </w:r>
      <w:r>
        <w:rPr/>
        <w:t>备查文件目录</w:t>
      </w:r>
      <w:r>
        <w:rPr>
          <w:b w:val="0"/>
          <w:bCs w:val="0"/>
        </w:rPr>
      </w:r>
    </w:p>
    <w:p>
      <w:pPr>
        <w:spacing w:line="240" w:lineRule="auto" w:before="13"/>
        <w:rPr>
          <w:rFonts w:ascii="Microsoft JhengHei" w:hAnsi="Microsoft JhengHei" w:cs="Microsoft JhengHei" w:eastAsia="Microsoft JhengHei" w:hint="default"/>
          <w:b/>
          <w:bCs/>
          <w:sz w:val="31"/>
          <w:szCs w:val="31"/>
        </w:rPr>
      </w:pPr>
    </w:p>
    <w:p>
      <w:pPr>
        <w:pStyle w:val="Heading3"/>
        <w:spacing w:line="240" w:lineRule="auto" w:before="0"/>
        <w:ind w:right="0"/>
        <w:jc w:val="left"/>
        <w:rPr>
          <w:rFonts w:ascii="宋体" w:hAnsi="宋体" w:cs="宋体" w:eastAsia="宋体" w:hint="default"/>
        </w:rPr>
      </w:pPr>
      <w:r>
        <w:rPr/>
        <w:t>（一）载有法定代表人、财务负责人、会计机构负责人签名并盖章的财务报表。</w:t>
      </w:r>
      <w:r>
        <w:rPr>
          <w:rFonts w:ascii="宋体" w:hAnsi="宋体" w:cs="宋体" w:eastAsia="宋体" w:hint="default"/>
        </w:rPr>
        <w:t> </w:t>
      </w:r>
    </w:p>
    <w:p>
      <w:pPr>
        <w:pStyle w:val="Heading3"/>
        <w:spacing w:line="240" w:lineRule="auto"/>
        <w:ind w:right="0"/>
        <w:jc w:val="left"/>
        <w:rPr>
          <w:rFonts w:ascii="宋体" w:hAnsi="宋体" w:cs="宋体" w:eastAsia="宋体" w:hint="default"/>
        </w:rPr>
      </w:pPr>
      <w:r>
        <w:rPr/>
        <w:t>（二）载有会计师事务所盖章、注册会计师签名并盖章的审计报告原件。</w:t>
      </w:r>
      <w:r>
        <w:rPr>
          <w:rFonts w:ascii="宋体" w:hAnsi="宋体" w:cs="宋体" w:eastAsia="宋体" w:hint="default"/>
        </w:rPr>
        <w:t> </w:t>
      </w:r>
    </w:p>
    <w:p>
      <w:pPr>
        <w:pStyle w:val="Heading3"/>
        <w:spacing w:line="240" w:lineRule="auto"/>
        <w:ind w:right="0"/>
        <w:jc w:val="left"/>
        <w:rPr>
          <w:rFonts w:ascii="宋体" w:hAnsi="宋体" w:cs="宋体" w:eastAsia="宋体" w:hint="default"/>
        </w:rPr>
      </w:pPr>
      <w:r>
        <w:rPr/>
        <w:t>（三</w:t>
      </w:r>
      <w:r>
        <w:rPr>
          <w:spacing w:val="-82"/>
        </w:rPr>
        <w:t>）</w:t>
      </w:r>
      <w:r>
        <w:rPr/>
        <w:t>报告期内在中国证监会指定报纸上公开披露过的所有公司文件的正本及公告原稿</w:t>
      </w:r>
      <w:r>
        <w:rPr>
          <w:spacing w:val="-119"/>
        </w:rPr>
        <w:t>。</w:t>
      </w:r>
      <w:r>
        <w:rPr>
          <w:rFonts w:ascii="宋体" w:hAnsi="宋体" w:cs="宋体" w:eastAsia="宋体" w:hint="default"/>
        </w:rPr>
        <w:t> </w:t>
      </w:r>
    </w:p>
    <w:p>
      <w:pPr>
        <w:pStyle w:val="Heading3"/>
        <w:spacing w:line="240" w:lineRule="auto"/>
        <w:ind w:right="0"/>
        <w:jc w:val="left"/>
        <w:rPr>
          <w:rFonts w:ascii="宋体" w:hAnsi="宋体" w:cs="宋体" w:eastAsia="宋体" w:hint="default"/>
        </w:rPr>
      </w:pPr>
      <w:r>
        <w:rPr/>
        <w:t>（四）载有董事长签名的</w:t>
      </w:r>
      <w:r>
        <w:rPr>
          <w:rFonts w:ascii="宋体" w:hAnsi="宋体" w:cs="宋体" w:eastAsia="宋体" w:hint="default"/>
        </w:rPr>
        <w:t>2019</w:t>
      </w:r>
      <w:r>
        <w:rPr/>
        <w:t>年年度报告文本原件。</w:t>
      </w:r>
      <w:r>
        <w:rPr>
          <w:rFonts w:ascii="宋体" w:hAnsi="宋体" w:cs="宋体" w:eastAsia="宋体" w:hint="default"/>
        </w:rPr>
        <w:t> </w:t>
      </w:r>
    </w:p>
    <w:p>
      <w:pPr>
        <w:pStyle w:val="Heading3"/>
        <w:spacing w:line="240" w:lineRule="auto"/>
        <w:ind w:right="0"/>
        <w:jc w:val="left"/>
        <w:rPr>
          <w:rFonts w:ascii="宋体" w:hAnsi="宋体" w:cs="宋体" w:eastAsia="宋体" w:hint="default"/>
        </w:rPr>
      </w:pPr>
      <w:r>
        <w:rPr/>
        <w:t>（五）以上备查文件的备置地点：公司董事会办公室。</w:t>
      </w:r>
      <w:r>
        <w:rPr>
          <w:rFonts w:ascii="宋体" w:hAnsi="宋体" w:cs="宋体" w:eastAsia="宋体" w:hint="default"/>
        </w:rPr>
        <w:t> </w:t>
      </w:r>
    </w:p>
    <w:p>
      <w:pPr>
        <w:pStyle w:val="Heading3"/>
        <w:spacing w:line="240" w:lineRule="auto"/>
        <w:ind w:right="0"/>
        <w:jc w:val="left"/>
        <w:rPr>
          <w:rFonts w:ascii="宋体" w:hAnsi="宋体" w:cs="宋体" w:eastAsia="宋体" w:hint="default"/>
        </w:rPr>
      </w:pPr>
      <w:r>
        <w:rPr>
          <w:rFonts w:ascii="宋体"/>
        </w:rPr>
        <w:t> </w:t>
      </w:r>
    </w:p>
    <w:p>
      <w:pPr>
        <w:pStyle w:val="Heading3"/>
        <w:spacing w:line="240" w:lineRule="auto"/>
        <w:ind w:right="0"/>
        <w:jc w:val="left"/>
        <w:rPr>
          <w:rFonts w:ascii="宋体" w:hAnsi="宋体" w:cs="宋体" w:eastAsia="宋体" w:hint="default"/>
        </w:rPr>
      </w:pPr>
      <w:r>
        <w:rPr>
          <w:rFonts w:ascii="宋体"/>
        </w:rPr>
        <w:t> </w:t>
      </w:r>
    </w:p>
    <w:p>
      <w:pPr>
        <w:pStyle w:val="Heading3"/>
        <w:spacing w:line="240" w:lineRule="auto"/>
        <w:ind w:right="0"/>
        <w:jc w:val="left"/>
        <w:rPr>
          <w:rFonts w:ascii="宋体" w:hAnsi="宋体" w:cs="宋体" w:eastAsia="宋体" w:hint="default"/>
        </w:rPr>
      </w:pPr>
      <w:r>
        <w:rPr>
          <w:rFonts w:ascii="宋体"/>
        </w:rPr>
        <w:t> </w:t>
      </w:r>
    </w:p>
    <w:p>
      <w:pPr>
        <w:pStyle w:val="Heading3"/>
        <w:spacing w:line="240" w:lineRule="auto" w:before="113"/>
        <w:ind w:left="6034" w:right="0"/>
        <w:jc w:val="left"/>
        <w:rPr>
          <w:rFonts w:ascii="宋体" w:hAnsi="宋体" w:cs="宋体" w:eastAsia="宋体" w:hint="default"/>
        </w:rPr>
      </w:pPr>
      <w:r>
        <w:rPr/>
        <w:t>北京四维图新科技股份有限公司</w:t>
      </w:r>
      <w:r>
        <w:rPr>
          <w:rFonts w:ascii="宋体" w:hAnsi="宋体" w:cs="宋体" w:eastAsia="宋体" w:hint="default"/>
        </w:rPr>
        <w:t> </w:t>
      </w:r>
    </w:p>
    <w:p>
      <w:pPr>
        <w:pStyle w:val="Heading3"/>
        <w:tabs>
          <w:tab w:pos="6574" w:val="left" w:leader="none"/>
        </w:tabs>
        <w:spacing w:line="240" w:lineRule="auto" w:before="41"/>
        <w:ind w:left="152" w:right="0"/>
        <w:jc w:val="left"/>
        <w:rPr>
          <w:rFonts w:ascii="宋体" w:hAnsi="宋体" w:cs="宋体" w:eastAsia="宋体" w:hint="default"/>
        </w:rPr>
      </w:pPr>
      <w:r>
        <w:rPr>
          <w:rFonts w:ascii="宋体"/>
        </w:rPr>
        <w:t> </w:t>
        <w:tab/>
        <w:t> </w:t>
      </w:r>
    </w:p>
    <w:p>
      <w:pPr>
        <w:pStyle w:val="Heading3"/>
        <w:spacing w:line="240" w:lineRule="auto" w:before="36"/>
        <w:ind w:left="6994" w:right="0"/>
        <w:jc w:val="left"/>
        <w:rPr>
          <w:rFonts w:ascii="宋体" w:hAnsi="宋体" w:cs="宋体" w:eastAsia="宋体" w:hint="default"/>
        </w:rPr>
      </w:pPr>
      <w:r>
        <w:rPr/>
        <w:t>董事长：吴劲风</w:t>
      </w:r>
      <w:r>
        <w:rPr>
          <w:rFonts w:ascii="宋体" w:hAnsi="宋体" w:cs="宋体" w:eastAsia="宋体" w:hint="default"/>
        </w:rPr>
        <w:t> </w:t>
      </w:r>
    </w:p>
    <w:p>
      <w:pPr>
        <w:spacing w:line="240" w:lineRule="auto" w:before="12"/>
        <w:rPr>
          <w:rFonts w:ascii="宋体" w:hAnsi="宋体" w:cs="宋体" w:eastAsia="宋体" w:hint="default"/>
          <w:sz w:val="27"/>
          <w:szCs w:val="27"/>
        </w:rPr>
      </w:pPr>
    </w:p>
    <w:p>
      <w:pPr>
        <w:pStyle w:val="Heading3"/>
        <w:spacing w:line="240" w:lineRule="auto" w:before="26"/>
        <w:ind w:left="152"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2020</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w:t>
      </w:r>
      <w:r>
        <w:rPr>
          <w:rFonts w:ascii="宋体" w:hAnsi="宋体" w:cs="宋体" w:eastAsia="宋体" w:hint="default"/>
        </w:rPr>
        <w:t> </w:t>
      </w:r>
    </w:p>
    <w:sectPr>
      <w:pgSz w:w="11910" w:h="16840"/>
      <w:pgMar w:header="748"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05480" type="#_x0000_t75" stroked="false">
          <v:imagedata r:id="rId1" o:title=""/>
        </v:shape>
      </w:pict>
    </w:r>
    <w:r>
      <w:rPr/>
      <w:pict>
        <v:shape style="position:absolute;margin-left:533.099976pt;margin-top:795.637939pt;width:6.5pt;height:11pt;mso-position-horizontal-relative:page;mso-position-vertical-relative:page;z-index:-14054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05432" type="#_x0000_t75" stroked="false">
          <v:imagedata r:id="rId1" o:title=""/>
        </v:shape>
      </w:pict>
    </w:r>
    <w:r>
      <w:rPr/>
      <w:pict>
        <v:shape style="position:absolute;margin-left:523.099976pt;margin-top:781.957947pt;width:17.7pt;height:11pt;mso-position-horizontal-relative:page;mso-position-vertical-relative:page;z-index:-14054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05384" type="#_x0000_t75" stroked="false">
          <v:imagedata r:id="rId1" o:title=""/>
        </v:shape>
      </w:pict>
    </w:r>
    <w:r>
      <w:rPr/>
      <w:pict>
        <v:shape style="position:absolute;margin-left:523.460022pt;margin-top:781.957947pt;width:17.3pt;height:11pt;mso-position-horizontal-relative:page;mso-position-vertical-relative:page;z-index:-1405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05336" type="#_x0000_t75" stroked="false">
          <v:imagedata r:id="rId1" o:title=""/>
        </v:shape>
      </w:pict>
    </w:r>
    <w:r>
      <w:rPr/>
      <w:pict>
        <v:shape style="position:absolute;margin-left:523.099976pt;margin-top:781.957947pt;width:17.7pt;height:11pt;mso-position-horizontal-relative:page;mso-position-vertical-relative:page;z-index:-14053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385609pt;width:213.75pt;height:11.5pt;mso-position-horizontal-relative:page;mso-position-vertical-relative:page;z-index:-1405504" type="#_x0000_t202" filled="false" stroked="false">
          <v:textbox inset="0,0,0,0">
            <w:txbxContent>
              <w:p>
                <w:pPr>
                  <w:pStyle w:val="BodyText"/>
                  <w:spacing w:line="214" w:lineRule="exact"/>
                  <w:ind w:left="20" w:right="0"/>
                  <w:jc w:val="left"/>
                </w:pPr>
                <w:r>
                  <w:rPr/>
                  <w:t>北京四维图新科技股份有限公司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49"/>
      <w:ind w:left="152"/>
    </w:pPr>
    <w:rPr>
      <w:rFonts w:ascii="宋体" w:hAnsi="宋体" w:eastAsia="宋体"/>
      <w:sz w:val="30"/>
      <w:szCs w:val="30"/>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494"/>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4"/>
      <w:szCs w:val="24"/>
    </w:rPr>
  </w:style>
  <w:style w:styleId="Heading3" w:type="paragraph">
    <w:name w:val="Heading 3"/>
    <w:basedOn w:val="Normal"/>
    <w:uiPriority w:val="1"/>
    <w:qFormat/>
    <w:pPr>
      <w:spacing w:before="154"/>
      <w:ind w:left="633"/>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Microsoft JhengHei" w:hAnsi="Microsoft JhengHei" w:eastAsia="Microsoft JhengHei"/>
      <w:b/>
      <w:bCs/>
      <w:sz w:val="21"/>
      <w:szCs w:val="21"/>
    </w:rPr>
  </w:style>
  <w:style w:styleId="Heading5" w:type="paragraph">
    <w:name w:val="Heading 5"/>
    <w:basedOn w:val="Normal"/>
    <w:uiPriority w:val="1"/>
    <w:qFormat/>
    <w:pPr>
      <w:spacing w:before="46"/>
      <w:ind w:left="152" w:firstLine="420"/>
      <w:outlineLvl w:val="5"/>
    </w:pPr>
    <w:rPr>
      <w:rFonts w:ascii="宋体" w:hAnsi="宋体" w:eastAsia="宋体"/>
      <w:sz w:val="21"/>
      <w:szCs w:val="21"/>
    </w:rPr>
  </w:style>
  <w:style w:styleId="Heading6" w:type="paragraph">
    <w:name w:val="Heading 6"/>
    <w:basedOn w:val="Normal"/>
    <w:uiPriority w:val="1"/>
    <w:qFormat/>
    <w:pPr>
      <w:ind w:left="152"/>
      <w:outlineLvl w:val="6"/>
    </w:pPr>
    <w:rPr>
      <w:rFonts w:ascii="Microsoft JhengHei" w:hAnsi="Microsoft JhengHei" w:eastAsia="Microsoft JhengHei"/>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navinfo.com/" TargetMode="External"/><Relationship Id="rId10" Type="http://schemas.openxmlformats.org/officeDocument/2006/relationships/hyperlink" Target="mailto:info2405@navinfo.com" TargetMode="External"/><Relationship Id="rId11" Type="http://schemas.openxmlformats.org/officeDocument/2006/relationships/hyperlink" Target="mailto:dongmi@navinfo.com" TargetMode="External"/><Relationship Id="rId12" Type="http://schemas.openxmlformats.org/officeDocument/2006/relationships/hyperlink" Target="mailto:qinfang@navinfo.com" TargetMode="External"/><Relationship Id="rId13" Type="http://schemas.openxmlformats.org/officeDocument/2006/relationships/hyperlink" Target="http://www.cninfo.com.cn/" TargetMode="External"/><Relationship Id="rId14" Type="http://schemas.openxmlformats.org/officeDocument/2006/relationships/image" Target="media/image3.jpeg"/><Relationship Id="rId15" Type="http://schemas.openxmlformats.org/officeDocument/2006/relationships/hyperlink" Target="https://baike.baidu.com/item/%E5%B7%A5%E4%BD%9C%E7%BB%84/5103560" TargetMode="External"/><Relationship Id="rId16" Type="http://schemas.openxmlformats.org/officeDocument/2006/relationships/hyperlink" Target="http://www/" TargetMode="External"/><Relationship Id="rId17" Type="http://schemas.openxmlformats.org/officeDocument/2006/relationships/hyperlink" Target="http://www.cninfo.com.cn/new/common" TargetMode="External"/><Relationship Id="rId18" Type="http://schemas.openxmlformats.org/officeDocument/2006/relationships/footer" Target="footer3.xml"/><Relationship Id="rId19"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北京四维图新科技股份有限公司</dc:creator>
  <dc:title>北京四维图新科技股份有限公司2019年年度报告全文</dc:title>
  <dcterms:created xsi:type="dcterms:W3CDTF">2020-05-19T12:31:31Z</dcterms:created>
  <dcterms:modified xsi:type="dcterms:W3CDTF">2020-05-19T12:31:31Z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Word 2016</vt:lpwstr>
  </property>
  <property fmtid="{D5CDD505-2E9C-101B-9397-08002B2CF9AE}" pid="4" name="LastSaved">
    <vt:filetime>2020-05-19T00:00:00Z</vt:filetime>
  </property>
</Properties>
</file>